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39F4C">
      <w:pPr>
        <w:spacing w:line="360" w:lineRule="auto"/>
        <w:jc w:val="center"/>
        <w:rPr>
          <w:rFonts w:hint="eastAsia" w:cs="宋体" w:asciiTheme="minorEastAsia" w:hAnsiTheme="minorEastAsia" w:eastAsiaTheme="minorEastAsia"/>
          <w:b/>
          <w:sz w:val="24"/>
          <w:highlight w:val="none"/>
        </w:rPr>
      </w:pPr>
    </w:p>
    <w:p w14:paraId="720D49D1">
      <w:pPr>
        <w:spacing w:line="360" w:lineRule="auto"/>
        <w:jc w:val="center"/>
        <w:rPr>
          <w:rFonts w:cs="宋体" w:asciiTheme="minorEastAsia" w:hAnsiTheme="minorEastAsia" w:eastAsiaTheme="minorEastAsia"/>
          <w:b/>
          <w:sz w:val="44"/>
          <w:szCs w:val="44"/>
          <w:highlight w:val="none"/>
        </w:rPr>
      </w:pPr>
    </w:p>
    <w:p w14:paraId="216CA7CF">
      <w:pPr>
        <w:adjustRightInd/>
        <w:spacing w:line="360" w:lineRule="auto"/>
        <w:jc w:val="center"/>
        <w:rPr>
          <w:rFonts w:cs="宋体" w:asciiTheme="minorEastAsia" w:hAnsiTheme="minorEastAsia" w:eastAsiaTheme="minorEastAsia"/>
          <w:b/>
          <w:sz w:val="48"/>
          <w:szCs w:val="48"/>
          <w:highlight w:val="none"/>
        </w:rPr>
      </w:pPr>
    </w:p>
    <w:p w14:paraId="3E531582">
      <w:pPr>
        <w:adjustRightInd/>
        <w:spacing w:line="360" w:lineRule="auto"/>
        <w:jc w:val="center"/>
        <w:rPr>
          <w:rFonts w:hint="eastAsia" w:cs="宋体" w:asciiTheme="minorEastAsia" w:hAnsiTheme="minorEastAsia" w:eastAsiaTheme="minorEastAsia"/>
          <w:b/>
          <w:bCs/>
          <w:sz w:val="48"/>
          <w:szCs w:val="48"/>
          <w:highlight w:val="none"/>
          <w:lang w:eastAsia="zh-CN"/>
        </w:rPr>
      </w:pPr>
      <w:bookmarkStart w:id="0" w:name="OLE_LINK1"/>
      <w:r>
        <w:rPr>
          <w:rFonts w:hint="eastAsia" w:cs="宋体" w:asciiTheme="minorEastAsia" w:hAnsiTheme="minorEastAsia" w:eastAsiaTheme="minorEastAsia"/>
          <w:b/>
          <w:bCs/>
          <w:sz w:val="48"/>
          <w:szCs w:val="48"/>
          <w:highlight w:val="none"/>
          <w:lang w:eastAsia="zh-CN"/>
        </w:rPr>
        <w:t>杭州市公安局西湖区分局看守所智能行为分析系统项目</w:t>
      </w:r>
    </w:p>
    <w:bookmarkEnd w:id="0"/>
    <w:p w14:paraId="584AABB6">
      <w:pPr>
        <w:pStyle w:val="3"/>
        <w:rPr>
          <w:rFonts w:hint="eastAsia"/>
          <w:highlight w:val="none"/>
          <w:lang w:eastAsia="zh-CN"/>
        </w:rPr>
      </w:pPr>
    </w:p>
    <w:p w14:paraId="3675C8FB">
      <w:pPr>
        <w:adjustRightInd/>
        <w:spacing w:line="360" w:lineRule="auto"/>
        <w:jc w:val="center"/>
        <w:rPr>
          <w:rFonts w:cs="宋体" w:asciiTheme="minorEastAsia" w:hAnsiTheme="minorEastAsia" w:eastAsiaTheme="minorEastAsia"/>
          <w:sz w:val="48"/>
          <w:szCs w:val="48"/>
          <w:highlight w:val="none"/>
        </w:rPr>
      </w:pPr>
      <w:r>
        <w:rPr>
          <w:rFonts w:hint="eastAsia" w:cs="宋体" w:asciiTheme="minorEastAsia" w:hAnsiTheme="minorEastAsia" w:eastAsiaTheme="minorEastAsia"/>
          <w:sz w:val="48"/>
          <w:szCs w:val="48"/>
          <w:highlight w:val="none"/>
        </w:rPr>
        <w:t xml:space="preserve">招标文件 </w:t>
      </w:r>
    </w:p>
    <w:p w14:paraId="1F6A75A6">
      <w:pPr>
        <w:adjustRightInd/>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（电子招投标）</w:t>
      </w:r>
    </w:p>
    <w:p w14:paraId="7F995A12">
      <w:pPr>
        <w:snapToGrid w:val="0"/>
        <w:spacing w:line="360" w:lineRule="auto"/>
        <w:jc w:val="center"/>
        <w:rPr>
          <w:rFonts w:hint="eastAsia"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sz w:val="30"/>
          <w:szCs w:val="30"/>
          <w:highlight w:val="none"/>
        </w:rPr>
        <w:t>编号:</w:t>
      </w:r>
      <w:r>
        <w:rPr>
          <w:rFonts w:hint="eastAsia" w:cs="宋体" w:asciiTheme="minorEastAsia" w:hAnsiTheme="minorEastAsia" w:eastAsiaTheme="minorEastAsia"/>
          <w:sz w:val="30"/>
          <w:szCs w:val="30"/>
          <w:highlight w:val="none"/>
          <w:lang w:eastAsia="zh-CN"/>
        </w:rPr>
        <w:t>XHZFCG-2025-G-09</w:t>
      </w:r>
    </w:p>
    <w:p w14:paraId="52554FD6">
      <w:pPr>
        <w:adjustRightInd/>
        <w:spacing w:line="360" w:lineRule="auto"/>
        <w:rPr>
          <w:rFonts w:cs="宋体" w:asciiTheme="minorEastAsia" w:hAnsiTheme="minorEastAsia" w:eastAsiaTheme="minorEastAsia"/>
          <w:sz w:val="28"/>
          <w:szCs w:val="20"/>
          <w:highlight w:val="none"/>
        </w:rPr>
      </w:pPr>
    </w:p>
    <w:p w14:paraId="4AAE8636">
      <w:pPr>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w:t>
      </w:r>
    </w:p>
    <w:p w14:paraId="5797E9D8">
      <w:pPr>
        <w:spacing w:line="360" w:lineRule="auto"/>
        <w:jc w:val="center"/>
        <w:rPr>
          <w:rFonts w:cs="宋体" w:asciiTheme="minorEastAsia" w:hAnsiTheme="minorEastAsia" w:eastAsiaTheme="minorEastAsia"/>
          <w:b/>
          <w:sz w:val="44"/>
          <w:szCs w:val="44"/>
          <w:highlight w:val="none"/>
        </w:rPr>
      </w:pPr>
    </w:p>
    <w:p w14:paraId="78A39BD5">
      <w:pPr>
        <w:spacing w:line="360" w:lineRule="auto"/>
        <w:jc w:val="center"/>
        <w:rPr>
          <w:rFonts w:cs="宋体" w:asciiTheme="minorEastAsia" w:hAnsiTheme="minorEastAsia" w:eastAsiaTheme="minorEastAsia"/>
          <w:sz w:val="24"/>
          <w:highlight w:val="none"/>
        </w:rPr>
      </w:pPr>
    </w:p>
    <w:p w14:paraId="0ABF313C">
      <w:pPr>
        <w:spacing w:line="360" w:lineRule="auto"/>
        <w:jc w:val="center"/>
        <w:rPr>
          <w:rFonts w:cs="宋体" w:asciiTheme="minorEastAsia" w:hAnsiTheme="minorEastAsia" w:eastAsiaTheme="minorEastAsia"/>
          <w:sz w:val="24"/>
          <w:highlight w:val="none"/>
        </w:rPr>
      </w:pPr>
    </w:p>
    <w:p w14:paraId="10635D41">
      <w:pPr>
        <w:spacing w:line="360" w:lineRule="auto"/>
        <w:rPr>
          <w:rFonts w:cs="宋体" w:asciiTheme="minorEastAsia" w:hAnsiTheme="minorEastAsia" w:eastAsiaTheme="minorEastAsia"/>
          <w:sz w:val="32"/>
          <w:szCs w:val="32"/>
          <w:highlight w:val="none"/>
        </w:rPr>
      </w:pPr>
    </w:p>
    <w:p w14:paraId="06BED115">
      <w:pPr>
        <w:snapToGrid w:val="0"/>
        <w:spacing w:line="360" w:lineRule="auto"/>
        <w:jc w:val="center"/>
        <w:rPr>
          <w:rFonts w:hint="eastAsia" w:cs="宋体" w:asciiTheme="minorEastAsia" w:hAnsiTheme="minorEastAsia" w:eastAsiaTheme="minorEastAsia"/>
          <w:sz w:val="32"/>
          <w:szCs w:val="32"/>
          <w:highlight w:val="none"/>
          <w:lang w:eastAsia="zh-CN"/>
        </w:rPr>
      </w:pPr>
      <w:bookmarkStart w:id="1" w:name="OLE_LINK2"/>
      <w:r>
        <w:rPr>
          <w:rFonts w:hint="eastAsia" w:cs="宋体" w:asciiTheme="minorEastAsia" w:hAnsiTheme="minorEastAsia" w:eastAsiaTheme="minorEastAsia"/>
          <w:sz w:val="32"/>
          <w:szCs w:val="32"/>
          <w:highlight w:val="none"/>
          <w:lang w:eastAsia="zh-CN"/>
        </w:rPr>
        <w:t>杭州市公安局西湖区分局</w:t>
      </w:r>
    </w:p>
    <w:bookmarkEnd w:id="1"/>
    <w:p w14:paraId="39915FDE">
      <w:pPr>
        <w:spacing w:line="360" w:lineRule="auto"/>
        <w:jc w:val="center"/>
        <w:rPr>
          <w:rFonts w:hint="eastAsia" w:cs="宋体" w:asciiTheme="minorEastAsia" w:hAnsiTheme="minorEastAsia" w:eastAsiaTheme="minorEastAsia"/>
          <w:bCs/>
          <w:sz w:val="32"/>
          <w:szCs w:val="32"/>
          <w:highlight w:val="none"/>
          <w:lang w:eastAsia="zh-CN"/>
        </w:rPr>
      </w:pPr>
      <w:r>
        <w:rPr>
          <w:rFonts w:hint="eastAsia" w:cs="宋体" w:asciiTheme="minorEastAsia" w:hAnsiTheme="minorEastAsia" w:eastAsiaTheme="minorEastAsia"/>
          <w:bCs/>
          <w:sz w:val="32"/>
          <w:szCs w:val="32"/>
          <w:highlight w:val="none"/>
          <w:lang w:eastAsia="zh-CN"/>
        </w:rPr>
        <w:t>杭州市西湖区政府采购中心</w:t>
      </w:r>
    </w:p>
    <w:p w14:paraId="6A097029">
      <w:pPr>
        <w:snapToGrid w:val="0"/>
        <w:spacing w:line="360" w:lineRule="auto"/>
        <w:jc w:val="center"/>
        <w:rPr>
          <w:rFonts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w:t>
      </w:r>
      <w:r>
        <w:rPr>
          <w:rFonts w:hint="eastAsia" w:cs="宋体" w:asciiTheme="minorEastAsia" w:hAnsiTheme="minorEastAsia" w:eastAsiaTheme="minorEastAsia"/>
          <w:bCs/>
          <w:sz w:val="32"/>
          <w:szCs w:val="32"/>
          <w:highlight w:val="none"/>
          <w:lang w:val="en-US" w:eastAsia="zh-CN"/>
        </w:rPr>
        <w:t>五年二</w:t>
      </w:r>
      <w:r>
        <w:rPr>
          <w:rFonts w:hint="eastAsia" w:cs="宋体" w:asciiTheme="minorEastAsia" w:hAnsiTheme="minorEastAsia" w:eastAsiaTheme="minorEastAsia"/>
          <w:bCs/>
          <w:sz w:val="32"/>
          <w:szCs w:val="32"/>
          <w:highlight w:val="none"/>
        </w:rPr>
        <w:t>月</w:t>
      </w:r>
      <w:r>
        <w:rPr>
          <w:rFonts w:hint="eastAsia" w:cs="宋体" w:asciiTheme="minorEastAsia" w:hAnsiTheme="minorEastAsia" w:eastAsiaTheme="minorEastAsia"/>
          <w:bCs/>
          <w:sz w:val="32"/>
          <w:szCs w:val="32"/>
          <w:highlight w:val="none"/>
          <w:lang w:val="en-US" w:eastAsia="zh-CN"/>
        </w:rPr>
        <w:t>六</w:t>
      </w:r>
      <w:r>
        <w:rPr>
          <w:rFonts w:hint="eastAsia" w:cs="宋体" w:asciiTheme="minorEastAsia" w:hAnsiTheme="minorEastAsia" w:eastAsiaTheme="minorEastAsia"/>
          <w:bCs/>
          <w:color w:val="auto"/>
          <w:sz w:val="32"/>
          <w:szCs w:val="32"/>
          <w:highlight w:val="none"/>
        </w:rPr>
        <w:t>日</w:t>
      </w:r>
    </w:p>
    <w:p w14:paraId="2178D6D4">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bookmarkStart w:id="2" w:name="_Hlt67893495"/>
      <w:bookmarkEnd w:id="2"/>
    </w:p>
    <w:p w14:paraId="6656BFCE">
      <w:pPr>
        <w:pStyle w:val="635"/>
        <w:rPr>
          <w:rFonts w:asciiTheme="minorEastAsia" w:hAnsiTheme="minorEastAsia" w:eastAsiaTheme="minorEastAsia"/>
          <w:highlight w:val="none"/>
        </w:rPr>
      </w:pPr>
    </w:p>
    <w:p w14:paraId="559687F6">
      <w:pPr>
        <w:spacing w:line="360" w:lineRule="auto"/>
        <w:jc w:val="center"/>
        <w:rPr>
          <w:rFonts w:cs="宋体" w:asciiTheme="minorEastAsia" w:hAnsiTheme="minorEastAsia" w:eastAsiaTheme="minorEastAsia"/>
          <w:b/>
          <w:sz w:val="48"/>
          <w:szCs w:val="48"/>
          <w:highlight w:val="none"/>
        </w:rPr>
      </w:pPr>
      <w:r>
        <w:rPr>
          <w:rFonts w:hint="eastAsia" w:cs="宋体" w:asciiTheme="minorEastAsia" w:hAnsiTheme="minorEastAsia" w:eastAsiaTheme="minorEastAsia"/>
          <w:b/>
          <w:sz w:val="48"/>
          <w:szCs w:val="48"/>
          <w:highlight w:val="none"/>
        </w:rPr>
        <w:t>目  录</w:t>
      </w:r>
    </w:p>
    <w:p w14:paraId="611F9F0F">
      <w:pPr>
        <w:spacing w:line="360" w:lineRule="auto"/>
        <w:rPr>
          <w:rFonts w:cs="宋体" w:asciiTheme="minorEastAsia" w:hAnsiTheme="minorEastAsia" w:eastAsiaTheme="minorEastAsia"/>
          <w:sz w:val="32"/>
          <w:szCs w:val="32"/>
          <w:highlight w:val="none"/>
        </w:rPr>
      </w:pPr>
    </w:p>
    <w:p w14:paraId="7857068A">
      <w:pPr>
        <w:spacing w:line="360" w:lineRule="auto"/>
        <w:rPr>
          <w:rFonts w:cs="宋体" w:asciiTheme="minorEastAsia" w:hAnsiTheme="minorEastAsia" w:eastAsiaTheme="minorEastAsia"/>
          <w:sz w:val="32"/>
          <w:szCs w:val="32"/>
          <w:highlight w:val="none"/>
        </w:rPr>
      </w:pPr>
    </w:p>
    <w:p w14:paraId="6F70D817">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第一部分      招标公告</w:t>
      </w:r>
    </w:p>
    <w:p w14:paraId="54677F9A">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第二部分      投标人须知</w:t>
      </w:r>
    </w:p>
    <w:p w14:paraId="3B6C827F">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第三部分      采购需求</w:t>
      </w:r>
    </w:p>
    <w:p w14:paraId="12B63EAF">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第四部分      评标办法</w:t>
      </w:r>
    </w:p>
    <w:p w14:paraId="59CDD79C">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第五部分      拟签订的合同文本</w:t>
      </w:r>
    </w:p>
    <w:p w14:paraId="0F9264BB">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第六部分      应提交的有关格式范例</w:t>
      </w:r>
    </w:p>
    <w:p w14:paraId="0891F33C">
      <w:pPr>
        <w:spacing w:line="360" w:lineRule="auto"/>
        <w:ind w:firstLine="549" w:firstLineChars="229"/>
        <w:rPr>
          <w:rFonts w:cs="宋体" w:asciiTheme="minorEastAsia" w:hAnsiTheme="minorEastAsia" w:eastAsiaTheme="minorEastAsia"/>
          <w:sz w:val="24"/>
          <w:highlight w:val="none"/>
        </w:rPr>
      </w:pPr>
      <w:bookmarkStart w:id="3" w:name="_Hlt91233176"/>
      <w:bookmarkEnd w:id="3"/>
      <w:bookmarkStart w:id="4" w:name="_Toc91899869"/>
    </w:p>
    <w:p w14:paraId="3350E78F">
      <w:pPr>
        <w:spacing w:line="360" w:lineRule="auto"/>
        <w:ind w:firstLine="549" w:firstLineChars="229"/>
        <w:rPr>
          <w:rFonts w:cs="宋体" w:asciiTheme="minorEastAsia" w:hAnsiTheme="minorEastAsia" w:eastAsiaTheme="minorEastAsia"/>
          <w:sz w:val="24"/>
          <w:highlight w:val="none"/>
        </w:rPr>
      </w:pPr>
    </w:p>
    <w:p w14:paraId="6D076746">
      <w:pPr>
        <w:spacing w:line="360" w:lineRule="auto"/>
        <w:ind w:firstLine="549" w:firstLineChars="229"/>
        <w:rPr>
          <w:rFonts w:cs="宋体" w:asciiTheme="minorEastAsia" w:hAnsiTheme="minorEastAsia" w:eastAsiaTheme="minorEastAsia"/>
          <w:sz w:val="24"/>
          <w:highlight w:val="none"/>
        </w:rPr>
      </w:pPr>
    </w:p>
    <w:p w14:paraId="113089AD">
      <w:pPr>
        <w:spacing w:line="360" w:lineRule="auto"/>
        <w:ind w:firstLine="549" w:firstLineChars="229"/>
        <w:rPr>
          <w:rFonts w:cs="宋体" w:asciiTheme="minorEastAsia" w:hAnsiTheme="minorEastAsia" w:eastAsiaTheme="minorEastAsia"/>
          <w:sz w:val="24"/>
          <w:highlight w:val="none"/>
        </w:rPr>
      </w:pPr>
    </w:p>
    <w:p w14:paraId="425F6D68">
      <w:pPr>
        <w:spacing w:line="360" w:lineRule="auto"/>
        <w:ind w:firstLine="549" w:firstLineChars="229"/>
        <w:rPr>
          <w:rFonts w:cs="宋体" w:asciiTheme="minorEastAsia" w:hAnsiTheme="minorEastAsia" w:eastAsiaTheme="minorEastAsia"/>
          <w:sz w:val="24"/>
          <w:highlight w:val="none"/>
        </w:rPr>
      </w:pPr>
    </w:p>
    <w:p w14:paraId="23E6487F">
      <w:pPr>
        <w:spacing w:line="360" w:lineRule="auto"/>
        <w:ind w:firstLine="549" w:firstLineChars="229"/>
        <w:rPr>
          <w:rFonts w:cs="宋体" w:asciiTheme="minorEastAsia" w:hAnsiTheme="minorEastAsia" w:eastAsiaTheme="minorEastAsia"/>
          <w:sz w:val="24"/>
          <w:highlight w:val="none"/>
        </w:rPr>
      </w:pPr>
    </w:p>
    <w:p w14:paraId="0F2BF5DC">
      <w:pPr>
        <w:spacing w:line="360" w:lineRule="auto"/>
        <w:ind w:firstLine="549" w:firstLineChars="229"/>
        <w:rPr>
          <w:rFonts w:cs="宋体" w:asciiTheme="minorEastAsia" w:hAnsiTheme="minorEastAsia" w:eastAsiaTheme="minorEastAsia"/>
          <w:sz w:val="24"/>
          <w:highlight w:val="none"/>
        </w:rPr>
      </w:pPr>
    </w:p>
    <w:p w14:paraId="71F0C491">
      <w:pPr>
        <w:spacing w:line="360" w:lineRule="auto"/>
        <w:ind w:firstLine="549" w:firstLineChars="229"/>
        <w:rPr>
          <w:rFonts w:cs="宋体" w:asciiTheme="minorEastAsia" w:hAnsiTheme="minorEastAsia" w:eastAsiaTheme="minorEastAsia"/>
          <w:sz w:val="24"/>
          <w:highlight w:val="none"/>
        </w:rPr>
      </w:pPr>
    </w:p>
    <w:p w14:paraId="5126C5C2">
      <w:pPr>
        <w:spacing w:line="360" w:lineRule="auto"/>
        <w:ind w:firstLine="549" w:firstLineChars="229"/>
        <w:rPr>
          <w:rFonts w:cs="宋体" w:asciiTheme="minorEastAsia" w:hAnsiTheme="minorEastAsia" w:eastAsiaTheme="minorEastAsia"/>
          <w:sz w:val="24"/>
          <w:highlight w:val="none"/>
        </w:rPr>
      </w:pPr>
    </w:p>
    <w:p w14:paraId="00BD929A">
      <w:pPr>
        <w:spacing w:line="360" w:lineRule="auto"/>
        <w:ind w:firstLine="549" w:firstLineChars="229"/>
        <w:rPr>
          <w:rFonts w:cs="宋体" w:asciiTheme="minorEastAsia" w:hAnsiTheme="minorEastAsia" w:eastAsiaTheme="minorEastAsia"/>
          <w:sz w:val="24"/>
          <w:highlight w:val="none"/>
        </w:rPr>
      </w:pPr>
    </w:p>
    <w:p w14:paraId="25A92989">
      <w:pPr>
        <w:spacing w:line="360" w:lineRule="auto"/>
        <w:ind w:firstLine="549" w:firstLineChars="229"/>
        <w:rPr>
          <w:rFonts w:cs="宋体" w:asciiTheme="minorEastAsia" w:hAnsiTheme="minorEastAsia" w:eastAsiaTheme="minorEastAsia"/>
          <w:sz w:val="24"/>
          <w:highlight w:val="none"/>
        </w:rPr>
      </w:pPr>
    </w:p>
    <w:p w14:paraId="59B62412">
      <w:pPr>
        <w:spacing w:line="360" w:lineRule="auto"/>
        <w:ind w:firstLine="549" w:firstLineChars="229"/>
        <w:rPr>
          <w:rFonts w:cs="宋体" w:asciiTheme="minorEastAsia" w:hAnsiTheme="minorEastAsia" w:eastAsiaTheme="minorEastAsia"/>
          <w:sz w:val="24"/>
          <w:highlight w:val="none"/>
        </w:rPr>
      </w:pPr>
    </w:p>
    <w:p w14:paraId="2A669D79">
      <w:pPr>
        <w:spacing w:line="360" w:lineRule="auto"/>
        <w:ind w:firstLine="549" w:firstLineChars="229"/>
        <w:rPr>
          <w:rFonts w:cs="宋体" w:asciiTheme="minorEastAsia" w:hAnsiTheme="minorEastAsia" w:eastAsiaTheme="minorEastAsia"/>
          <w:sz w:val="24"/>
          <w:highlight w:val="none"/>
        </w:rPr>
      </w:pPr>
    </w:p>
    <w:p w14:paraId="7559C2F8">
      <w:pPr>
        <w:spacing w:line="360" w:lineRule="auto"/>
        <w:rPr>
          <w:rFonts w:cs="宋体" w:asciiTheme="minorEastAsia" w:hAnsiTheme="minorEastAsia" w:eastAsiaTheme="minorEastAsia"/>
          <w:sz w:val="24"/>
          <w:highlight w:val="none"/>
        </w:rPr>
      </w:pPr>
    </w:p>
    <w:p w14:paraId="214D90E9">
      <w:pPr>
        <w:adjustRightInd/>
        <w:spacing w:line="360" w:lineRule="auto"/>
        <w:jc w:val="center"/>
        <w:outlineLvl w:val="0"/>
        <w:rPr>
          <w:rFonts w:ascii="宋体" w:hAnsi="宋体" w:cs="宋体"/>
          <w:b/>
          <w:sz w:val="36"/>
          <w:szCs w:val="20"/>
          <w:highlight w:val="none"/>
        </w:rPr>
      </w:pPr>
      <w:bookmarkStart w:id="5" w:name="第一部分"/>
      <w:r>
        <w:rPr>
          <w:rFonts w:hint="eastAsia" w:cs="宋体" w:asciiTheme="minorEastAsia" w:hAnsiTheme="minorEastAsia" w:eastAsiaTheme="minorEastAsia"/>
          <w:b/>
          <w:sz w:val="36"/>
          <w:szCs w:val="36"/>
          <w:highlight w:val="none"/>
        </w:rPr>
        <w:br w:type="page"/>
      </w:r>
      <w:bookmarkEnd w:id="4"/>
      <w:bookmarkEnd w:id="5"/>
      <w:bookmarkStart w:id="6" w:name="_Hlt74728647"/>
      <w:bookmarkEnd w:id="6"/>
      <w:bookmarkStart w:id="7" w:name="_Hlt74649545"/>
      <w:bookmarkEnd w:id="7"/>
      <w:bookmarkStart w:id="8" w:name="_Hlt74729822"/>
      <w:bookmarkEnd w:id="8"/>
      <w:bookmarkStart w:id="9" w:name="_Hlt74707423"/>
      <w:bookmarkEnd w:id="9"/>
      <w:bookmarkStart w:id="10" w:name="第二部分"/>
      <w:bookmarkStart w:id="11" w:name="_Toc91899870"/>
      <w:bookmarkStart w:id="12" w:name="_Toc91899871"/>
      <w:r>
        <w:rPr>
          <w:rFonts w:hint="eastAsia" w:ascii="宋体" w:hAnsi="宋体" w:cs="宋体"/>
          <w:b/>
          <w:sz w:val="36"/>
          <w:szCs w:val="20"/>
          <w:highlight w:val="none"/>
        </w:rPr>
        <w:t>第一部分 招标公告</w:t>
      </w:r>
    </w:p>
    <w:p w14:paraId="16CAAF4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39256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杭州市公安局西湖区分局看守所智能行为分析系统项目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w:t>
      </w:r>
      <w:r>
        <w:rPr>
          <w:rFonts w:hint="default" w:ascii="宋体" w:hAnsi="宋体" w:cs="宋体"/>
          <w:sz w:val="24"/>
          <w:highlight w:val="none"/>
          <w:u w:val="single"/>
          <w:lang w:val="en-US"/>
        </w:rPr>
        <w:t>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B909439">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F455C7A">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XHZFCG-2025-G-09</w:t>
      </w:r>
    </w:p>
    <w:p w14:paraId="76C5D3B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杭州市公安局西湖区分局看守所智能行为分析系统项目</w:t>
      </w:r>
    </w:p>
    <w:p w14:paraId="48F38B16">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Theme="minorEastAsia" w:hAnsiTheme="minorEastAsia" w:eastAsiaTheme="minorEastAsia" w:cstheme="minorEastAsia"/>
          <w:sz w:val="24"/>
          <w:highlight w:val="none"/>
          <w:lang w:val="en-US" w:eastAsia="zh-CN"/>
        </w:rPr>
        <w:t>1300000.00</w:t>
      </w:r>
      <w:r>
        <w:rPr>
          <w:rFonts w:hint="eastAsia" w:ascii="宋体" w:hAnsi="宋体" w:cs="宋体"/>
          <w:b/>
          <w:sz w:val="24"/>
          <w:highlight w:val="none"/>
          <w:lang w:val="en-US" w:eastAsia="zh-CN"/>
        </w:rPr>
        <w:t xml:space="preserve"> </w:t>
      </w:r>
    </w:p>
    <w:p w14:paraId="102D57BD">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最高限价</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Theme="minorEastAsia" w:hAnsiTheme="minorEastAsia" w:eastAsiaTheme="minorEastAsia" w:cstheme="minorEastAsia"/>
          <w:sz w:val="24"/>
          <w:highlight w:val="none"/>
          <w:lang w:val="en-US" w:eastAsia="zh-CN"/>
        </w:rPr>
        <w:t>1300000.00</w:t>
      </w:r>
    </w:p>
    <w:p w14:paraId="6FDBE5CE">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杭州市公安局西湖区分局看守所智能行为分析系统项目，</w:t>
      </w:r>
      <w:r>
        <w:rPr>
          <w:rFonts w:hint="eastAsia" w:hAnsi="宋体" w:cs="宋体"/>
          <w:color w:val="auto"/>
          <w:kern w:val="0"/>
          <w:sz w:val="24"/>
        </w:rPr>
        <w:t>主要内容：行为分析基础应用管理、赋能应用管理、算法策略管理以及具体智能算法功能模块</w:t>
      </w:r>
      <w:r>
        <w:rPr>
          <w:rFonts w:hint="eastAsia" w:hAnsi="宋体" w:cs="宋体"/>
          <w:color w:val="auto"/>
          <w:kern w:val="0"/>
          <w:sz w:val="24"/>
          <w:lang w:val="en-US" w:eastAsia="zh-CN"/>
        </w:rPr>
        <w:t>等</w:t>
      </w:r>
      <w:r>
        <w:rPr>
          <w:rFonts w:hint="eastAsia" w:hAnsi="宋体" w:cs="宋体"/>
          <w:color w:val="auto"/>
          <w:kern w:val="0"/>
          <w:sz w:val="24"/>
        </w:rPr>
        <w:t>。</w:t>
      </w:r>
      <w:r>
        <w:rPr>
          <w:rFonts w:hint="eastAsia" w:hAnsi="宋体" w:cs="宋体"/>
          <w:bCs/>
          <w:snapToGrid/>
          <w:color w:val="auto"/>
          <w:kern w:val="2"/>
          <w:sz w:val="24"/>
          <w:szCs w:val="24"/>
          <w:highlight w:val="none"/>
          <w:lang w:eastAsia="zh-CN"/>
        </w:rPr>
        <w:t>详见招标文件第三部分采购需求。</w:t>
      </w:r>
      <w:r>
        <w:rPr>
          <w:rFonts w:hint="eastAsia" w:hAnsi="宋体" w:cs="宋体"/>
          <w:bCs/>
          <w:snapToGrid/>
          <w:color w:val="auto"/>
          <w:kern w:val="2"/>
          <w:sz w:val="24"/>
          <w:szCs w:val="24"/>
          <w:highlight w:val="none"/>
        </w:rPr>
        <w:t>供应商可点击本公告下方“浏览采购文件”查看采购需求。</w:t>
      </w:r>
    </w:p>
    <w:p w14:paraId="0B99F04D">
      <w:pPr>
        <w:spacing w:line="360" w:lineRule="auto"/>
        <w:ind w:firstLine="480"/>
        <w:rPr>
          <w:rFonts w:hint="eastAsia" w:ascii="宋体" w:hAnsi="宋体" w:eastAsia="宋体" w:cs="宋体"/>
          <w:b/>
          <w:sz w:val="24"/>
          <w:highlight w:val="none"/>
          <w:lang w:val="en-US" w:eastAsia="zh-CN"/>
        </w:rPr>
      </w:pPr>
      <w:r>
        <w:rPr>
          <w:rFonts w:hint="eastAsia" w:ascii="宋体" w:hAnsi="宋体" w:eastAsia="宋体" w:cs="宋体"/>
          <w:b/>
          <w:sz w:val="24"/>
          <w:highlight w:val="none"/>
        </w:rPr>
        <w:t>合同履约期限：</w:t>
      </w:r>
      <w:r>
        <w:rPr>
          <w:rFonts w:hint="eastAsia" w:ascii="宋体" w:hAnsi="宋体" w:cs="宋体"/>
          <w:sz w:val="24"/>
        </w:rPr>
        <w:t>合同签订后3个月内完成所有项目的研发、建设、调试并移交采购人试运行（试运行一个月）。</w:t>
      </w:r>
    </w:p>
    <w:p w14:paraId="3DBBA4DE">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08FBEC6">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2956C69E">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8EC958">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18C4E835">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3E72661">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6348CFF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13F8F2B3">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w:t>
      </w:r>
      <w:r>
        <w:rPr>
          <w:rFonts w:hint="eastAsia" w:ascii="宋体" w:hAnsi="宋体" w:cs="宋体"/>
          <w:sz w:val="24"/>
          <w:highlight w:val="none"/>
          <w:lang w:eastAsia="zh-CN"/>
        </w:rPr>
        <w:t>微</w:t>
      </w:r>
      <w:r>
        <w:rPr>
          <w:rFonts w:hint="eastAsia" w:ascii="宋体" w:hAnsi="宋体" w:cs="宋体"/>
          <w:sz w:val="24"/>
          <w:highlight w:val="none"/>
        </w:rPr>
        <w:t>企业承接，提供中小企业声明函；</w:t>
      </w:r>
    </w:p>
    <w:p w14:paraId="1A983EEA">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服务全部由符合政策要求的小微企业承接，提供中小企业声明函；</w:t>
      </w:r>
    </w:p>
    <w:p w14:paraId="7F8D46B4">
      <w:pPr>
        <w:rPr>
          <w:rFonts w:ascii="宋体" w:hAnsi="宋体" w:cs="宋体"/>
          <w:highlight w:val="none"/>
        </w:rPr>
      </w:pPr>
    </w:p>
    <w:p w14:paraId="3A987C20">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14:paraId="3AD0757A">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14:paraId="2B4775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14:paraId="44EACCF6">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85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6669BA2E">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50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F2D190">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48A75A">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73F6BF13">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3AFC102">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3A9E11CD">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5BB5CB4">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4BA7B1F">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6B0E3E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1D529A40">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5E543BD">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bookmarkStart w:id="13" w:name="OLE_LINK7"/>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p>
    <w:p w14:paraId="50E7BD99">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bookmarkEnd w:id="13"/>
      <w:r>
        <w:rPr>
          <w:rFonts w:hint="eastAsia" w:ascii="宋体" w:hAnsi="宋体" w:cs="宋体"/>
          <w:sz w:val="24"/>
          <w:highlight w:val="none"/>
        </w:rPr>
        <w:t>政采云平台（https://www.zcygov.cn/）</w:t>
      </w:r>
    </w:p>
    <w:p w14:paraId="66B81BA1">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3E2A51D">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5005382">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6B2E366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5DD46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810CFC">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B4A0BA">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4C3807C">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4926A75A">
      <w:pPr>
        <w:spacing w:line="360" w:lineRule="auto"/>
        <w:ind w:firstLine="480" w:firstLineChars="200"/>
        <w:rPr>
          <w:rFonts w:hint="eastAsia" w:ascii="宋体" w:hAnsi="宋体" w:eastAsia="宋体" w:cs="宋体"/>
          <w:sz w:val="24"/>
          <w:highlight w:val="none"/>
          <w:lang w:eastAsia="zh-CN"/>
        </w:rPr>
      </w:pPr>
      <w:bookmarkStart w:id="14" w:name="OLE_LINK52"/>
      <w:r>
        <w:rPr>
          <w:rFonts w:hint="eastAsia" w:ascii="宋体" w:hAnsi="宋体" w:eastAsia="宋体" w:cs="宋体"/>
          <w:sz w:val="24"/>
          <w:highlight w:val="none"/>
          <w:lang w:val="en-US" w:eastAsia="zh-CN"/>
        </w:rPr>
        <w:t>1</w:t>
      </w:r>
      <w:r>
        <w:rPr>
          <w:rFonts w:hint="eastAsia" w:ascii="宋体" w:hAnsi="宋体" w:cs="宋体"/>
          <w:sz w:val="24"/>
          <w:highlight w:val="none"/>
        </w:rPr>
        <w:t>.</w:t>
      </w:r>
      <w:r>
        <w:rPr>
          <w:rFonts w:hint="eastAsia" w:ascii="宋体" w:hAnsi="宋体" w:eastAsia="宋体" w:cs="宋体"/>
          <w:sz w:val="24"/>
          <w:highlight w:val="none"/>
        </w:rPr>
        <w:t>名称：</w:t>
      </w:r>
      <w:r>
        <w:rPr>
          <w:rFonts w:hint="eastAsia" w:ascii="宋体" w:hAnsi="宋体" w:cs="宋体"/>
          <w:sz w:val="24"/>
          <w:highlight w:val="none"/>
          <w:lang w:val="en-US" w:eastAsia="zh-CN"/>
        </w:rPr>
        <w:t>杭州市公安局西湖区分局</w:t>
      </w:r>
    </w:p>
    <w:p w14:paraId="4ED7BD0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地    址：杭州市西湖区晴川街123号</w:t>
      </w:r>
    </w:p>
    <w:p w14:paraId="40F9C1EF">
      <w:pPr>
        <w:spacing w:line="360" w:lineRule="auto"/>
        <w:ind w:firstLine="48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传    真：</w:t>
      </w:r>
      <w:r>
        <w:rPr>
          <w:rFonts w:hint="eastAsia" w:asciiTheme="minorEastAsia" w:hAnsiTheme="minorEastAsia" w:eastAsiaTheme="minorEastAsia" w:cstheme="minorEastAsia"/>
          <w:sz w:val="24"/>
          <w:lang w:val="en-US" w:eastAsia="zh-CN"/>
        </w:rPr>
        <w:t>/</w:t>
      </w:r>
    </w:p>
    <w:p w14:paraId="1ED3130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项目联系人（询问）：</w:t>
      </w:r>
      <w:bookmarkStart w:id="15" w:name="OLE_LINK3"/>
      <w:r>
        <w:rPr>
          <w:rFonts w:hint="eastAsia" w:ascii="宋体" w:hAnsi="宋体" w:cs="宋体"/>
          <w:sz w:val="24"/>
        </w:rPr>
        <w:t>袁学峰</w:t>
      </w:r>
      <w:bookmarkEnd w:id="15"/>
    </w:p>
    <w:p w14:paraId="6B12DE3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项目联系方式（询问）：</w:t>
      </w:r>
      <w:bookmarkStart w:id="16" w:name="OLE_LINK4"/>
      <w:r>
        <w:rPr>
          <w:rFonts w:ascii="宋体" w:hAnsi="宋体" w:cs="宋体"/>
          <w:sz w:val="24"/>
        </w:rPr>
        <w:t>15888878915</w:t>
      </w:r>
      <w:bookmarkEnd w:id="16"/>
    </w:p>
    <w:p w14:paraId="6ACE9A5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质疑联系人：</w:t>
      </w:r>
      <w:bookmarkStart w:id="17" w:name="OLE_LINK5"/>
      <w:r>
        <w:rPr>
          <w:rFonts w:hint="eastAsia" w:asciiTheme="minorEastAsia" w:hAnsiTheme="minorEastAsia" w:eastAsiaTheme="minorEastAsia" w:cstheme="minorEastAsia"/>
          <w:sz w:val="24"/>
        </w:rPr>
        <w:t>姚继汾</w:t>
      </w:r>
      <w:bookmarkEnd w:id="17"/>
    </w:p>
    <w:p w14:paraId="616CB234">
      <w:pPr>
        <w:spacing w:line="360" w:lineRule="auto"/>
        <w:ind w:firstLine="480" w:firstLineChars="200"/>
        <w:rPr>
          <w:rFonts w:hint="default" w:ascii="宋体" w:hAnsi="宋体" w:eastAsia="宋体" w:cs="宋体"/>
          <w:sz w:val="24"/>
          <w:highlight w:val="none"/>
          <w:lang w:val="en-US" w:eastAsia="zh-CN"/>
        </w:rPr>
      </w:pPr>
      <w:r>
        <w:rPr>
          <w:rFonts w:hint="eastAsia" w:asciiTheme="minorEastAsia" w:hAnsiTheme="minorEastAsia" w:eastAsiaTheme="minorEastAsia" w:cstheme="minorEastAsia"/>
          <w:sz w:val="24"/>
        </w:rPr>
        <w:t>质疑联系方式：</w:t>
      </w:r>
      <w:bookmarkStart w:id="18" w:name="OLE_LINK6"/>
      <w:r>
        <w:rPr>
          <w:rFonts w:hint="eastAsia" w:asciiTheme="minorEastAsia" w:hAnsiTheme="minorEastAsia" w:eastAsiaTheme="minorEastAsia" w:cstheme="minorEastAsia"/>
          <w:sz w:val="24"/>
        </w:rPr>
        <w:t>0571-87281382</w:t>
      </w:r>
      <w:bookmarkEnd w:id="18"/>
    </w:p>
    <w:bookmarkEnd w:id="14"/>
    <w:p w14:paraId="6F87E5FF">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566F0FF4">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杭州市西湖区政府采购中心</w:t>
      </w:r>
    </w:p>
    <w:p w14:paraId="1D6623AE">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杭州市文一西路858号</w:t>
      </w:r>
    </w:p>
    <w:p w14:paraId="275C1C14">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0571-89511006</w:t>
      </w:r>
      <w:r>
        <w:rPr>
          <w:rFonts w:hint="eastAsia" w:ascii="宋体" w:hAnsi="宋体" w:cs="宋体"/>
          <w:sz w:val="24"/>
          <w:highlight w:val="none"/>
        </w:rPr>
        <w:t xml:space="preserve">             </w:t>
      </w:r>
    </w:p>
    <w:p w14:paraId="7CE4F2E8">
      <w:pPr>
        <w:spacing w:line="360" w:lineRule="auto"/>
        <w:rPr>
          <w:rFonts w:ascii="宋体" w:hAnsi="宋体" w:cs="宋体"/>
          <w:sz w:val="24"/>
          <w:highlight w:val="none"/>
        </w:rPr>
      </w:pPr>
      <w:r>
        <w:rPr>
          <w:rFonts w:hint="eastAsia" w:ascii="宋体" w:hAnsi="宋体" w:cs="宋体"/>
          <w:sz w:val="24"/>
          <w:highlight w:val="none"/>
        </w:rPr>
        <w:t xml:space="preserve">    项目联系人（询问）：</w:t>
      </w:r>
      <w:bookmarkStart w:id="19" w:name="OLE_LINK8"/>
      <w:r>
        <w:rPr>
          <w:rFonts w:hint="eastAsia" w:ascii="宋体" w:hAnsi="宋体" w:cs="宋体"/>
          <w:sz w:val="24"/>
          <w:highlight w:val="none"/>
          <w:lang w:eastAsia="zh-CN"/>
        </w:rPr>
        <w:t>蒋晓峥</w:t>
      </w:r>
      <w:r>
        <w:rPr>
          <w:rFonts w:hint="eastAsia" w:ascii="宋体" w:hAnsi="宋体" w:cs="宋体"/>
          <w:sz w:val="24"/>
          <w:highlight w:val="none"/>
        </w:rPr>
        <w:t xml:space="preserve"> </w:t>
      </w:r>
      <w:bookmarkEnd w:id="19"/>
      <w:r>
        <w:rPr>
          <w:rFonts w:hint="eastAsia" w:ascii="宋体" w:hAnsi="宋体" w:cs="宋体"/>
          <w:sz w:val="24"/>
          <w:highlight w:val="none"/>
        </w:rPr>
        <w:t xml:space="preserve">         </w:t>
      </w:r>
    </w:p>
    <w:p w14:paraId="5F6CDCEA">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i w:val="0"/>
          <w:iCs w:val="0"/>
          <w:sz w:val="24"/>
          <w:highlight w:val="none"/>
          <w:lang w:val="en-US" w:eastAsia="zh-CN"/>
        </w:rPr>
        <w:t>0571-89511448</w:t>
      </w:r>
    </w:p>
    <w:p w14:paraId="353BBA75">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eastAsia="zh-CN"/>
        </w:rPr>
        <w:t>缪新新</w:t>
      </w:r>
      <w:r>
        <w:rPr>
          <w:rFonts w:hint="eastAsia" w:ascii="宋体" w:hAnsi="宋体" w:cs="宋体"/>
          <w:sz w:val="24"/>
          <w:highlight w:val="none"/>
        </w:rPr>
        <w:t xml:space="preserve">              </w:t>
      </w:r>
    </w:p>
    <w:p w14:paraId="7325F0C3">
      <w:pPr>
        <w:spacing w:line="360" w:lineRule="auto"/>
        <w:rPr>
          <w:rFonts w:hint="default" w:ascii="宋体" w:hAnsi="宋体" w:cs="宋体"/>
          <w:sz w:val="24"/>
          <w:highlight w:val="none"/>
          <w:lang w:val="en-US"/>
        </w:rPr>
      </w:pPr>
      <w:r>
        <w:rPr>
          <w:rFonts w:hint="eastAsia" w:ascii="宋体" w:hAnsi="宋体" w:cs="宋体"/>
          <w:sz w:val="24"/>
          <w:highlight w:val="none"/>
        </w:rPr>
        <w:t xml:space="preserve">    质疑联系方式：</w:t>
      </w:r>
      <w:r>
        <w:rPr>
          <w:rFonts w:hint="default" w:ascii="宋体" w:hAnsi="宋体" w:cs="宋体"/>
          <w:sz w:val="24"/>
          <w:highlight w:val="none"/>
          <w:lang w:val="en-US"/>
        </w:rPr>
        <w:t>0571-89511561</w:t>
      </w:r>
    </w:p>
    <w:p w14:paraId="307BB706">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24930095">
      <w:pPr>
        <w:spacing w:line="360" w:lineRule="auto"/>
        <w:rPr>
          <w:rFonts w:asciiTheme="minorEastAsia" w:hAnsiTheme="minorEastAsia" w:eastAsiaTheme="minorEastAsia" w:cstheme="minorEastAsia"/>
          <w:sz w:val="24"/>
        </w:rPr>
      </w:pPr>
      <w:r>
        <w:rPr>
          <w:rFonts w:hint="eastAsia" w:ascii="宋体" w:hAnsi="宋体" w:cs="宋体"/>
          <w:sz w:val="24"/>
          <w:highlight w:val="none"/>
        </w:rPr>
        <w:t xml:space="preserve">    名    称：</w:t>
      </w:r>
      <w:r>
        <w:rPr>
          <w:rFonts w:hint="eastAsia" w:asciiTheme="minorEastAsia" w:hAnsiTheme="minorEastAsia" w:eastAsiaTheme="minorEastAsia" w:cstheme="minorEastAsia"/>
          <w:sz w:val="24"/>
        </w:rPr>
        <w:t>杭州市西湖区财政局、浙江省政府采购行政裁决服务中心（杭州）</w:t>
      </w:r>
    </w:p>
    <w:p w14:paraId="09888122">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lang w:eastAsia="zh-CN"/>
        </w:rPr>
        <w:t>杭州市上城区清泰街549号城建综合大楼11楼</w:t>
      </w:r>
      <w:r>
        <w:rPr>
          <w:rFonts w:hint="eastAsia" w:asciiTheme="minorEastAsia" w:hAnsiTheme="minorEastAsia" w:eastAsiaTheme="minorEastAsia" w:cstheme="minorEastAsia"/>
          <w:sz w:val="24"/>
        </w:rPr>
        <w:t>（快递仅限ems或顺丰）</w:t>
      </w:r>
    </w:p>
    <w:p w14:paraId="593ECDDA">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传    真： /</w:t>
      </w:r>
    </w:p>
    <w:p w14:paraId="55FCAF7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联系人 ：朱女士、王女士</w:t>
      </w:r>
    </w:p>
    <w:p w14:paraId="5A3F719C">
      <w:pPr>
        <w:spacing w:line="360" w:lineRule="auto"/>
        <w:ind w:firstLine="480" w:firstLineChars="200"/>
        <w:rPr>
          <w:rFonts w:ascii="宋体" w:hAnsi="宋体" w:cs="宋体"/>
          <w:sz w:val="24"/>
          <w:highlight w:val="none"/>
        </w:rPr>
      </w:pPr>
      <w:r>
        <w:rPr>
          <w:rFonts w:hint="eastAsia" w:asciiTheme="minorEastAsia" w:hAnsiTheme="minorEastAsia" w:eastAsiaTheme="minorEastAsia" w:cstheme="minorEastAsia"/>
          <w:sz w:val="24"/>
        </w:rPr>
        <w:t>监督投诉电</w:t>
      </w:r>
      <w:r>
        <w:rPr>
          <w:rFonts w:hint="eastAsia" w:asciiTheme="minorEastAsia" w:hAnsiTheme="minorEastAsia" w:eastAsiaTheme="minorEastAsia" w:cstheme="minorEastAsia"/>
          <w:sz w:val="24"/>
          <w:lang w:eastAsia="zh-CN"/>
        </w:rPr>
        <w:t>话：0571-8</w:t>
      </w:r>
      <w:r>
        <w:rPr>
          <w:rFonts w:hint="eastAsia" w:asciiTheme="minorEastAsia" w:hAnsiTheme="minorEastAsia" w:eastAsiaTheme="minorEastAsia" w:cstheme="minorEastAsia"/>
          <w:sz w:val="24"/>
          <w:lang w:val="en-US" w:eastAsia="zh-CN"/>
        </w:rPr>
        <w:t>7227671,0571-87800218</w:t>
      </w:r>
      <w:r>
        <w:rPr>
          <w:rFonts w:hint="eastAsia" w:asciiTheme="minorEastAsia" w:hAnsiTheme="minorEastAsia" w:eastAsiaTheme="minorEastAsia" w:cstheme="minorEastAsia"/>
          <w:sz w:val="24"/>
          <w:lang w:eastAsia="zh-CN"/>
        </w:rPr>
        <w:t xml:space="preserve">   </w:t>
      </w:r>
    </w:p>
    <w:p w14:paraId="69B0965E">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69733D0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2EC822B4">
      <w:pPr>
        <w:spacing w:line="360" w:lineRule="auto"/>
        <w:ind w:firstLine="480" w:firstLineChars="200"/>
        <w:rPr>
          <w:rFonts w:cs="宋体" w:asciiTheme="minorEastAsia" w:hAnsiTheme="minorEastAsia" w:eastAsiaTheme="minorEastAsia"/>
          <w:sz w:val="24"/>
          <w:highlight w:val="none"/>
        </w:rPr>
      </w:pPr>
    </w:p>
    <w:p w14:paraId="3B765652">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14:paraId="0B3C2EDE">
      <w:pPr>
        <w:adjustRightInd/>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第二部分</w:t>
      </w:r>
      <w:bookmarkEnd w:id="10"/>
      <w:r>
        <w:rPr>
          <w:rFonts w:hint="eastAsia" w:cs="宋体" w:asciiTheme="minorEastAsia" w:hAnsiTheme="minorEastAsia" w:eastAsiaTheme="minorEastAsia"/>
          <w:b/>
          <w:sz w:val="36"/>
          <w:szCs w:val="20"/>
          <w:highlight w:val="none"/>
        </w:rPr>
        <w:t xml:space="preserve"> 投标人须知</w:t>
      </w:r>
      <w:bookmarkEnd w:id="11"/>
    </w:p>
    <w:p w14:paraId="1E390DAB">
      <w:pPr>
        <w:adjustRightInd/>
        <w:spacing w:line="360" w:lineRule="auto"/>
        <w:ind w:firstLine="3845" w:firstLineChars="1197"/>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DA49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BB6899C">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385DE9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C0171E3">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7D80B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2488190">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968ACC">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3CDD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6BB3F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0938873">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70743B">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36F6F86">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bookmarkStart w:id="20" w:name="OLE_LINK12"/>
            <w:r>
              <w:rPr>
                <w:rFonts w:hint="eastAsia" w:ascii="宋体" w:hAnsi="宋体" w:cs="宋体"/>
                <w:kern w:val="0"/>
                <w:sz w:val="24"/>
                <w:highlight w:val="none"/>
                <w:u w:val="single"/>
              </w:rPr>
              <w:t xml:space="preserve"> </w:t>
            </w:r>
            <w:r>
              <w:rPr>
                <w:rFonts w:hint="eastAsia" w:ascii="宋体" w:hAnsi="宋体" w:cs="宋体"/>
                <w:sz w:val="24"/>
                <w:highlight w:val="none"/>
                <w:u w:val="single"/>
                <w:lang w:eastAsia="zh-CN"/>
              </w:rPr>
              <w:t>杭州市公安局西湖区分局看守所智能行为分析系统项目</w:t>
            </w:r>
            <w:r>
              <w:rPr>
                <w:rFonts w:hint="eastAsia" w:ascii="宋体" w:hAnsi="宋体" w:cs="宋体"/>
                <w:kern w:val="0"/>
                <w:sz w:val="24"/>
                <w:highlight w:val="none"/>
                <w:u w:val="single"/>
              </w:rPr>
              <w:t xml:space="preserve"> </w:t>
            </w:r>
            <w:bookmarkEnd w:id="20"/>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bookmarkStart w:id="21" w:name="OLE_LINK9"/>
            <w:bookmarkStart w:id="22" w:name="OLE_LINK10"/>
            <w:r>
              <w:rPr>
                <w:rFonts w:hint="eastAsia" w:ascii="宋体" w:hAnsi="宋体" w:cs="宋体"/>
                <w:kern w:val="0"/>
                <w:sz w:val="24"/>
                <w:u w:val="single"/>
              </w:rPr>
              <w:t>软件和信息技术服务业</w:t>
            </w:r>
            <w:bookmarkEnd w:id="21"/>
            <w:bookmarkEnd w:id="22"/>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5117AFD4">
            <w:pPr>
              <w:snapToGrid w:val="0"/>
              <w:spacing w:line="360" w:lineRule="auto"/>
              <w:rPr>
                <w:rFonts w:cs="宋体" w:asciiTheme="minorEastAsia" w:hAnsiTheme="minorEastAsia" w:eastAsiaTheme="minorEastAsia"/>
                <w:highlight w:val="none"/>
              </w:rPr>
            </w:pPr>
          </w:p>
        </w:tc>
      </w:tr>
      <w:tr w14:paraId="7D9E9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992AED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6F8141">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AB9F4E">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本项目不允许采购进口产品。</w:t>
            </w:r>
          </w:p>
          <w:p w14:paraId="0A68474F">
            <w:pPr>
              <w:spacing w:line="360" w:lineRule="auto"/>
              <w:rPr>
                <w:rFonts w:hint="eastAsia"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p w14:paraId="7AE6B1B7">
            <w:pPr>
              <w:spacing w:line="360" w:lineRule="auto"/>
              <w:rPr>
                <w:rFonts w:cs="宋体" w:asciiTheme="minorEastAsia" w:hAnsiTheme="minorEastAsia" w:eastAsiaTheme="minorEastAsia"/>
                <w:highlight w:val="none"/>
              </w:rPr>
            </w:pPr>
            <w:r>
              <w:rPr>
                <w:rFonts w:hint="eastAsia" w:ascii="宋体" w:hAnsi="宋体" w:cs="宋体"/>
                <w:kern w:val="0"/>
                <w:sz w:val="24"/>
              </w:rPr>
              <w:t>优先采购向我国企业转让技术、与我国企业签订消化吸收再创新方案的供应商的进口产品，详见评分标准。</w:t>
            </w:r>
          </w:p>
        </w:tc>
      </w:tr>
      <w:tr w14:paraId="7BED7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470FD8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DE75C12">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E3783">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u w:val="single"/>
              </w:rPr>
              <w:t>应用集成</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p>
          <w:p w14:paraId="28FE2DF9">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14:paraId="45941C7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14:paraId="7C43D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5D05D9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B45D81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53FDD">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1FDFAF51">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20D60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6ADEA0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A98275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898AFC2">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5BD920D5">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w:t>
            </w:r>
            <w:r>
              <w:rPr>
                <w:rFonts w:hint="eastAsia" w:ascii="宋体" w:hAnsi="宋体" w:cs="宋体"/>
                <w:kern w:val="0"/>
                <w:sz w:val="24"/>
              </w:rPr>
              <w:t>要求提供（未提供样品或提供样品不满足采购需求实质性条件的供应商，投标无效）：</w:t>
            </w:r>
          </w:p>
          <w:p w14:paraId="17EC9DA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052062F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D340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p>
          <w:p w14:paraId="39958F6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0015D20F">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247996F">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5B4C78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3AAA41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D69D5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A48754A">
            <w:pPr>
              <w:spacing w:line="360" w:lineRule="auto"/>
              <w:rPr>
                <w:rFonts w:hint="eastAsia" w:eastAsia="宋体" w:cs="宋体" w:asciiTheme="minorEastAsia" w:hAnsiTheme="minorEastAsia"/>
                <w:b/>
                <w:sz w:val="24"/>
                <w:highlight w:val="none"/>
                <w:lang w:eastAsia="zh-CN"/>
              </w:rPr>
            </w:pPr>
            <w:r>
              <w:rPr>
                <w:rFonts w:hint="eastAsia" w:ascii="宋体" w:hAnsi="宋体" w:cs="宋体"/>
                <w:color w:val="auto"/>
                <w:sz w:val="24"/>
                <w:highlight w:val="none"/>
              </w:rPr>
              <w:t>（7）制作、运输、安装和保管样品所发生的一切费用由投标人自理</w:t>
            </w:r>
            <w:r>
              <w:rPr>
                <w:rFonts w:hint="eastAsia" w:ascii="宋体" w:hAnsi="宋体" w:cs="宋体"/>
                <w:color w:val="auto"/>
                <w:sz w:val="24"/>
                <w:highlight w:val="none"/>
                <w:lang w:eastAsia="zh-CN"/>
              </w:rPr>
              <w:t>。</w:t>
            </w:r>
          </w:p>
        </w:tc>
      </w:tr>
      <w:tr w14:paraId="17E5C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1E0E45A">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533321">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lang w:eastAsia="zh-CN"/>
              </w:rPr>
              <w:t>功能</w:t>
            </w:r>
            <w:r>
              <w:rPr>
                <w:rFonts w:hint="eastAsia" w:cs="宋体" w:asciiTheme="minorEastAsia" w:hAnsiTheme="minorEastAsia" w:eastAsiaTheme="minorEastAsia"/>
                <w:b/>
                <w:sz w:val="24"/>
                <w:highlight w:val="none"/>
              </w:rPr>
              <w:t>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8BB2E">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cs="宋体" w:eastAsiaTheme="minorEastAsia"/>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6F5DC728">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B组织。</w:t>
            </w:r>
          </w:p>
          <w:p w14:paraId="00F27AFD">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lang w:val="en-US" w:eastAsia="zh-CN"/>
              </w:rPr>
              <w:t>10</w:t>
            </w:r>
            <w:r>
              <w:rPr>
                <w:rFonts w:hint="eastAsia" w:ascii="宋体" w:hAnsi="宋体" w:cs="宋体"/>
                <w:kern w:val="0"/>
                <w:sz w:val="24"/>
                <w:highlight w:val="none"/>
              </w:rPr>
              <w:t>分钟，</w:t>
            </w:r>
            <w:r>
              <w:rPr>
                <w:rFonts w:hint="eastAsia" w:ascii="宋体" w:hAnsi="宋体" w:cs="宋体"/>
                <w:b/>
                <w:bCs/>
                <w:kern w:val="0"/>
                <w:sz w:val="24"/>
                <w:highlight w:val="none"/>
              </w:rPr>
              <w:t>讲解次序以投标文件解密时间先后次序为准</w:t>
            </w:r>
            <w:r>
              <w:rPr>
                <w:rFonts w:hint="eastAsia" w:ascii="宋体" w:hAnsi="宋体" w:cs="宋体"/>
                <w:kern w:val="0"/>
                <w:sz w:val="24"/>
                <w:highlight w:val="none"/>
              </w:rPr>
              <w:t>，讲解演示人员不超过3人。讲解演示结束后按要求解答评标委员会提问。</w:t>
            </w:r>
          </w:p>
          <w:p w14:paraId="6BF0CB72">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14:paraId="54625321">
            <w:pPr>
              <w:snapToGrid w:val="0"/>
              <w:spacing w:line="360" w:lineRule="auto"/>
              <w:rPr>
                <w:rFonts w:ascii="宋体" w:hAnsi="宋体" w:cs="宋体"/>
                <w:kern w:val="0"/>
                <w:sz w:val="24"/>
              </w:rPr>
            </w:pPr>
            <w:r>
              <w:rPr>
                <w:rFonts w:hint="eastAsia" w:ascii="宋体" w:hAnsi="宋体" w:cs="宋体"/>
                <w:kern w:val="0"/>
                <w:sz w:val="24"/>
              </w:rPr>
              <w:t>通过政采云平台进行在线讲解演示</w:t>
            </w:r>
            <w:r>
              <w:rPr>
                <w:rFonts w:hint="eastAsia" w:ascii="宋体" w:hAnsi="宋体" w:cs="宋体"/>
                <w:b/>
                <w:bCs/>
                <w:kern w:val="0"/>
                <w:sz w:val="24"/>
              </w:rPr>
              <w:t>或</w:t>
            </w:r>
            <w:r>
              <w:rPr>
                <w:rFonts w:hint="eastAsia" w:ascii="宋体" w:hAnsi="宋体" w:cs="宋体"/>
                <w:kern w:val="0"/>
                <w:sz w:val="24"/>
              </w:rPr>
              <w:t>播放已录制好的演示视频。政采云平台在线讲解需投标人根据政采云平台操作要求做好准备工作</w:t>
            </w:r>
            <w:r>
              <w:rPr>
                <w:rFonts w:hint="eastAsia" w:ascii="宋体" w:hAnsi="宋体" w:cs="宋体"/>
                <w:b/>
                <w:bCs/>
                <w:kern w:val="0"/>
                <w:sz w:val="24"/>
              </w:rPr>
              <w:t>（①提供在线讲解演示，建议使用笔记本和有线/无线蓝牙耳机</w:t>
            </w:r>
            <w:r>
              <w:rPr>
                <w:rFonts w:hint="eastAsia" w:ascii="宋体" w:hAnsi="宋体" w:cs="宋体"/>
                <w:b/>
                <w:bCs/>
                <w:kern w:val="0"/>
                <w:sz w:val="24"/>
                <w:lang w:eastAsia="zh-CN"/>
              </w:rPr>
              <w:t>；</w:t>
            </w:r>
            <w:r>
              <w:rPr>
                <w:rFonts w:hint="eastAsia" w:ascii="宋体" w:hAnsi="宋体" w:cs="宋体"/>
                <w:b/>
                <w:bCs/>
                <w:kern w:val="0"/>
                <w:sz w:val="24"/>
              </w:rPr>
              <w:t>②播放视频，为避免视频卡顿等情况发生，视频分辨率要求为1280*720</w:t>
            </w:r>
            <w:r>
              <w:rPr>
                <w:rFonts w:hint="eastAsia" w:ascii="宋体" w:hAnsi="宋体" w:cs="宋体"/>
                <w:b/>
                <w:bCs/>
                <w:kern w:val="0"/>
                <w:sz w:val="24"/>
                <w:lang w:eastAsia="zh-CN"/>
              </w:rPr>
              <w:t>，</w:t>
            </w:r>
            <w:r>
              <w:rPr>
                <w:rFonts w:hint="eastAsia" w:asciiTheme="minorEastAsia" w:hAnsiTheme="minorEastAsia" w:eastAsiaTheme="minorEastAsia" w:cstheme="minorEastAsia"/>
                <w:b/>
                <w:bCs/>
                <w:sz w:val="24"/>
                <w:u w:val="none"/>
              </w:rPr>
              <w:t>两种演示方式任选其一</w:t>
            </w:r>
            <w:r>
              <w:rPr>
                <w:rFonts w:hint="eastAsia" w:ascii="宋体" w:hAnsi="宋体" w:cs="宋体"/>
                <w:b/>
                <w:bCs/>
                <w:kern w:val="0"/>
                <w:sz w:val="24"/>
              </w:rPr>
              <w:t>）</w:t>
            </w:r>
            <w:r>
              <w:rPr>
                <w:rFonts w:hint="eastAsia" w:ascii="宋体" w:hAnsi="宋体" w:cs="宋体"/>
                <w:kern w:val="0"/>
                <w:sz w:val="24"/>
              </w:rPr>
              <w:t>，请提前完善软硬件配置环境。</w:t>
            </w:r>
          </w:p>
          <w:p w14:paraId="789CBFB5">
            <w:pPr>
              <w:snapToGrid w:val="0"/>
              <w:spacing w:line="360" w:lineRule="auto"/>
              <w:rPr>
                <w:rFonts w:hint="eastAsia" w:eastAsia="宋体" w:cs="宋体" w:asciiTheme="minorEastAsia" w:hAnsiTheme="minorEastAsia"/>
                <w:b/>
                <w:kern w:val="0"/>
                <w:sz w:val="24"/>
                <w:highlight w:val="none"/>
                <w:lang w:val="en-US" w:eastAsia="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88C3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4C9771D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0A33A06">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231D2D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386CEF1F">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投标人未提供有效的资格证明文件的，视为投标人不具备招标文件中规定的资格要求，投标无效。</w:t>
            </w:r>
          </w:p>
        </w:tc>
      </w:tr>
      <w:tr w14:paraId="3BE98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jc w:val="center"/>
        </w:trPr>
        <w:tc>
          <w:tcPr>
            <w:tcW w:w="629" w:type="dxa"/>
            <w:vMerge w:val="continue"/>
            <w:tcBorders>
              <w:left w:val="single" w:color="auto" w:sz="4" w:space="0"/>
              <w:bottom w:val="single" w:color="auto" w:sz="4" w:space="0"/>
              <w:right w:val="single" w:color="auto" w:sz="4" w:space="0"/>
            </w:tcBorders>
            <w:vAlign w:val="center"/>
          </w:tcPr>
          <w:p w14:paraId="1CEFFF1C">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21D744F">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AD80ED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（2）资信证明文件：根据招标文件第四部分评标标准提供。</w:t>
            </w:r>
          </w:p>
        </w:tc>
      </w:tr>
      <w:tr w14:paraId="34BA8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7B3F2B6">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2A05C4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1B1086">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☐依据国家确定的认证机构出具的、处于有效期之内的节能产品认证证书，对获得证书的产品实施政府优先采购或强制采购；</w:t>
            </w:r>
          </w:p>
          <w:p w14:paraId="04C8408C">
            <w:pPr>
              <w:spacing w:line="360" w:lineRule="auto"/>
              <w:rPr>
                <w:rFonts w:ascii="宋体" w:hAnsi="宋体" w:cs="宋体"/>
                <w:kern w:val="0"/>
                <w:sz w:val="24"/>
                <w:lang w:val="zh-CN"/>
              </w:rPr>
            </w:pPr>
            <w:r>
              <w:rPr>
                <w:rFonts w:hint="eastAsia" w:ascii="宋体" w:hAnsi="宋体" w:cs="宋体"/>
                <w:kern w:val="0"/>
                <w:sz w:val="24"/>
                <w:lang w:val="zh-CN"/>
              </w:rPr>
              <w:t>其中，对</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44E96964">
            <w:pPr>
              <w:spacing w:line="360" w:lineRule="auto"/>
              <w:rPr>
                <w:rFonts w:ascii="宋体" w:hAnsi="宋体" w:cs="宋体"/>
                <w:kern w:val="0"/>
                <w:sz w:val="24"/>
                <w:lang w:val="zh-CN"/>
              </w:rPr>
            </w:pP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rPr>
              <w:t xml:space="preserve">      </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14:paraId="0711E7AF">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☐依据国家确定的认证机构出具的、处于有效期之内的环境标志产品认证证书，对获得证书的产品名称</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5619E947">
            <w:pPr>
              <w:snapToGrid w:val="0"/>
              <w:spacing w:line="360" w:lineRule="auto"/>
              <w:rPr>
                <w:rFonts w:hint="eastAsia" w:cs="宋体" w:asciiTheme="minorEastAsia" w:hAnsiTheme="minorEastAsia" w:eastAsiaTheme="minorEastAsia"/>
                <w:highlight w:val="none"/>
                <w:lang w:eastAsia="zh-CN"/>
              </w:rPr>
            </w:pPr>
            <w:r>
              <w:rPr>
                <w:rFonts w:ascii="Wingdings" w:hAnsi="Wingdings" w:cs="宋体"/>
                <w:kern w:val="0"/>
                <w:sz w:val="24"/>
              </w:rPr>
              <w:t></w:t>
            </w:r>
            <w:r>
              <w:rPr>
                <w:rFonts w:hint="eastAsia" w:ascii="宋体" w:hAnsi="宋体" w:cs="宋体"/>
                <w:kern w:val="0"/>
                <w:sz w:val="24"/>
              </w:rPr>
              <w:t>无。</w:t>
            </w:r>
          </w:p>
        </w:tc>
      </w:tr>
      <w:tr w14:paraId="19A67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43BF87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4B327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D5E595">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有关本项目实施所需的所有费用（含税费）均计入报价。</w:t>
            </w:r>
            <w:r>
              <w:rPr>
                <w:rFonts w:hint="eastAsia" w:cs="宋体" w:asciiTheme="minorEastAsia" w:hAnsiTheme="minorEastAsia" w:eastAsiaTheme="minorEastAsia"/>
                <w:b/>
                <w:bCs/>
                <w:kern w:val="0"/>
                <w:sz w:val="24"/>
                <w:highlight w:val="none"/>
                <w:lang w:val="zh-CN"/>
              </w:rPr>
              <w:t>投标文件</w:t>
            </w:r>
            <w:r>
              <w:rPr>
                <w:rFonts w:hint="eastAsia" w:cs="宋体" w:asciiTheme="minorEastAsia" w:hAnsiTheme="minorEastAsia" w:eastAsiaTheme="minorEastAsia"/>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highlight w:val="none"/>
                <w:lang w:val="zh-CN"/>
              </w:rPr>
              <w:t>提醒：验收时检测费用由采购人承担，不包含在投标总价中。</w:t>
            </w:r>
          </w:p>
          <w:p w14:paraId="0E2ABD43">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投标报价出现下列情形的，投标无效：</w:t>
            </w:r>
          </w:p>
          <w:p w14:paraId="556B276D">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投标文件出现不是唯一的、有选择性投标报价的；</w:t>
            </w:r>
          </w:p>
          <w:p w14:paraId="64684BEA">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投标报价超过招标文件中规定的预算金额或者最高限价的;</w:t>
            </w:r>
          </w:p>
          <w:p w14:paraId="693552BE">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报价明显低于其他通过符合性审查投标人的报价，有可能影响产品</w:t>
            </w:r>
            <w:r>
              <w:rPr>
                <w:rFonts w:hint="eastAsia" w:cs="宋体" w:asciiTheme="minorEastAsia" w:hAnsiTheme="minorEastAsia" w:eastAsiaTheme="minorEastAsia"/>
                <w:b/>
                <w:kern w:val="0"/>
                <w:sz w:val="24"/>
                <w:highlight w:val="none"/>
                <w:lang w:eastAsia="zh-CN"/>
              </w:rPr>
              <w:t>（服务）</w:t>
            </w:r>
            <w:r>
              <w:rPr>
                <w:rFonts w:hint="eastAsia" w:cs="宋体" w:asciiTheme="minorEastAsia" w:hAnsiTheme="minorEastAsia" w:eastAsiaTheme="minorEastAsia"/>
                <w:b/>
                <w:kern w:val="0"/>
                <w:sz w:val="24"/>
                <w:highlight w:val="none"/>
              </w:rPr>
              <w:t>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6F6EABCE">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投标人对根据修正原则修正后的报价不确认的</w:t>
            </w:r>
            <w:r>
              <w:rPr>
                <w:rFonts w:hint="eastAsia" w:cs="宋体" w:asciiTheme="minorEastAsia" w:hAnsiTheme="minorEastAsia" w:eastAsiaTheme="minorEastAsia"/>
                <w:b/>
                <w:sz w:val="24"/>
                <w:highlight w:val="none"/>
              </w:rPr>
              <w:t>。</w:t>
            </w:r>
          </w:p>
        </w:tc>
      </w:tr>
      <w:tr w14:paraId="3385A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9" w:hRule="atLeast"/>
          <w:jc w:val="center"/>
        </w:trPr>
        <w:tc>
          <w:tcPr>
            <w:tcW w:w="629" w:type="dxa"/>
            <w:tcBorders>
              <w:top w:val="single" w:color="auto" w:sz="4" w:space="0"/>
              <w:left w:val="single" w:color="000000" w:sz="8" w:space="0"/>
              <w:right w:val="single" w:color="000000" w:sz="2" w:space="0"/>
            </w:tcBorders>
            <w:vAlign w:val="center"/>
          </w:tcPr>
          <w:p w14:paraId="1F2BEE0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14:paraId="24FE0ED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DB8A7D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953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87E5A9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358326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04DCBA0">
            <w:pPr>
              <w:pStyle w:val="33"/>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备份投标文件送达地点：</w:t>
            </w:r>
            <w:r>
              <w:rPr>
                <w:rFonts w:hint="eastAsia" w:cs="宋体" w:asciiTheme="minorEastAsia" w:hAnsiTheme="minorEastAsia" w:eastAsiaTheme="minorEastAsia"/>
                <w:sz w:val="24"/>
                <w:highlight w:val="none"/>
                <w:u w:val="single"/>
              </w:rPr>
              <w:t>杭州市文一西路858号东3楼329办公室</w:t>
            </w:r>
            <w:r>
              <w:rPr>
                <w:rFonts w:hint="eastAsia" w:cs="宋体" w:asciiTheme="minorEastAsia" w:hAnsiTheme="minorEastAsia" w:eastAsiaTheme="minorEastAsia"/>
                <w:kern w:val="28"/>
                <w:sz w:val="24"/>
                <w:szCs w:val="24"/>
                <w:highlight w:val="none"/>
              </w:rPr>
              <w:t>；备份投标文件签收人员联系电话：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0571-89511448</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采购人、采购机构不强制或变相强制投标人提交备份投标文件。</w:t>
            </w:r>
          </w:p>
        </w:tc>
      </w:tr>
      <w:tr w14:paraId="3E6D6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249E0F5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2F8188F">
            <w:pPr>
              <w:snapToGrid w:val="0"/>
              <w:spacing w:line="360" w:lineRule="auto"/>
              <w:jc w:val="center"/>
              <w:rPr>
                <w:rFonts w:cs="宋体"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AA85941">
            <w:pPr>
              <w:spacing w:line="360" w:lineRule="auto"/>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联合体投标的，联合体各方分别提供与联合体协议中规定的分工内容相应的业绩证明材料，业绩数量以提供材料较少的一方为准。</w:t>
            </w:r>
          </w:p>
        </w:tc>
      </w:tr>
      <w:tr w14:paraId="74AB1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5C5CD847">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3838B0E2">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7FC0ECF">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napToGrid w:val="0"/>
                <w:kern w:val="28"/>
                <w:sz w:val="24"/>
                <w:highlight w:val="none"/>
              </w:rPr>
              <w:t>联合体投标的，联合体各方均需按招标文件第四部分评标标准要求提供资信证明文件，否则视为不符合相关要求。招标文件第四部分评标标准有其他要求的，从其要求。</w:t>
            </w:r>
          </w:p>
          <w:p w14:paraId="719B8CDE">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napToGrid w:val="0"/>
                <w:kern w:val="28"/>
                <w:sz w:val="24"/>
                <w:highlight w:val="none"/>
              </w:rPr>
              <w:t>联合体投标的，联合体中有一方或者联合体成员根据分工按招标文件第四部分评标标准要求提供资信证明文件的，视为符合了相关要求。招标文件第四部分评标标准有其他要求的，从其要求。</w:t>
            </w:r>
          </w:p>
        </w:tc>
      </w:tr>
      <w:tr w14:paraId="24CE8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09EB5CC4">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25A51205">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947314C">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rPr>
              <w:t>评审因素对应的要求视为采购需求的一部分。</w:t>
            </w:r>
          </w:p>
        </w:tc>
      </w:tr>
      <w:tr w14:paraId="7EB48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vAlign w:val="center"/>
          </w:tcPr>
          <w:p w14:paraId="4904764A">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6A3FEC4">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F23BA4">
            <w:pPr>
              <w:spacing w:line="360" w:lineRule="auto"/>
              <w:rPr>
                <w:rFonts w:hint="eastAsia" w:cs="Arial" w:asciiTheme="minorEastAsia" w:hAnsiTheme="minorEastAsia" w:eastAsiaTheme="minorEastAsia"/>
                <w:kern w:val="0"/>
                <w:sz w:val="24"/>
                <w:highlight w:val="none"/>
              </w:rPr>
            </w:pPr>
            <w:r>
              <w:rPr>
                <w:rFonts w:hint="eastAsia" w:ascii="宋体" w:hAnsi="宋体" w:cs="宋体"/>
                <w:kern w:val="0"/>
                <w:sz w:val="24"/>
                <w:lang w:val="en"/>
              </w:rPr>
              <w:t>本项目评审报告推荐的中标候选人数量：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bl>
    <w:p w14:paraId="5843E9B8">
      <w:pPr>
        <w:snapToGrid w:val="0"/>
        <w:spacing w:line="360" w:lineRule="auto"/>
        <w:jc w:val="center"/>
        <w:rPr>
          <w:rFonts w:cs="宋体" w:asciiTheme="minorEastAsia" w:hAnsiTheme="minorEastAsia" w:eastAsiaTheme="minorEastAsia"/>
          <w:b/>
          <w:sz w:val="32"/>
          <w:szCs w:val="20"/>
          <w:highlight w:val="none"/>
        </w:rPr>
      </w:pPr>
    </w:p>
    <w:bookmarkEnd w:id="12"/>
    <w:p w14:paraId="42D74120">
      <w:pPr>
        <w:adjustRightInd/>
        <w:spacing w:line="360" w:lineRule="auto"/>
        <w:ind w:firstLine="3845" w:firstLineChars="1197"/>
        <w:outlineLvl w:val="0"/>
        <w:rPr>
          <w:rFonts w:cs="宋体" w:asciiTheme="minorEastAsia" w:hAnsiTheme="minorEastAsia" w:eastAsiaTheme="minorEastAsia"/>
          <w:b/>
          <w:sz w:val="32"/>
          <w:szCs w:val="20"/>
          <w:highlight w:val="none"/>
        </w:rPr>
      </w:pPr>
      <w:bookmarkStart w:id="23" w:name="_Toc164416483"/>
      <w:bookmarkStart w:id="24" w:name="第三部分"/>
      <w:r>
        <w:rPr>
          <w:rFonts w:hint="eastAsia" w:cs="宋体" w:asciiTheme="minorEastAsia" w:hAnsiTheme="minorEastAsia" w:eastAsiaTheme="minorEastAsia"/>
          <w:b/>
          <w:sz w:val="32"/>
          <w:szCs w:val="20"/>
          <w:highlight w:val="none"/>
        </w:rPr>
        <w:t>一、总则</w:t>
      </w:r>
    </w:p>
    <w:p w14:paraId="187ACE7D">
      <w:pPr>
        <w:snapToGrid w:val="0"/>
        <w:spacing w:line="360" w:lineRule="auto"/>
        <w:ind w:firstLine="361" w:firstLineChars="150"/>
        <w:jc w:val="left"/>
        <w:outlineLvl w:val="1"/>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 适用范围</w:t>
      </w:r>
    </w:p>
    <w:p w14:paraId="629EA4E4">
      <w:pPr>
        <w:snapToGrid w:val="0"/>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本招标文件适用于该项目的招标、投标、开标、资格审查及信用信息查询、评标、定标、合同、验收等行为（法律、法规另有规定的，从其规定）。</w:t>
      </w:r>
    </w:p>
    <w:p w14:paraId="0F2C38C4">
      <w:pPr>
        <w:adjustRightInd/>
        <w:spacing w:line="360" w:lineRule="auto"/>
        <w:outlineLvl w:val="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2.定义</w:t>
      </w:r>
    </w:p>
    <w:p w14:paraId="1D34A5C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 “采购人”系指招标公告中载明的本项目的采购人。</w:t>
      </w:r>
    </w:p>
    <w:p w14:paraId="66596D4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 “采购机构”系指招标公告中载明的本项目的采购机构。</w:t>
      </w:r>
    </w:p>
    <w:p w14:paraId="5D2C5AE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 “投标人”系指是指响应招标、参加投标竞争的法人、其他组织或者自然人。</w:t>
      </w:r>
    </w:p>
    <w:p w14:paraId="78EA7F1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1F0861B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FC47E4">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2.6“电子交易平台”是指本项目政府采购活动所依托的政府采购云平台（https://www.zcygov.cn/）。</w:t>
      </w:r>
    </w:p>
    <w:p w14:paraId="62BE9E8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2.7 “▲” 系指实质性要求条款，“</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3DC8C245">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3.</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采购项目需要落实的政府采购政策</w:t>
      </w:r>
    </w:p>
    <w:p w14:paraId="7E60EAE8">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cs="宋体" w:asciiTheme="minorEastAsia" w:hAnsiTheme="minorEastAsia" w:eastAsiaTheme="minorEastAsia"/>
          <w:sz w:val="24"/>
          <w:highlight w:val="none"/>
        </w:rPr>
        <w:t>。</w:t>
      </w:r>
    </w:p>
    <w:p w14:paraId="1926EE06">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 支持绿色发展</w:t>
      </w:r>
    </w:p>
    <w:p w14:paraId="14DD942A">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highlight w:val="none"/>
        </w:rPr>
        <w:t>▲采购人拟采购的产品属于政府强制采购的节能产品品目清单范围的，投标人相应的投标产品未获得国家确定的认证机构出具的、处于有效期之内的节能产品认证证书的，投标无效</w:t>
      </w:r>
      <w:r>
        <w:rPr>
          <w:rFonts w:hint="eastAsia" w:cs="宋体" w:asciiTheme="minorEastAsia" w:hAnsiTheme="minorEastAsia" w:eastAsiaTheme="minorEastAsia"/>
          <w:b/>
          <w:sz w:val="24"/>
          <w:highlight w:val="none"/>
          <w:lang w:eastAsia="zh-CN"/>
        </w:rPr>
        <w:t>（本项目不适用）</w:t>
      </w:r>
      <w:r>
        <w:rPr>
          <w:rFonts w:hint="eastAsia" w:cs="宋体" w:asciiTheme="minorEastAsia" w:hAnsiTheme="minorEastAsia" w:eastAsiaTheme="minorEastAsia"/>
          <w:b/>
          <w:sz w:val="24"/>
          <w:highlight w:val="none"/>
        </w:rPr>
        <w:t>。</w:t>
      </w:r>
    </w:p>
    <w:p w14:paraId="40D5F081">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DB27DFB">
      <w:pPr>
        <w:spacing w:line="360" w:lineRule="auto"/>
        <w:ind w:firstLine="240" w:firstLineChars="1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8E70941">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3.3支持中小企业发展</w:t>
      </w:r>
    </w:p>
    <w:p w14:paraId="1685C6A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183F2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1CC9B518">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Cs/>
          <w:sz w:val="24"/>
          <w:highlight w:val="none"/>
        </w:rPr>
        <w:t>3.3.2</w:t>
      </w:r>
      <w:r>
        <w:rPr>
          <w:rFonts w:hint="eastAsia" w:cs="宋体" w:asciiTheme="minorEastAsia" w:hAnsiTheme="minorEastAsia" w:eastAsiaTheme="minorEastAsia"/>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038CF90">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6D28A18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3.3.3</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427F880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3.3.4符合《关于促进残疾人就业政府采购政策的通知》（财库〔2017〕141号）规定的条件并提供《残疾人福利性单位声明函》（附件1）的残疾人福利性单位视同小型、微型企业；</w:t>
      </w:r>
    </w:p>
    <w:p w14:paraId="4806039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2968D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F2076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3.3.7中小企业享受扶持政策获得政府采购合同的，小微企业不得将合同分包给大中型企业，中型企业不得将合同分包给大型企业。</w:t>
      </w:r>
    </w:p>
    <w:p w14:paraId="3DF8C741">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w:t>
      </w:r>
      <w:r>
        <w:rPr>
          <w:rFonts w:hint="eastAsia" w:cs="宋体" w:asciiTheme="minorEastAsia" w:hAnsiTheme="minorEastAsia" w:eastAsiaTheme="minorEastAsia"/>
          <w:bCs/>
          <w:sz w:val="24"/>
          <w:highlight w:val="none"/>
        </w:rPr>
        <w:t>支持创新发展</w:t>
      </w:r>
    </w:p>
    <w:p w14:paraId="1ED03FC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3.4.1 采购人优先采购被认定为首台套产品和“制造精品”的自主创新产品。</w:t>
      </w:r>
    </w:p>
    <w:p w14:paraId="42E88A5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3.4.2首台套产品被纳入《首台套产品推广应用指导目录》之日起</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年内，以及产品核心技术高于国内领先水平，并具有明晰自主知识产权的“制造精品”产品，自认定之日起</w:t>
      </w:r>
      <w:r>
        <w:rPr>
          <w:rFonts w:hint="default" w:cs="宋体" w:asciiTheme="minorEastAsia" w:hAnsiTheme="minorEastAsia" w:eastAsiaTheme="minorEastAsia"/>
          <w:sz w:val="24"/>
          <w:highlight w:val="none"/>
          <w:lang w:val="en-US"/>
        </w:rPr>
        <w:t>3</w:t>
      </w:r>
      <w:r>
        <w:rPr>
          <w:rFonts w:hint="eastAsia" w:cs="宋体" w:asciiTheme="minorEastAsia" w:hAnsiTheme="minorEastAsia" w:eastAsiaTheme="minorEastAsia"/>
          <w:sz w:val="24"/>
          <w:highlight w:val="none"/>
        </w:rPr>
        <w:t>年内视同已具备相应销售业绩，参加政府采购活动时业绩分值为满分。</w:t>
      </w:r>
    </w:p>
    <w:p w14:paraId="63FBC85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3.5平等对待内外资企业和符合条件的破产重整企业</w:t>
      </w:r>
    </w:p>
    <w:p w14:paraId="139C88A8">
      <w:pPr>
        <w:spacing w:line="360" w:lineRule="auto"/>
        <w:ind w:firstLine="240"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r>
        <w:rPr>
          <w:rFonts w:hint="eastAsia" w:cs="宋体" w:asciiTheme="minorEastAsia" w:hAnsiTheme="minorEastAsia" w:eastAsiaTheme="minorEastAsia"/>
          <w:sz w:val="24"/>
          <w:highlight w:val="none"/>
        </w:rPr>
        <w:cr/>
      </w:r>
      <w:r>
        <w:rPr>
          <w:rFonts w:hint="eastAsia" w:cs="宋体" w:asciiTheme="minorEastAsia" w:hAnsiTheme="minorEastAsia" w:eastAsiaTheme="minorEastAsia"/>
          <w:b/>
          <w:sz w:val="24"/>
          <w:highlight w:val="none"/>
        </w:rPr>
        <w:t>4. 询问、质疑、投诉</w:t>
      </w:r>
    </w:p>
    <w:p w14:paraId="64030DAB">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4.1</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3E62CF">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4.2</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供应商询问</w:t>
      </w:r>
    </w:p>
    <w:p w14:paraId="19619F89">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A21211">
      <w:pPr>
        <w:autoSpaceDE w:val="0"/>
        <w:autoSpaceDN w:val="0"/>
        <w:spacing w:line="360" w:lineRule="auto"/>
        <w:ind w:firstLine="240"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供应商质疑</w:t>
      </w:r>
    </w:p>
    <w:p w14:paraId="0959517A">
      <w:pPr>
        <w:pStyle w:val="33"/>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.1提出质疑的供应商应当是参与所质疑项目采购活动的供应商。潜在供应商已依法获取其可质疑的招标文件的，可以对该文件提出质疑。</w:t>
      </w:r>
    </w:p>
    <w:p w14:paraId="1B7D65C7">
      <w:pPr>
        <w:pStyle w:val="33"/>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347DD54">
      <w:pPr>
        <w:pStyle w:val="15"/>
        <w:spacing w:line="360" w:lineRule="auto"/>
        <w:ind w:firstLine="480" w:firstLineChars="200"/>
        <w:rPr>
          <w:rFonts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4.3.2.1对招标文件提出质疑的，质疑期限为供应商获得招标文件之日或者招标文件公告期限届满之日起计算。</w:t>
      </w:r>
    </w:p>
    <w:p w14:paraId="64F7C52E">
      <w:pPr>
        <w:pStyle w:val="33"/>
        <w:spacing w:line="360" w:lineRule="auto"/>
        <w:ind w:left="479" w:leftChars="228"/>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4.3.2.2对采购过程提出质疑的，质疑期限为各采购程序环节结束之日起计算。4.3.2.3对采购结果提出质疑的，质疑期限自采购结果公告期限届满之日起计算。</w:t>
      </w:r>
    </w:p>
    <w:p w14:paraId="52B3690C">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w:t>
      </w:r>
      <w:r>
        <w:rPr>
          <w:rFonts w:hint="eastAsia" w:cs="宋体" w:asciiTheme="minorEastAsia" w:hAnsiTheme="minorEastAsia" w:eastAsiaTheme="minorEastAsia"/>
          <w:sz w:val="24"/>
          <w:highlight w:val="none"/>
        </w:rPr>
        <w:t>供应商提出质疑应当提交质疑函和必要的证明材料。质疑函应当包括下列内容：</w:t>
      </w:r>
    </w:p>
    <w:p w14:paraId="367F8497">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4.3.3.1供应商的姓名或者名称、地址、邮编、联系人及联系电话；</w:t>
      </w:r>
    </w:p>
    <w:p w14:paraId="31888A5E">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4.3.3.2质疑项目的名称、编号；</w:t>
      </w:r>
    </w:p>
    <w:p w14:paraId="7AB977AA">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4.3.3.3具体、明确的质疑事项和与质疑事项相关的请求；</w:t>
      </w:r>
    </w:p>
    <w:p w14:paraId="7D5785C6">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4.3.3.4事实依据；</w:t>
      </w:r>
    </w:p>
    <w:p w14:paraId="145E5C42">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4.3.3.5必要的法律依据；</w:t>
      </w:r>
    </w:p>
    <w:p w14:paraId="21B469E2">
      <w:pPr>
        <w:pStyle w:val="33"/>
        <w:spacing w:line="360" w:lineRule="auto"/>
        <w:ind w:firstLine="960" w:firstLineChars="4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4.3.3.6提出质疑的日期。</w:t>
      </w:r>
    </w:p>
    <w:p w14:paraId="7A28DDE7">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供应商提交的质疑函需一式三份。供应商为自然人的，应当由本人签字；供应商为法人或者其他组织的，应当由法定代表人、主要负责人，或者其授权代表签字或者盖章，并加盖公章。</w:t>
      </w:r>
    </w:p>
    <w:p w14:paraId="00FAC19D">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质疑函范本及制作说明详见附件2。</w:t>
      </w:r>
    </w:p>
    <w:p w14:paraId="18FA6656">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4.3.4对同一采购程序环节的质疑，供应商须在法定质疑期内一次性提出。</w:t>
      </w:r>
    </w:p>
    <w:p w14:paraId="1BE53A3C">
      <w:pPr>
        <w:pStyle w:val="887"/>
        <w:shd w:val="clear" w:color="auto" w:fill="FFFFFF"/>
        <w:snapToGrid w:val="0"/>
        <w:spacing w:after="240" w:line="360" w:lineRule="auto"/>
        <w:ind w:firstLine="400"/>
        <w:contextualSpacing/>
        <w:rPr>
          <w:rFonts w:hint="eastAsia"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27AE8B4">
      <w:pPr>
        <w:pStyle w:val="887"/>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7888ADFB">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C11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5690E203">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14:paraId="3C7DF106">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06E6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306AABAD">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14:paraId="571746A9">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14:paraId="36ADCD31">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2667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5D50AF36">
            <w:pPr>
              <w:pStyle w:val="33"/>
              <w:spacing w:line="360" w:lineRule="auto"/>
              <w:jc w:val="center"/>
              <w:rPr>
                <w:rFonts w:ascii="宋体" w:hAnsi="宋体" w:eastAsia="宋体"/>
                <w:color w:val="auto"/>
                <w:sz w:val="24"/>
                <w:highlight w:val="none"/>
              </w:rPr>
            </w:pPr>
          </w:p>
        </w:tc>
        <w:tc>
          <w:tcPr>
            <w:tcW w:w="4536" w:type="dxa"/>
            <w:noWrap w:val="0"/>
            <w:vAlign w:val="center"/>
          </w:tcPr>
          <w:p w14:paraId="03A93A39">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14:paraId="70400802">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71D8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2E4CAB8F">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14:paraId="3935ECBF">
            <w:pPr>
              <w:pStyle w:val="33"/>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14:paraId="6484EE7E">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5810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noWrap w:val="0"/>
            <w:vAlign w:val="center"/>
          </w:tcPr>
          <w:p w14:paraId="5503888F">
            <w:pPr>
              <w:pStyle w:val="33"/>
              <w:spacing w:line="360" w:lineRule="auto"/>
              <w:jc w:val="center"/>
              <w:rPr>
                <w:rFonts w:ascii="宋体" w:hAnsi="宋体" w:eastAsia="宋体"/>
                <w:color w:val="auto"/>
                <w:sz w:val="24"/>
                <w:highlight w:val="none"/>
              </w:rPr>
            </w:pPr>
          </w:p>
        </w:tc>
        <w:tc>
          <w:tcPr>
            <w:tcW w:w="4536" w:type="dxa"/>
            <w:noWrap w:val="0"/>
            <w:vAlign w:val="center"/>
          </w:tcPr>
          <w:p w14:paraId="21F3B553">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14:paraId="7CFF4C5F">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77C7A9C0">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.6询问或者质疑事项可能影响采购结果的，采购人应当暂停签订合同，已经签订合同的，应当中止履行合同。</w:t>
      </w:r>
    </w:p>
    <w:p w14:paraId="31D9AB85">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lang w:val="zh-CN"/>
        </w:rPr>
      </w:pPr>
      <w:r>
        <w:rPr>
          <w:rFonts w:hint="eastAsia" w:asciiTheme="minorEastAsia" w:hAnsiTheme="minorEastAsia" w:eastAsiaTheme="minorEastAsia"/>
          <w:highlight w:val="none"/>
          <w:lang w:val="zh-CN"/>
        </w:rPr>
        <w:t>4.4</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lang w:val="zh-CN"/>
        </w:rPr>
        <w:t>供应商投诉</w:t>
      </w:r>
    </w:p>
    <w:p w14:paraId="5B7FF65E">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4.4.1质疑供应商对采购人、采购机构的答复不满意或者采购人、采购机构未在规定的时间内作出答复的，可以在答复期满后十五个工作日内向同级政府采购监督管理部门提出投诉。</w:t>
      </w:r>
    </w:p>
    <w:p w14:paraId="68F2CD22">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w:t>
      </w:r>
      <w:r>
        <w:rPr>
          <w:rFonts w:hint="eastAsia" w:asciiTheme="minorEastAsia" w:hAnsiTheme="minorEastAsia" w:eastAsiaTheme="minorEastAsia"/>
          <w:highlight w:val="none"/>
          <w:lang w:val="zh-CN"/>
        </w:rPr>
        <w:t>2</w:t>
      </w:r>
      <w:r>
        <w:rPr>
          <w:rFonts w:hint="eastAsia" w:asciiTheme="minorEastAsia" w:hAnsiTheme="minorEastAsia" w:eastAsiaTheme="minorEastAsia"/>
          <w:highlight w:val="none"/>
        </w:rPr>
        <w:t>供应商投诉的事项不得超出已质疑事项的范围，基于质疑答复内容提出的投诉事项除外。</w:t>
      </w:r>
    </w:p>
    <w:p w14:paraId="1607FF67">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4.4.3供应商投诉应当有明确的请求和必要的证明材料。</w:t>
      </w:r>
    </w:p>
    <w:p w14:paraId="683BFBCA">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4.4.4以联合体形式参加政府采购活动的，其投诉应当由组成联合体的所有供应商共同提出。</w:t>
      </w:r>
    </w:p>
    <w:p w14:paraId="535CF2AF">
      <w:pPr>
        <w:pStyle w:val="887"/>
        <w:shd w:val="clear" w:color="auto" w:fill="FFFFFF"/>
        <w:snapToGrid w:val="0"/>
        <w:spacing w:after="240" w:afterAutospacing="0" w:line="360" w:lineRule="auto"/>
        <w:ind w:firstLine="400"/>
        <w:contextualSpacing/>
        <w:rPr>
          <w:highlight w:val="none"/>
        </w:rPr>
      </w:pPr>
      <w:r>
        <w:rPr>
          <w:rFonts w:hint="eastAsia" w:asciiTheme="minorEastAsia" w:hAnsiTheme="minorEastAsia" w:eastAsiaTheme="minorEastAsia"/>
          <w:highlight w:val="none"/>
        </w:rPr>
        <w:t>4.4.5</w:t>
      </w:r>
      <w:r>
        <w:rPr>
          <w:rFonts w:hint="eastAsia"/>
          <w:highlight w:val="none"/>
        </w:rPr>
        <w:t>浙江省本级、杭州市本级、拱墅区、西湖区、富阳区政府采购项目投诉材料可寄送浙江省政府采购行政裁决服务中心（杭州），地址：</w:t>
      </w:r>
      <w:r>
        <w:rPr>
          <w:rFonts w:hint="eastAsia" w:asciiTheme="minorEastAsia" w:hAnsiTheme="minorEastAsia" w:eastAsiaTheme="minorEastAsia" w:cstheme="minorEastAsia"/>
          <w:sz w:val="24"/>
          <w:highlight w:val="none"/>
          <w:lang w:eastAsia="zh-CN"/>
        </w:rPr>
        <w:t>杭州市上城区清泰街549号城建综合大楼11楼</w:t>
      </w:r>
      <w:r>
        <w:rPr>
          <w:rFonts w:hint="eastAsia" w:asciiTheme="minorEastAsia" w:hAnsiTheme="minorEastAsia" w:eastAsiaTheme="minorEastAsia" w:cstheme="minorEastAsia"/>
          <w:sz w:val="24"/>
          <w:highlight w:val="none"/>
        </w:rPr>
        <w:t>（快递仅限ems或顺丰）</w:t>
      </w:r>
      <w:r>
        <w:rPr>
          <w:rFonts w:hint="eastAsia"/>
          <w:highlight w:val="none"/>
        </w:rPr>
        <w:t>，收件人：朱女士</w:t>
      </w:r>
      <w:r>
        <w:rPr>
          <w:rFonts w:hint="eastAsia"/>
          <w:highlight w:val="none"/>
          <w:lang w:eastAsia="zh-CN"/>
        </w:rPr>
        <w:t>，</w:t>
      </w:r>
      <w:r>
        <w:rPr>
          <w:rFonts w:hint="eastAsia"/>
          <w:highlight w:val="none"/>
          <w:lang w:val="en-US" w:eastAsia="zh-CN"/>
        </w:rPr>
        <w:t>王女士</w:t>
      </w:r>
      <w:r>
        <w:rPr>
          <w:rFonts w:hint="eastAsia"/>
          <w:highlight w:val="none"/>
        </w:rPr>
        <w:t>，电话：</w:t>
      </w:r>
      <w:r>
        <w:rPr>
          <w:rFonts w:hint="eastAsia" w:asciiTheme="minorEastAsia" w:hAnsiTheme="minorEastAsia" w:eastAsiaTheme="minorEastAsia" w:cstheme="minorEastAsia"/>
          <w:sz w:val="24"/>
          <w:lang w:eastAsia="zh-CN"/>
        </w:rPr>
        <w:t>0571-8</w:t>
      </w:r>
      <w:r>
        <w:rPr>
          <w:rFonts w:hint="eastAsia" w:asciiTheme="minorEastAsia" w:hAnsiTheme="minorEastAsia" w:eastAsiaTheme="minorEastAsia" w:cstheme="minorEastAsia"/>
          <w:sz w:val="24"/>
          <w:lang w:val="en-US" w:eastAsia="zh-CN"/>
        </w:rPr>
        <w:t>7227671,0571-87800218</w:t>
      </w:r>
      <w:r>
        <w:rPr>
          <w:rFonts w:hint="eastAsia"/>
          <w:highlight w:val="none"/>
        </w:rPr>
        <w:t>。</w:t>
      </w:r>
    </w:p>
    <w:p w14:paraId="73BFEA66">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0B1D0868">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25D8E99">
      <w:pPr>
        <w:pStyle w:val="887"/>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0DF7E544">
      <w:pPr>
        <w:pStyle w:val="887"/>
        <w:shd w:val="clear" w:color="auto" w:fill="FFFFFF"/>
        <w:snapToGrid w:val="0"/>
        <w:spacing w:after="240" w:afterAutospacing="0" w:line="360" w:lineRule="auto"/>
        <w:ind w:firstLine="400"/>
        <w:contextualSpacing/>
        <w:rPr>
          <w:rFonts w:asciiTheme="minorEastAsia" w:hAnsiTheme="minorEastAsia" w:eastAsiaTheme="minorEastAsia"/>
          <w:sz w:val="18"/>
          <w:szCs w:val="18"/>
          <w:highlight w:val="none"/>
        </w:rPr>
      </w:pPr>
    </w:p>
    <w:p w14:paraId="5BD203FE">
      <w:pPr>
        <w:adjustRightInd/>
        <w:spacing w:line="360" w:lineRule="auto"/>
        <w:jc w:val="center"/>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 xml:space="preserve">      二、招标文件的构成、澄清、修改</w:t>
      </w:r>
    </w:p>
    <w:p w14:paraId="3C7BB472">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5．招标文件的构成</w:t>
      </w:r>
    </w:p>
    <w:p w14:paraId="35E2E0B8">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 招标文件包括下列文件及附件：</w:t>
      </w:r>
    </w:p>
    <w:p w14:paraId="46B03073">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5.1.1招标公告；</w:t>
      </w:r>
    </w:p>
    <w:p w14:paraId="5D3F5E19">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5.1.2投标人须知；</w:t>
      </w:r>
    </w:p>
    <w:p w14:paraId="2E57EB21">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5.1.3采购需求；</w:t>
      </w:r>
    </w:p>
    <w:p w14:paraId="3EA31B0D">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5.1.4评标办法；</w:t>
      </w:r>
    </w:p>
    <w:p w14:paraId="73E670B2">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5.1.5拟签订的合同文本；</w:t>
      </w:r>
    </w:p>
    <w:p w14:paraId="20933714">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5.1.6</w:t>
      </w:r>
      <w:r>
        <w:rPr>
          <w:rFonts w:hint="eastAsia" w:cs="宋体" w:asciiTheme="minorEastAsia" w:hAnsiTheme="minorEastAsia" w:eastAsiaTheme="minorEastAsia"/>
          <w:sz w:val="24"/>
          <w:szCs w:val="24"/>
          <w:highlight w:val="none"/>
        </w:rPr>
        <w:t>应提交的有关格式范例。</w:t>
      </w:r>
    </w:p>
    <w:p w14:paraId="433F7FD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5.2与本项目有关的</w:t>
      </w:r>
      <w:r>
        <w:rPr>
          <w:rFonts w:hint="eastAsia" w:cs="宋体" w:asciiTheme="minorEastAsia" w:hAnsiTheme="minorEastAsia" w:eastAsiaTheme="minorEastAsia"/>
          <w:bCs/>
          <w:sz w:val="24"/>
          <w:highlight w:val="none"/>
        </w:rPr>
        <w:t>澄清或者修改的内容为招标文件的组成部分</w:t>
      </w:r>
      <w:r>
        <w:rPr>
          <w:rFonts w:hint="eastAsia" w:cs="宋体" w:asciiTheme="minorEastAsia" w:hAnsiTheme="minorEastAsia" w:eastAsiaTheme="minorEastAsia"/>
          <w:sz w:val="24"/>
          <w:highlight w:val="none"/>
        </w:rPr>
        <w:t>。</w:t>
      </w:r>
    </w:p>
    <w:p w14:paraId="47CFC112">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6. 招标文件的澄清、修改</w:t>
      </w:r>
    </w:p>
    <w:p w14:paraId="7FF2201F">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6.1已获取招标文件的潜在投标人，若有问题需要澄清，应于投标截止时间前，以书面形式向采购机构提出。</w:t>
      </w:r>
    </w:p>
    <w:p w14:paraId="0336E7D6">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C79FBF">
      <w:pPr>
        <w:pStyle w:val="24"/>
        <w:rPr>
          <w:rFonts w:cs="宋体" w:asciiTheme="minorEastAsia" w:hAnsiTheme="minorEastAsia" w:eastAsiaTheme="minorEastAsia"/>
          <w:sz w:val="18"/>
          <w:szCs w:val="18"/>
          <w:highlight w:val="none"/>
          <w:lang w:val="en-US"/>
        </w:rPr>
      </w:pPr>
      <w:r>
        <w:rPr>
          <w:rFonts w:hint="eastAsia" w:cs="宋体" w:asciiTheme="minorEastAsia" w:hAnsiTheme="minorEastAsia" w:eastAsiaTheme="minorEastAsia"/>
          <w:szCs w:val="24"/>
          <w:highlight w:val="none"/>
          <w:lang w:val="en-US"/>
        </w:rPr>
        <w:t xml:space="preserve">    </w:t>
      </w:r>
    </w:p>
    <w:p w14:paraId="2088E0D5">
      <w:pPr>
        <w:adjustRightInd/>
        <w:spacing w:line="360" w:lineRule="auto"/>
        <w:jc w:val="center"/>
        <w:outlineLvl w:val="0"/>
        <w:rPr>
          <w:rFonts w:cs="宋体" w:asciiTheme="minorEastAsia" w:hAnsiTheme="minorEastAsia" w:eastAsiaTheme="minorEastAsia"/>
          <w:b/>
          <w:sz w:val="30"/>
          <w:szCs w:val="20"/>
          <w:highlight w:val="none"/>
        </w:rPr>
      </w:pPr>
      <w:r>
        <w:rPr>
          <w:rFonts w:hint="eastAsia" w:cs="宋体" w:asciiTheme="minorEastAsia" w:hAnsiTheme="minorEastAsia" w:eastAsiaTheme="minorEastAsia"/>
          <w:b/>
          <w:sz w:val="30"/>
          <w:szCs w:val="20"/>
          <w:highlight w:val="none"/>
        </w:rPr>
        <w:t>三、投标</w:t>
      </w:r>
    </w:p>
    <w:p w14:paraId="653256D6">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7. 招标文件的获取</w:t>
      </w:r>
    </w:p>
    <w:p w14:paraId="7A2CC8F1">
      <w:pPr>
        <w:spacing w:line="360" w:lineRule="auto"/>
        <w:ind w:firstLine="480" w:firstLineChars="20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详见招标公告中获取招标文件的时间期限、地点、方式及招标文件售价。</w:t>
      </w:r>
    </w:p>
    <w:p w14:paraId="40050FC4">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8.开标前答疑会或现场考察</w:t>
      </w:r>
    </w:p>
    <w:p w14:paraId="50F0E197">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采购人组织潜在投标人现场考察或者召开开标前答疑会的，潜在投标人按第二部分投标人须知前附表的规定参加现场考察或者开标前答疑会。</w:t>
      </w:r>
    </w:p>
    <w:p w14:paraId="5B211AF6">
      <w:pPr>
        <w:pStyle w:val="33"/>
        <w:spacing w:line="360" w:lineRule="auto"/>
        <w:rPr>
          <w:rFonts w:cs="宋体" w:asciiTheme="minorEastAsia" w:hAnsiTheme="minorEastAsia" w:eastAsiaTheme="minorEastAsia"/>
          <w:b/>
          <w:szCs w:val="24"/>
          <w:highlight w:val="none"/>
        </w:rPr>
      </w:pPr>
      <w:r>
        <w:rPr>
          <w:rFonts w:hint="eastAsia" w:cs="宋体" w:asciiTheme="minorEastAsia" w:hAnsiTheme="minorEastAsia" w:eastAsiaTheme="minorEastAsia"/>
          <w:b/>
          <w:kern w:val="28"/>
          <w:sz w:val="24"/>
          <w:szCs w:val="24"/>
          <w:highlight w:val="none"/>
        </w:rPr>
        <w:t>9.投标保证金</w:t>
      </w:r>
    </w:p>
    <w:p w14:paraId="06993F7C">
      <w:pPr>
        <w:pStyle w:val="15"/>
        <w:spacing w:line="360" w:lineRule="auto"/>
        <w:ind w:firstLine="470" w:firstLineChars="1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1067D890">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10. 投标文件的语言</w:t>
      </w:r>
    </w:p>
    <w:p w14:paraId="5B83D6A7">
      <w:pPr>
        <w:autoSpaceDE w:val="0"/>
        <w:autoSpaceDN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投标文件及投标人与采购有关的来往通知、函件和文件均应使用中文。</w:t>
      </w:r>
    </w:p>
    <w:p w14:paraId="334AC174">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11. 投标文件的组成</w:t>
      </w:r>
    </w:p>
    <w:p w14:paraId="5206379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hint="eastAsia" w:cs="宋体" w:asciiTheme="minorEastAsia" w:hAnsiTheme="minorEastAsia" w:eastAsiaTheme="minorEastAsia"/>
          <w:b/>
          <w:sz w:val="24"/>
          <w:highlight w:val="none"/>
        </w:rPr>
        <w:t>资格文件</w:t>
      </w:r>
      <w:r>
        <w:rPr>
          <w:rFonts w:hint="eastAsia" w:cs="宋体" w:asciiTheme="minorEastAsia" w:hAnsiTheme="minorEastAsia" w:eastAsiaTheme="minorEastAsia"/>
          <w:sz w:val="24"/>
          <w:highlight w:val="none"/>
        </w:rPr>
        <w:t>：</w:t>
      </w:r>
    </w:p>
    <w:p w14:paraId="76757B67">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11.1.1符合参加政府采购活动应当具备的一般条件的承诺函；</w:t>
      </w:r>
    </w:p>
    <w:p w14:paraId="3F3A5A1F">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1.1.2</w:t>
      </w:r>
      <w:r>
        <w:rPr>
          <w:rFonts w:hint="eastAsia" w:cs="宋体" w:asciiTheme="minorEastAsia" w:hAnsiTheme="minorEastAsia" w:eastAsiaTheme="minorEastAsia"/>
          <w:snapToGrid w:val="0"/>
          <w:kern w:val="28"/>
          <w:sz w:val="24"/>
          <w:szCs w:val="20"/>
          <w:highlight w:val="none"/>
        </w:rPr>
        <w:t>联合协议（如果有)；</w:t>
      </w:r>
    </w:p>
    <w:p w14:paraId="44EBE3F8">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w:t>
      </w:r>
    </w:p>
    <w:p w14:paraId="70BBB8CA">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14:paraId="0699DAD2">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14:paraId="39BF8EAD">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11.2.1投标函；</w:t>
      </w:r>
      <w:r>
        <w:rPr>
          <w:rFonts w:hint="eastAsia" w:cs="宋体" w:asciiTheme="minorEastAsia" w:hAnsiTheme="minorEastAsia" w:eastAsiaTheme="minorEastAsia"/>
          <w:sz w:val="24"/>
          <w:highlight w:val="none"/>
          <w:lang w:val="zh-CN"/>
        </w:rPr>
        <w:t xml:space="preserve"> </w:t>
      </w:r>
    </w:p>
    <w:p w14:paraId="6C783AA1">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11.2.2授权委托书或法定代表人（单位负责人、自然人本人）身份证明；</w:t>
      </w:r>
    </w:p>
    <w:p w14:paraId="1BB9DDCB">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14:paraId="25C9E602">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775E5337">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7117B9B1">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14:paraId="7AA3CC40">
      <w:pPr>
        <w:snapToGrid w:val="0"/>
        <w:spacing w:line="360" w:lineRule="auto"/>
        <w:ind w:firstLine="960" w:firstLineChars="4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14:paraId="1014099D">
      <w:pPr>
        <w:snapToGrid w:val="0"/>
        <w:spacing w:line="360" w:lineRule="auto"/>
        <w:ind w:firstLine="960" w:firstLineChars="400"/>
        <w:rPr>
          <w:rFonts w:hint="eastAsia" w:eastAsiaTheme="minorEastAsia"/>
          <w:highlight w:val="none"/>
          <w:lang w:eastAsia="zh-CN"/>
        </w:rPr>
      </w:pPr>
      <w:r>
        <w:rPr>
          <w:rFonts w:hint="eastAsia" w:cs="宋体" w:asciiTheme="minorEastAsia" w:hAnsiTheme="minorEastAsia" w:eastAsiaTheme="minorEastAsia"/>
          <w:sz w:val="24"/>
          <w:highlight w:val="none"/>
        </w:rPr>
        <w:t>11.2.</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近三年未发生违法违规行为行政处罚</w:t>
      </w:r>
      <w:r>
        <w:rPr>
          <w:rFonts w:hint="eastAsia" w:cs="宋体" w:asciiTheme="minorEastAsia" w:hAnsiTheme="minorEastAsia" w:eastAsiaTheme="minorEastAsia"/>
          <w:sz w:val="24"/>
          <w:highlight w:val="none"/>
          <w:lang w:eastAsia="zh-CN"/>
        </w:rPr>
        <w:t>承诺；</w:t>
      </w:r>
    </w:p>
    <w:p w14:paraId="739472A5">
      <w:pPr>
        <w:snapToGrid w:val="0"/>
        <w:spacing w:line="360" w:lineRule="auto"/>
        <w:ind w:firstLine="960" w:firstLineChars="4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9</w:t>
      </w:r>
      <w:r>
        <w:rPr>
          <w:rFonts w:hint="eastAsia" w:cs="宋体" w:asciiTheme="minorEastAsia" w:hAnsiTheme="minorEastAsia" w:eastAsiaTheme="minorEastAsia"/>
          <w:sz w:val="24"/>
          <w:highlight w:val="none"/>
          <w:lang w:val="zh-CN"/>
        </w:rPr>
        <w:t>政府采购供应商廉洁自律承诺书。</w:t>
      </w:r>
    </w:p>
    <w:p w14:paraId="75BB6691">
      <w:pPr>
        <w:snapToGrid w:val="0"/>
        <w:spacing w:line="360" w:lineRule="auto"/>
        <w:ind w:firstLine="480" w:firstLineChars="200"/>
        <w:rPr>
          <w:rFonts w:cs="宋体" w:asciiTheme="minorEastAsia" w:hAnsiTheme="minorEastAsia" w:eastAsiaTheme="minorEastAsia"/>
          <w:sz w:val="24"/>
          <w:highlight w:val="none"/>
          <w:u w:val="single"/>
          <w:lang w:val="zh-CN"/>
        </w:rPr>
      </w:pPr>
      <w:r>
        <w:rPr>
          <w:rFonts w:hint="eastAsia" w:cs="宋体" w:asciiTheme="minorEastAsia" w:hAnsiTheme="minorEastAsia" w:eastAsiaTheme="minorEastAsia"/>
          <w:kern w:val="0"/>
          <w:sz w:val="24"/>
          <w:highlight w:val="none"/>
          <w:lang w:val="zh-CN"/>
        </w:rPr>
        <w:t>11.</w:t>
      </w:r>
      <w:r>
        <w:rPr>
          <w:rFonts w:hint="eastAsia" w:cs="宋体" w:asciiTheme="minorEastAsia" w:hAnsiTheme="minorEastAsia" w:eastAsiaTheme="minorEastAsia"/>
          <w:kern w:val="0"/>
          <w:sz w:val="24"/>
          <w:highlight w:val="none"/>
        </w:rPr>
        <w:t>3</w:t>
      </w:r>
      <w:r>
        <w:rPr>
          <w:rFonts w:hint="eastAsia" w:cs="宋体" w:asciiTheme="minorEastAsia" w:hAnsiTheme="minorEastAsia" w:eastAsiaTheme="minorEastAsia"/>
          <w:b/>
          <w:sz w:val="24"/>
          <w:highlight w:val="none"/>
        </w:rPr>
        <w:t>报价文件：</w:t>
      </w:r>
      <w:r>
        <w:rPr>
          <w:rFonts w:hint="eastAsia" w:cs="宋体" w:asciiTheme="minorEastAsia" w:hAnsiTheme="minorEastAsia" w:eastAsiaTheme="minorEastAsia"/>
          <w:sz w:val="24"/>
          <w:highlight w:val="none"/>
        </w:rPr>
        <w:t xml:space="preserve"> </w:t>
      </w:r>
    </w:p>
    <w:p w14:paraId="755A9914">
      <w:pPr>
        <w:snapToGrid w:val="0"/>
        <w:spacing w:line="360" w:lineRule="auto"/>
        <w:ind w:firstLine="960" w:firstLineChars="4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11.3.1开标一览表（报价表）</w:t>
      </w:r>
      <w:r>
        <w:rPr>
          <w:rFonts w:hint="eastAsia" w:cs="宋体" w:asciiTheme="minorEastAsia" w:hAnsiTheme="minorEastAsia" w:eastAsiaTheme="minorEastAsia"/>
          <w:sz w:val="24"/>
          <w:highlight w:val="none"/>
          <w:lang w:eastAsia="zh-CN"/>
        </w:rPr>
        <w:t>。</w:t>
      </w:r>
    </w:p>
    <w:p w14:paraId="23BBA838">
      <w:pPr>
        <w:spacing w:line="360" w:lineRule="auto"/>
        <w:ind w:firstLine="723" w:firstLineChars="3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投标文件含有采购人不能接受的附加条件的，投标无效；</w:t>
      </w:r>
    </w:p>
    <w:p w14:paraId="728D9EE8">
      <w:pPr>
        <w:spacing w:line="360" w:lineRule="auto"/>
        <w:ind w:firstLine="723" w:firstLineChars="300"/>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投标人提供虚假材料投标的，投标无效</w:t>
      </w:r>
      <w:r>
        <w:rPr>
          <w:rFonts w:hint="eastAsia" w:cs="宋体" w:asciiTheme="minorEastAsia" w:hAnsiTheme="minorEastAsia" w:eastAsiaTheme="minorEastAsia"/>
          <w:b/>
          <w:sz w:val="24"/>
          <w:highlight w:val="none"/>
          <w:lang w:eastAsia="zh-CN"/>
        </w:rPr>
        <w:t>；</w:t>
      </w:r>
    </w:p>
    <w:p w14:paraId="5BD449DA">
      <w:pPr>
        <w:spacing w:line="360" w:lineRule="auto"/>
        <w:ind w:firstLine="723" w:firstLineChars="300"/>
      </w:pPr>
      <w:r>
        <w:rPr>
          <w:rFonts w:hint="eastAsia"/>
          <w:b/>
          <w:bCs/>
          <w:color w:val="auto"/>
          <w:sz w:val="24"/>
          <w:szCs w:val="24"/>
          <w:highlight w:val="none"/>
          <w:shd w:val="clear" w:color="auto" w:fill="FFFFFF"/>
          <w:lang w:val="en-US" w:eastAsia="zh-CN"/>
        </w:rPr>
        <w:t>投标人应对投标文件中材料的真实性、合法性负责。</w:t>
      </w:r>
    </w:p>
    <w:p w14:paraId="7381DDC2">
      <w:pPr>
        <w:pStyle w:val="129"/>
        <w:snapToGrid w:val="0"/>
        <w:spacing w:before="0"/>
        <w:ind w:firstLine="0" w:firstLineChars="0"/>
        <w:outlineLvl w:val="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12</w:t>
      </w:r>
      <w:r>
        <w:rPr>
          <w:rFonts w:hint="eastAsia" w:cs="宋体" w:asciiTheme="minorEastAsia" w:hAnsiTheme="minorEastAsia" w:eastAsiaTheme="minorEastAsia"/>
          <w:b/>
          <w:kern w:val="0"/>
          <w:szCs w:val="24"/>
          <w:highlight w:val="none"/>
          <w:lang w:val="zh-CN"/>
        </w:rPr>
        <w:t xml:space="preserve">. </w:t>
      </w:r>
      <w:r>
        <w:rPr>
          <w:rFonts w:hint="eastAsia" w:cs="宋体" w:asciiTheme="minorEastAsia" w:hAnsiTheme="minorEastAsia" w:eastAsiaTheme="minorEastAsia"/>
          <w:b/>
          <w:szCs w:val="24"/>
          <w:highlight w:val="none"/>
        </w:rPr>
        <w:t>投标文件的编制</w:t>
      </w:r>
    </w:p>
    <w:p w14:paraId="127B093E">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7D6F58">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A8457B">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12.3使用“政采云电子交易客户端”需要提前申领CA数字证书，申领流程请自行前往“浙江政府采购网-下载专区-电子交易客户端-CA驱动和申领流程”进行查阅。</w:t>
      </w:r>
    </w:p>
    <w:p w14:paraId="37C73A07">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13.投标文件的签署、盖章</w:t>
      </w:r>
    </w:p>
    <w:p w14:paraId="12672CC5">
      <w:pPr>
        <w:pStyle w:val="129"/>
        <w:snapToGrid w:val="0"/>
        <w:spacing w:before="0"/>
        <w:ind w:firstLine="480"/>
        <w:rPr>
          <w:rFonts w:cs="宋体" w:asciiTheme="minorEastAsia" w:hAnsiTheme="minorEastAsia" w:eastAsiaTheme="minorEastAsia"/>
          <w:b/>
          <w:highlight w:val="none"/>
        </w:rPr>
      </w:pPr>
      <w:r>
        <w:rPr>
          <w:rFonts w:hint="eastAsia" w:cs="宋体" w:asciiTheme="minorEastAsia" w:hAnsiTheme="minorEastAsia" w:eastAsiaTheme="minorEastAsia"/>
          <w:szCs w:val="24"/>
          <w:highlight w:val="none"/>
        </w:rPr>
        <w:t>13.1投标文件按照招标文件第六部分格式要</w:t>
      </w:r>
      <w:r>
        <w:rPr>
          <w:rFonts w:hint="eastAsia" w:cs="宋体" w:asciiTheme="minorEastAsia" w:hAnsiTheme="minorEastAsia" w:eastAsiaTheme="minorEastAsia"/>
          <w:highlight w:val="none"/>
        </w:rPr>
        <w:t>求进行签署、盖章。</w:t>
      </w:r>
      <w:r>
        <w:rPr>
          <w:rFonts w:hint="eastAsia" w:cs="宋体" w:asciiTheme="minorEastAsia" w:hAnsiTheme="minorEastAsia" w:eastAsiaTheme="minorEastAsia"/>
          <w:b/>
          <w:highlight w:val="none"/>
        </w:rPr>
        <w:t>▲投标人的投标文件未按照招标文件要求签署、盖章的，其投标无效</w:t>
      </w:r>
      <w:r>
        <w:rPr>
          <w:rFonts w:hint="eastAsia" w:cs="宋体" w:asciiTheme="minorEastAsia" w:hAnsiTheme="minorEastAsia" w:eastAsiaTheme="minorEastAsia"/>
          <w:szCs w:val="24"/>
          <w:highlight w:val="none"/>
        </w:rPr>
        <w:t>。</w:t>
      </w:r>
    </w:p>
    <w:p w14:paraId="1AB48C30">
      <w:pPr>
        <w:pStyle w:val="129"/>
        <w:snapToGrid w:val="0"/>
        <w:spacing w:before="0" w:line="360" w:lineRule="auto"/>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13.2为确保网上操作合法、有效和安全，投标人应当在投标截止时间前完成在“政府采购云平台”的身份认证，确保在电子投标过程中能够对相关数据电文进行加密和使用电子签名。</w:t>
      </w:r>
    </w:p>
    <w:p w14:paraId="5C8FF2D9">
      <w:pPr>
        <w:pStyle w:val="129"/>
        <w:snapToGrid w:val="0"/>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13.3招标文件对投标文件签署、盖章的要求适用于电子签名。</w:t>
      </w:r>
    </w:p>
    <w:p w14:paraId="655DCD25">
      <w:pPr>
        <w:pStyle w:val="129"/>
        <w:spacing w:before="0" w:line="360" w:lineRule="auto"/>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14. 投标文件的提交、补充、修改、撤回</w:t>
      </w:r>
    </w:p>
    <w:p w14:paraId="2C796237">
      <w:pPr>
        <w:pStyle w:val="129"/>
        <w:spacing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2023487">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A8CA6D9">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C89CF56">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15.备份投标文件</w:t>
      </w:r>
    </w:p>
    <w:p w14:paraId="679B7067">
      <w:pPr>
        <w:pStyle w:val="33"/>
        <w:spacing w:line="360" w:lineRule="auto"/>
        <w:ind w:firstLine="360" w:firstLineChars="15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highlight w:val="none"/>
        </w:rPr>
        <w:t>但采购人、采购机构不强制或变相强制投标人提交备份投标文件。</w:t>
      </w:r>
    </w:p>
    <w:p w14:paraId="2F7A3D2B">
      <w:pPr>
        <w:pStyle w:val="33"/>
        <w:spacing w:line="360" w:lineRule="auto"/>
        <w:ind w:firstLine="480" w:firstLineChars="20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15.2备份投标文件须在“政采云投标客户端”制作生成，并储存在</w:t>
      </w:r>
      <w:r>
        <w:rPr>
          <w:rFonts w:hint="eastAsia" w:cs="宋体" w:asciiTheme="minorEastAsia" w:hAnsiTheme="minorEastAsia" w:eastAsiaTheme="minorEastAsia"/>
          <w:sz w:val="24"/>
          <w:highlight w:val="none"/>
        </w:rPr>
        <w:t>DVD光盘</w:t>
      </w:r>
      <w:r>
        <w:rPr>
          <w:rFonts w:hint="eastAsia" w:cs="宋体" w:asciiTheme="minorEastAsia" w:hAnsiTheme="minorEastAsia" w:eastAsiaTheme="minorEastAsia"/>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highlight w:val="none"/>
        </w:rPr>
        <w:t>不符合上述制作、</w:t>
      </w:r>
      <w:r>
        <w:rPr>
          <w:rFonts w:hint="eastAsia" w:cs="宋体" w:asciiTheme="minorEastAsia" w:hAnsiTheme="minorEastAsia" w:eastAsiaTheme="minorEastAsia"/>
          <w:b/>
          <w:sz w:val="24"/>
          <w:szCs w:val="24"/>
          <w:highlight w:val="none"/>
        </w:rPr>
        <w:t>存储、密封规定的备份投标文件将被视为无效或者被拒绝接收。</w:t>
      </w:r>
    </w:p>
    <w:p w14:paraId="00F501EE">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17A5F40">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highlight w:val="none"/>
        </w:rPr>
        <w:t>招标文件第二部分投标人须知前附表规定的备份投标文件送达地点；</w:t>
      </w:r>
      <w:r>
        <w:rPr>
          <w:rFonts w:hint="eastAsia" w:cs="宋体" w:asciiTheme="minorEastAsia" w:hAnsiTheme="minorEastAsia" w:eastAsiaTheme="minorEastAsia"/>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93B6FE1">
      <w:pPr>
        <w:pStyle w:val="33"/>
        <w:spacing w:line="360" w:lineRule="auto"/>
        <w:ind w:firstLine="479" w:firstLineChars="199"/>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15.5投标人仅提交备份投标文件，未在电子交易平台传输递交投标文件的，投标无效。</w:t>
      </w:r>
    </w:p>
    <w:p w14:paraId="30D50BE8">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16.投标文件的无效处理</w:t>
      </w:r>
    </w:p>
    <w:p w14:paraId="39554B3C">
      <w:pPr>
        <w:pStyle w:val="25"/>
        <w:spacing w:line="360" w:lineRule="auto"/>
        <w:ind w:firstLine="360" w:firstLineChars="1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有招标文件第四部分</w:t>
      </w:r>
      <w:r>
        <w:rPr>
          <w:rFonts w:cs="宋体" w:asciiTheme="minorEastAsia" w:hAnsiTheme="minorEastAsia" w:eastAsiaTheme="minorEastAsia"/>
          <w:szCs w:val="21"/>
          <w:highlight w:val="none"/>
        </w:rPr>
        <w:t>4.2规定</w:t>
      </w:r>
      <w:r>
        <w:rPr>
          <w:rFonts w:hint="eastAsia" w:cs="宋体" w:asciiTheme="minorEastAsia" w:hAnsiTheme="minorEastAsia" w:eastAsiaTheme="minorEastAsia"/>
          <w:szCs w:val="21"/>
          <w:highlight w:val="none"/>
        </w:rPr>
        <w:t>的情形之一的，投标无效：</w:t>
      </w:r>
    </w:p>
    <w:p w14:paraId="3B04D992">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17.投标有效期</w:t>
      </w:r>
    </w:p>
    <w:p w14:paraId="5BAF9FB3">
      <w:pPr>
        <w:spacing w:line="360" w:lineRule="auto"/>
        <w:ind w:firstLine="480" w:firstLineChars="200"/>
        <w:rPr>
          <w:rFonts w:cs="宋体" w:asciiTheme="minorEastAsia" w:hAnsiTheme="minorEastAsia" w:eastAsiaTheme="minorEastAsia"/>
          <w:b/>
          <w:sz w:val="24"/>
          <w:szCs w:val="21"/>
          <w:highlight w:val="none"/>
        </w:rPr>
      </w:pPr>
      <w:r>
        <w:rPr>
          <w:rFonts w:hint="eastAsia" w:cs="宋体" w:asciiTheme="minorEastAsia" w:hAnsiTheme="minorEastAsia" w:eastAsiaTheme="minorEastAsia"/>
          <w:sz w:val="24"/>
          <w:szCs w:val="20"/>
          <w:highlight w:val="none"/>
        </w:rPr>
        <w:t>17.1投标有效期为从提交投标文件的截止之日起90天。▲</w:t>
      </w:r>
      <w:r>
        <w:rPr>
          <w:rFonts w:hint="eastAsia" w:cs="宋体" w:asciiTheme="minorEastAsia" w:hAnsiTheme="minorEastAsia" w:eastAsiaTheme="minorEastAsia"/>
          <w:b/>
          <w:sz w:val="24"/>
          <w:szCs w:val="20"/>
          <w:highlight w:val="none"/>
        </w:rPr>
        <w:t>投标人的投标文件中承</w:t>
      </w:r>
      <w:r>
        <w:rPr>
          <w:rFonts w:hint="eastAsia" w:cs="宋体" w:asciiTheme="minorEastAsia" w:hAnsiTheme="minorEastAsia" w:eastAsiaTheme="minorEastAsia"/>
          <w:b/>
          <w:sz w:val="24"/>
          <w:szCs w:val="21"/>
          <w:highlight w:val="none"/>
        </w:rPr>
        <w:t>诺的投标有效期少于招标文件中载明的投标有效期的，投标无效。</w:t>
      </w:r>
    </w:p>
    <w:p w14:paraId="30067A79">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17.2投标文件合格投递后，自投标截止日期起，在投标有效期内有效。</w:t>
      </w:r>
    </w:p>
    <w:p w14:paraId="3FC98A90">
      <w:pPr>
        <w:pStyle w:val="129"/>
        <w:spacing w:before="0"/>
        <w:ind w:firstLine="48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2FF813A">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17.4在投标截止时间起至投标有效期届满，供应商投标文件不可撤销。</w:t>
      </w:r>
    </w:p>
    <w:p w14:paraId="56F98714">
      <w:pPr>
        <w:pStyle w:val="129"/>
        <w:spacing w:before="0"/>
        <w:ind w:firstLine="643"/>
        <w:rPr>
          <w:rFonts w:cs="宋体" w:asciiTheme="minorEastAsia" w:hAnsiTheme="minorEastAsia" w:eastAsiaTheme="minorEastAsia"/>
          <w:b/>
          <w:sz w:val="32"/>
          <w:highlight w:val="none"/>
        </w:rPr>
      </w:pPr>
    </w:p>
    <w:p w14:paraId="5DDB3624">
      <w:pPr>
        <w:pStyle w:val="129"/>
        <w:spacing w:before="0"/>
        <w:ind w:firstLine="1928" w:firstLineChars="600"/>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四、开标、资格审查与信用信息查询</w:t>
      </w:r>
    </w:p>
    <w:p w14:paraId="660FA0C6">
      <w:pPr>
        <w:pStyle w:val="555"/>
        <w:spacing w:before="0" w:line="360" w:lineRule="auto"/>
        <w:ind w:left="0" w:leftChars="0" w:firstLine="0" w:firstLineChars="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b/>
          <w:sz w:val="24"/>
          <w:szCs w:val="24"/>
          <w:highlight w:val="none"/>
        </w:rPr>
        <w:t>18.开标</w:t>
      </w:r>
      <w:r>
        <w:rPr>
          <w:rFonts w:hint="eastAsia" w:cs="宋体" w:asciiTheme="minorEastAsia" w:hAnsiTheme="minorEastAsia" w:eastAsiaTheme="minorEastAsia"/>
          <w:sz w:val="24"/>
          <w:highlight w:val="none"/>
        </w:rPr>
        <w:t xml:space="preserve"> </w:t>
      </w:r>
    </w:p>
    <w:p w14:paraId="548597EE">
      <w:pPr>
        <w:pStyle w:val="555"/>
        <w:spacing w:before="0" w:line="360" w:lineRule="auto"/>
        <w:ind w:left="0"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18.1采购机构按照招标文件规定的时间通过电子交易平台组织开标，所有投标人均应当准时在线参加。投标人不足3家的，不得开标。</w:t>
      </w:r>
    </w:p>
    <w:p w14:paraId="195F237E">
      <w:pPr>
        <w:pStyle w:val="555"/>
        <w:spacing w:before="0" w:line="360" w:lineRule="auto"/>
        <w:ind w:left="0" w:firstLine="240" w:firstLineChars="1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25AECE3">
      <w:pPr>
        <w:pStyle w:val="555"/>
        <w:spacing w:before="0" w:line="360" w:lineRule="auto"/>
        <w:ind w:left="0" w:firstLine="240" w:firstLineChars="1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　18.3</w:t>
      </w:r>
      <w:r>
        <w:rPr>
          <w:rFonts w:hint="eastAsia" w:cs="宋体" w:asciiTheme="minorEastAsia" w:hAnsiTheme="minorEastAsia" w:eastAsiaTheme="minorEastAsia"/>
          <w:b/>
          <w:sz w:val="24"/>
          <w:highlight w:val="none"/>
        </w:rPr>
        <w:t>投标文件未按时解密，投标人提供了备份投标文件的，以备份投标文件作为依据，否则视为投标文件撤回。投标文件已按时解密的，备份投标文件自动失效。</w:t>
      </w:r>
    </w:p>
    <w:p w14:paraId="265CB76C">
      <w:pPr>
        <w:pStyle w:val="555"/>
        <w:spacing w:before="0" w:line="360" w:lineRule="auto"/>
        <w:ind w:left="0" w:leftChars="0" w:firstLine="0" w:firstLineChars="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4BB7516A">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64F7848F">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E1305E8">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5880E7D1">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6D1A718">
      <w:pPr>
        <w:pStyle w:val="129"/>
        <w:spacing w:before="0"/>
        <w:ind w:firstLine="480"/>
        <w:rPr>
          <w:rFonts w:hint="eastAsia" w:ascii="宋体" w:hAnsi="宋体" w:cs="宋体"/>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1458C54">
      <w:pPr>
        <w:pStyle w:val="129"/>
        <w:spacing w:before="0"/>
        <w:ind w:left="0" w:leftChars="0"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20、信用信息查询</w:t>
      </w:r>
    </w:p>
    <w:p w14:paraId="1A605F00">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20.1信用信息查询渠道及截止时间：采购机构将在资格审查时通过“信用中国”网站(www.creditchina.gov.cn)、中国政府采购网(www.ccgp.gov.cn)渠道查询投标人接受资格时的信用记录。</w:t>
      </w:r>
    </w:p>
    <w:p w14:paraId="66962F54">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20.2信用信息查询记录和证据留存的具体方式：现场查询的投标人的信用记录、查询结果经确认后将与采购文件一起存档。</w:t>
      </w:r>
    </w:p>
    <w:p w14:paraId="3C04CDEB">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20.3信用信息的使用规则：经查询列入失信被执行人名单、重大税收违法案件当事人名单、政府采购严重违法失信行为记录名单的投标人将被拒绝参与政府采购活动。</w:t>
      </w:r>
    </w:p>
    <w:p w14:paraId="7BEDABC1">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highlight w:val="none"/>
        </w:rPr>
        <w:t>。</w:t>
      </w:r>
    </w:p>
    <w:p w14:paraId="41596EB1">
      <w:pPr>
        <w:pStyle w:val="129"/>
        <w:spacing w:before="0"/>
        <w:ind w:firstLine="0" w:firstLineChars="0"/>
        <w:rPr>
          <w:rFonts w:cs="宋体" w:asciiTheme="minorEastAsia" w:hAnsiTheme="minorEastAsia" w:eastAsiaTheme="minorEastAsia"/>
          <w:kern w:val="0"/>
          <w:szCs w:val="24"/>
          <w:highlight w:val="none"/>
        </w:rPr>
      </w:pPr>
    </w:p>
    <w:p w14:paraId="5707E7B2">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五、评标</w:t>
      </w:r>
    </w:p>
    <w:p w14:paraId="79848F34">
      <w:pPr>
        <w:spacing w:line="360" w:lineRule="auto"/>
        <w:rPr>
          <w:rFonts w:cs="宋体" w:asciiTheme="minorEastAsia" w:hAnsiTheme="minorEastAsia" w:eastAsiaTheme="minorEastAsia"/>
          <w:b/>
          <w:sz w:val="24"/>
          <w:highlight w:val="none"/>
        </w:rPr>
      </w:pPr>
      <w:bookmarkStart w:id="25" w:name="_Toc91899903"/>
      <w:r>
        <w:rPr>
          <w:rFonts w:hint="eastAsia" w:cs="宋体" w:asciiTheme="minorEastAsia" w:hAnsiTheme="minorEastAsia" w:eastAsiaTheme="minorEastAsia"/>
          <w:b/>
          <w:sz w:val="24"/>
          <w:highlight w:val="none"/>
        </w:rPr>
        <w:t>21.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highlight w:val="none"/>
        </w:rPr>
        <w:t>详见招标文件第四部分评标办法。</w:t>
      </w:r>
    </w:p>
    <w:p w14:paraId="2AE5DB87">
      <w:pPr>
        <w:spacing w:line="360" w:lineRule="auto"/>
        <w:rPr>
          <w:rFonts w:cs="宋体" w:asciiTheme="minorEastAsia" w:hAnsiTheme="minorEastAsia" w:eastAsiaTheme="minorEastAsia"/>
          <w:b/>
          <w:sz w:val="24"/>
          <w:highlight w:val="none"/>
        </w:rPr>
      </w:pPr>
    </w:p>
    <w:p w14:paraId="40E1C105">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六、定 标</w:t>
      </w:r>
    </w:p>
    <w:p w14:paraId="79A83A4B">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22. 确定中标供应商</w:t>
      </w:r>
    </w:p>
    <w:p w14:paraId="2CBE5581">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3062C201">
      <w:pPr>
        <w:pStyle w:val="129"/>
        <w:snapToGrid w:val="0"/>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23. 中标通知与中标结果公告</w:t>
      </w:r>
    </w:p>
    <w:p w14:paraId="73C25415">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23.1自中标人确定之日起2个工作日内，采购机构通过电子交易平台向中标人发出中标通知书，同时编制发布采购结果公告。采购机构也可以以纸质形式进行中标通知。</w:t>
      </w:r>
    </w:p>
    <w:p w14:paraId="2FCBC30E">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26" w:name="_Hlk101184471"/>
      <w:r>
        <w:rPr>
          <w:rFonts w:hint="eastAsia" w:cs="宋体" w:asciiTheme="minorEastAsia" w:hAnsiTheme="minorEastAsia" w:eastAsiaTheme="minorEastAsia"/>
          <w:sz w:val="24"/>
          <w:highlight w:val="none"/>
        </w:rPr>
        <w:t>资格审查情况、评审专家抽取规则、符合性审查情况、</w:t>
      </w:r>
      <w:bookmarkEnd w:id="26"/>
      <w:r>
        <w:rPr>
          <w:rFonts w:hint="eastAsia" w:cs="宋体" w:asciiTheme="minorEastAsia" w:hAnsiTheme="minorEastAsia" w:eastAsiaTheme="minorEastAsia"/>
          <w:sz w:val="24"/>
          <w:highlight w:val="none"/>
        </w:rPr>
        <w:t>未中标情况说明、中标公告期限以及评审专家名单、评分汇总及明细。</w:t>
      </w:r>
    </w:p>
    <w:p w14:paraId="773C3D61">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23.3公告期限为1个工作日。</w:t>
      </w:r>
    </w:p>
    <w:p w14:paraId="57354241">
      <w:pPr>
        <w:spacing w:line="360" w:lineRule="auto"/>
        <w:rPr>
          <w:rFonts w:cs="宋体" w:asciiTheme="minorEastAsia" w:hAnsiTheme="minorEastAsia" w:eastAsiaTheme="minorEastAsia"/>
          <w:b/>
          <w:sz w:val="24"/>
          <w:highlight w:val="none"/>
        </w:rPr>
      </w:pPr>
    </w:p>
    <w:p w14:paraId="06EE3748">
      <w:pPr>
        <w:snapToGrid w:val="0"/>
        <w:spacing w:line="360" w:lineRule="auto"/>
        <w:ind w:left="120" w:leftChars="57" w:firstLine="482" w:firstLineChars="150"/>
        <w:jc w:val="center"/>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七、合同授予</w:t>
      </w:r>
    </w:p>
    <w:p w14:paraId="673CEECE">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 xml:space="preserve">24. </w:t>
      </w:r>
      <w:r>
        <w:rPr>
          <w:rFonts w:hint="eastAsia" w:cs="宋体" w:asciiTheme="minorEastAsia" w:hAnsiTheme="minorEastAsia" w:eastAsiaTheme="minorEastAsia"/>
          <w:highlight w:val="none"/>
        </w:rPr>
        <w:t>合同主要条款详见第五部分拟签订的合同文本。</w:t>
      </w:r>
    </w:p>
    <w:p w14:paraId="290BF57C">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25. 合同的签订</w:t>
      </w:r>
    </w:p>
    <w:p w14:paraId="2EECECE1">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25.1</w:t>
      </w:r>
      <w:r>
        <w:rPr>
          <w:rFonts w:hint="eastAsia" w:cs="宋体" w:asciiTheme="minorEastAsia" w:hAnsiTheme="minorEastAsia" w:eastAsiaTheme="minorEastAsia"/>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8DCAD0">
      <w:pPr>
        <w:pStyle w:val="129"/>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62C3CCB">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25.3如签订合同并生效后，供应商无故拒绝或延期，除按照合同条款处理外，列入不良行为记录一次，并给予通报。</w:t>
      </w:r>
    </w:p>
    <w:p w14:paraId="174097FF">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25.4中标供应商拒绝与采购人签订合同的，采购人可以按照评审报告推荐的中标或者成交候选人名单排序，确定下一候选人为中标供应商，也可以重新开展政府采购活动。</w:t>
      </w:r>
    </w:p>
    <w:p w14:paraId="22EE66DD">
      <w:pPr>
        <w:pStyle w:val="129"/>
        <w:snapToGrid w:val="0"/>
        <w:spacing w:before="0" w:after="12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25.5采购合同由采购人与中标供应商根据招标文件、投标文件等内容通过政府采购电子交易平台在线签订，自动备案。</w:t>
      </w:r>
    </w:p>
    <w:p w14:paraId="373F8285">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26. 履约保证金</w:t>
      </w:r>
    </w:p>
    <w:p w14:paraId="4D07C492">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w:t>
      </w:r>
      <w:r>
        <w:rPr>
          <w:rFonts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0B49BD46">
      <w:pPr>
        <w:pStyle w:val="3"/>
        <w:ind w:left="0" w:firstLine="480" w:firstLineChars="200"/>
        <w:rPr>
          <w:rFonts w:hint="eastAsia" w:cs="宋体" w:asciiTheme="minorEastAsia" w:hAnsiTheme="minorEastAsia" w:eastAsiaTheme="minorEastAsia"/>
          <w:b w:val="0"/>
          <w:bCs w:val="0"/>
          <w:snapToGrid w:val="0"/>
          <w:kern w:val="28"/>
          <w:sz w:val="24"/>
          <w:highlight w:val="none"/>
        </w:rPr>
      </w:pPr>
      <w:r>
        <w:rPr>
          <w:rFonts w:hint="eastAsia" w:cs="宋体" w:asciiTheme="minorEastAsia" w:hAnsiTheme="minorEastAsia" w:eastAsiaTheme="minorEastAsia"/>
          <w:b w:val="0"/>
          <w:bCs w:val="0"/>
          <w:snapToGrid w:val="0"/>
          <w:kern w:val="28"/>
          <w:sz w:val="24"/>
          <w:highlight w:val="none"/>
        </w:rPr>
        <w:t>供应商</w:t>
      </w:r>
      <w:r>
        <w:rPr>
          <w:rFonts w:hint="eastAsia" w:cs="宋体" w:asciiTheme="minorEastAsia" w:hAnsiTheme="minorEastAsia" w:eastAsiaTheme="minorEastAsia"/>
          <w:b w:val="0"/>
          <w:bCs w:val="0"/>
          <w:snapToGrid w:val="0"/>
          <w:kern w:val="28"/>
          <w:sz w:val="24"/>
          <w:highlight w:val="none"/>
          <w:lang w:val="en-US"/>
        </w:rPr>
        <w:t>可</w:t>
      </w:r>
      <w:r>
        <w:rPr>
          <w:rFonts w:hint="eastAsia" w:cs="宋体" w:asciiTheme="minorEastAsia" w:hAnsiTheme="minorEastAsia" w:eastAsiaTheme="minor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0E5746">
      <w:pPr>
        <w:pStyle w:val="3"/>
        <w:rPr>
          <w:highlight w:val="none"/>
        </w:rPr>
      </w:pPr>
      <w:r>
        <w:rPr>
          <w:rFonts w:ascii="宋体" w:hAnsi="宋体" w:eastAsia="宋体"/>
          <w:b/>
          <w:bCs/>
          <w:sz w:val="24"/>
          <w:szCs w:val="32"/>
          <w:highlight w:val="none"/>
          <w:lang w:val="en-US"/>
        </w:rPr>
        <w:t>27.预付款</w:t>
      </w:r>
    </w:p>
    <w:p w14:paraId="4D7B9023">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7B6DC91">
      <w:pPr>
        <w:rPr>
          <w:highlight w:val="none"/>
          <w:lang w:val="en-US"/>
        </w:rPr>
      </w:pPr>
    </w:p>
    <w:p w14:paraId="092AF9EF">
      <w:pPr>
        <w:snapToGrid w:val="0"/>
        <w:spacing w:line="360" w:lineRule="auto"/>
        <w:ind w:firstLine="3357" w:firstLineChars="1045"/>
        <w:rPr>
          <w:rFonts w:cs="宋体" w:asciiTheme="minorEastAsia" w:hAnsiTheme="minorEastAsia" w:eastAsiaTheme="minorEastAsia"/>
          <w:b/>
          <w:sz w:val="32"/>
          <w:highlight w:val="none"/>
        </w:rPr>
      </w:pPr>
    </w:p>
    <w:p w14:paraId="4674A323">
      <w:pPr>
        <w:snapToGrid w:val="0"/>
        <w:spacing w:line="360" w:lineRule="auto"/>
        <w:ind w:firstLine="3357" w:firstLineChars="1045"/>
        <w:rPr>
          <w:rFonts w:cs="宋体" w:asciiTheme="minorEastAsia" w:hAnsiTheme="minorEastAsia" w:eastAsiaTheme="minorEastAsia"/>
          <w:b/>
          <w:sz w:val="24"/>
          <w:highlight w:val="none"/>
        </w:rPr>
      </w:pPr>
      <w:r>
        <w:rPr>
          <w:rFonts w:hint="eastAsia" w:cs="宋体" w:asciiTheme="minorEastAsia" w:hAnsiTheme="minorEastAsia" w:eastAsiaTheme="minorEastAsia"/>
          <w:b/>
          <w:sz w:val="32"/>
          <w:highlight w:val="none"/>
        </w:rPr>
        <w:t>八、电子交易活动的中止</w:t>
      </w:r>
    </w:p>
    <w:p w14:paraId="0BD56339">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b/>
          <w:szCs w:val="24"/>
          <w:highlight w:val="none"/>
          <w:lang w:val="en-US" w:eastAsia="zh-CN"/>
        </w:rPr>
        <w:t>8</w:t>
      </w:r>
      <w:r>
        <w:rPr>
          <w:rFonts w:hint="eastAsia" w:cs="宋体" w:asciiTheme="minorEastAsia" w:hAnsiTheme="minorEastAsia" w:eastAsiaTheme="minorEastAsia"/>
          <w:b/>
          <w:szCs w:val="24"/>
          <w:highlight w:val="none"/>
        </w:rPr>
        <w:t>. 电子交易活动的中止。</w:t>
      </w:r>
      <w:r>
        <w:rPr>
          <w:rFonts w:hint="eastAsia" w:cs="宋体" w:asciiTheme="minorEastAsia" w:hAnsiTheme="minorEastAsia" w:eastAsiaTheme="minorEastAsia"/>
          <w:highlight w:val="none"/>
        </w:rPr>
        <w:t>采购过程中出现以下情形，导致电子交易平台无法正常运行，或者无法保证电子交易的公平、公正和安全时，采购机构可中止电子交易活动：</w:t>
      </w:r>
    </w:p>
    <w:p w14:paraId="3993A790">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.1电子交易平台发生故障而无法登录访问的； </w:t>
      </w:r>
    </w:p>
    <w:p w14:paraId="49DF93B9">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.2电子交易平台应用或数据库出现错误，不能进行正常操作的；</w:t>
      </w:r>
    </w:p>
    <w:p w14:paraId="64282E0C">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.3电子交易平台发现严重安全漏洞，有潜在泄密危险的；</w:t>
      </w:r>
    </w:p>
    <w:p w14:paraId="57ED31EF">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.4病毒发作导致不能进行正常操作的； </w:t>
      </w:r>
    </w:p>
    <w:p w14:paraId="3F57B6FE">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.5其他无法保证电子交易的公平、公正和安全的情况。</w:t>
      </w:r>
    </w:p>
    <w:p w14:paraId="086ECB88">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 2</w:t>
      </w:r>
      <w:r>
        <w:rPr>
          <w:rFonts w:hint="default" w:cs="宋体" w:asciiTheme="minorEastAsia" w:hAnsiTheme="minorEastAsia" w:eastAsiaTheme="minorEastAsia"/>
          <w:highlight w:val="none"/>
          <w:lang w:val="en-US"/>
        </w:rPr>
        <w:t>9</w:t>
      </w:r>
      <w:r>
        <w:rPr>
          <w:rFonts w:hint="eastAsia" w:cs="宋体" w:asciiTheme="minorEastAsia" w:hAnsiTheme="minorEastAsia" w:eastAsiaTheme="minorEastAsia"/>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798EF53">
      <w:pPr>
        <w:tabs>
          <w:tab w:val="left" w:pos="0"/>
        </w:tabs>
        <w:spacing w:line="360" w:lineRule="auto"/>
        <w:ind w:firstLine="480"/>
        <w:rPr>
          <w:rFonts w:cs="宋体" w:asciiTheme="minorEastAsia" w:hAnsiTheme="minorEastAsia" w:eastAsiaTheme="minorEastAsia"/>
          <w:sz w:val="24"/>
          <w:highlight w:val="none"/>
        </w:rPr>
      </w:pPr>
    </w:p>
    <w:bookmarkEnd w:id="23"/>
    <w:bookmarkEnd w:id="24"/>
    <w:bookmarkEnd w:id="25"/>
    <w:p w14:paraId="58E722F1">
      <w:pPr>
        <w:snapToGrid w:val="0"/>
        <w:spacing w:line="360" w:lineRule="auto"/>
        <w:ind w:left="120" w:leftChars="57" w:firstLine="482" w:firstLineChars="150"/>
        <w:jc w:val="center"/>
        <w:rPr>
          <w:rFonts w:ascii="宋体" w:hAnsi="宋体" w:cs="宋体"/>
          <w:b/>
          <w:sz w:val="32"/>
          <w:highlight w:val="none"/>
        </w:rPr>
      </w:pPr>
      <w:bookmarkStart w:id="27" w:name="第四部分"/>
      <w:r>
        <w:rPr>
          <w:rFonts w:hint="eastAsia" w:ascii="宋体" w:hAnsi="宋体" w:cs="宋体"/>
          <w:b/>
          <w:sz w:val="32"/>
          <w:highlight w:val="none"/>
        </w:rPr>
        <w:t>九、验收</w:t>
      </w:r>
    </w:p>
    <w:p w14:paraId="6F8C15A0">
      <w:pPr>
        <w:pStyle w:val="25"/>
        <w:spacing w:line="360" w:lineRule="auto"/>
        <w:ind w:firstLine="0" w:firstLineChars="0"/>
        <w:rPr>
          <w:rFonts w:cs="宋体"/>
          <w:b/>
          <w:highlight w:val="none"/>
        </w:rPr>
      </w:pPr>
      <w:r>
        <w:rPr>
          <w:rFonts w:hint="eastAsia" w:cs="宋体"/>
          <w:b/>
          <w:highlight w:val="none"/>
        </w:rPr>
        <w:t>30.验收</w:t>
      </w:r>
    </w:p>
    <w:p w14:paraId="3BE6ADD3">
      <w:pPr>
        <w:tabs>
          <w:tab w:val="left" w:pos="0"/>
        </w:tabs>
        <w:spacing w:line="360" w:lineRule="auto"/>
        <w:ind w:firstLine="480"/>
        <w:rPr>
          <w:rFonts w:ascii="宋体" w:hAnsi="宋体" w:cs="宋体"/>
          <w:kern w:val="0"/>
          <w:sz w:val="24"/>
        </w:rPr>
      </w:pPr>
      <w:bookmarkStart w:id="28" w:name="_Hlt68073093"/>
      <w:bookmarkEnd w:id="28"/>
      <w:bookmarkStart w:id="29" w:name="_Hlt75236011"/>
      <w:bookmarkEnd w:id="29"/>
      <w:bookmarkStart w:id="30" w:name="_Hlt68403820"/>
      <w:bookmarkEnd w:id="30"/>
      <w:bookmarkStart w:id="31" w:name="_Hlt68072990"/>
      <w:bookmarkEnd w:id="31"/>
      <w:bookmarkStart w:id="32" w:name="_Hlt75236290"/>
      <w:bookmarkEnd w:id="32"/>
      <w:bookmarkStart w:id="33" w:name="_Hlt74729768"/>
      <w:bookmarkEnd w:id="33"/>
      <w:bookmarkStart w:id="34" w:name="_Hlt68072998"/>
      <w:bookmarkEnd w:id="34"/>
      <w:bookmarkStart w:id="35" w:name="_Hlt74707468"/>
      <w:bookmarkEnd w:id="35"/>
      <w:bookmarkStart w:id="36" w:name="_Hlt74730295"/>
      <w:bookmarkEnd w:id="36"/>
      <w:bookmarkStart w:id="37" w:name="_Hlt74714665"/>
      <w:bookmarkEnd w:id="37"/>
      <w:bookmarkStart w:id="38" w:name="_Hlt68057669"/>
      <w:bookmarkEnd w:id="38"/>
      <w:bookmarkStart w:id="39" w:name="_Hlt75236101"/>
      <w:bookmarkEnd w:id="39"/>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38B585">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42A1F0E7">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801E1C">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w:t>
      </w:r>
      <w:bookmarkStart w:id="40" w:name="OLE_LINK16"/>
      <w:r>
        <w:rPr>
          <w:rFonts w:hint="eastAsia" w:ascii="宋体" w:hAnsi="宋体" w:cs="宋体"/>
          <w:kern w:val="0"/>
          <w:sz w:val="24"/>
        </w:rPr>
        <w:t>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933395">
      <w:pPr>
        <w:pStyle w:val="964"/>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w:t>
      </w:r>
      <w:bookmarkEnd w:id="40"/>
      <w:r>
        <w:rPr>
          <w:rFonts w:hint="eastAsia" w:ascii="宋体" w:hAnsi="宋体" w:eastAsia="宋体" w:cs="宋体"/>
          <w:b w:val="0"/>
          <w:bCs w:val="0"/>
          <w:color w:val="auto"/>
          <w:kern w:val="0"/>
          <w:sz w:val="24"/>
          <w:szCs w:val="24"/>
          <w:highlight w:val="none"/>
          <w:lang w:val="en-US"/>
        </w:rPr>
        <w:t>，供应商可通过政采云平台提起在线支付申请、查询支付结果，路径为政采云-我的工作台-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B7A574">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p>
    <w:p w14:paraId="0D145ADD">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第三部分   采购需求</w:t>
      </w:r>
    </w:p>
    <w:p w14:paraId="60B89EEF">
      <w:pPr>
        <w:adjustRightInd/>
        <w:spacing w:line="360" w:lineRule="auto"/>
        <w:outlineLvl w:val="1"/>
        <w:rPr>
          <w:rFonts w:hint="eastAsia" w:ascii="宋体" w:hAnsi="宋体" w:eastAsia="宋体" w:cs="宋体"/>
          <w:b/>
          <w:bCs/>
          <w:sz w:val="24"/>
          <w:szCs w:val="24"/>
        </w:rPr>
      </w:pPr>
      <w:bookmarkStart w:id="41" w:name="_Toc19305"/>
      <w:bookmarkStart w:id="42" w:name="_Toc12718"/>
      <w:bookmarkStart w:id="43" w:name="_Toc5172"/>
      <w:bookmarkStart w:id="44" w:name="_Toc31454"/>
      <w:r>
        <w:rPr>
          <w:rFonts w:hint="eastAsia" w:ascii="宋体" w:hAnsi="宋体" w:eastAsia="宋体" w:cs="宋体"/>
          <w:b/>
          <w:bCs/>
          <w:sz w:val="24"/>
          <w:szCs w:val="24"/>
        </w:rPr>
        <w:t>一、项目建设内容</w:t>
      </w:r>
      <w:bookmarkEnd w:id="41"/>
      <w:bookmarkEnd w:id="42"/>
      <w:bookmarkEnd w:id="43"/>
      <w:bookmarkEnd w:id="44"/>
    </w:p>
    <w:p w14:paraId="28DEEDC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前推进公安监管系统信息化建设和应用工作取得长足进步，但与科学技术突飞猛进发展新形势相比，与监管系统日益增长的需求相比还存在一定的差距。为进一步以信息化为支撑，深入推进公安监管执法规范化建设，西湖分局构建“看守所智能行为分析系统” 用法治思维和法治方式提升公安监所治理科学化、现代化水平。</w:t>
      </w:r>
    </w:p>
    <w:p w14:paraId="191FBCD7">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建设内容：通过行为分析系统分析出的数据结果与业务数据融合，提供给西湖区看守所预警平台进行应用，形成智慧应用业务和智能化预警。预警平台结合行为分析系统，监控被监管人员实时画面，发生报警信息情况后，系统会自动弹出至巡控值班大屏中，显示报警位置及报警类型，联动现场监控，辅助工作人员进行现场情况处置，整体操作线上化、流程化、自动化。</w:t>
      </w:r>
    </w:p>
    <w:p w14:paraId="5754A14D">
      <w:pPr>
        <w:adjustRightInd/>
        <w:spacing w:line="360" w:lineRule="auto"/>
        <w:outlineLvl w:val="1"/>
        <w:rPr>
          <w:rFonts w:hint="eastAsia" w:ascii="宋体" w:hAnsi="宋体" w:eastAsia="宋体" w:cs="宋体"/>
          <w:b/>
          <w:bCs/>
          <w:sz w:val="24"/>
          <w:szCs w:val="24"/>
        </w:rPr>
      </w:pPr>
      <w:bookmarkStart w:id="45" w:name="_Toc25445"/>
      <w:bookmarkStart w:id="46" w:name="_Toc27490"/>
      <w:bookmarkStart w:id="47" w:name="_Toc4541"/>
      <w:bookmarkStart w:id="48" w:name="_Toc2799"/>
      <w:r>
        <w:rPr>
          <w:rFonts w:hint="eastAsia" w:ascii="宋体" w:hAnsi="宋体" w:eastAsia="宋体" w:cs="宋体"/>
          <w:b/>
          <w:bCs/>
          <w:sz w:val="24"/>
          <w:szCs w:val="24"/>
        </w:rPr>
        <w:t>二、商务要求</w:t>
      </w:r>
      <w:bookmarkEnd w:id="45"/>
      <w:bookmarkEnd w:id="46"/>
      <w:bookmarkEnd w:id="47"/>
      <w:bookmarkEnd w:id="48"/>
    </w:p>
    <w:p w14:paraId="1DB3CFD6">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1.付款方式及履约保证金：</w:t>
      </w:r>
    </w:p>
    <w:p w14:paraId="67E34BE3">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第一笔：支付比例：合同总价的50%</w:t>
      </w:r>
    </w:p>
    <w:p w14:paraId="2BCF7D87">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支付条件：合同正式签订后，且乙方提供等额正规发票后的5个工作日内。</w:t>
      </w:r>
    </w:p>
    <w:p w14:paraId="534616EE">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第二笔：支付比例：合同总价的 30%</w:t>
      </w:r>
    </w:p>
    <w:p w14:paraId="316462D1">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支付条件：乙方完成项目开发并经甲方初验合格后，提供等额正规发票后的5个工作日内。</w:t>
      </w:r>
    </w:p>
    <w:p w14:paraId="34F3DD03">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第三笔：支付比例：合同总价的 20%</w:t>
      </w:r>
    </w:p>
    <w:p w14:paraId="56E9FCD2">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支付条件：</w:t>
      </w:r>
      <w:bookmarkStart w:id="49" w:name="OLE_LINK36"/>
      <w:bookmarkStart w:id="50" w:name="OLE_LINK40"/>
      <w:r>
        <w:rPr>
          <w:rFonts w:hint="eastAsia" w:ascii="宋体" w:hAnsi="宋体" w:eastAsia="宋体" w:cs="宋体"/>
          <w:sz w:val="24"/>
          <w:szCs w:val="24"/>
        </w:rPr>
        <w:t>项目试运行一个月后终验，终验合格后，乙方提供等额正规发票后的5个工作日内支付。</w:t>
      </w:r>
      <w:bookmarkEnd w:id="49"/>
      <w:bookmarkEnd w:id="50"/>
      <w:r>
        <w:rPr>
          <w:rFonts w:hint="eastAsia" w:ascii="宋体" w:hAnsi="宋体" w:eastAsia="宋体" w:cs="宋体"/>
          <w:sz w:val="24"/>
          <w:szCs w:val="24"/>
        </w:rPr>
        <w:t>中标人须在采购人支付合同款前提供符合采购人要求的发票，如因中标人原因延迟提供发票的，采购人有权相应顺延支付合同款时间。</w:t>
      </w:r>
    </w:p>
    <w:p w14:paraId="303C8AFF">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履约保证金：签订合同后7个工作日内，乙方须向甲方缴纳合同总额1％的履约保证金，甲方在质保期结束后，若无质量和服务等问题，在5个工作日内将履约保证金原额归还乙方。</w:t>
      </w:r>
    </w:p>
    <w:p w14:paraId="65127429">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履约保证金可以用支票、汇票、本票或者银行、保险公司出具的保函等非现金形式交纳。</w:t>
      </w:r>
    </w:p>
    <w:p w14:paraId="5180088F">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2.合同履约期限：</w:t>
      </w:r>
    </w:p>
    <w:p w14:paraId="7A73B721">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合同签订后3个月内完成所有项目的研发、建设、调试并移交采购人试运行（试运行一个月）。</w:t>
      </w:r>
    </w:p>
    <w:p w14:paraId="730424BF">
      <w:p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3.运维质保期：</w:t>
      </w:r>
    </w:p>
    <w:p w14:paraId="23A3A425">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本项目成交供</w:t>
      </w:r>
      <w:r>
        <w:rPr>
          <w:rFonts w:hint="eastAsia" w:ascii="宋体" w:hAnsi="宋体" w:eastAsia="宋体" w:cs="宋体"/>
          <w:sz w:val="24"/>
          <w:szCs w:val="24"/>
          <w:highlight w:val="none"/>
        </w:rPr>
        <w:t>应商提供3年免费维护期，维护起</w:t>
      </w:r>
      <w:r>
        <w:rPr>
          <w:rFonts w:hint="eastAsia" w:ascii="宋体" w:hAnsi="宋体" w:eastAsia="宋体" w:cs="宋体"/>
          <w:sz w:val="24"/>
          <w:szCs w:val="24"/>
        </w:rPr>
        <w:t>始期从系统通过终验之日次日起计算。</w:t>
      </w:r>
    </w:p>
    <w:p w14:paraId="07F8B214">
      <w:pPr>
        <w:numPr>
          <w:ilvl w:val="0"/>
          <w:numId w:val="1"/>
        </w:numPr>
        <w:adjustRightInd/>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售后服务：</w:t>
      </w:r>
    </w:p>
    <w:p w14:paraId="42E2482B">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4.1在使用过程中，出现问题需要现场支持的，</w:t>
      </w:r>
      <w:r>
        <w:rPr>
          <w:rFonts w:hint="eastAsia" w:ascii="宋体" w:hAnsi="宋体" w:eastAsia="宋体" w:cs="宋体"/>
          <w:kern w:val="0"/>
          <w:sz w:val="24"/>
          <w:szCs w:val="24"/>
        </w:rPr>
        <w:t xml:space="preserve"> 2小时内给予问题的反馈，如需现场解决，在故障发生的4小时内，派技术人员到达现场</w:t>
      </w:r>
      <w:r>
        <w:rPr>
          <w:rFonts w:hint="eastAsia" w:ascii="宋体" w:hAnsi="宋体" w:eastAsia="宋体" w:cs="宋体"/>
          <w:sz w:val="24"/>
          <w:szCs w:val="24"/>
          <w:lang w:eastAsia="zh-CN"/>
        </w:rPr>
        <w:t>；</w:t>
      </w:r>
      <w:r>
        <w:rPr>
          <w:rFonts w:hint="eastAsia" w:ascii="宋体" w:hAnsi="宋体" w:eastAsia="宋体" w:cs="宋体"/>
          <w:sz w:val="24"/>
          <w:szCs w:val="24"/>
        </w:rPr>
        <w:t>修补和完善功能的，24小时内提出解决方案，48小时内解决问题；服务异常的，12小时内提出解决方案，24小时内解决问题；严重故障导致系统瘫痪的，4小时内提出解决方案，8小时内解决问题。</w:t>
      </w:r>
    </w:p>
    <w:p w14:paraId="09D15447">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4.2采购人拥有在合同履行过程中所产生的技术成果的所有权、专利申请权使用权或其他有关权利。</w:t>
      </w:r>
    </w:p>
    <w:p w14:paraId="11B8E96D">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4.3采购人在申请本项目鉴定及申报科技成果、报奖，中标人具有署名权。</w:t>
      </w:r>
    </w:p>
    <w:p w14:paraId="31B3C4B0">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中标人保证所提供的产品、服务或其任何一部分（含本项目所涉及的全部软件）、技术等均不侵犯任何第三方的专利权、商标权、工业设计权、著作权等知识产权和其他权益，且不存在任何与此相关的争议、抵押、查封等瑕疵。</w:t>
      </w:r>
    </w:p>
    <w:p w14:paraId="7A6A9B78">
      <w:pPr>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4.5本项目所使用或产生的数据为采购人专有，未经书面许可，中标人不得对第三方泄露或使用该项目的数据进行任何形式的开发利用。</w:t>
      </w:r>
    </w:p>
    <w:p w14:paraId="6CDDB4B2">
      <w:pPr>
        <w:adjustRightInd/>
        <w:spacing w:line="360" w:lineRule="auto"/>
        <w:outlineLvl w:val="1"/>
        <w:rPr>
          <w:rFonts w:hint="eastAsia" w:ascii="宋体" w:hAnsi="宋体" w:eastAsia="宋体" w:cs="宋体"/>
          <w:b/>
          <w:bCs/>
          <w:sz w:val="24"/>
          <w:szCs w:val="24"/>
        </w:rPr>
      </w:pPr>
      <w:bookmarkStart w:id="51" w:name="_Toc8134"/>
      <w:bookmarkStart w:id="52" w:name="_Toc5801"/>
      <w:bookmarkStart w:id="53" w:name="_Toc9387"/>
      <w:bookmarkStart w:id="54" w:name="_Toc9243"/>
      <w:r>
        <w:rPr>
          <w:rFonts w:hint="eastAsia" w:ascii="宋体" w:hAnsi="宋体" w:eastAsia="宋体" w:cs="宋体"/>
          <w:b/>
          <w:bCs/>
          <w:sz w:val="24"/>
          <w:szCs w:val="24"/>
        </w:rPr>
        <w:t>三、技术要求</w:t>
      </w:r>
      <w:bookmarkEnd w:id="51"/>
      <w:bookmarkEnd w:id="52"/>
      <w:bookmarkEnd w:id="53"/>
      <w:bookmarkEnd w:id="54"/>
      <w:r>
        <w:rPr>
          <w:rFonts w:hint="eastAsia" w:ascii="宋体" w:hAnsi="宋体" w:eastAsia="宋体" w:cs="宋体"/>
          <w:b/>
          <w:bCs/>
          <w:sz w:val="24"/>
          <w:szCs w:val="24"/>
        </w:rPr>
        <w:t>及建设内容</w:t>
      </w:r>
    </w:p>
    <w:p w14:paraId="18101C39">
      <w:pPr>
        <w:adjustRightIn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w:t>
      </w:r>
      <w:r>
        <w:rPr>
          <w:rFonts w:hint="eastAsia" w:ascii="宋体" w:hAnsi="宋体" w:cs="宋体"/>
          <w:sz w:val="24"/>
          <w:szCs w:val="24"/>
          <w:lang w:eastAsia="zh-CN"/>
        </w:rPr>
        <w:t>杭州市公安局西湖区分局看守所智能行为分析系统项目</w:t>
      </w:r>
      <w:r>
        <w:rPr>
          <w:rFonts w:hint="eastAsia" w:ascii="宋体" w:hAnsi="宋体" w:eastAsia="宋体" w:cs="宋体"/>
          <w:sz w:val="24"/>
          <w:szCs w:val="24"/>
        </w:rPr>
        <w:t>建设提出的信息化需求，本项目建设的整体由四个层次组成，按照四横四纵的信息进行架构</w:t>
      </w:r>
      <w:r>
        <w:rPr>
          <w:rFonts w:hint="eastAsia" w:ascii="宋体" w:hAnsi="宋体" w:eastAsia="宋体" w:cs="宋体"/>
          <w:sz w:val="24"/>
          <w:szCs w:val="24"/>
          <w:lang w:eastAsia="zh-CN"/>
        </w:rPr>
        <w:t>：</w:t>
      </w:r>
    </w:p>
    <w:tbl>
      <w:tblPr>
        <w:tblStyle w:val="6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34"/>
        <w:gridCol w:w="1134"/>
        <w:gridCol w:w="6204"/>
      </w:tblGrid>
      <w:tr w14:paraId="46CB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7" w:type="dxa"/>
            <w:shd w:val="clear" w:color="auto" w:fill="auto"/>
            <w:vAlign w:val="center"/>
          </w:tcPr>
          <w:p w14:paraId="1A22AF5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134" w:type="dxa"/>
            <w:shd w:val="clear" w:color="auto" w:fill="auto"/>
            <w:vAlign w:val="center"/>
          </w:tcPr>
          <w:p w14:paraId="5F4C789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子系统/模块</w:t>
            </w:r>
          </w:p>
        </w:tc>
        <w:tc>
          <w:tcPr>
            <w:tcW w:w="1134" w:type="dxa"/>
            <w:shd w:val="clear" w:color="auto" w:fill="auto"/>
            <w:vAlign w:val="center"/>
          </w:tcPr>
          <w:p w14:paraId="141EA3BD">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模块/子模块</w:t>
            </w:r>
          </w:p>
        </w:tc>
        <w:tc>
          <w:tcPr>
            <w:tcW w:w="6204" w:type="dxa"/>
            <w:shd w:val="clear" w:color="auto" w:fill="auto"/>
            <w:vAlign w:val="center"/>
          </w:tcPr>
          <w:p w14:paraId="5C252BC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建设内容</w:t>
            </w:r>
          </w:p>
        </w:tc>
      </w:tr>
      <w:tr w14:paraId="6629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73B5842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34" w:type="dxa"/>
            <w:vMerge w:val="restart"/>
            <w:shd w:val="clear" w:color="auto" w:fill="auto"/>
            <w:vAlign w:val="center"/>
          </w:tcPr>
          <w:p w14:paraId="573A847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行为分析基础应用管理</w:t>
            </w:r>
          </w:p>
        </w:tc>
        <w:tc>
          <w:tcPr>
            <w:tcW w:w="1134" w:type="dxa"/>
            <w:shd w:val="clear" w:color="auto" w:fill="auto"/>
            <w:vAlign w:val="center"/>
          </w:tcPr>
          <w:p w14:paraId="2670BF7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系统管理</w:t>
            </w:r>
          </w:p>
        </w:tc>
        <w:tc>
          <w:tcPr>
            <w:tcW w:w="6204" w:type="dxa"/>
            <w:shd w:val="clear" w:color="auto" w:fill="auto"/>
            <w:vAlign w:val="center"/>
          </w:tcPr>
          <w:p w14:paraId="6FC5E22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建设基础业务应用依赖的基础资源，包括用户管理、角色管理、区域目录管理、设备管理、门户管理，统一管理了组织、权限、用户、设备等资源，并提供门户展示、系统管理等配置能力。对接现有用户组织架构体系。</w:t>
            </w:r>
          </w:p>
        </w:tc>
      </w:tr>
      <w:tr w14:paraId="7441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030DA88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134" w:type="dxa"/>
            <w:vMerge w:val="continue"/>
            <w:vAlign w:val="center"/>
          </w:tcPr>
          <w:p w14:paraId="20792AD0">
            <w:pPr>
              <w:widowControl/>
              <w:jc w:val="left"/>
              <w:rPr>
                <w:rFonts w:hint="eastAsia" w:ascii="宋体" w:hAnsi="宋体" w:eastAsia="宋体" w:cs="宋体"/>
                <w:kern w:val="0"/>
                <w:sz w:val="24"/>
                <w:szCs w:val="24"/>
              </w:rPr>
            </w:pPr>
          </w:p>
        </w:tc>
        <w:tc>
          <w:tcPr>
            <w:tcW w:w="1134" w:type="dxa"/>
            <w:shd w:val="clear" w:color="auto" w:fill="auto"/>
            <w:vAlign w:val="center"/>
          </w:tcPr>
          <w:p w14:paraId="6681B1A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视频应用</w:t>
            </w:r>
          </w:p>
        </w:tc>
        <w:tc>
          <w:tcPr>
            <w:tcW w:w="6204" w:type="dxa"/>
            <w:shd w:val="clear" w:color="auto" w:fill="auto"/>
            <w:vAlign w:val="center"/>
          </w:tcPr>
          <w:p w14:paraId="0D57342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建设实时预览、录像回放、电视墙控制等基础视频功能。</w:t>
            </w:r>
          </w:p>
        </w:tc>
      </w:tr>
      <w:tr w14:paraId="66C4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73C864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134" w:type="dxa"/>
            <w:vMerge w:val="continue"/>
            <w:vAlign w:val="center"/>
          </w:tcPr>
          <w:p w14:paraId="083F7C84">
            <w:pPr>
              <w:widowControl/>
              <w:jc w:val="left"/>
              <w:rPr>
                <w:rFonts w:hint="eastAsia" w:ascii="宋体" w:hAnsi="宋体" w:eastAsia="宋体" w:cs="宋体"/>
                <w:kern w:val="0"/>
                <w:sz w:val="24"/>
                <w:szCs w:val="24"/>
              </w:rPr>
            </w:pPr>
          </w:p>
        </w:tc>
        <w:tc>
          <w:tcPr>
            <w:tcW w:w="1134" w:type="dxa"/>
            <w:shd w:val="clear" w:color="auto" w:fill="auto"/>
            <w:vAlign w:val="center"/>
          </w:tcPr>
          <w:p w14:paraId="54F697F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视频联网</w:t>
            </w:r>
          </w:p>
        </w:tc>
        <w:tc>
          <w:tcPr>
            <w:tcW w:w="6204" w:type="dxa"/>
            <w:shd w:val="clear" w:color="auto" w:fill="auto"/>
            <w:vAlign w:val="center"/>
          </w:tcPr>
          <w:p w14:paraId="200D016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建设平台对外标准化互联互通（跨网、异构）的能力，支持通用视频联网标准协（GB/T28181、DB33/T629）。</w:t>
            </w:r>
          </w:p>
        </w:tc>
      </w:tr>
      <w:tr w14:paraId="50F4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3240264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134" w:type="dxa"/>
            <w:vMerge w:val="continue"/>
            <w:vAlign w:val="center"/>
          </w:tcPr>
          <w:p w14:paraId="5FE26C52">
            <w:pPr>
              <w:widowControl/>
              <w:jc w:val="left"/>
              <w:rPr>
                <w:rFonts w:hint="eastAsia" w:ascii="宋体" w:hAnsi="宋体" w:eastAsia="宋体" w:cs="宋体"/>
                <w:kern w:val="0"/>
                <w:sz w:val="24"/>
                <w:szCs w:val="24"/>
              </w:rPr>
            </w:pPr>
          </w:p>
        </w:tc>
        <w:tc>
          <w:tcPr>
            <w:tcW w:w="1134" w:type="dxa"/>
            <w:shd w:val="clear" w:color="auto" w:fill="auto"/>
            <w:vAlign w:val="center"/>
          </w:tcPr>
          <w:p w14:paraId="355F79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视频网管</w:t>
            </w:r>
          </w:p>
        </w:tc>
        <w:tc>
          <w:tcPr>
            <w:tcW w:w="6204" w:type="dxa"/>
            <w:shd w:val="clear" w:color="auto" w:fill="auto"/>
            <w:vAlign w:val="center"/>
          </w:tcPr>
          <w:p w14:paraId="1E628FE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建设对视频设备进行在线巡检，及时发现监控摄像机、编码设备、存储设备、解码设备等物联设备的故障设备或掉线情况。</w:t>
            </w:r>
          </w:p>
        </w:tc>
      </w:tr>
      <w:tr w14:paraId="62B7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35C978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134" w:type="dxa"/>
            <w:vMerge w:val="continue"/>
            <w:vAlign w:val="center"/>
          </w:tcPr>
          <w:p w14:paraId="7EBDC99C">
            <w:pPr>
              <w:widowControl/>
              <w:jc w:val="left"/>
              <w:rPr>
                <w:rFonts w:hint="eastAsia" w:ascii="宋体" w:hAnsi="宋体" w:eastAsia="宋体" w:cs="宋体"/>
                <w:kern w:val="0"/>
                <w:sz w:val="24"/>
                <w:szCs w:val="24"/>
              </w:rPr>
            </w:pPr>
          </w:p>
        </w:tc>
        <w:tc>
          <w:tcPr>
            <w:tcW w:w="1134" w:type="dxa"/>
            <w:shd w:val="clear" w:color="auto" w:fill="auto"/>
            <w:vAlign w:val="center"/>
          </w:tcPr>
          <w:p w14:paraId="59D211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视频质量诊断</w:t>
            </w:r>
          </w:p>
        </w:tc>
        <w:tc>
          <w:tcPr>
            <w:tcW w:w="6204" w:type="dxa"/>
            <w:shd w:val="clear" w:color="auto" w:fill="auto"/>
            <w:vAlign w:val="center"/>
          </w:tcPr>
          <w:p w14:paraId="244A261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建设视频图像诊断和监测服务，支持图像偏色、噪声干扰、图像过暗、视频抖动、对比度、条纹干扰、视频遮挡、视频丢帧、信号丢失、图像黑白、图像模糊、场景变换、图像过亮、视频剧变指标诊断，支持监控点通道的图像质量诊断结果统计和查看。</w:t>
            </w:r>
          </w:p>
        </w:tc>
      </w:tr>
      <w:tr w14:paraId="2853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1652440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134" w:type="dxa"/>
            <w:vMerge w:val="continue"/>
            <w:vAlign w:val="center"/>
          </w:tcPr>
          <w:p w14:paraId="74FD4529">
            <w:pPr>
              <w:widowControl/>
              <w:jc w:val="left"/>
              <w:rPr>
                <w:rFonts w:hint="eastAsia" w:ascii="宋体" w:hAnsi="宋体" w:eastAsia="宋体" w:cs="宋体"/>
                <w:kern w:val="0"/>
                <w:sz w:val="24"/>
                <w:szCs w:val="24"/>
              </w:rPr>
            </w:pPr>
          </w:p>
        </w:tc>
        <w:tc>
          <w:tcPr>
            <w:tcW w:w="1134" w:type="dxa"/>
            <w:shd w:val="clear" w:color="auto" w:fill="auto"/>
            <w:vAlign w:val="center"/>
          </w:tcPr>
          <w:p w14:paraId="18EBB0A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报警联动处置</w:t>
            </w:r>
          </w:p>
        </w:tc>
        <w:tc>
          <w:tcPr>
            <w:tcW w:w="6204" w:type="dxa"/>
            <w:shd w:val="clear" w:color="auto" w:fill="auto"/>
            <w:vAlign w:val="center"/>
          </w:tcPr>
          <w:p w14:paraId="131D3AE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报警事件处置模块，可接收智能报警事件，并与客户端、电视墙、语音播报、声光报警进行联动，协助用户快速处置紧急事件。</w:t>
            </w:r>
          </w:p>
        </w:tc>
      </w:tr>
      <w:tr w14:paraId="32C0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043B20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134" w:type="dxa"/>
            <w:vMerge w:val="continue"/>
            <w:vAlign w:val="center"/>
          </w:tcPr>
          <w:p w14:paraId="43C200F9">
            <w:pPr>
              <w:widowControl/>
              <w:jc w:val="left"/>
              <w:rPr>
                <w:rFonts w:hint="eastAsia" w:ascii="宋体" w:hAnsi="宋体" w:eastAsia="宋体" w:cs="宋体"/>
                <w:kern w:val="0"/>
                <w:sz w:val="24"/>
                <w:szCs w:val="24"/>
              </w:rPr>
            </w:pPr>
          </w:p>
        </w:tc>
        <w:tc>
          <w:tcPr>
            <w:tcW w:w="1134" w:type="dxa"/>
            <w:shd w:val="clear" w:color="auto" w:fill="auto"/>
            <w:vAlign w:val="center"/>
          </w:tcPr>
          <w:p w14:paraId="43ED2C3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智能行为分析接入</w:t>
            </w:r>
          </w:p>
        </w:tc>
        <w:tc>
          <w:tcPr>
            <w:tcW w:w="6204" w:type="dxa"/>
            <w:shd w:val="clear" w:color="auto" w:fill="auto"/>
            <w:vAlign w:val="center"/>
          </w:tcPr>
          <w:p w14:paraId="2A33A75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监所智能行为分析事件的接入模块（包括起身离床、单人滞留、轮值人员缺席、通道人员脱管、穿越警戒线、攀高、如厕超时等风险行为），报警事件可接入警情联动处置模块实现警情联动。</w:t>
            </w:r>
          </w:p>
        </w:tc>
      </w:tr>
      <w:tr w14:paraId="4E38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2034A39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134" w:type="dxa"/>
            <w:vMerge w:val="continue"/>
            <w:vAlign w:val="center"/>
          </w:tcPr>
          <w:p w14:paraId="01802B3A">
            <w:pPr>
              <w:widowControl/>
              <w:jc w:val="left"/>
              <w:rPr>
                <w:rFonts w:hint="eastAsia" w:ascii="宋体" w:hAnsi="宋体" w:eastAsia="宋体" w:cs="宋体"/>
                <w:kern w:val="0"/>
                <w:sz w:val="24"/>
                <w:szCs w:val="24"/>
              </w:rPr>
            </w:pPr>
          </w:p>
        </w:tc>
        <w:tc>
          <w:tcPr>
            <w:tcW w:w="1134" w:type="dxa"/>
            <w:shd w:val="clear" w:color="auto" w:fill="auto"/>
            <w:vAlign w:val="center"/>
          </w:tcPr>
          <w:p w14:paraId="74484E3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预警中心客户端</w:t>
            </w:r>
          </w:p>
        </w:tc>
        <w:tc>
          <w:tcPr>
            <w:tcW w:w="6204" w:type="dxa"/>
            <w:shd w:val="clear" w:color="auto" w:fill="auto"/>
            <w:vAlign w:val="center"/>
          </w:tcPr>
          <w:p w14:paraId="6926F6C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1.支持展示今日预警列表信息，支持展示未处置和已处置的预警信息，可按照行为分析类型展示预警列表，应包含异常行为预警类型、时间、报警源等信息，为民警提供一目录了然的界面展示。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2.支持通过左侧预警列表查看具体的视频点位的实时预览画面，通过画面可以对异常行为的预警进行复核。</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3.提供抓拍图片显示列表，自动展示异常行为分预警抓拍图片以缩略图的方式展示在画面下发。可通过点击抓拍图，查看具体有的异常行为预警事件信息。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4.提供预警信息详情查询功能，可展示预警类型、预警事件、报警源等信息，为辅助民警能更好的查看预警过程中的画面，可通过查看监控源录像，支持自动跳转至预警事件前后的时间段。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5.支持对报警信息进行忽略、处置等操作，支持设置报警等级（一般报警、重要报警、重大报警），支持录入报警处置的结果。</w:t>
            </w:r>
          </w:p>
        </w:tc>
      </w:tr>
      <w:tr w14:paraId="1594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45462A1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134" w:type="dxa"/>
            <w:vMerge w:val="continue"/>
            <w:vAlign w:val="center"/>
          </w:tcPr>
          <w:p w14:paraId="2467C6D5">
            <w:pPr>
              <w:widowControl/>
              <w:jc w:val="left"/>
              <w:rPr>
                <w:rFonts w:hint="eastAsia" w:ascii="宋体" w:hAnsi="宋体" w:eastAsia="宋体" w:cs="宋体"/>
                <w:kern w:val="0"/>
                <w:sz w:val="24"/>
                <w:szCs w:val="24"/>
              </w:rPr>
            </w:pPr>
          </w:p>
        </w:tc>
        <w:tc>
          <w:tcPr>
            <w:tcW w:w="1134" w:type="dxa"/>
            <w:shd w:val="clear" w:color="auto" w:fill="auto"/>
            <w:vAlign w:val="center"/>
          </w:tcPr>
          <w:p w14:paraId="0FD366C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智能分析驾驶舱</w:t>
            </w:r>
          </w:p>
        </w:tc>
        <w:tc>
          <w:tcPr>
            <w:tcW w:w="6204" w:type="dxa"/>
            <w:shd w:val="clear" w:color="auto" w:fill="auto"/>
            <w:vAlign w:val="center"/>
          </w:tcPr>
          <w:p w14:paraId="64E60FC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通过建设智能分析、大数据技术，汇总可视化展示监所智能分析数据，运维驾驶仓主要包含视频轮巡&amp;预警联动、预警统计和预警分析三大模块内容。</w:t>
            </w:r>
          </w:p>
        </w:tc>
      </w:tr>
      <w:tr w14:paraId="56F5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754FD3A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134" w:type="dxa"/>
            <w:vMerge w:val="restart"/>
            <w:shd w:val="clear" w:color="auto" w:fill="auto"/>
            <w:vAlign w:val="center"/>
          </w:tcPr>
          <w:p w14:paraId="3DDF70F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赋能应用管理</w:t>
            </w:r>
          </w:p>
        </w:tc>
        <w:tc>
          <w:tcPr>
            <w:tcW w:w="1134" w:type="dxa"/>
            <w:shd w:val="clear" w:color="auto" w:fill="auto"/>
            <w:vAlign w:val="center"/>
          </w:tcPr>
          <w:p w14:paraId="6FB6342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算法管理</w:t>
            </w:r>
          </w:p>
        </w:tc>
        <w:tc>
          <w:tcPr>
            <w:tcW w:w="6204" w:type="dxa"/>
            <w:shd w:val="clear" w:color="auto" w:fill="auto"/>
            <w:vAlign w:val="center"/>
          </w:tcPr>
          <w:p w14:paraId="0338B6A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支持列表分页展示所有算法，并支持条件查询；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支持根据行业、分析目标、分析源类型筛选算法；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支持算法包的导入、授权激活、上下架、级联共享等操作；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支持查看算法包的详情，包括算法详细信息、技术规格、检出项信息、自定义信息等。</w:t>
            </w:r>
          </w:p>
        </w:tc>
      </w:tr>
      <w:tr w14:paraId="7991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7A1B6F9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134" w:type="dxa"/>
            <w:vMerge w:val="continue"/>
            <w:vAlign w:val="center"/>
          </w:tcPr>
          <w:p w14:paraId="2567B22E">
            <w:pPr>
              <w:widowControl/>
              <w:jc w:val="left"/>
              <w:rPr>
                <w:rFonts w:hint="eastAsia" w:ascii="宋体" w:hAnsi="宋体" w:eastAsia="宋体" w:cs="宋体"/>
                <w:kern w:val="0"/>
                <w:sz w:val="24"/>
                <w:szCs w:val="24"/>
              </w:rPr>
            </w:pPr>
          </w:p>
        </w:tc>
        <w:tc>
          <w:tcPr>
            <w:tcW w:w="1134" w:type="dxa"/>
            <w:shd w:val="clear" w:color="auto" w:fill="auto"/>
            <w:vAlign w:val="center"/>
          </w:tcPr>
          <w:p w14:paraId="59C2170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事件检索</w:t>
            </w:r>
          </w:p>
        </w:tc>
        <w:tc>
          <w:tcPr>
            <w:tcW w:w="6204" w:type="dxa"/>
            <w:shd w:val="clear" w:color="auto" w:fill="auto"/>
            <w:vAlign w:val="center"/>
          </w:tcPr>
          <w:p w14:paraId="47F8B69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支持分页展示已下发智能视觉任务上报的所有事件，展示模式包含列表模式和卡片模式；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支持根据事件名称、算法类型、事件点位、事件关注度、时间等条件搜索事件；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支持批量核验、批量处置、导出事件信息到本地excel等功能；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支持导出选中事件和当前页；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支持针对单条事件的核验、导出和查看功能；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支持展示事件详情，详情包含分析名称、关联地址、资源名称、事件时间、算法信息等；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支持事件的图片查看大图、实时预览、事件回放、图片下载等操作；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支持展示规则信息，包括绘制的规则区域、分析模式、报警间隔等；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支持展示检测目标在图片中的显示和不展示；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支持事件的位置信息在地图上展示。</w:t>
            </w:r>
          </w:p>
        </w:tc>
      </w:tr>
      <w:tr w14:paraId="5F2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007D156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134" w:type="dxa"/>
            <w:vMerge w:val="continue"/>
            <w:vAlign w:val="center"/>
          </w:tcPr>
          <w:p w14:paraId="1F49B68F">
            <w:pPr>
              <w:widowControl/>
              <w:jc w:val="left"/>
              <w:rPr>
                <w:rFonts w:hint="eastAsia" w:ascii="宋体" w:hAnsi="宋体" w:eastAsia="宋体" w:cs="宋体"/>
                <w:kern w:val="0"/>
                <w:sz w:val="24"/>
                <w:szCs w:val="24"/>
              </w:rPr>
            </w:pPr>
          </w:p>
        </w:tc>
        <w:tc>
          <w:tcPr>
            <w:tcW w:w="1134" w:type="dxa"/>
            <w:shd w:val="clear" w:color="auto" w:fill="auto"/>
            <w:vAlign w:val="center"/>
          </w:tcPr>
          <w:p w14:paraId="353DEBE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智能调度视觉分析</w:t>
            </w:r>
          </w:p>
        </w:tc>
        <w:tc>
          <w:tcPr>
            <w:tcW w:w="6204" w:type="dxa"/>
            <w:shd w:val="clear" w:color="auto" w:fill="auto"/>
            <w:vAlign w:val="center"/>
          </w:tcPr>
          <w:p w14:paraId="2AF0B94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支持新建任务配置巡视计划、巡视点位以及关联多个算法能力（算法能力包含视频和图片两种类型），支持自定义设置任务生效的有效期；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任务列表仅展示当前登录用户创建的任务，支持对巡视任务进行启动、停止、查看任务结果；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支持为球机设置多个预置点，针对每个预置点可以划定区域并配置多种分析算法，系统将按照设置的时间调用预置点和对应算法进行分析；</w:t>
            </w:r>
            <w:r>
              <w:rPr>
                <w:rFonts w:hint="eastAsia" w:ascii="宋体" w:hAnsi="宋体" w:eastAsia="宋体" w:cs="宋体"/>
                <w:b/>
                <w:bCs/>
                <w:kern w:val="0"/>
                <w:sz w:val="24"/>
                <w:szCs w:val="24"/>
              </w:rPr>
              <w:t>（可提供具有CMA标识的国家权威机构出具的检测报告）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支持自定义（可以设置一周内每天的巡视时间段）巡视计划，并以周为周期进行周期性巡视；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支持在一个点位上采用矩形绘制或多边形绘制的方法设置区域，并针对每个区域设置不同的分析算法；支持设置绘制区域关联的地址标签，可根据关联地址检索分析产生的事件；</w:t>
            </w:r>
            <w:r>
              <w:rPr>
                <w:rFonts w:hint="eastAsia" w:ascii="宋体" w:hAnsi="宋体" w:eastAsia="宋体" w:cs="宋体"/>
                <w:b/>
                <w:bCs/>
                <w:kern w:val="0"/>
                <w:sz w:val="24"/>
                <w:szCs w:val="24"/>
              </w:rPr>
              <w:t>（可提供具有CMA标识的国家权威机构出具的检测报告）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支持自定义图片抓拍周期，支持设置任务优先级；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支持巡视计划周一至周日单独配置，支持将某天的时间设置负责至其他天；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支持设置策略信息、支持设置规则、支持设置报警等级、支持设置联动信息，支持查看智能任务执行状态，如果任务下发失败，展示失败原因；</w:t>
            </w:r>
            <w:r>
              <w:rPr>
                <w:rFonts w:hint="eastAsia" w:ascii="宋体" w:hAnsi="宋体" w:eastAsia="宋体" w:cs="宋体"/>
                <w:b/>
                <w:bCs/>
                <w:kern w:val="0"/>
                <w:sz w:val="24"/>
                <w:szCs w:val="24"/>
              </w:rPr>
              <w:t>（可提供具有CMA标识的国家权威机构出具的检测报告）</w:t>
            </w:r>
          </w:p>
        </w:tc>
      </w:tr>
      <w:tr w14:paraId="17B2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197AA22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134" w:type="dxa"/>
            <w:vMerge w:val="continue"/>
            <w:vAlign w:val="center"/>
          </w:tcPr>
          <w:p w14:paraId="7FA0212A">
            <w:pPr>
              <w:widowControl/>
              <w:jc w:val="left"/>
              <w:rPr>
                <w:rFonts w:hint="eastAsia" w:ascii="宋体" w:hAnsi="宋体" w:eastAsia="宋体" w:cs="宋体"/>
                <w:kern w:val="0"/>
                <w:sz w:val="24"/>
                <w:szCs w:val="24"/>
              </w:rPr>
            </w:pPr>
          </w:p>
        </w:tc>
        <w:tc>
          <w:tcPr>
            <w:tcW w:w="1134" w:type="dxa"/>
            <w:shd w:val="clear" w:color="auto" w:fill="auto"/>
            <w:vAlign w:val="center"/>
          </w:tcPr>
          <w:p w14:paraId="1C0818A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智能历史视觉分析</w:t>
            </w:r>
          </w:p>
        </w:tc>
        <w:tc>
          <w:tcPr>
            <w:tcW w:w="6204" w:type="dxa"/>
            <w:shd w:val="clear" w:color="auto" w:fill="auto"/>
            <w:vAlign w:val="center"/>
          </w:tcPr>
          <w:p w14:paraId="3588452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支持本地图片上传，进行图片算法的规则配置，配置完成后进行分析；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支持对历史上传的图片进行删除，复用，预览；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支持本地上传录像，支持选择图片或者视频算法对录像进行分析；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支持对录像进行抽帧配置，进行图片分析；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支持对历史上传的录像进行删除，复用，预览；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支持选择系统内点位的录像进行分析；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支持对在线录像进行抽帧配置，进行图片分析；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通过事件名称，点位，时间等条件对事件进行检索；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事件展示可以以卡片和列表方式展示支持切换；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可以对事件进行excel导出；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支持对事件列表的事件进行大图展示并展示事件相关信息（规则，关联策略等）。</w:t>
            </w:r>
          </w:p>
        </w:tc>
      </w:tr>
      <w:tr w14:paraId="32D1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45DC3E3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134" w:type="dxa"/>
            <w:vMerge w:val="restart"/>
            <w:shd w:val="clear" w:color="auto" w:fill="auto"/>
            <w:vAlign w:val="center"/>
          </w:tcPr>
          <w:p w14:paraId="30B3065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算法策略管理</w:t>
            </w:r>
          </w:p>
        </w:tc>
        <w:tc>
          <w:tcPr>
            <w:tcW w:w="1134" w:type="dxa"/>
            <w:shd w:val="clear" w:color="auto" w:fill="auto"/>
            <w:vAlign w:val="center"/>
          </w:tcPr>
          <w:p w14:paraId="7F99975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策略分组</w:t>
            </w:r>
          </w:p>
        </w:tc>
        <w:tc>
          <w:tcPr>
            <w:tcW w:w="6204" w:type="dxa"/>
            <w:shd w:val="clear" w:color="auto" w:fill="auto"/>
            <w:vAlign w:val="center"/>
          </w:tcPr>
          <w:p w14:paraId="11A891E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提供对策略进行分类管理，包括分组的新增、分组描述信息修改、按分组分成检索、分组的删除。</w:t>
            </w:r>
          </w:p>
        </w:tc>
      </w:tr>
      <w:tr w14:paraId="1329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7E484C3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134" w:type="dxa"/>
            <w:vMerge w:val="continue"/>
            <w:vAlign w:val="center"/>
          </w:tcPr>
          <w:p w14:paraId="55D17275">
            <w:pPr>
              <w:widowControl/>
              <w:jc w:val="left"/>
              <w:rPr>
                <w:rFonts w:hint="eastAsia" w:ascii="宋体" w:hAnsi="宋体" w:eastAsia="宋体" w:cs="宋体"/>
                <w:kern w:val="0"/>
                <w:sz w:val="24"/>
                <w:szCs w:val="24"/>
              </w:rPr>
            </w:pPr>
          </w:p>
        </w:tc>
        <w:tc>
          <w:tcPr>
            <w:tcW w:w="1134" w:type="dxa"/>
            <w:shd w:val="clear" w:color="auto" w:fill="auto"/>
            <w:vAlign w:val="center"/>
          </w:tcPr>
          <w:p w14:paraId="63EF965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策略管理</w:t>
            </w:r>
          </w:p>
        </w:tc>
        <w:tc>
          <w:tcPr>
            <w:tcW w:w="6204" w:type="dxa"/>
            <w:shd w:val="clear" w:color="auto" w:fill="auto"/>
            <w:vAlign w:val="center"/>
          </w:tcPr>
          <w:p w14:paraId="3A7BB3E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提供策略信息管理功能，包含策略的新建、编辑、删除、详情、校验、运行、导入、导出、复制等。</w:t>
            </w:r>
          </w:p>
        </w:tc>
      </w:tr>
      <w:tr w14:paraId="31CD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0CB3C24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134" w:type="dxa"/>
            <w:vMerge w:val="continue"/>
            <w:vAlign w:val="center"/>
          </w:tcPr>
          <w:p w14:paraId="5D23E752">
            <w:pPr>
              <w:widowControl/>
              <w:jc w:val="left"/>
              <w:rPr>
                <w:rFonts w:hint="eastAsia" w:ascii="宋体" w:hAnsi="宋体" w:eastAsia="宋体" w:cs="宋体"/>
                <w:kern w:val="0"/>
                <w:sz w:val="24"/>
                <w:szCs w:val="24"/>
              </w:rPr>
            </w:pPr>
          </w:p>
        </w:tc>
        <w:tc>
          <w:tcPr>
            <w:tcW w:w="1134" w:type="dxa"/>
            <w:shd w:val="clear" w:color="auto" w:fill="auto"/>
            <w:vAlign w:val="center"/>
          </w:tcPr>
          <w:p w14:paraId="65730F6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可视化编排</w:t>
            </w:r>
          </w:p>
        </w:tc>
        <w:tc>
          <w:tcPr>
            <w:tcW w:w="6204" w:type="dxa"/>
            <w:shd w:val="clear" w:color="auto" w:fill="auto"/>
            <w:vAlign w:val="center"/>
          </w:tcPr>
          <w:p w14:paraId="395CE6F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支持按照所属区域、监控点名称、监控点编号、IP、配置状态对点位规则进行检索与结果展示。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支持通过选择点位关联的预置点或者实时画面的方式，进行点位规则线、点位规则框的绘制操作，支持删除绘制点位。</w:t>
            </w:r>
          </w:p>
        </w:tc>
      </w:tr>
      <w:tr w14:paraId="44BB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3AE7482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134" w:type="dxa"/>
            <w:vMerge w:val="continue"/>
            <w:vAlign w:val="center"/>
          </w:tcPr>
          <w:p w14:paraId="25C5AA1C">
            <w:pPr>
              <w:widowControl/>
              <w:jc w:val="left"/>
              <w:rPr>
                <w:rFonts w:hint="eastAsia" w:ascii="宋体" w:hAnsi="宋体" w:eastAsia="宋体" w:cs="宋体"/>
                <w:kern w:val="0"/>
                <w:sz w:val="24"/>
                <w:szCs w:val="24"/>
              </w:rPr>
            </w:pPr>
          </w:p>
        </w:tc>
        <w:tc>
          <w:tcPr>
            <w:tcW w:w="1134" w:type="dxa"/>
            <w:shd w:val="clear" w:color="auto" w:fill="auto"/>
            <w:vAlign w:val="center"/>
          </w:tcPr>
          <w:p w14:paraId="5C96FF4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运行配置</w:t>
            </w:r>
          </w:p>
        </w:tc>
        <w:tc>
          <w:tcPr>
            <w:tcW w:w="6204" w:type="dxa"/>
            <w:shd w:val="clear" w:color="auto" w:fill="auto"/>
            <w:vAlign w:val="center"/>
          </w:tcPr>
          <w:p w14:paraId="4817650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配置策略运行的时间计划和涉及到的相关的监控点，默认为所有监控点和所有时间；自定义情况下，用户可选择对应的时间计划，对于系统默认的时间计划（全天、工作日模板）等不满足的情况下，用户可自行设置时间计划，可定位到分钟，监控点支持用户进行单选或者多选。</w:t>
            </w:r>
          </w:p>
        </w:tc>
      </w:tr>
      <w:tr w14:paraId="4722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218BFED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134" w:type="dxa"/>
            <w:vMerge w:val="continue"/>
            <w:vAlign w:val="center"/>
          </w:tcPr>
          <w:p w14:paraId="1B91040D">
            <w:pPr>
              <w:widowControl/>
              <w:jc w:val="left"/>
              <w:rPr>
                <w:rFonts w:hint="eastAsia" w:ascii="宋体" w:hAnsi="宋体" w:eastAsia="宋体" w:cs="宋体"/>
                <w:kern w:val="0"/>
                <w:sz w:val="24"/>
                <w:szCs w:val="24"/>
              </w:rPr>
            </w:pPr>
          </w:p>
        </w:tc>
        <w:tc>
          <w:tcPr>
            <w:tcW w:w="1134" w:type="dxa"/>
            <w:shd w:val="clear" w:color="auto" w:fill="auto"/>
            <w:vAlign w:val="center"/>
          </w:tcPr>
          <w:p w14:paraId="1E284A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策略算法优化服务</w:t>
            </w:r>
          </w:p>
        </w:tc>
        <w:tc>
          <w:tcPr>
            <w:tcW w:w="6204" w:type="dxa"/>
            <w:shd w:val="clear" w:color="auto" w:fill="auto"/>
            <w:vAlign w:val="center"/>
          </w:tcPr>
          <w:p w14:paraId="3FEC462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提供报文模拟的策略调试服务，后台自动填充报文，加入编排的字段支持用户手动修改，包括手动选点，手动上传图片等，针对数组对象支持手动添加多个。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提供离线图片的策略调试服务支持选择算法，上传图片，对对应的图片进行分析。根据算法测验结果进行优化调整参数、角度以及框图等。</w:t>
            </w:r>
          </w:p>
        </w:tc>
      </w:tr>
      <w:tr w14:paraId="07F6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0DE236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2268" w:type="dxa"/>
            <w:gridSpan w:val="2"/>
            <w:shd w:val="clear" w:color="auto" w:fill="auto"/>
            <w:vAlign w:val="center"/>
          </w:tcPr>
          <w:p w14:paraId="0F7772F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监所内人员着装识别训练</w:t>
            </w:r>
          </w:p>
        </w:tc>
        <w:tc>
          <w:tcPr>
            <w:tcW w:w="6204" w:type="dxa"/>
            <w:shd w:val="clear" w:color="auto" w:fill="auto"/>
            <w:vAlign w:val="center"/>
          </w:tcPr>
          <w:p w14:paraId="292B8AD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结合视频图片分析技术，对警服着装识别、被监管人员着装识别、轮值人员着装识别进行算法训练。</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利用大模型技术，采集少量民警警服图片，通过数据处理、数据标注、模型训练、模型校验等算法训练流程，提升警服着装识别准确率。</w:t>
            </w:r>
          </w:p>
        </w:tc>
      </w:tr>
      <w:tr w14:paraId="0CF9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64A4303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2268" w:type="dxa"/>
            <w:gridSpan w:val="2"/>
            <w:shd w:val="clear" w:color="auto" w:fill="auto"/>
            <w:vAlign w:val="center"/>
          </w:tcPr>
          <w:p w14:paraId="7477273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起身离床特定场景算法训练</w:t>
            </w:r>
          </w:p>
        </w:tc>
        <w:tc>
          <w:tcPr>
            <w:tcW w:w="6204" w:type="dxa"/>
            <w:shd w:val="clear" w:color="auto" w:fill="auto"/>
            <w:vAlign w:val="center"/>
          </w:tcPr>
          <w:p w14:paraId="5FCD1EA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针对每一个检测区域，支持设定报警触发线；可设置为封闭正方形、长方形、三角形和多边形等的起身检测区域；可在同一场景中设置至少16个相互独立的侦测区域；在布防时间内起身，触发报警（适用于睡觉时间）；支持布防时间设置，可按小时、日、周设定重复周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结合视频图片分析技术，识别监室人员起身离床的事件，值班人员在指定定区域可以站立或坐蹲，人数少于2人的状态时长超过一定时间报警。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利用算法策略应用，使用多算法和多视频的组合逻辑，根据监室场景优化离床检测算法，排除轮值人员或人员翻身触线的情况，提高算法准确率。</w:t>
            </w:r>
          </w:p>
        </w:tc>
      </w:tr>
      <w:tr w14:paraId="0A8D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7E9E2CA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2268" w:type="dxa"/>
            <w:gridSpan w:val="2"/>
            <w:shd w:val="clear" w:color="auto" w:fill="auto"/>
            <w:vAlign w:val="center"/>
          </w:tcPr>
          <w:p w14:paraId="6E51F6B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单人滞留特定场景算法训练</w:t>
            </w:r>
          </w:p>
        </w:tc>
        <w:tc>
          <w:tcPr>
            <w:tcW w:w="6204" w:type="dxa"/>
            <w:shd w:val="clear" w:color="auto" w:fill="auto"/>
            <w:vAlign w:val="center"/>
          </w:tcPr>
          <w:p w14:paraId="74E11B9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可以设置正方形、长方形、三角形和多边形的警戒区；可以在同一场景中设置至少16个相互独立的警戒区;对每一个警戒区，可以触发单人独处报警；可以设定报警持续时间和重复报警间隔时间；支持布防时间设置，可按小时、日、周设定重复周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结合视频图片分析技术，识别监室和放风场场景优化单人滞留的事件，值班人员在指定定区域可以站立或坐蹲，人数少于2人的状态时长超过一定时间报警。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利用算法策略应用，使用多算法和多视频的组合逻辑，根据监室和放风场场景优化单人滞留算法，排除只识别民警导致报警的情况，提高算法准确率。</w:t>
            </w:r>
          </w:p>
        </w:tc>
      </w:tr>
      <w:tr w14:paraId="0119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2EF84ED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2268" w:type="dxa"/>
            <w:gridSpan w:val="2"/>
            <w:shd w:val="clear" w:color="auto" w:fill="auto"/>
            <w:vAlign w:val="center"/>
          </w:tcPr>
          <w:p w14:paraId="43F679D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轮值人员缺席特定场景算法训练</w:t>
            </w:r>
          </w:p>
        </w:tc>
        <w:tc>
          <w:tcPr>
            <w:tcW w:w="6204" w:type="dxa"/>
            <w:shd w:val="clear" w:color="auto" w:fill="auto"/>
            <w:vAlign w:val="center"/>
          </w:tcPr>
          <w:p w14:paraId="037D8DA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支持在视频画面中设置检测区域及缺席时间；支持设置报警人数及报警阀值：可设置不少于16个检测区域，每个区域独立进行检测互不干扰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结合视频图片分析技术，识别监室轮值人员缺席的事件，值班人员在指定定区域可以站立或坐蹲，人数少于2人的状态时长超过一定时间报警。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利用算法策略应用，搭配使用多算法和多视频的组合逻辑，根据监室场景优化轮值人员缺席算法，排除被监管人员起身导致漏检的情况，提高算法准确率。</w:t>
            </w:r>
          </w:p>
        </w:tc>
      </w:tr>
      <w:tr w14:paraId="20C7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6197597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2268" w:type="dxa"/>
            <w:gridSpan w:val="2"/>
            <w:shd w:val="clear" w:color="auto" w:fill="auto"/>
            <w:vAlign w:val="center"/>
          </w:tcPr>
          <w:p w14:paraId="5737522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通道人员脱管特定场景算法训练</w:t>
            </w:r>
          </w:p>
        </w:tc>
        <w:tc>
          <w:tcPr>
            <w:tcW w:w="6204" w:type="dxa"/>
            <w:shd w:val="clear" w:color="auto" w:fill="auto"/>
            <w:vAlign w:val="center"/>
          </w:tcPr>
          <w:p w14:paraId="60268DC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可以设置正方形、长方形、三角形和多边形的警戒区；可以在同一场景中设置至少16个相互独立的防区；支持布防时间设置，可按小时、日、周设定重复周期。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合视频图片分析技术，外务人员（巡诊、送餐、送物）在监区时，要求有民警在场监督，无民警的状态超过1分钟，系统报警；要求有民警在场监督，无民警的状态超过一定时间，系统报警；并对监区通道的在押人员人员脱管行为进行监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利用算法策略应用，搭配使用多算法和多视频的组合逻辑，根据走廊、通道场景优化人员脱管算法，排除单个民警在走廊的情况，提高算法准确率。</w:t>
            </w:r>
          </w:p>
        </w:tc>
      </w:tr>
      <w:tr w14:paraId="5EA6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45D8C1E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2268" w:type="dxa"/>
            <w:gridSpan w:val="2"/>
            <w:shd w:val="clear" w:color="auto" w:fill="auto"/>
            <w:vAlign w:val="center"/>
          </w:tcPr>
          <w:p w14:paraId="321F9D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穿越警戒线特定场景算法训练</w:t>
            </w:r>
          </w:p>
        </w:tc>
        <w:tc>
          <w:tcPr>
            <w:tcW w:w="6204" w:type="dxa"/>
            <w:shd w:val="clear" w:color="auto" w:fill="auto"/>
            <w:vAlign w:val="center"/>
          </w:tcPr>
          <w:p w14:paraId="482F36C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可将警戒线设置成任意形状的折线；针对每一条警戒线，支持尺寸过滤及攀高方向设置；可在同一场景中设置≥9条相互独立的警戒线；支持布防时间设置，可按小时、日、周设定重复周期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结合视频图片分析技术，识别监室穿越警戒线的事件，监室门有悬挂点，非业务时间（巡诊、送餐、送物品）时不允许靠近。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利用算法策略应用，搭配使用多算法和多视频的组合逻辑，根据监室场景优化穿越警戒线算法，排除民警在监室的情况，提高算法准确率。</w:t>
            </w:r>
          </w:p>
        </w:tc>
      </w:tr>
      <w:tr w14:paraId="07E2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7369D0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2268" w:type="dxa"/>
            <w:gridSpan w:val="2"/>
            <w:shd w:val="clear" w:color="auto" w:fill="auto"/>
            <w:vAlign w:val="center"/>
          </w:tcPr>
          <w:p w14:paraId="3E7822A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攀高算法训练</w:t>
            </w:r>
          </w:p>
        </w:tc>
        <w:tc>
          <w:tcPr>
            <w:tcW w:w="6204" w:type="dxa"/>
            <w:shd w:val="clear" w:color="auto" w:fill="auto"/>
            <w:vAlign w:val="center"/>
          </w:tcPr>
          <w:p w14:paraId="758E72A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可将攀高线设置成任意形状的折线；可在同一场景中支持绘制9个连续的攀高面；支持尺寸过滤及攀高方向设置；支持布防时间设置，可按小时、日、周设定重复周期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结合视频图片分析技术，基于视频监控画面，检测指定的侦测区域内人员是否有攀爬，上吊行为，往高处藏物品等异常情况，当有上述行为触碰规则区域时产生报警。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利用算法策略应用，搭配使用多算法和多视频的组合逻辑，根据监室和放风场场景优化攀高算法，排除物体穿过攀高线的情况，提高算法准确率。</w:t>
            </w:r>
          </w:p>
        </w:tc>
      </w:tr>
      <w:tr w14:paraId="3D4C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584E453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2268" w:type="dxa"/>
            <w:gridSpan w:val="2"/>
            <w:shd w:val="clear" w:color="auto" w:fill="auto"/>
            <w:vAlign w:val="center"/>
          </w:tcPr>
          <w:p w14:paraId="2FC467C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如厕超时场景算法训练</w:t>
            </w:r>
          </w:p>
        </w:tc>
        <w:tc>
          <w:tcPr>
            <w:tcW w:w="6204" w:type="dxa"/>
            <w:shd w:val="clear" w:color="auto" w:fill="auto"/>
            <w:vAlign w:val="center"/>
          </w:tcPr>
          <w:p w14:paraId="41A94AD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可以设置正方形、长方形、三角形和多边形的警戒区；对每一个警戒区，可以触发如厕超时报警;可以设定报警持续时间和重复报警间隔时间;支持布防时间设置，可按小时、日、周设定重复周期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结合视频图片分析技术，基于视频监控画面，判断目标厕所间被同一个人员使用了过长的时间。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利用算法策略应用，搭配使用多算法和多视频的组合逻辑，根据卫生间场景优化如厕超时算法，提高算法准确率。</w:t>
            </w:r>
          </w:p>
        </w:tc>
      </w:tr>
      <w:tr w14:paraId="5D14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242B70F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2268" w:type="dxa"/>
            <w:gridSpan w:val="2"/>
            <w:shd w:val="clear" w:color="auto" w:fill="auto"/>
            <w:vAlign w:val="center"/>
          </w:tcPr>
          <w:p w14:paraId="272E871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算法引擎授权</w:t>
            </w:r>
          </w:p>
        </w:tc>
        <w:tc>
          <w:tcPr>
            <w:tcW w:w="6204" w:type="dxa"/>
            <w:shd w:val="clear" w:color="auto" w:fill="auto"/>
            <w:vAlign w:val="center"/>
          </w:tcPr>
          <w:p w14:paraId="1E45921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智能分析基础引擎模块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对剧烈运动、人员攀高、重点人员起身、离岗/回岗、睡岗、人员攀高、超时滞留、声强突变、人数异常、人员站立、人员静坐、长时间玩手机、未着制服、区域人数检测等智能规则进行配置,支持集成运行第三方算法，并支持对算法进行管理。</w:t>
            </w:r>
            <w:r>
              <w:rPr>
                <w:rFonts w:hint="eastAsia" w:ascii="宋体" w:hAnsi="宋体" w:eastAsia="宋体" w:cs="宋体"/>
                <w:b/>
                <w:bCs/>
                <w:kern w:val="0"/>
                <w:sz w:val="24"/>
                <w:szCs w:val="24"/>
              </w:rPr>
              <w:t>（提供具有CMA标识的国家权威机构出具的检测报告）</w:t>
            </w:r>
          </w:p>
        </w:tc>
      </w:tr>
    </w:tbl>
    <w:p w14:paraId="531CFD9C">
      <w:pPr>
        <w:pStyle w:val="711"/>
        <w:ind w:firstLine="480"/>
        <w:rPr>
          <w:rFonts w:hint="eastAsia" w:ascii="宋体" w:hAnsi="宋体" w:eastAsia="宋体" w:cs="宋体"/>
          <w:b/>
          <w:bCs/>
          <w:sz w:val="24"/>
          <w:szCs w:val="24"/>
        </w:rPr>
      </w:pPr>
    </w:p>
    <w:p w14:paraId="124DDEC7">
      <w:pPr>
        <w:pStyle w:val="711"/>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软件应用依赖配套前端硬件更新</w:t>
      </w:r>
      <w:r>
        <w:rPr>
          <w:rFonts w:hint="eastAsia" w:ascii="宋体" w:hAnsi="宋体" w:eastAsia="宋体" w:cs="宋体"/>
          <w:b w:val="0"/>
          <w:bCs w:val="0"/>
          <w:sz w:val="24"/>
          <w:szCs w:val="24"/>
          <w:lang w:eastAsia="zh-CN"/>
        </w:rPr>
        <w:t>：</w:t>
      </w:r>
    </w:p>
    <w:tbl>
      <w:tblPr>
        <w:tblStyle w:val="63"/>
        <w:tblW w:w="9069" w:type="dxa"/>
        <w:tblInd w:w="0" w:type="dxa"/>
        <w:tblLayout w:type="fixed"/>
        <w:tblCellMar>
          <w:top w:w="0" w:type="dxa"/>
          <w:left w:w="108" w:type="dxa"/>
          <w:bottom w:w="0" w:type="dxa"/>
          <w:right w:w="108" w:type="dxa"/>
        </w:tblCellMar>
      </w:tblPr>
      <w:tblGrid>
        <w:gridCol w:w="549"/>
        <w:gridCol w:w="1435"/>
        <w:gridCol w:w="5949"/>
        <w:gridCol w:w="551"/>
        <w:gridCol w:w="585"/>
      </w:tblGrid>
      <w:tr w14:paraId="63814945">
        <w:tblPrEx>
          <w:tblCellMar>
            <w:top w:w="0" w:type="dxa"/>
            <w:left w:w="108" w:type="dxa"/>
            <w:bottom w:w="0" w:type="dxa"/>
            <w:right w:w="108" w:type="dxa"/>
          </w:tblCellMar>
        </w:tblPrEx>
        <w:trPr>
          <w:tblHeader/>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51FB97A7">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435" w:type="dxa"/>
            <w:tcBorders>
              <w:top w:val="single" w:color="auto" w:sz="4" w:space="0"/>
              <w:left w:val="nil"/>
              <w:bottom w:val="single" w:color="auto" w:sz="4" w:space="0"/>
              <w:right w:val="single" w:color="auto" w:sz="4" w:space="0"/>
            </w:tcBorders>
            <w:shd w:val="clear" w:color="auto" w:fill="auto"/>
            <w:vAlign w:val="center"/>
          </w:tcPr>
          <w:p w14:paraId="48038DC5">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5949" w:type="dxa"/>
            <w:tcBorders>
              <w:top w:val="single" w:color="auto" w:sz="4" w:space="0"/>
              <w:left w:val="nil"/>
              <w:bottom w:val="single" w:color="auto" w:sz="4" w:space="0"/>
              <w:right w:val="single" w:color="auto" w:sz="4" w:space="0"/>
            </w:tcBorders>
            <w:shd w:val="clear" w:color="auto" w:fill="auto"/>
            <w:vAlign w:val="center"/>
          </w:tcPr>
          <w:p w14:paraId="113C6CF5">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技术参数</w:t>
            </w:r>
          </w:p>
        </w:tc>
        <w:tc>
          <w:tcPr>
            <w:tcW w:w="551" w:type="dxa"/>
            <w:tcBorders>
              <w:top w:val="single" w:color="auto" w:sz="4" w:space="0"/>
              <w:left w:val="nil"/>
              <w:bottom w:val="single" w:color="auto" w:sz="4" w:space="0"/>
              <w:right w:val="single" w:color="auto" w:sz="4" w:space="0"/>
            </w:tcBorders>
            <w:shd w:val="clear" w:color="auto" w:fill="auto"/>
            <w:vAlign w:val="center"/>
          </w:tcPr>
          <w:p w14:paraId="42842BA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14:paraId="7309100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r>
      <w:tr w14:paraId="0260D058">
        <w:tblPrEx>
          <w:tblCellMar>
            <w:top w:w="0" w:type="dxa"/>
            <w:left w:w="108" w:type="dxa"/>
            <w:bottom w:w="0" w:type="dxa"/>
            <w:right w:w="108" w:type="dxa"/>
          </w:tblCellMar>
        </w:tblPrEx>
        <w:tc>
          <w:tcPr>
            <w:tcW w:w="549" w:type="dxa"/>
            <w:tcBorders>
              <w:top w:val="nil"/>
              <w:left w:val="single" w:color="auto" w:sz="4" w:space="0"/>
              <w:bottom w:val="single" w:color="auto" w:sz="4" w:space="0"/>
              <w:right w:val="single" w:color="auto" w:sz="4" w:space="0"/>
            </w:tcBorders>
            <w:shd w:val="clear" w:color="auto" w:fill="auto"/>
            <w:vAlign w:val="center"/>
          </w:tcPr>
          <w:p w14:paraId="3B7F141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5" w:type="dxa"/>
            <w:tcBorders>
              <w:top w:val="nil"/>
              <w:left w:val="nil"/>
              <w:bottom w:val="single" w:color="auto" w:sz="4" w:space="0"/>
              <w:right w:val="single" w:color="auto" w:sz="4" w:space="0"/>
            </w:tcBorders>
            <w:shd w:val="clear" w:color="auto" w:fill="auto"/>
            <w:vAlign w:val="center"/>
          </w:tcPr>
          <w:p w14:paraId="3CC87E7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超广角监舍半球系列摄像机</w:t>
            </w:r>
          </w:p>
        </w:tc>
        <w:tc>
          <w:tcPr>
            <w:tcW w:w="5949" w:type="dxa"/>
            <w:tcBorders>
              <w:top w:val="nil"/>
              <w:left w:val="nil"/>
              <w:bottom w:val="single" w:color="auto" w:sz="4" w:space="0"/>
              <w:right w:val="single" w:color="auto" w:sz="4" w:space="0"/>
            </w:tcBorders>
            <w:shd w:val="clear" w:color="auto" w:fill="auto"/>
            <w:vAlign w:val="center"/>
          </w:tcPr>
          <w:p w14:paraId="4FBBAB9D">
            <w:pPr>
              <w:pStyle w:val="256"/>
              <w:widowControl/>
              <w:numPr>
                <w:ilvl w:val="0"/>
                <w:numId w:val="2"/>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水平视场角不小于161°，垂直视场角不小于117°。</w:t>
            </w:r>
          </w:p>
          <w:p w14:paraId="53E764D4">
            <w:pPr>
              <w:pStyle w:val="256"/>
              <w:widowControl/>
              <w:numPr>
                <w:ilvl w:val="0"/>
                <w:numId w:val="2"/>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支持三码流技术，主码流50Hz：2560x1920、25帧/秒，子码流50Hz：704x576、25帧/秒，第三码流50Hz：704x576、25帧/秒。</w:t>
            </w:r>
          </w:p>
          <w:p w14:paraId="03226BD6">
            <w:pPr>
              <w:pStyle w:val="256"/>
              <w:widowControl/>
              <w:numPr>
                <w:ilvl w:val="0"/>
                <w:numId w:val="2"/>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红外补光不小于20米 。</w:t>
            </w:r>
          </w:p>
          <w:p w14:paraId="575589C3">
            <w:pPr>
              <w:pStyle w:val="256"/>
              <w:widowControl/>
              <w:numPr>
                <w:ilvl w:val="0"/>
                <w:numId w:val="2"/>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内置双MIC，支持双MIC噪声过滤；对讲过程中，可过滤稳态噪声。</w:t>
            </w:r>
          </w:p>
          <w:p w14:paraId="036A7EFF">
            <w:pPr>
              <w:pStyle w:val="256"/>
              <w:widowControl/>
              <w:numPr>
                <w:ilvl w:val="0"/>
                <w:numId w:val="2"/>
              </w:numPr>
              <w:adjustRightInd/>
              <w:spacing w:line="240" w:lineRule="auto"/>
              <w:ind w:firstLineChars="0"/>
              <w:jc w:val="left"/>
              <w:rPr>
                <w:rFonts w:hint="eastAsia" w:ascii="宋体" w:hAnsi="宋体" w:eastAsia="宋体" w:cs="宋体"/>
                <w:b/>
                <w:bCs/>
                <w:kern w:val="0"/>
                <w:sz w:val="24"/>
                <w:szCs w:val="24"/>
              </w:rPr>
            </w:pPr>
            <w:r>
              <w:rPr>
                <w:rFonts w:hint="eastAsia" w:ascii="宋体" w:hAnsi="宋体" w:eastAsia="宋体" w:cs="宋体"/>
                <w:kern w:val="0"/>
                <w:sz w:val="24"/>
                <w:szCs w:val="24"/>
              </w:rPr>
              <w:t>★设备支持开启、关闭畸变矫正功能，功能开启后畸变应有明显降低。畸变矫正支持等级1、等级2、等级3和自定义四种校正配置，当配置为自定义时，可分别调节校正强度、水平视场角、垂直视场角、远端放大等级。</w:t>
            </w:r>
            <w:r>
              <w:rPr>
                <w:rFonts w:hint="eastAsia" w:ascii="宋体" w:hAnsi="宋体" w:eastAsia="宋体" w:cs="宋体"/>
                <w:b/>
                <w:bCs/>
                <w:kern w:val="0"/>
                <w:sz w:val="24"/>
                <w:szCs w:val="24"/>
              </w:rPr>
              <w:t>（提供具有CMA标识的国家权威机构出具的检测报告）</w:t>
            </w:r>
          </w:p>
          <w:p w14:paraId="5601449F">
            <w:pPr>
              <w:pStyle w:val="256"/>
              <w:widowControl/>
              <w:numPr>
                <w:ilvl w:val="0"/>
                <w:numId w:val="2"/>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IP67防尘防水等级，设备支持POE供电方式。</w:t>
            </w:r>
          </w:p>
        </w:tc>
        <w:tc>
          <w:tcPr>
            <w:tcW w:w="551" w:type="dxa"/>
            <w:tcBorders>
              <w:top w:val="nil"/>
              <w:left w:val="nil"/>
              <w:bottom w:val="single" w:color="auto" w:sz="4" w:space="0"/>
              <w:right w:val="single" w:color="auto" w:sz="4" w:space="0"/>
            </w:tcBorders>
            <w:shd w:val="clear" w:color="auto" w:fill="auto"/>
            <w:vAlign w:val="center"/>
          </w:tcPr>
          <w:p w14:paraId="69F0DE0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585" w:type="dxa"/>
            <w:tcBorders>
              <w:top w:val="nil"/>
              <w:left w:val="nil"/>
              <w:bottom w:val="single" w:color="auto" w:sz="4" w:space="0"/>
              <w:right w:val="single" w:color="auto" w:sz="4" w:space="0"/>
            </w:tcBorders>
            <w:shd w:val="clear" w:color="auto" w:fill="auto"/>
            <w:vAlign w:val="center"/>
          </w:tcPr>
          <w:p w14:paraId="4A76B41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140</w:t>
            </w:r>
          </w:p>
        </w:tc>
      </w:tr>
      <w:tr w14:paraId="059F57C3">
        <w:tblPrEx>
          <w:tblCellMar>
            <w:top w:w="0" w:type="dxa"/>
            <w:left w:w="108" w:type="dxa"/>
            <w:bottom w:w="0" w:type="dxa"/>
            <w:right w:w="108" w:type="dxa"/>
          </w:tblCellMar>
        </w:tblPrEx>
        <w:tc>
          <w:tcPr>
            <w:tcW w:w="549" w:type="dxa"/>
            <w:tcBorders>
              <w:top w:val="nil"/>
              <w:left w:val="single" w:color="auto" w:sz="4" w:space="0"/>
              <w:bottom w:val="single" w:color="auto" w:sz="4" w:space="0"/>
              <w:right w:val="single" w:color="auto" w:sz="4" w:space="0"/>
            </w:tcBorders>
            <w:shd w:val="clear" w:color="auto" w:fill="auto"/>
            <w:vAlign w:val="center"/>
          </w:tcPr>
          <w:p w14:paraId="237ACA7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35" w:type="dxa"/>
            <w:tcBorders>
              <w:top w:val="nil"/>
              <w:left w:val="nil"/>
              <w:bottom w:val="single" w:color="auto" w:sz="4" w:space="0"/>
              <w:right w:val="single" w:color="auto" w:sz="4" w:space="0"/>
            </w:tcBorders>
            <w:shd w:val="clear" w:color="auto" w:fill="auto"/>
            <w:vAlign w:val="center"/>
          </w:tcPr>
          <w:p w14:paraId="6348536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轻智能系列摄像机</w:t>
            </w:r>
          </w:p>
        </w:tc>
        <w:tc>
          <w:tcPr>
            <w:tcW w:w="5949" w:type="dxa"/>
            <w:tcBorders>
              <w:top w:val="nil"/>
              <w:left w:val="nil"/>
              <w:bottom w:val="single" w:color="auto" w:sz="4" w:space="0"/>
              <w:right w:val="single" w:color="auto" w:sz="4" w:space="0"/>
            </w:tcBorders>
            <w:shd w:val="clear" w:color="auto" w:fill="auto"/>
            <w:vAlign w:val="center"/>
          </w:tcPr>
          <w:p w14:paraId="774D056E">
            <w:pPr>
              <w:pStyle w:val="256"/>
              <w:widowControl/>
              <w:numPr>
                <w:ilvl w:val="0"/>
                <w:numId w:val="3"/>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在分辨率1920x1080 @ 25fps，延时不大于70ms。</w:t>
            </w:r>
          </w:p>
          <w:p w14:paraId="57B20B1F">
            <w:pPr>
              <w:pStyle w:val="256"/>
              <w:widowControl/>
              <w:numPr>
                <w:ilvl w:val="0"/>
                <w:numId w:val="3"/>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最低照度彩色不大于0.0002 lx，黑白不大于0.0001 lx；宽动态能力不小于120dB。</w:t>
            </w:r>
          </w:p>
          <w:p w14:paraId="76F043D7">
            <w:pPr>
              <w:pStyle w:val="256"/>
              <w:widowControl/>
              <w:numPr>
                <w:ilvl w:val="0"/>
                <w:numId w:val="3"/>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红外补光距离不小于50米。</w:t>
            </w:r>
          </w:p>
          <w:p w14:paraId="1773E76E">
            <w:pPr>
              <w:pStyle w:val="256"/>
              <w:widowControl/>
              <w:numPr>
                <w:ilvl w:val="0"/>
                <w:numId w:val="3"/>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支持周界防范功能，当区域入侵、越界侦测、进入区域、离开区域报警布防开启后，出现行人、非机动车、机动车目标时能触发报警，当检测区域中篮球滚动、小狗移动、树叶晃动及光线明暗变化时不会触发报警。</w:t>
            </w:r>
          </w:p>
          <w:p w14:paraId="5A47731D">
            <w:pPr>
              <w:pStyle w:val="256"/>
              <w:widowControl/>
              <w:numPr>
                <w:ilvl w:val="0"/>
                <w:numId w:val="3"/>
              </w:numPr>
              <w:adjustRightInd/>
              <w:spacing w:line="240" w:lineRule="auto"/>
              <w:ind w:firstLineChars="0"/>
              <w:jc w:val="left"/>
              <w:rPr>
                <w:rFonts w:hint="eastAsia" w:ascii="宋体" w:hAnsi="宋体" w:eastAsia="宋体" w:cs="宋体"/>
                <w:b/>
                <w:bCs/>
                <w:kern w:val="0"/>
                <w:sz w:val="24"/>
                <w:szCs w:val="24"/>
              </w:rPr>
            </w:pPr>
            <w:r>
              <w:rPr>
                <w:rFonts w:hint="eastAsia" w:ascii="宋体" w:hAnsi="宋体" w:eastAsia="宋体" w:cs="宋体"/>
                <w:kern w:val="0"/>
                <w:sz w:val="24"/>
                <w:szCs w:val="24"/>
              </w:rPr>
              <w:t>★支持固件安全检验功能，摄像机uboot应采用加密存储，通过离线烧写存储器方式写入的uboot执行程序，不能被硬件微引导程序加载执行；支持硬件微引导程序、uboot、OS、应用软件逐级校验功能，非法篡改的uboot、OS、应用软件固件包，不能通过命令行、浏览器、客户端方式进行升级。</w:t>
            </w:r>
            <w:r>
              <w:rPr>
                <w:rFonts w:hint="eastAsia" w:ascii="宋体" w:hAnsi="宋体" w:eastAsia="宋体" w:cs="宋体"/>
                <w:b/>
                <w:bCs/>
                <w:kern w:val="0"/>
                <w:sz w:val="24"/>
                <w:szCs w:val="24"/>
              </w:rPr>
              <w:t>（提供具有CMA标识的国家权威机构出具的检测报告）</w:t>
            </w:r>
          </w:p>
          <w:p w14:paraId="474CF9B2">
            <w:pPr>
              <w:pStyle w:val="256"/>
              <w:widowControl/>
              <w:numPr>
                <w:ilvl w:val="0"/>
                <w:numId w:val="3"/>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具有设备重启和布防动态报警数据感知与记录功能，布防动态报警数据包括异常掉线、历史布防、实时布防3种类型；可记录报警的开始时间、结束时间、布防类型、报警链路地址、端口、链路续传。</w:t>
            </w:r>
          </w:p>
          <w:p w14:paraId="0B538D10">
            <w:pPr>
              <w:pStyle w:val="256"/>
              <w:widowControl/>
              <w:numPr>
                <w:ilvl w:val="0"/>
                <w:numId w:val="3"/>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★设备具有耀光抑制功能，耀光区域≤1%。</w:t>
            </w:r>
            <w:r>
              <w:rPr>
                <w:rFonts w:hint="eastAsia" w:ascii="宋体" w:hAnsi="宋体" w:eastAsia="宋体" w:cs="宋体"/>
                <w:b/>
                <w:bCs/>
                <w:kern w:val="0"/>
                <w:sz w:val="24"/>
                <w:szCs w:val="24"/>
              </w:rPr>
              <w:t>（提供具有CMA标识的国家权威机构出具的检测报告）</w:t>
            </w:r>
          </w:p>
        </w:tc>
        <w:tc>
          <w:tcPr>
            <w:tcW w:w="551" w:type="dxa"/>
            <w:tcBorders>
              <w:top w:val="nil"/>
              <w:left w:val="nil"/>
              <w:bottom w:val="single" w:color="auto" w:sz="4" w:space="0"/>
              <w:right w:val="single" w:color="auto" w:sz="4" w:space="0"/>
            </w:tcBorders>
            <w:shd w:val="clear" w:color="auto" w:fill="auto"/>
            <w:vAlign w:val="center"/>
          </w:tcPr>
          <w:p w14:paraId="13139BE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585" w:type="dxa"/>
            <w:tcBorders>
              <w:top w:val="nil"/>
              <w:left w:val="nil"/>
              <w:bottom w:val="single" w:color="auto" w:sz="4" w:space="0"/>
              <w:right w:val="single" w:color="auto" w:sz="4" w:space="0"/>
            </w:tcBorders>
            <w:shd w:val="clear" w:color="auto" w:fill="auto"/>
            <w:vAlign w:val="center"/>
          </w:tcPr>
          <w:p w14:paraId="4F24DF9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r>
      <w:tr w14:paraId="2F948481">
        <w:tblPrEx>
          <w:tblCellMar>
            <w:top w:w="0" w:type="dxa"/>
            <w:left w:w="108" w:type="dxa"/>
            <w:bottom w:w="0" w:type="dxa"/>
            <w:right w:w="108" w:type="dxa"/>
          </w:tblCellMar>
        </w:tblPrEx>
        <w:tc>
          <w:tcPr>
            <w:tcW w:w="549" w:type="dxa"/>
            <w:tcBorders>
              <w:top w:val="nil"/>
              <w:left w:val="single" w:color="auto" w:sz="4" w:space="0"/>
              <w:bottom w:val="single" w:color="auto" w:sz="4" w:space="0"/>
              <w:right w:val="single" w:color="auto" w:sz="4" w:space="0"/>
            </w:tcBorders>
            <w:shd w:val="clear" w:color="auto" w:fill="auto"/>
            <w:vAlign w:val="center"/>
          </w:tcPr>
          <w:p w14:paraId="0966F26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35" w:type="dxa"/>
            <w:tcBorders>
              <w:top w:val="nil"/>
              <w:left w:val="nil"/>
              <w:bottom w:val="single" w:color="auto" w:sz="4" w:space="0"/>
              <w:right w:val="single" w:color="auto" w:sz="4" w:space="0"/>
            </w:tcBorders>
            <w:shd w:val="clear" w:color="auto" w:fill="auto"/>
            <w:vAlign w:val="center"/>
          </w:tcPr>
          <w:p w14:paraId="3989C47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超高清解码器</w:t>
            </w:r>
          </w:p>
        </w:tc>
        <w:tc>
          <w:tcPr>
            <w:tcW w:w="5949" w:type="dxa"/>
            <w:tcBorders>
              <w:top w:val="nil"/>
              <w:left w:val="nil"/>
              <w:bottom w:val="single" w:color="auto" w:sz="4" w:space="0"/>
              <w:right w:val="single" w:color="auto" w:sz="4" w:space="0"/>
            </w:tcBorders>
            <w:shd w:val="clear" w:color="auto" w:fill="auto"/>
            <w:vAlign w:val="center"/>
          </w:tcPr>
          <w:p w14:paraId="6F720203">
            <w:pPr>
              <w:pStyle w:val="256"/>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1. 视频解码格式：H.264，H.265，Smart264，Smart265，MJPEG，解码分辨率最高3200W像素。</w:t>
            </w:r>
          </w:p>
          <w:p w14:paraId="77A7C17A">
            <w:pPr>
              <w:pStyle w:val="256"/>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2. 视频解码能力：H.264/H.265：支持8路3200 W，或8路2400 W，或16路1200 W，或32路800 W，或40路600W，或64路400 W，或128路1080P，或256路720P及以下分辨率实时解码（支持每4个输出口一组共享解码能力）</w:t>
            </w:r>
          </w:p>
          <w:p w14:paraId="6CB55D5A">
            <w:pPr>
              <w:pStyle w:val="256"/>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3. 视频输入接口：2路HDMI 1.4，最大支持4K；视频输出接口类型：16路HDMI 1.4，支持4K。</w:t>
            </w:r>
          </w:p>
          <w:p w14:paraId="2C148E67">
            <w:pPr>
              <w:pStyle w:val="256"/>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4. 为保证产品兼容性，需提供设备支持GB/T 28181-2022的证明。</w:t>
            </w:r>
          </w:p>
          <w:p w14:paraId="07E67055">
            <w:pPr>
              <w:pStyle w:val="256"/>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5. 支持对输入的视频画面进行90°、180°、270°旋转显示。</w:t>
            </w:r>
          </w:p>
          <w:p w14:paraId="4B8AC0A7">
            <w:pPr>
              <w:pStyle w:val="256"/>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6. ★显控系统设备间支持信息交互功能，通过平台/客户端界面能够查看屏幕运维信息，包括使用时长、序列号、温度、亮度、显示模式，支持下发配置屏幕参数。</w:t>
            </w:r>
            <w:r>
              <w:rPr>
                <w:rFonts w:hint="eastAsia" w:ascii="宋体" w:hAnsi="宋体" w:eastAsia="宋体" w:cs="宋体"/>
                <w:b/>
                <w:bCs/>
                <w:kern w:val="0"/>
                <w:sz w:val="24"/>
                <w:szCs w:val="24"/>
              </w:rPr>
              <w:t>（提供具有CMA标识的国家权威机构出具的检测报告）</w:t>
            </w:r>
          </w:p>
          <w:p w14:paraId="44C635B0">
            <w:pPr>
              <w:pStyle w:val="256"/>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7. 显控系统支持通过自动识别屏幕的行列号信息，并能根据行列号信息，自动生成对应的电视墙规模和绑定输出口关系，避免手动一对一设置输出口和LCD屏幕的对应关系</w:t>
            </w:r>
            <w:r>
              <w:rPr>
                <w:rFonts w:hint="eastAsia" w:ascii="宋体" w:hAnsi="宋体" w:eastAsia="宋体" w:cs="宋体"/>
                <w:kern w:val="0"/>
                <w:sz w:val="24"/>
                <w:szCs w:val="24"/>
                <w:lang w:eastAsia="zh-CN"/>
              </w:rPr>
              <w:t>。</w:t>
            </w:r>
          </w:p>
          <w:p w14:paraId="49238AEF">
            <w:pPr>
              <w:pStyle w:val="256"/>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8. ★显控系统支持自动检测输入源的信号类型，根据信号源类型和显示位置，自动配置信号源所在屏幕的显示场景模式</w:t>
            </w:r>
            <w:r>
              <w:rPr>
                <w:rFonts w:hint="eastAsia" w:ascii="宋体" w:hAnsi="宋体" w:eastAsia="宋体" w:cs="宋体"/>
                <w:kern w:val="0"/>
                <w:sz w:val="24"/>
                <w:szCs w:val="24"/>
                <w:lang w:eastAsia="zh-CN"/>
              </w:rPr>
              <w:t>。</w:t>
            </w:r>
            <w:r>
              <w:rPr>
                <w:rFonts w:hint="eastAsia" w:ascii="宋体" w:hAnsi="宋体" w:eastAsia="宋体" w:cs="宋体"/>
                <w:b/>
                <w:bCs/>
                <w:kern w:val="0"/>
                <w:sz w:val="24"/>
                <w:szCs w:val="24"/>
              </w:rPr>
              <w:t>（提供具有CMA标识的国家权威机构出具的检测报告）</w:t>
            </w:r>
          </w:p>
        </w:tc>
        <w:tc>
          <w:tcPr>
            <w:tcW w:w="551" w:type="dxa"/>
            <w:tcBorders>
              <w:top w:val="nil"/>
              <w:left w:val="nil"/>
              <w:bottom w:val="single" w:color="auto" w:sz="4" w:space="0"/>
              <w:right w:val="single" w:color="auto" w:sz="4" w:space="0"/>
            </w:tcBorders>
            <w:shd w:val="clear" w:color="auto" w:fill="auto"/>
            <w:vAlign w:val="center"/>
          </w:tcPr>
          <w:p w14:paraId="6EB0E5D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585" w:type="dxa"/>
            <w:tcBorders>
              <w:top w:val="nil"/>
              <w:left w:val="nil"/>
              <w:bottom w:val="single" w:color="auto" w:sz="4" w:space="0"/>
              <w:right w:val="single" w:color="auto" w:sz="4" w:space="0"/>
            </w:tcBorders>
            <w:shd w:val="clear" w:color="auto" w:fill="auto"/>
            <w:vAlign w:val="center"/>
          </w:tcPr>
          <w:p w14:paraId="6AC5AB8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6A87A30C">
        <w:tblPrEx>
          <w:tblCellMar>
            <w:top w:w="0" w:type="dxa"/>
            <w:left w:w="108" w:type="dxa"/>
            <w:bottom w:w="0" w:type="dxa"/>
            <w:right w:w="108" w:type="dxa"/>
          </w:tblCellMar>
        </w:tblPrEx>
        <w:tc>
          <w:tcPr>
            <w:tcW w:w="549" w:type="dxa"/>
            <w:tcBorders>
              <w:top w:val="nil"/>
              <w:left w:val="single" w:color="auto" w:sz="4" w:space="0"/>
              <w:bottom w:val="single" w:color="auto" w:sz="4" w:space="0"/>
              <w:right w:val="single" w:color="auto" w:sz="4" w:space="0"/>
            </w:tcBorders>
            <w:shd w:val="clear" w:color="auto" w:fill="auto"/>
            <w:vAlign w:val="center"/>
          </w:tcPr>
          <w:p w14:paraId="0E68CA6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435" w:type="dxa"/>
            <w:tcBorders>
              <w:top w:val="nil"/>
              <w:left w:val="nil"/>
              <w:bottom w:val="single" w:color="auto" w:sz="4" w:space="0"/>
              <w:right w:val="single" w:color="auto" w:sz="4" w:space="0"/>
            </w:tcBorders>
            <w:shd w:val="clear" w:color="auto" w:fill="auto"/>
            <w:vAlign w:val="center"/>
          </w:tcPr>
          <w:p w14:paraId="3D3677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接入交换机</w:t>
            </w:r>
          </w:p>
        </w:tc>
        <w:tc>
          <w:tcPr>
            <w:tcW w:w="5949" w:type="dxa"/>
            <w:tcBorders>
              <w:top w:val="nil"/>
              <w:left w:val="nil"/>
              <w:bottom w:val="single" w:color="auto" w:sz="4" w:space="0"/>
              <w:right w:val="single" w:color="auto" w:sz="4" w:space="0"/>
            </w:tcBorders>
            <w:shd w:val="clear" w:color="auto" w:fill="auto"/>
            <w:vAlign w:val="center"/>
          </w:tcPr>
          <w:p w14:paraId="344D7290">
            <w:pPr>
              <w:pStyle w:val="256"/>
              <w:widowControl/>
              <w:numPr>
                <w:ilvl w:val="0"/>
                <w:numId w:val="4"/>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可用千兆PoE电口数量≥24，千兆光口数量≥2，交换容量≥56Gbps，转发性能≥41.67Mpps；</w:t>
            </w:r>
          </w:p>
          <w:p w14:paraId="39925D84">
            <w:pPr>
              <w:pStyle w:val="256"/>
              <w:widowControl/>
              <w:numPr>
                <w:ilvl w:val="0"/>
                <w:numId w:val="4"/>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支持链路聚合、QoS、STP/RSTP、端口镜像、端口隔离、风暴抑制功能；</w:t>
            </w:r>
          </w:p>
          <w:p w14:paraId="53AE4B01">
            <w:pPr>
              <w:pStyle w:val="256"/>
              <w:widowControl/>
              <w:numPr>
                <w:ilvl w:val="0"/>
                <w:numId w:val="4"/>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浪涌（冲击）抗扰度符合GB/T17626.</w:t>
            </w:r>
            <w:r>
              <w:rPr>
                <w:rFonts w:hint="eastAsia" w:ascii="宋体" w:hAnsi="宋体" w:eastAsia="宋体" w:cs="宋体"/>
                <w:kern w:val="0"/>
                <w:sz w:val="24"/>
                <w:szCs w:val="24"/>
                <w:lang w:val="en-US" w:eastAsia="zh-CN"/>
              </w:rPr>
              <w:t>5。</w:t>
            </w:r>
          </w:p>
        </w:tc>
        <w:tc>
          <w:tcPr>
            <w:tcW w:w="551" w:type="dxa"/>
            <w:tcBorders>
              <w:top w:val="nil"/>
              <w:left w:val="nil"/>
              <w:bottom w:val="single" w:color="auto" w:sz="4" w:space="0"/>
              <w:right w:val="single" w:color="auto" w:sz="4" w:space="0"/>
            </w:tcBorders>
            <w:shd w:val="clear" w:color="auto" w:fill="auto"/>
            <w:vAlign w:val="center"/>
          </w:tcPr>
          <w:p w14:paraId="36B10EA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585" w:type="dxa"/>
            <w:tcBorders>
              <w:top w:val="nil"/>
              <w:left w:val="nil"/>
              <w:bottom w:val="single" w:color="auto" w:sz="4" w:space="0"/>
              <w:right w:val="single" w:color="auto" w:sz="4" w:space="0"/>
            </w:tcBorders>
            <w:shd w:val="clear" w:color="auto" w:fill="auto"/>
            <w:vAlign w:val="center"/>
          </w:tcPr>
          <w:p w14:paraId="67E645C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r>
      <w:tr w14:paraId="1A14C256">
        <w:tblPrEx>
          <w:tblCellMar>
            <w:top w:w="0" w:type="dxa"/>
            <w:left w:w="108" w:type="dxa"/>
            <w:bottom w:w="0" w:type="dxa"/>
            <w:right w:w="108" w:type="dxa"/>
          </w:tblCellMar>
        </w:tblPrEx>
        <w:tc>
          <w:tcPr>
            <w:tcW w:w="549" w:type="dxa"/>
            <w:tcBorders>
              <w:top w:val="nil"/>
              <w:left w:val="single" w:color="auto" w:sz="4" w:space="0"/>
              <w:bottom w:val="single" w:color="auto" w:sz="4" w:space="0"/>
              <w:right w:val="single" w:color="auto" w:sz="4" w:space="0"/>
            </w:tcBorders>
            <w:shd w:val="clear" w:color="auto" w:fill="auto"/>
            <w:vAlign w:val="center"/>
          </w:tcPr>
          <w:p w14:paraId="6C402D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435" w:type="dxa"/>
            <w:tcBorders>
              <w:top w:val="nil"/>
              <w:left w:val="nil"/>
              <w:bottom w:val="single" w:color="auto" w:sz="4" w:space="0"/>
              <w:right w:val="single" w:color="auto" w:sz="4" w:space="0"/>
            </w:tcBorders>
            <w:shd w:val="clear" w:color="auto" w:fill="auto"/>
            <w:vAlign w:val="center"/>
          </w:tcPr>
          <w:p w14:paraId="7BFBDB2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汇聚交换机</w:t>
            </w:r>
          </w:p>
        </w:tc>
        <w:tc>
          <w:tcPr>
            <w:tcW w:w="5949" w:type="dxa"/>
            <w:tcBorders>
              <w:top w:val="nil"/>
              <w:left w:val="nil"/>
              <w:bottom w:val="single" w:color="auto" w:sz="4" w:space="0"/>
              <w:right w:val="single" w:color="auto" w:sz="4" w:space="0"/>
            </w:tcBorders>
            <w:shd w:val="clear" w:color="auto" w:fill="auto"/>
            <w:vAlign w:val="center"/>
          </w:tcPr>
          <w:p w14:paraId="115F4CAF">
            <w:pPr>
              <w:pStyle w:val="256"/>
              <w:widowControl/>
              <w:numPr>
                <w:ilvl w:val="0"/>
                <w:numId w:val="5"/>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可用千兆PoE电接口数量≥24，可用千兆光接口数量≥4，支持独立的console管理串口，交换容量≥336Gbps/3.36Tbps，包转发率≥108Mpps/126Mpps。</w:t>
            </w:r>
          </w:p>
          <w:p w14:paraId="13D1424D">
            <w:pPr>
              <w:pStyle w:val="256"/>
              <w:widowControl/>
              <w:numPr>
                <w:ilvl w:val="0"/>
                <w:numId w:val="5"/>
              </w:numPr>
              <w:adjustRightInd/>
              <w:spacing w:line="240" w:lineRule="auto"/>
              <w:ind w:firstLineChars="0"/>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提供工信部入网许可证，入网检测报告证明。</w:t>
            </w:r>
          </w:p>
        </w:tc>
        <w:tc>
          <w:tcPr>
            <w:tcW w:w="551" w:type="dxa"/>
            <w:tcBorders>
              <w:top w:val="nil"/>
              <w:left w:val="nil"/>
              <w:bottom w:val="single" w:color="auto" w:sz="4" w:space="0"/>
              <w:right w:val="single" w:color="auto" w:sz="4" w:space="0"/>
            </w:tcBorders>
            <w:shd w:val="clear" w:color="auto" w:fill="auto"/>
            <w:vAlign w:val="center"/>
          </w:tcPr>
          <w:p w14:paraId="48731C9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585" w:type="dxa"/>
            <w:tcBorders>
              <w:top w:val="nil"/>
              <w:left w:val="nil"/>
              <w:bottom w:val="single" w:color="auto" w:sz="4" w:space="0"/>
              <w:right w:val="single" w:color="auto" w:sz="4" w:space="0"/>
            </w:tcBorders>
            <w:shd w:val="clear" w:color="auto" w:fill="auto"/>
            <w:vAlign w:val="center"/>
          </w:tcPr>
          <w:p w14:paraId="6C9F132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98507CB">
        <w:tblPrEx>
          <w:tblCellMar>
            <w:top w:w="0" w:type="dxa"/>
            <w:left w:w="108" w:type="dxa"/>
            <w:bottom w:w="0" w:type="dxa"/>
            <w:right w:w="108" w:type="dxa"/>
          </w:tblCellMar>
        </w:tblPrEx>
        <w:tc>
          <w:tcPr>
            <w:tcW w:w="549" w:type="dxa"/>
            <w:tcBorders>
              <w:top w:val="nil"/>
              <w:left w:val="single" w:color="auto" w:sz="4" w:space="0"/>
              <w:bottom w:val="single" w:color="auto" w:sz="4" w:space="0"/>
              <w:right w:val="single" w:color="auto" w:sz="4" w:space="0"/>
            </w:tcBorders>
            <w:shd w:val="clear" w:color="auto" w:fill="auto"/>
            <w:vAlign w:val="center"/>
          </w:tcPr>
          <w:p w14:paraId="5DCDA78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435" w:type="dxa"/>
            <w:tcBorders>
              <w:top w:val="nil"/>
              <w:left w:val="nil"/>
              <w:bottom w:val="single" w:color="auto" w:sz="4" w:space="0"/>
              <w:right w:val="single" w:color="auto" w:sz="4" w:space="0"/>
            </w:tcBorders>
            <w:shd w:val="clear" w:color="auto" w:fill="auto"/>
            <w:vAlign w:val="center"/>
          </w:tcPr>
          <w:p w14:paraId="11F370A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其他辅材</w:t>
            </w:r>
          </w:p>
        </w:tc>
        <w:tc>
          <w:tcPr>
            <w:tcW w:w="5949" w:type="dxa"/>
            <w:tcBorders>
              <w:top w:val="nil"/>
              <w:left w:val="nil"/>
              <w:bottom w:val="single" w:color="auto" w:sz="4" w:space="0"/>
              <w:right w:val="single" w:color="auto" w:sz="4" w:space="0"/>
            </w:tcBorders>
            <w:shd w:val="clear" w:color="auto" w:fill="auto"/>
            <w:vAlign w:val="center"/>
          </w:tcPr>
          <w:p w14:paraId="1AE6F03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设备安装线材、管材、辅材、镜头调试、设备运维服务。</w:t>
            </w:r>
          </w:p>
        </w:tc>
        <w:tc>
          <w:tcPr>
            <w:tcW w:w="551" w:type="dxa"/>
            <w:tcBorders>
              <w:top w:val="nil"/>
              <w:left w:val="nil"/>
              <w:bottom w:val="single" w:color="auto" w:sz="4" w:space="0"/>
              <w:right w:val="single" w:color="auto" w:sz="4" w:space="0"/>
            </w:tcBorders>
            <w:shd w:val="clear" w:color="auto" w:fill="auto"/>
            <w:vAlign w:val="center"/>
          </w:tcPr>
          <w:p w14:paraId="6F23513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585" w:type="dxa"/>
            <w:tcBorders>
              <w:top w:val="nil"/>
              <w:left w:val="nil"/>
              <w:bottom w:val="single" w:color="auto" w:sz="4" w:space="0"/>
              <w:right w:val="single" w:color="auto" w:sz="4" w:space="0"/>
            </w:tcBorders>
            <w:shd w:val="clear" w:color="auto" w:fill="auto"/>
            <w:vAlign w:val="center"/>
          </w:tcPr>
          <w:p w14:paraId="6850AC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bl>
    <w:p w14:paraId="7640B7B9">
      <w:pPr>
        <w:pStyle w:val="83"/>
        <w:rPr>
          <w:rFonts w:hint="eastAsia" w:ascii="宋体" w:hAnsi="宋体" w:eastAsia="宋体" w:cs="宋体"/>
          <w:sz w:val="24"/>
          <w:szCs w:val="24"/>
        </w:rPr>
      </w:pPr>
    </w:p>
    <w:p w14:paraId="36C93412">
      <w:pPr>
        <w:pStyle w:val="83"/>
        <w:rPr>
          <w:rFonts w:hint="eastAsia"/>
        </w:rPr>
      </w:pPr>
      <w:r>
        <w:rPr>
          <w:rFonts w:hint="eastAsia" w:ascii="宋体" w:hAnsi="宋体" w:eastAsia="宋体" w:cs="宋体"/>
          <w:sz w:val="24"/>
          <w:szCs w:val="24"/>
        </w:rPr>
        <w:br w:type="page"/>
      </w:r>
    </w:p>
    <w:p w14:paraId="768649B3">
      <w:pPr>
        <w:rPr>
          <w:rFonts w:hint="eastAsia"/>
        </w:rPr>
      </w:pPr>
    </w:p>
    <w:p w14:paraId="2FA1618C">
      <w:pPr>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 xml:space="preserve">第四部分   </w:t>
      </w:r>
      <w:bookmarkStart w:id="55" w:name="_Toc184312074"/>
      <w:bookmarkEnd w:id="55"/>
      <w:bookmarkStart w:id="56" w:name="_Toc184310338"/>
      <w:bookmarkEnd w:id="56"/>
      <w:bookmarkStart w:id="57" w:name="_Toc184312136"/>
      <w:bookmarkEnd w:id="57"/>
      <w:bookmarkStart w:id="58" w:name="_Toc184312130"/>
      <w:bookmarkEnd w:id="58"/>
      <w:bookmarkStart w:id="59" w:name="_Toc184312129"/>
      <w:bookmarkEnd w:id="59"/>
      <w:bookmarkStart w:id="60" w:name="_Toc184312076"/>
      <w:bookmarkEnd w:id="60"/>
      <w:bookmarkStart w:id="61" w:name="_Toc184314429"/>
      <w:bookmarkEnd w:id="61"/>
      <w:bookmarkStart w:id="62" w:name="_Toc184312068"/>
      <w:bookmarkEnd w:id="62"/>
      <w:bookmarkStart w:id="63" w:name="_Toc184313243"/>
      <w:bookmarkEnd w:id="63"/>
      <w:bookmarkStart w:id="64" w:name="_Toc184312102"/>
      <w:bookmarkEnd w:id="64"/>
      <w:bookmarkStart w:id="65" w:name="_Toc184312121"/>
      <w:bookmarkEnd w:id="65"/>
      <w:bookmarkStart w:id="66" w:name="_Toc184308099"/>
      <w:bookmarkEnd w:id="66"/>
      <w:bookmarkStart w:id="67" w:name="_Toc184310321"/>
      <w:bookmarkEnd w:id="67"/>
      <w:bookmarkStart w:id="68" w:name="_Toc184310293"/>
      <w:bookmarkEnd w:id="68"/>
      <w:bookmarkStart w:id="69" w:name="_Toc184310302"/>
      <w:bookmarkEnd w:id="69"/>
      <w:bookmarkStart w:id="70" w:name="_Toc184310295"/>
      <w:bookmarkEnd w:id="70"/>
      <w:bookmarkStart w:id="71" w:name="_Toc184308093"/>
      <w:bookmarkEnd w:id="71"/>
      <w:bookmarkStart w:id="72" w:name="_Toc184310337"/>
      <w:bookmarkEnd w:id="72"/>
      <w:bookmarkStart w:id="73" w:name="_Toc184313250"/>
      <w:bookmarkEnd w:id="73"/>
      <w:bookmarkStart w:id="74" w:name="_Toc184314456"/>
      <w:bookmarkEnd w:id="74"/>
      <w:bookmarkStart w:id="75" w:name="_Toc184314471"/>
      <w:bookmarkEnd w:id="75"/>
      <w:bookmarkStart w:id="76" w:name="_Toc184310272"/>
      <w:bookmarkEnd w:id="76"/>
      <w:bookmarkStart w:id="77" w:name="_Toc184313272"/>
      <w:bookmarkEnd w:id="77"/>
      <w:bookmarkStart w:id="78" w:name="_Toc184314460"/>
      <w:bookmarkEnd w:id="78"/>
      <w:bookmarkStart w:id="79" w:name="_Toc184312111"/>
      <w:bookmarkEnd w:id="79"/>
      <w:bookmarkStart w:id="80" w:name="_Toc184314418"/>
      <w:bookmarkEnd w:id="80"/>
      <w:bookmarkStart w:id="81" w:name="_Toc184313259"/>
      <w:bookmarkEnd w:id="81"/>
      <w:bookmarkStart w:id="82" w:name="_Toc184308092"/>
      <w:bookmarkEnd w:id="82"/>
      <w:bookmarkStart w:id="83" w:name="_Toc184312131"/>
      <w:bookmarkEnd w:id="83"/>
      <w:bookmarkStart w:id="84" w:name="_Toc184312110"/>
      <w:bookmarkEnd w:id="84"/>
      <w:bookmarkStart w:id="85" w:name="_Toc184313298"/>
      <w:bookmarkEnd w:id="85"/>
      <w:bookmarkStart w:id="86" w:name="_Toc184314463"/>
      <w:bookmarkEnd w:id="86"/>
      <w:bookmarkStart w:id="87" w:name="_Toc184308068"/>
      <w:bookmarkEnd w:id="87"/>
      <w:bookmarkStart w:id="88" w:name="_Toc184314451"/>
      <w:bookmarkEnd w:id="88"/>
      <w:bookmarkStart w:id="89" w:name="_Toc184310334"/>
      <w:bookmarkEnd w:id="89"/>
      <w:bookmarkStart w:id="90" w:name="_Toc184308048"/>
      <w:bookmarkEnd w:id="90"/>
      <w:bookmarkStart w:id="91" w:name="_Toc184314439"/>
      <w:bookmarkEnd w:id="91"/>
      <w:bookmarkStart w:id="92" w:name="_Toc184314481"/>
      <w:bookmarkEnd w:id="92"/>
      <w:bookmarkStart w:id="93" w:name="_Toc184312091"/>
      <w:bookmarkEnd w:id="93"/>
      <w:bookmarkStart w:id="94" w:name="_Toc184314469"/>
      <w:bookmarkEnd w:id="94"/>
      <w:bookmarkStart w:id="95" w:name="_Toc184312134"/>
      <w:bookmarkEnd w:id="95"/>
      <w:bookmarkStart w:id="96" w:name="_Toc184314442"/>
      <w:bookmarkEnd w:id="96"/>
      <w:bookmarkStart w:id="97" w:name="_Toc184312075"/>
      <w:bookmarkEnd w:id="97"/>
      <w:bookmarkStart w:id="98" w:name="_Toc184308077"/>
      <w:bookmarkEnd w:id="98"/>
      <w:bookmarkStart w:id="99" w:name="_Toc184308075"/>
      <w:bookmarkEnd w:id="99"/>
      <w:bookmarkStart w:id="100" w:name="_Toc184310276"/>
      <w:bookmarkEnd w:id="100"/>
      <w:bookmarkStart w:id="101" w:name="_Toc184312089"/>
      <w:bookmarkEnd w:id="101"/>
      <w:bookmarkStart w:id="102" w:name="_Toc184313242"/>
      <w:bookmarkEnd w:id="102"/>
      <w:bookmarkStart w:id="103" w:name="_Toc184310320"/>
      <w:bookmarkEnd w:id="103"/>
      <w:bookmarkStart w:id="104" w:name="_Toc184314440"/>
      <w:bookmarkEnd w:id="104"/>
      <w:bookmarkStart w:id="105" w:name="_Toc184312071"/>
      <w:bookmarkEnd w:id="105"/>
      <w:bookmarkStart w:id="106" w:name="_Toc184312073"/>
      <w:bookmarkEnd w:id="106"/>
      <w:bookmarkStart w:id="107" w:name="_Toc184308052"/>
      <w:bookmarkEnd w:id="107"/>
      <w:bookmarkStart w:id="108" w:name="_Toc184313257"/>
      <w:bookmarkEnd w:id="108"/>
      <w:bookmarkStart w:id="109" w:name="_Toc184314446"/>
      <w:bookmarkEnd w:id="109"/>
      <w:bookmarkStart w:id="110" w:name="_Toc184313238"/>
      <w:bookmarkEnd w:id="110"/>
      <w:bookmarkStart w:id="111" w:name="_Toc184310340"/>
      <w:bookmarkEnd w:id="111"/>
      <w:bookmarkStart w:id="112" w:name="_Toc184308051"/>
      <w:bookmarkEnd w:id="112"/>
      <w:bookmarkStart w:id="113" w:name="_Toc184313270"/>
      <w:bookmarkEnd w:id="113"/>
      <w:bookmarkStart w:id="114" w:name="_Toc184308072"/>
      <w:bookmarkEnd w:id="114"/>
      <w:bookmarkStart w:id="115" w:name="_Toc184308063"/>
      <w:bookmarkEnd w:id="115"/>
      <w:bookmarkStart w:id="116" w:name="_Toc184314426"/>
      <w:bookmarkEnd w:id="116"/>
      <w:bookmarkStart w:id="117" w:name="_Toc184308100"/>
      <w:bookmarkEnd w:id="117"/>
      <w:bookmarkStart w:id="118" w:name="_Toc184310323"/>
      <w:bookmarkEnd w:id="118"/>
      <w:bookmarkStart w:id="119" w:name="_Toc184314413"/>
      <w:bookmarkEnd w:id="119"/>
      <w:bookmarkStart w:id="120" w:name="_Toc184313262"/>
      <w:bookmarkEnd w:id="120"/>
      <w:bookmarkStart w:id="121" w:name="_Toc184308042"/>
      <w:bookmarkEnd w:id="121"/>
      <w:bookmarkStart w:id="122" w:name="_Toc184314423"/>
      <w:bookmarkEnd w:id="122"/>
      <w:bookmarkStart w:id="123" w:name="_Toc184313258"/>
      <w:bookmarkEnd w:id="123"/>
      <w:bookmarkStart w:id="124" w:name="_Toc184312115"/>
      <w:bookmarkEnd w:id="124"/>
      <w:bookmarkStart w:id="125" w:name="_Toc184310291"/>
      <w:bookmarkEnd w:id="125"/>
      <w:bookmarkStart w:id="126" w:name="_Toc184314432"/>
      <w:bookmarkEnd w:id="126"/>
      <w:bookmarkStart w:id="127" w:name="_Toc184314434"/>
      <w:bookmarkEnd w:id="127"/>
      <w:bookmarkStart w:id="128" w:name="_Toc184313295"/>
      <w:bookmarkEnd w:id="128"/>
      <w:bookmarkStart w:id="129" w:name="_Toc184308102"/>
      <w:bookmarkEnd w:id="129"/>
      <w:bookmarkStart w:id="130" w:name="_Toc184308070"/>
      <w:bookmarkEnd w:id="130"/>
      <w:bookmarkStart w:id="131" w:name="_Toc184314411"/>
      <w:bookmarkEnd w:id="131"/>
      <w:bookmarkStart w:id="132" w:name="_Toc184310299"/>
      <w:bookmarkEnd w:id="132"/>
      <w:bookmarkStart w:id="133" w:name="_Toc184312139"/>
      <w:bookmarkEnd w:id="133"/>
      <w:bookmarkStart w:id="134" w:name="_Toc184314467"/>
      <w:bookmarkEnd w:id="134"/>
      <w:bookmarkStart w:id="135" w:name="_Toc184310284"/>
      <w:bookmarkEnd w:id="135"/>
      <w:bookmarkStart w:id="136" w:name="_Toc184308050"/>
      <w:bookmarkEnd w:id="136"/>
      <w:bookmarkStart w:id="137" w:name="_Toc184310303"/>
      <w:bookmarkEnd w:id="137"/>
      <w:bookmarkStart w:id="138" w:name="_Toc184313291"/>
      <w:bookmarkEnd w:id="138"/>
      <w:bookmarkStart w:id="139" w:name="_Toc184308103"/>
      <w:bookmarkEnd w:id="139"/>
      <w:bookmarkStart w:id="140" w:name="_Toc184312079"/>
      <w:bookmarkEnd w:id="140"/>
      <w:bookmarkStart w:id="141" w:name="_Toc184313276"/>
      <w:bookmarkEnd w:id="141"/>
      <w:bookmarkStart w:id="142" w:name="_Toc184308059"/>
      <w:bookmarkEnd w:id="142"/>
      <w:bookmarkStart w:id="143" w:name="_Toc184310297"/>
      <w:bookmarkEnd w:id="143"/>
      <w:bookmarkStart w:id="144" w:name="_Toc184313241"/>
      <w:bookmarkEnd w:id="144"/>
      <w:bookmarkStart w:id="145" w:name="_Toc184314445"/>
      <w:bookmarkEnd w:id="145"/>
      <w:bookmarkStart w:id="146" w:name="_Toc184312096"/>
      <w:bookmarkEnd w:id="146"/>
      <w:bookmarkStart w:id="147" w:name="_Toc184312086"/>
      <w:bookmarkEnd w:id="147"/>
      <w:bookmarkStart w:id="148" w:name="_Toc184308097"/>
      <w:bookmarkEnd w:id="148"/>
      <w:bookmarkStart w:id="149" w:name="_Toc184314461"/>
      <w:bookmarkEnd w:id="149"/>
      <w:bookmarkStart w:id="150" w:name="_Toc184310317"/>
      <w:bookmarkEnd w:id="150"/>
      <w:bookmarkStart w:id="151" w:name="_Toc184310294"/>
      <w:bookmarkEnd w:id="151"/>
      <w:bookmarkStart w:id="152" w:name="_Toc184308082"/>
      <w:bookmarkEnd w:id="152"/>
      <w:bookmarkStart w:id="153" w:name="_Toc184310305"/>
      <w:bookmarkEnd w:id="153"/>
      <w:bookmarkStart w:id="154" w:name="_Toc184314420"/>
      <w:bookmarkEnd w:id="154"/>
      <w:bookmarkStart w:id="155" w:name="_Toc184310307"/>
      <w:bookmarkEnd w:id="155"/>
      <w:bookmarkStart w:id="156" w:name="_Toc184310331"/>
      <w:bookmarkEnd w:id="156"/>
      <w:bookmarkStart w:id="157" w:name="_Toc184314475"/>
      <w:bookmarkEnd w:id="157"/>
      <w:bookmarkStart w:id="158" w:name="_Toc184312124"/>
      <w:bookmarkEnd w:id="158"/>
      <w:bookmarkStart w:id="159" w:name="_Toc184308069"/>
      <w:bookmarkEnd w:id="159"/>
      <w:bookmarkStart w:id="160" w:name="_Toc184310330"/>
      <w:bookmarkEnd w:id="160"/>
      <w:bookmarkStart w:id="161" w:name="_Toc184313284"/>
      <w:bookmarkEnd w:id="161"/>
      <w:bookmarkStart w:id="162" w:name="_Toc184313297"/>
      <w:bookmarkEnd w:id="162"/>
      <w:bookmarkStart w:id="163" w:name="_Toc184308108"/>
      <w:bookmarkEnd w:id="163"/>
      <w:bookmarkStart w:id="164" w:name="_Toc184310289"/>
      <w:bookmarkEnd w:id="164"/>
      <w:bookmarkStart w:id="165" w:name="_Toc184310310"/>
      <w:bookmarkEnd w:id="165"/>
      <w:bookmarkStart w:id="166" w:name="_Toc184308036"/>
      <w:bookmarkEnd w:id="166"/>
      <w:bookmarkStart w:id="167" w:name="_Toc184312126"/>
      <w:bookmarkEnd w:id="167"/>
      <w:bookmarkStart w:id="168" w:name="_Toc184314436"/>
      <w:bookmarkEnd w:id="168"/>
      <w:bookmarkStart w:id="169" w:name="_Toc184314457"/>
      <w:bookmarkEnd w:id="169"/>
      <w:bookmarkStart w:id="170" w:name="_Toc184310309"/>
      <w:bookmarkEnd w:id="170"/>
      <w:bookmarkStart w:id="171" w:name="_Toc184314448"/>
      <w:bookmarkEnd w:id="171"/>
      <w:bookmarkStart w:id="172" w:name="_Toc184314430"/>
      <w:bookmarkEnd w:id="172"/>
      <w:bookmarkStart w:id="173" w:name="_Toc184314459"/>
      <w:bookmarkEnd w:id="173"/>
      <w:bookmarkStart w:id="174" w:name="_Toc184314444"/>
      <w:bookmarkEnd w:id="174"/>
      <w:bookmarkStart w:id="175" w:name="_Toc184313260"/>
      <w:bookmarkEnd w:id="175"/>
      <w:bookmarkStart w:id="176" w:name="_Toc184310332"/>
      <w:bookmarkEnd w:id="176"/>
      <w:bookmarkStart w:id="177" w:name="_Toc184314438"/>
      <w:bookmarkEnd w:id="177"/>
      <w:bookmarkStart w:id="178" w:name="_Toc184310343"/>
      <w:bookmarkEnd w:id="178"/>
      <w:bookmarkStart w:id="179" w:name="_Toc184310300"/>
      <w:bookmarkEnd w:id="179"/>
      <w:bookmarkStart w:id="180" w:name="_Toc184314412"/>
      <w:bookmarkEnd w:id="180"/>
      <w:bookmarkStart w:id="181" w:name="_Toc184308053"/>
      <w:bookmarkEnd w:id="181"/>
      <w:bookmarkStart w:id="182" w:name="_Toc184310318"/>
      <w:bookmarkEnd w:id="182"/>
      <w:bookmarkStart w:id="183" w:name="_Toc184314468"/>
      <w:bookmarkEnd w:id="183"/>
      <w:bookmarkStart w:id="184" w:name="_Toc184308089"/>
      <w:bookmarkEnd w:id="184"/>
      <w:bookmarkStart w:id="185" w:name="_Toc184313252"/>
      <w:bookmarkEnd w:id="185"/>
      <w:bookmarkStart w:id="186" w:name="_Toc184313271"/>
      <w:bookmarkEnd w:id="186"/>
      <w:bookmarkStart w:id="187" w:name="_Toc184313265"/>
      <w:bookmarkEnd w:id="187"/>
      <w:bookmarkStart w:id="188" w:name="_Toc184310312"/>
      <w:bookmarkEnd w:id="188"/>
      <w:bookmarkStart w:id="189" w:name="_Toc184310327"/>
      <w:bookmarkEnd w:id="189"/>
      <w:bookmarkStart w:id="190" w:name="_Toc184314454"/>
      <w:bookmarkEnd w:id="190"/>
      <w:bookmarkStart w:id="191" w:name="_Toc184310313"/>
      <w:bookmarkEnd w:id="191"/>
      <w:bookmarkStart w:id="192" w:name="_Toc184310328"/>
      <w:bookmarkEnd w:id="192"/>
      <w:bookmarkStart w:id="193" w:name="_Toc184312097"/>
      <w:bookmarkEnd w:id="193"/>
      <w:bookmarkStart w:id="194" w:name="_Toc184312094"/>
      <w:bookmarkEnd w:id="194"/>
      <w:bookmarkStart w:id="195" w:name="_Toc184313293"/>
      <w:bookmarkEnd w:id="195"/>
      <w:bookmarkStart w:id="196" w:name="_Toc184310325"/>
      <w:bookmarkEnd w:id="196"/>
      <w:bookmarkStart w:id="197" w:name="_Toc184313251"/>
      <w:bookmarkEnd w:id="197"/>
      <w:bookmarkStart w:id="198" w:name="_Toc184312080"/>
      <w:bookmarkEnd w:id="198"/>
      <w:bookmarkStart w:id="199" w:name="_Toc184308081"/>
      <w:bookmarkEnd w:id="199"/>
      <w:bookmarkStart w:id="200" w:name="_Toc184312082"/>
      <w:bookmarkEnd w:id="200"/>
      <w:bookmarkStart w:id="201" w:name="_Toc184312100"/>
      <w:bookmarkEnd w:id="201"/>
      <w:bookmarkStart w:id="202" w:name="_Toc184312108"/>
      <w:bookmarkEnd w:id="202"/>
      <w:bookmarkStart w:id="203" w:name="_Toc184310273"/>
      <w:bookmarkEnd w:id="203"/>
      <w:bookmarkStart w:id="204" w:name="_Toc184308056"/>
      <w:bookmarkEnd w:id="204"/>
      <w:bookmarkStart w:id="205" w:name="_Toc184312106"/>
      <w:bookmarkEnd w:id="205"/>
      <w:bookmarkStart w:id="206" w:name="_Toc184308061"/>
      <w:bookmarkEnd w:id="206"/>
      <w:bookmarkStart w:id="207" w:name="_Toc184313239"/>
      <w:bookmarkEnd w:id="207"/>
      <w:bookmarkStart w:id="208" w:name="_Toc184310319"/>
      <w:bookmarkEnd w:id="208"/>
      <w:bookmarkStart w:id="209" w:name="_Toc184310301"/>
      <w:bookmarkEnd w:id="209"/>
      <w:bookmarkStart w:id="210" w:name="_Toc184312090"/>
      <w:bookmarkEnd w:id="210"/>
      <w:bookmarkStart w:id="211" w:name="_Toc184308107"/>
      <w:bookmarkEnd w:id="211"/>
      <w:bookmarkStart w:id="212" w:name="_Toc184308065"/>
      <w:bookmarkEnd w:id="212"/>
      <w:bookmarkStart w:id="213" w:name="_Toc184308086"/>
      <w:bookmarkEnd w:id="213"/>
      <w:bookmarkStart w:id="214" w:name="_Toc184308083"/>
      <w:bookmarkEnd w:id="214"/>
      <w:bookmarkStart w:id="215" w:name="_Toc184313308"/>
      <w:bookmarkEnd w:id="215"/>
      <w:bookmarkStart w:id="216" w:name="_Toc184312077"/>
      <w:bookmarkEnd w:id="216"/>
      <w:bookmarkStart w:id="217" w:name="_Toc184313285"/>
      <w:bookmarkEnd w:id="217"/>
      <w:bookmarkStart w:id="218" w:name="_Toc184312098"/>
      <w:bookmarkEnd w:id="218"/>
      <w:bookmarkStart w:id="219" w:name="_Toc184314474"/>
      <w:bookmarkEnd w:id="219"/>
      <w:bookmarkStart w:id="220" w:name="_Toc184313244"/>
      <w:bookmarkEnd w:id="220"/>
      <w:bookmarkStart w:id="221" w:name="_Toc184313309"/>
      <w:bookmarkEnd w:id="221"/>
      <w:bookmarkStart w:id="222" w:name="_Toc184310342"/>
      <w:bookmarkEnd w:id="222"/>
      <w:bookmarkStart w:id="223" w:name="_Toc184310298"/>
      <w:bookmarkEnd w:id="223"/>
      <w:bookmarkStart w:id="224" w:name="_Toc184313240"/>
      <w:bookmarkEnd w:id="224"/>
      <w:bookmarkStart w:id="225" w:name="_Toc184308071"/>
      <w:bookmarkEnd w:id="225"/>
      <w:bookmarkStart w:id="226" w:name="_Toc184308088"/>
      <w:bookmarkEnd w:id="226"/>
      <w:bookmarkStart w:id="227" w:name="_Toc184314464"/>
      <w:bookmarkEnd w:id="227"/>
      <w:bookmarkStart w:id="228" w:name="_Toc184308062"/>
      <w:bookmarkEnd w:id="228"/>
      <w:bookmarkStart w:id="229" w:name="_Toc184312128"/>
      <w:bookmarkEnd w:id="229"/>
      <w:bookmarkStart w:id="230" w:name="_Toc184310324"/>
      <w:bookmarkEnd w:id="230"/>
      <w:bookmarkStart w:id="231" w:name="_Toc184312067"/>
      <w:bookmarkEnd w:id="231"/>
      <w:bookmarkStart w:id="232" w:name="_Toc184312072"/>
      <w:bookmarkEnd w:id="232"/>
      <w:bookmarkStart w:id="233" w:name="_Toc184312103"/>
      <w:bookmarkEnd w:id="233"/>
      <w:bookmarkStart w:id="234" w:name="_Toc184310287"/>
      <w:bookmarkEnd w:id="234"/>
      <w:bookmarkStart w:id="235" w:name="_Toc184312087"/>
      <w:bookmarkEnd w:id="235"/>
      <w:bookmarkStart w:id="236" w:name="_Toc184313289"/>
      <w:bookmarkEnd w:id="236"/>
      <w:bookmarkStart w:id="237" w:name="_Toc184313299"/>
      <w:bookmarkEnd w:id="237"/>
      <w:bookmarkStart w:id="238" w:name="_Toc184314470"/>
      <w:bookmarkEnd w:id="238"/>
      <w:bookmarkStart w:id="239" w:name="_Toc184312084"/>
      <w:bookmarkEnd w:id="239"/>
      <w:bookmarkStart w:id="240" w:name="_Toc184313253"/>
      <w:bookmarkEnd w:id="240"/>
      <w:bookmarkStart w:id="241" w:name="_Toc184308094"/>
      <w:bookmarkEnd w:id="241"/>
      <w:bookmarkStart w:id="242" w:name="_Toc184308104"/>
      <w:bookmarkEnd w:id="242"/>
      <w:bookmarkStart w:id="243" w:name="_Toc184312117"/>
      <w:bookmarkEnd w:id="243"/>
      <w:bookmarkStart w:id="244" w:name="_Toc184310280"/>
      <w:bookmarkEnd w:id="244"/>
      <w:bookmarkStart w:id="245" w:name="_Toc184308079"/>
      <w:bookmarkEnd w:id="245"/>
      <w:bookmarkStart w:id="246" w:name="_Toc184308043"/>
      <w:bookmarkEnd w:id="246"/>
      <w:bookmarkStart w:id="247" w:name="_Toc184313256"/>
      <w:bookmarkEnd w:id="247"/>
      <w:bookmarkStart w:id="248" w:name="_Toc184313266"/>
      <w:bookmarkEnd w:id="248"/>
      <w:bookmarkStart w:id="249" w:name="_Toc184308098"/>
      <w:bookmarkEnd w:id="249"/>
      <w:bookmarkStart w:id="250" w:name="_Toc184310336"/>
      <w:bookmarkEnd w:id="250"/>
      <w:bookmarkStart w:id="251" w:name="_Toc184308045"/>
      <w:bookmarkEnd w:id="251"/>
      <w:bookmarkStart w:id="252" w:name="_Toc184313246"/>
      <w:bookmarkEnd w:id="252"/>
      <w:bookmarkStart w:id="253" w:name="_Toc184313287"/>
      <w:bookmarkEnd w:id="253"/>
      <w:bookmarkStart w:id="254" w:name="_Toc184313274"/>
      <w:bookmarkEnd w:id="254"/>
      <w:bookmarkStart w:id="255" w:name="_Toc184310339"/>
      <w:bookmarkEnd w:id="255"/>
      <w:bookmarkStart w:id="256" w:name="_Toc184313296"/>
      <w:bookmarkEnd w:id="256"/>
      <w:bookmarkStart w:id="257" w:name="_Toc184314465"/>
      <w:bookmarkEnd w:id="257"/>
      <w:bookmarkStart w:id="258" w:name="_Toc184308060"/>
      <w:bookmarkEnd w:id="258"/>
      <w:bookmarkStart w:id="259" w:name="_Toc184308078"/>
      <w:bookmarkEnd w:id="259"/>
      <w:bookmarkStart w:id="260" w:name="_Toc184314414"/>
      <w:bookmarkEnd w:id="260"/>
      <w:bookmarkStart w:id="261" w:name="_Toc184308076"/>
      <w:bookmarkEnd w:id="261"/>
      <w:bookmarkStart w:id="262" w:name="_Toc184313305"/>
      <w:bookmarkEnd w:id="262"/>
      <w:bookmarkStart w:id="263" w:name="_Toc184308049"/>
      <w:bookmarkEnd w:id="263"/>
      <w:bookmarkStart w:id="264" w:name="_Toc184313278"/>
      <w:bookmarkEnd w:id="264"/>
      <w:bookmarkStart w:id="265" w:name="_Toc184314480"/>
      <w:bookmarkEnd w:id="265"/>
      <w:bookmarkStart w:id="266" w:name="_Toc184312109"/>
      <w:bookmarkEnd w:id="266"/>
      <w:bookmarkStart w:id="267" w:name="_Toc184308080"/>
      <w:bookmarkEnd w:id="267"/>
      <w:bookmarkStart w:id="268" w:name="_Toc184312093"/>
      <w:bookmarkEnd w:id="268"/>
      <w:bookmarkStart w:id="269" w:name="_Toc184308055"/>
      <w:bookmarkEnd w:id="269"/>
      <w:bookmarkStart w:id="270" w:name="_Toc184313306"/>
      <w:bookmarkEnd w:id="270"/>
      <w:bookmarkStart w:id="271" w:name="_Toc184310290"/>
      <w:bookmarkEnd w:id="271"/>
      <w:bookmarkStart w:id="272" w:name="_Toc184308106"/>
      <w:bookmarkEnd w:id="272"/>
      <w:bookmarkStart w:id="273" w:name="_Toc184310285"/>
      <w:bookmarkEnd w:id="273"/>
      <w:bookmarkStart w:id="274" w:name="_Toc184314431"/>
      <w:bookmarkEnd w:id="274"/>
      <w:bookmarkStart w:id="275" w:name="_Toc184310315"/>
      <w:bookmarkEnd w:id="275"/>
      <w:bookmarkStart w:id="276" w:name="_Toc184314477"/>
      <w:bookmarkEnd w:id="276"/>
      <w:bookmarkStart w:id="277" w:name="_Toc184308041"/>
      <w:bookmarkEnd w:id="277"/>
      <w:bookmarkStart w:id="278" w:name="_Toc184310311"/>
      <w:bookmarkEnd w:id="278"/>
      <w:bookmarkStart w:id="279" w:name="_Toc184314419"/>
      <w:bookmarkEnd w:id="279"/>
      <w:bookmarkStart w:id="280" w:name="_Toc184313288"/>
      <w:bookmarkEnd w:id="280"/>
      <w:bookmarkStart w:id="281" w:name="_Toc184313261"/>
      <w:bookmarkEnd w:id="281"/>
      <w:bookmarkStart w:id="282" w:name="_Toc184314410"/>
      <w:bookmarkEnd w:id="282"/>
      <w:bookmarkStart w:id="283" w:name="_Toc184312092"/>
      <w:bookmarkEnd w:id="283"/>
      <w:bookmarkStart w:id="284" w:name="_Toc184308038"/>
      <w:bookmarkEnd w:id="284"/>
      <w:bookmarkStart w:id="285" w:name="_Toc184313247"/>
      <w:bookmarkEnd w:id="285"/>
      <w:bookmarkStart w:id="286" w:name="_Toc184314435"/>
      <w:bookmarkEnd w:id="286"/>
      <w:bookmarkStart w:id="287" w:name="_Toc184312070"/>
      <w:bookmarkEnd w:id="287"/>
      <w:bookmarkStart w:id="288" w:name="_Toc184308037"/>
      <w:bookmarkEnd w:id="288"/>
      <w:bookmarkStart w:id="289" w:name="_Toc184310296"/>
      <w:bookmarkEnd w:id="289"/>
      <w:bookmarkStart w:id="290" w:name="_Toc184312132"/>
      <w:bookmarkEnd w:id="290"/>
      <w:bookmarkStart w:id="291" w:name="_Toc184308039"/>
      <w:bookmarkEnd w:id="291"/>
      <w:bookmarkStart w:id="292" w:name="_Toc184314421"/>
      <w:bookmarkEnd w:id="292"/>
      <w:bookmarkStart w:id="293" w:name="_Toc184313280"/>
      <w:bookmarkEnd w:id="293"/>
      <w:bookmarkStart w:id="294" w:name="_Toc184312116"/>
      <w:bookmarkEnd w:id="294"/>
      <w:bookmarkStart w:id="295" w:name="_Toc184313304"/>
      <w:bookmarkEnd w:id="295"/>
      <w:bookmarkStart w:id="296" w:name="_Toc184314417"/>
      <w:bookmarkEnd w:id="296"/>
      <w:bookmarkStart w:id="297" w:name="_Toc184314427"/>
      <w:bookmarkEnd w:id="297"/>
      <w:bookmarkStart w:id="298" w:name="_Toc184313249"/>
      <w:bookmarkEnd w:id="298"/>
      <w:bookmarkStart w:id="299" w:name="_Toc184314425"/>
      <w:bookmarkEnd w:id="299"/>
      <w:bookmarkStart w:id="300" w:name="_Toc184308091"/>
      <w:bookmarkEnd w:id="300"/>
      <w:bookmarkStart w:id="301" w:name="_Toc184310316"/>
      <w:bookmarkEnd w:id="301"/>
      <w:bookmarkStart w:id="302" w:name="_Toc184310322"/>
      <w:bookmarkEnd w:id="302"/>
      <w:bookmarkStart w:id="303" w:name="_Toc184308085"/>
      <w:bookmarkEnd w:id="303"/>
      <w:bookmarkStart w:id="304" w:name="_Toc184312114"/>
      <w:bookmarkEnd w:id="304"/>
      <w:bookmarkStart w:id="305" w:name="_Toc184312133"/>
      <w:bookmarkEnd w:id="305"/>
      <w:bookmarkStart w:id="306" w:name="_Toc184314450"/>
      <w:bookmarkEnd w:id="306"/>
      <w:bookmarkStart w:id="307" w:name="_Toc184312105"/>
      <w:bookmarkEnd w:id="307"/>
      <w:bookmarkStart w:id="308" w:name="_Toc184313245"/>
      <w:bookmarkEnd w:id="308"/>
      <w:bookmarkStart w:id="309" w:name="_Toc184313273"/>
      <w:bookmarkEnd w:id="309"/>
      <w:bookmarkStart w:id="310" w:name="_Toc184308058"/>
      <w:bookmarkEnd w:id="310"/>
      <w:bookmarkStart w:id="311" w:name="_Toc184310341"/>
      <w:bookmarkEnd w:id="311"/>
      <w:bookmarkStart w:id="312" w:name="_Toc184314453"/>
      <w:bookmarkEnd w:id="312"/>
      <w:bookmarkStart w:id="313" w:name="_Toc184312069"/>
      <w:bookmarkEnd w:id="313"/>
      <w:bookmarkStart w:id="314" w:name="_Toc184313310"/>
      <w:bookmarkEnd w:id="314"/>
      <w:bookmarkStart w:id="315" w:name="_Toc184310288"/>
      <w:bookmarkEnd w:id="315"/>
      <w:bookmarkStart w:id="316" w:name="_Toc184308073"/>
      <w:bookmarkEnd w:id="316"/>
      <w:bookmarkStart w:id="317" w:name="_Toc184313302"/>
      <w:bookmarkEnd w:id="317"/>
      <w:bookmarkStart w:id="318" w:name="_Toc184312099"/>
      <w:bookmarkEnd w:id="318"/>
      <w:bookmarkStart w:id="319" w:name="_Toc184314422"/>
      <w:bookmarkEnd w:id="319"/>
      <w:bookmarkStart w:id="320" w:name="_Toc184313263"/>
      <w:bookmarkEnd w:id="320"/>
      <w:bookmarkStart w:id="321" w:name="_Toc184312107"/>
      <w:bookmarkEnd w:id="321"/>
      <w:bookmarkStart w:id="322" w:name="_Toc184308057"/>
      <w:bookmarkEnd w:id="322"/>
      <w:bookmarkStart w:id="323" w:name="_Toc184314479"/>
      <w:bookmarkEnd w:id="323"/>
      <w:bookmarkStart w:id="324" w:name="_Toc184313264"/>
      <w:bookmarkEnd w:id="324"/>
      <w:bookmarkStart w:id="325" w:name="_Toc184312101"/>
      <w:bookmarkEnd w:id="325"/>
      <w:bookmarkStart w:id="326" w:name="_Toc184313268"/>
      <w:bookmarkEnd w:id="326"/>
      <w:bookmarkStart w:id="327" w:name="_Toc184314428"/>
      <w:bookmarkEnd w:id="327"/>
      <w:bookmarkStart w:id="328" w:name="_Toc184312120"/>
      <w:bookmarkEnd w:id="328"/>
      <w:bookmarkStart w:id="329" w:name="_Toc184308046"/>
      <w:bookmarkEnd w:id="329"/>
      <w:bookmarkStart w:id="330" w:name="_Toc184313294"/>
      <w:bookmarkEnd w:id="330"/>
      <w:bookmarkStart w:id="331" w:name="_Toc184310329"/>
      <w:bookmarkEnd w:id="331"/>
      <w:bookmarkStart w:id="332" w:name="_Toc184310304"/>
      <w:bookmarkEnd w:id="332"/>
      <w:bookmarkStart w:id="333" w:name="_Toc184310275"/>
      <w:bookmarkEnd w:id="333"/>
      <w:bookmarkStart w:id="334" w:name="_Toc184310277"/>
      <w:bookmarkEnd w:id="334"/>
      <w:bookmarkStart w:id="335" w:name="_Toc184308084"/>
      <w:bookmarkEnd w:id="335"/>
      <w:bookmarkStart w:id="336" w:name="_Toc184314472"/>
      <w:bookmarkEnd w:id="336"/>
      <w:bookmarkStart w:id="337" w:name="_Toc184312095"/>
      <w:bookmarkEnd w:id="337"/>
      <w:bookmarkStart w:id="338" w:name="_Toc184314482"/>
      <w:bookmarkEnd w:id="338"/>
      <w:bookmarkStart w:id="339" w:name="_Toc184308054"/>
      <w:bookmarkEnd w:id="339"/>
      <w:bookmarkStart w:id="340" w:name="_Toc184312119"/>
      <w:bookmarkEnd w:id="340"/>
      <w:bookmarkStart w:id="341" w:name="_Toc184314443"/>
      <w:bookmarkEnd w:id="341"/>
      <w:bookmarkStart w:id="342" w:name="_Toc184314458"/>
      <w:bookmarkEnd w:id="342"/>
      <w:bookmarkStart w:id="343" w:name="_Toc184310326"/>
      <w:bookmarkEnd w:id="343"/>
      <w:bookmarkStart w:id="344" w:name="_Toc184308096"/>
      <w:bookmarkEnd w:id="344"/>
      <w:bookmarkStart w:id="345" w:name="_Toc184308064"/>
      <w:bookmarkEnd w:id="345"/>
      <w:bookmarkStart w:id="346" w:name="_Toc184314473"/>
      <w:bookmarkEnd w:id="346"/>
      <w:bookmarkStart w:id="347" w:name="_Toc184310333"/>
      <w:bookmarkEnd w:id="347"/>
      <w:bookmarkStart w:id="348" w:name="_Toc184314478"/>
      <w:bookmarkEnd w:id="348"/>
      <w:bookmarkStart w:id="349" w:name="_Toc184313301"/>
      <w:bookmarkEnd w:id="349"/>
      <w:bookmarkStart w:id="350" w:name="_Toc184310308"/>
      <w:bookmarkEnd w:id="350"/>
      <w:bookmarkStart w:id="351" w:name="_Toc184313269"/>
      <w:bookmarkEnd w:id="351"/>
      <w:bookmarkStart w:id="352" w:name="_Toc184313286"/>
      <w:bookmarkEnd w:id="352"/>
      <w:bookmarkStart w:id="353" w:name="_Toc184308067"/>
      <w:bookmarkEnd w:id="353"/>
      <w:bookmarkStart w:id="354" w:name="_Toc184314449"/>
      <w:bookmarkEnd w:id="354"/>
      <w:bookmarkStart w:id="355" w:name="_Toc184313282"/>
      <w:bookmarkEnd w:id="355"/>
      <w:bookmarkStart w:id="356" w:name="_Toc184314441"/>
      <w:bookmarkEnd w:id="356"/>
      <w:bookmarkStart w:id="357" w:name="_Toc184314415"/>
      <w:bookmarkEnd w:id="357"/>
      <w:bookmarkStart w:id="358" w:name="_Toc184312123"/>
      <w:bookmarkEnd w:id="358"/>
      <w:bookmarkStart w:id="359" w:name="_Toc184308087"/>
      <w:bookmarkEnd w:id="359"/>
      <w:bookmarkStart w:id="360" w:name="_Toc184310286"/>
      <w:bookmarkEnd w:id="360"/>
      <w:bookmarkStart w:id="361" w:name="_Toc184310292"/>
      <w:bookmarkEnd w:id="361"/>
      <w:bookmarkStart w:id="362" w:name="_Toc184308101"/>
      <w:bookmarkEnd w:id="362"/>
      <w:bookmarkStart w:id="363" w:name="_Toc184313290"/>
      <w:bookmarkEnd w:id="363"/>
      <w:bookmarkStart w:id="364" w:name="_Toc184313300"/>
      <w:bookmarkEnd w:id="364"/>
      <w:bookmarkStart w:id="365" w:name="_Toc184312088"/>
      <w:bookmarkEnd w:id="365"/>
      <w:bookmarkStart w:id="366" w:name="_Toc184312122"/>
      <w:bookmarkEnd w:id="366"/>
      <w:bookmarkStart w:id="367" w:name="_Toc184314416"/>
      <w:bookmarkEnd w:id="367"/>
      <w:bookmarkStart w:id="368" w:name="_Toc184314433"/>
      <w:bookmarkEnd w:id="368"/>
      <w:bookmarkStart w:id="369" w:name="_Toc184314452"/>
      <w:bookmarkEnd w:id="369"/>
      <w:bookmarkStart w:id="370" w:name="_Toc184310281"/>
      <w:bookmarkEnd w:id="370"/>
      <w:bookmarkStart w:id="371" w:name="_Toc184314437"/>
      <w:bookmarkEnd w:id="371"/>
      <w:bookmarkStart w:id="372" w:name="_Toc184310278"/>
      <w:bookmarkEnd w:id="372"/>
      <w:bookmarkStart w:id="373" w:name="_Toc184314455"/>
      <w:bookmarkEnd w:id="373"/>
      <w:bookmarkStart w:id="374" w:name="_Toc184313292"/>
      <w:bookmarkEnd w:id="374"/>
      <w:bookmarkStart w:id="375" w:name="_Toc184313277"/>
      <w:bookmarkEnd w:id="375"/>
      <w:bookmarkStart w:id="376" w:name="_Toc184312112"/>
      <w:bookmarkEnd w:id="376"/>
      <w:bookmarkStart w:id="377" w:name="_Toc184314447"/>
      <w:bookmarkEnd w:id="377"/>
      <w:bookmarkStart w:id="378" w:name="_Toc184314476"/>
      <w:bookmarkEnd w:id="378"/>
      <w:bookmarkStart w:id="379" w:name="_Toc184312081"/>
      <w:bookmarkEnd w:id="379"/>
      <w:bookmarkStart w:id="380" w:name="_Toc184308095"/>
      <w:bookmarkEnd w:id="380"/>
      <w:bookmarkStart w:id="381" w:name="_Toc184310344"/>
      <w:bookmarkEnd w:id="381"/>
      <w:bookmarkStart w:id="382" w:name="_Toc184310335"/>
      <w:bookmarkEnd w:id="382"/>
      <w:bookmarkStart w:id="383" w:name="_Toc184313279"/>
      <w:bookmarkEnd w:id="383"/>
      <w:bookmarkStart w:id="384" w:name="_Toc184312083"/>
      <w:bookmarkEnd w:id="384"/>
      <w:bookmarkStart w:id="385" w:name="_Toc184313275"/>
      <w:bookmarkEnd w:id="385"/>
      <w:bookmarkStart w:id="386" w:name="_Toc184312104"/>
      <w:bookmarkEnd w:id="386"/>
      <w:bookmarkStart w:id="387" w:name="_Toc184310314"/>
      <w:bookmarkEnd w:id="387"/>
      <w:bookmarkStart w:id="388" w:name="_Toc184310283"/>
      <w:bookmarkEnd w:id="388"/>
      <w:bookmarkStart w:id="389" w:name="_Toc184308066"/>
      <w:bookmarkEnd w:id="389"/>
      <w:bookmarkStart w:id="390" w:name="_Toc184313255"/>
      <w:bookmarkEnd w:id="390"/>
      <w:bookmarkStart w:id="391" w:name="_Toc184312135"/>
      <w:bookmarkEnd w:id="391"/>
      <w:bookmarkStart w:id="392" w:name="_Toc184312085"/>
      <w:bookmarkEnd w:id="392"/>
      <w:bookmarkStart w:id="393" w:name="_Toc184313248"/>
      <w:bookmarkEnd w:id="393"/>
      <w:bookmarkStart w:id="394" w:name="_Toc184313283"/>
      <w:bookmarkEnd w:id="394"/>
      <w:bookmarkStart w:id="395" w:name="_Toc184313303"/>
      <w:bookmarkEnd w:id="395"/>
      <w:bookmarkStart w:id="396" w:name="_Toc184312118"/>
      <w:bookmarkEnd w:id="396"/>
      <w:bookmarkStart w:id="397" w:name="_Toc184312127"/>
      <w:bookmarkEnd w:id="397"/>
      <w:bookmarkStart w:id="398" w:name="_Toc184310274"/>
      <w:bookmarkEnd w:id="398"/>
      <w:bookmarkStart w:id="399" w:name="_Toc184310279"/>
      <w:bookmarkEnd w:id="399"/>
      <w:bookmarkStart w:id="400" w:name="_Toc184312113"/>
      <w:bookmarkEnd w:id="400"/>
      <w:bookmarkStart w:id="401" w:name="_Toc184312125"/>
      <w:bookmarkEnd w:id="401"/>
      <w:bookmarkStart w:id="402" w:name="_Toc184312137"/>
      <w:bookmarkEnd w:id="402"/>
      <w:bookmarkStart w:id="403" w:name="_Toc184312078"/>
      <w:bookmarkEnd w:id="403"/>
      <w:bookmarkStart w:id="404" w:name="_Toc184308047"/>
      <w:bookmarkEnd w:id="404"/>
      <w:bookmarkStart w:id="405" w:name="_Toc184310306"/>
      <w:bookmarkEnd w:id="405"/>
      <w:bookmarkStart w:id="406" w:name="_Toc184313267"/>
      <w:bookmarkEnd w:id="406"/>
      <w:bookmarkStart w:id="407" w:name="_Toc184308074"/>
      <w:bookmarkEnd w:id="407"/>
      <w:bookmarkStart w:id="408" w:name="_Toc184314424"/>
      <w:bookmarkEnd w:id="408"/>
      <w:bookmarkStart w:id="409" w:name="_Toc184313254"/>
      <w:bookmarkEnd w:id="409"/>
      <w:bookmarkStart w:id="410" w:name="_Toc184314466"/>
      <w:bookmarkEnd w:id="410"/>
      <w:bookmarkStart w:id="411" w:name="_Toc184308090"/>
      <w:bookmarkEnd w:id="411"/>
      <w:bookmarkStart w:id="412" w:name="_Toc184313307"/>
      <w:bookmarkEnd w:id="412"/>
      <w:bookmarkStart w:id="413" w:name="_Toc184313281"/>
      <w:bookmarkEnd w:id="413"/>
      <w:bookmarkStart w:id="414" w:name="_Toc184308105"/>
      <w:bookmarkEnd w:id="414"/>
      <w:bookmarkStart w:id="415" w:name="_Toc184312138"/>
      <w:bookmarkEnd w:id="415"/>
      <w:bookmarkStart w:id="416" w:name="_Toc184308044"/>
      <w:bookmarkEnd w:id="416"/>
      <w:bookmarkStart w:id="417" w:name="_Toc184314462"/>
      <w:bookmarkEnd w:id="417"/>
      <w:bookmarkStart w:id="418" w:name="_Toc184310282"/>
      <w:bookmarkEnd w:id="418"/>
      <w:bookmarkStart w:id="419" w:name="_Toc184308040"/>
      <w:bookmarkEnd w:id="419"/>
      <w:r>
        <w:rPr>
          <w:rFonts w:hint="eastAsia" w:cs="宋体" w:asciiTheme="minorEastAsia" w:hAnsiTheme="minorEastAsia" w:eastAsiaTheme="minorEastAsia"/>
          <w:b/>
          <w:sz w:val="36"/>
          <w:szCs w:val="36"/>
        </w:rPr>
        <w:t>评标办法</w:t>
      </w:r>
    </w:p>
    <w:p w14:paraId="4E35E032">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评标办法前附表</w:t>
      </w:r>
    </w:p>
    <w:tbl>
      <w:tblPr>
        <w:tblStyle w:val="63"/>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6149"/>
        <w:gridCol w:w="795"/>
        <w:gridCol w:w="1531"/>
      </w:tblGrid>
      <w:tr w14:paraId="2C07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9" w:type="dxa"/>
            <w:shd w:val="clear" w:color="auto" w:fill="auto"/>
            <w:vAlign w:val="center"/>
          </w:tcPr>
          <w:p w14:paraId="5C85BB20">
            <w:pPr>
              <w:widowControl/>
              <w:jc w:val="center"/>
              <w:rPr>
                <w:rFonts w:ascii="宋体" w:hAnsi="宋体" w:cs="宋体"/>
                <w:b/>
                <w:bCs/>
                <w:kern w:val="0"/>
                <w:sz w:val="24"/>
              </w:rPr>
            </w:pPr>
            <w:r>
              <w:rPr>
                <w:rFonts w:hint="eastAsia" w:ascii="宋体" w:hAnsi="宋体" w:cs="宋体"/>
                <w:b/>
                <w:bCs/>
                <w:kern w:val="0"/>
                <w:sz w:val="24"/>
              </w:rPr>
              <w:t>序号</w:t>
            </w:r>
          </w:p>
        </w:tc>
        <w:tc>
          <w:tcPr>
            <w:tcW w:w="6149" w:type="dxa"/>
            <w:shd w:val="clear" w:color="auto" w:fill="auto"/>
            <w:vAlign w:val="center"/>
          </w:tcPr>
          <w:p w14:paraId="4B5D048A">
            <w:pPr>
              <w:widowControl/>
              <w:jc w:val="center"/>
              <w:rPr>
                <w:rFonts w:ascii="宋体" w:hAnsi="宋体" w:cs="宋体"/>
                <w:b/>
                <w:bCs/>
                <w:kern w:val="0"/>
                <w:sz w:val="24"/>
              </w:rPr>
            </w:pPr>
            <w:r>
              <w:rPr>
                <w:rFonts w:hint="eastAsia" w:ascii="宋体" w:hAnsi="宋体" w:cs="宋体"/>
                <w:b/>
                <w:bCs/>
                <w:kern w:val="0"/>
                <w:sz w:val="24"/>
              </w:rPr>
              <w:t>评标标准</w:t>
            </w:r>
          </w:p>
        </w:tc>
        <w:tc>
          <w:tcPr>
            <w:tcW w:w="795" w:type="dxa"/>
            <w:shd w:val="clear" w:color="auto" w:fill="auto"/>
            <w:vAlign w:val="center"/>
          </w:tcPr>
          <w:p w14:paraId="7768C2CA">
            <w:pPr>
              <w:widowControl/>
              <w:jc w:val="center"/>
              <w:rPr>
                <w:rFonts w:ascii="宋体" w:hAnsi="宋体" w:cs="宋体"/>
                <w:b/>
                <w:bCs/>
                <w:kern w:val="0"/>
                <w:sz w:val="24"/>
              </w:rPr>
            </w:pPr>
            <w:r>
              <w:rPr>
                <w:rFonts w:hint="eastAsia" w:ascii="宋体" w:hAnsi="宋体" w:cs="宋体"/>
                <w:b/>
                <w:bCs/>
                <w:kern w:val="0"/>
                <w:sz w:val="24"/>
              </w:rPr>
              <w:t>权重</w:t>
            </w:r>
          </w:p>
        </w:tc>
        <w:tc>
          <w:tcPr>
            <w:tcW w:w="1531" w:type="dxa"/>
            <w:shd w:val="clear" w:color="auto" w:fill="auto"/>
            <w:vAlign w:val="center"/>
          </w:tcPr>
          <w:p w14:paraId="18D93501">
            <w:pPr>
              <w:widowControl/>
              <w:jc w:val="center"/>
              <w:rPr>
                <w:rFonts w:ascii="宋体" w:hAnsi="宋体" w:cs="宋体"/>
                <w:b/>
                <w:bCs/>
                <w:kern w:val="0"/>
                <w:sz w:val="24"/>
              </w:rPr>
            </w:pPr>
            <w:r>
              <w:rPr>
                <w:rFonts w:hint="eastAsia" w:ascii="宋体" w:hAnsi="宋体" w:cs="宋体"/>
                <w:b/>
                <w:bCs/>
                <w:kern w:val="0"/>
                <w:sz w:val="24"/>
              </w:rPr>
              <w:t>投标文件中评标标准相应的商务技术资料目录 *</w:t>
            </w:r>
          </w:p>
        </w:tc>
      </w:tr>
      <w:tr w14:paraId="1E0B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noWrap/>
            <w:vAlign w:val="center"/>
          </w:tcPr>
          <w:p w14:paraId="6ADCE0C4">
            <w:pPr>
              <w:widowControl/>
              <w:jc w:val="center"/>
              <w:rPr>
                <w:rFonts w:ascii="宋体" w:hAnsi="宋体" w:cs="宋体"/>
                <w:kern w:val="0"/>
                <w:sz w:val="24"/>
              </w:rPr>
            </w:pPr>
            <w:r>
              <w:rPr>
                <w:rFonts w:hint="eastAsia" w:ascii="宋体" w:hAnsi="宋体" w:cs="宋体"/>
                <w:kern w:val="0"/>
                <w:sz w:val="24"/>
              </w:rPr>
              <w:t>1</w:t>
            </w:r>
          </w:p>
        </w:tc>
        <w:tc>
          <w:tcPr>
            <w:tcW w:w="6149" w:type="dxa"/>
            <w:shd w:val="clear" w:color="auto" w:fill="auto"/>
            <w:vAlign w:val="center"/>
          </w:tcPr>
          <w:p w14:paraId="2023F023">
            <w:pPr>
              <w:widowControl/>
              <w:spacing w:line="360" w:lineRule="auto"/>
              <w:jc w:val="left"/>
              <w:rPr>
                <w:rFonts w:ascii="宋体" w:hAnsi="宋体" w:cs="宋体"/>
                <w:kern w:val="0"/>
                <w:sz w:val="24"/>
              </w:rPr>
            </w:pPr>
            <w:r>
              <w:rPr>
                <w:rFonts w:hint="eastAsia" w:ascii="宋体" w:hAnsi="宋体" w:cs="宋体"/>
                <w:kern w:val="0"/>
                <w:sz w:val="24"/>
              </w:rPr>
              <w:t>投标人具有有效期内的ISO9001质量管理体系认证证书、ISO20000信息技术服务管理体系认证和ISO27001信息安全管理体系认证。每符合一项得1分，共3分。</w:t>
            </w:r>
            <w:r>
              <w:rPr>
                <w:rFonts w:hint="eastAsia" w:ascii="宋体" w:hAnsi="宋体" w:cs="宋体"/>
                <w:kern w:val="0"/>
                <w:sz w:val="24"/>
              </w:rPr>
              <w:br w:type="textWrapping"/>
            </w:r>
            <w:r>
              <w:rPr>
                <w:rFonts w:hint="eastAsia" w:ascii="宋体" w:hAnsi="宋体" w:cs="宋体"/>
                <w:b/>
                <w:bCs/>
                <w:kern w:val="0"/>
                <w:sz w:val="24"/>
              </w:rPr>
              <w:t>提供相关证明材料复印件并加盖公章</w:t>
            </w:r>
            <w:r>
              <w:rPr>
                <w:rFonts w:hint="eastAsia" w:ascii="宋体" w:hAnsi="宋体" w:cs="宋体"/>
                <w:kern w:val="0"/>
                <w:sz w:val="24"/>
              </w:rPr>
              <w:t>。</w:t>
            </w:r>
          </w:p>
        </w:tc>
        <w:tc>
          <w:tcPr>
            <w:tcW w:w="795" w:type="dxa"/>
            <w:shd w:val="clear" w:color="auto" w:fill="auto"/>
            <w:noWrap/>
            <w:vAlign w:val="center"/>
          </w:tcPr>
          <w:p w14:paraId="0894F379">
            <w:pPr>
              <w:widowControl/>
              <w:jc w:val="center"/>
              <w:rPr>
                <w:rFonts w:ascii="宋体" w:hAnsi="宋体" w:cs="宋体"/>
                <w:kern w:val="0"/>
                <w:sz w:val="24"/>
              </w:rPr>
            </w:pPr>
            <w:r>
              <w:rPr>
                <w:rFonts w:hint="eastAsia" w:ascii="宋体" w:hAnsi="宋体" w:cs="宋体"/>
                <w:kern w:val="0"/>
                <w:sz w:val="24"/>
              </w:rPr>
              <w:t>3</w:t>
            </w:r>
          </w:p>
        </w:tc>
        <w:tc>
          <w:tcPr>
            <w:tcW w:w="1531" w:type="dxa"/>
            <w:shd w:val="clear" w:color="auto" w:fill="auto"/>
            <w:vAlign w:val="center"/>
          </w:tcPr>
          <w:p w14:paraId="45444725">
            <w:pPr>
              <w:widowControl/>
              <w:jc w:val="center"/>
              <w:rPr>
                <w:rFonts w:ascii="宋体" w:hAnsi="宋体" w:cs="宋体"/>
                <w:kern w:val="0"/>
                <w:sz w:val="24"/>
              </w:rPr>
            </w:pPr>
            <w:r>
              <w:rPr>
                <w:rFonts w:hint="eastAsia" w:ascii="宋体" w:hAnsi="宋体" w:cs="宋体"/>
                <w:kern w:val="0"/>
                <w:sz w:val="24"/>
              </w:rPr>
              <w:t>企业信用资质</w:t>
            </w:r>
          </w:p>
        </w:tc>
      </w:tr>
      <w:tr w14:paraId="0A51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549" w:type="dxa"/>
            <w:shd w:val="clear" w:color="auto" w:fill="auto"/>
            <w:noWrap/>
            <w:vAlign w:val="center"/>
          </w:tcPr>
          <w:p w14:paraId="58CC4A27">
            <w:pPr>
              <w:widowControl/>
              <w:jc w:val="center"/>
              <w:rPr>
                <w:rFonts w:ascii="宋体" w:hAnsi="宋体" w:cs="宋体"/>
                <w:kern w:val="0"/>
                <w:sz w:val="24"/>
              </w:rPr>
            </w:pPr>
            <w:r>
              <w:rPr>
                <w:rFonts w:hint="eastAsia" w:ascii="宋体" w:hAnsi="宋体" w:cs="宋体"/>
                <w:kern w:val="0"/>
                <w:sz w:val="24"/>
              </w:rPr>
              <w:t>2</w:t>
            </w:r>
          </w:p>
        </w:tc>
        <w:tc>
          <w:tcPr>
            <w:tcW w:w="6149" w:type="dxa"/>
            <w:shd w:val="clear" w:color="auto" w:fill="auto"/>
            <w:vAlign w:val="center"/>
          </w:tcPr>
          <w:p w14:paraId="4EA9469D">
            <w:pPr>
              <w:widowControl/>
              <w:spacing w:line="360" w:lineRule="auto"/>
              <w:rPr>
                <w:rFonts w:ascii="宋体" w:hAnsi="宋体" w:cs="宋体"/>
                <w:b/>
                <w:kern w:val="0"/>
                <w:sz w:val="24"/>
              </w:rPr>
            </w:pPr>
            <w:r>
              <w:rPr>
                <w:rFonts w:hint="eastAsia" w:ascii="宋体" w:hAnsi="宋体" w:cs="宋体"/>
                <w:kern w:val="0"/>
                <w:sz w:val="24"/>
              </w:rPr>
              <w:t>截止投标时间前三年，投标人承担类似项目实施的成功经验情况。结合已完成的项目案例和用户反应情况，依照投标人提供的</w:t>
            </w:r>
            <w:r>
              <w:rPr>
                <w:rFonts w:hint="eastAsia" w:ascii="宋体" w:hAnsi="宋体" w:cs="宋体"/>
                <w:b/>
                <w:bCs/>
                <w:kern w:val="0"/>
                <w:sz w:val="24"/>
              </w:rPr>
              <w:t>合同</w:t>
            </w:r>
            <w:r>
              <w:rPr>
                <w:rFonts w:hint="eastAsia" w:ascii="宋体" w:hAnsi="宋体" w:cs="宋体"/>
                <w:b/>
                <w:bCs/>
                <w:kern w:val="0"/>
                <w:sz w:val="24"/>
                <w:lang w:val="en-US" w:eastAsia="zh-CN"/>
              </w:rPr>
              <w:t>或</w:t>
            </w:r>
            <w:r>
              <w:rPr>
                <w:rFonts w:hint="eastAsia" w:ascii="宋体" w:hAnsi="宋体" w:cs="宋体"/>
                <w:b/>
                <w:bCs/>
                <w:kern w:val="0"/>
                <w:sz w:val="24"/>
              </w:rPr>
              <w:t>用户验收报告</w:t>
            </w:r>
            <w:r>
              <w:rPr>
                <w:rFonts w:hint="eastAsia" w:ascii="宋体" w:hAnsi="宋体" w:cs="宋体"/>
                <w:kern w:val="0"/>
                <w:sz w:val="24"/>
              </w:rPr>
              <w:t>。每个案例</w:t>
            </w:r>
            <w:r>
              <w:rPr>
                <w:rFonts w:hint="eastAsia" w:ascii="宋体" w:hAnsi="宋体" w:cs="宋体"/>
                <w:b/>
                <w:bCs/>
                <w:kern w:val="0"/>
                <w:sz w:val="24"/>
              </w:rPr>
              <w:t>（以</w:t>
            </w:r>
            <w:r>
              <w:rPr>
                <w:rFonts w:hint="eastAsia" w:ascii="宋体" w:hAnsi="宋体" w:cs="宋体"/>
                <w:b/>
                <w:bCs/>
                <w:kern w:val="0"/>
                <w:sz w:val="24"/>
                <w:lang w:val="en-US" w:eastAsia="zh-CN"/>
              </w:rPr>
              <w:t>合同签订</w:t>
            </w:r>
            <w:r>
              <w:rPr>
                <w:rFonts w:hint="eastAsia" w:ascii="宋体" w:hAnsi="宋体" w:cs="宋体"/>
                <w:b/>
                <w:bCs/>
                <w:kern w:val="0"/>
                <w:sz w:val="24"/>
              </w:rPr>
              <w:t>时间为准）</w:t>
            </w:r>
            <w:r>
              <w:rPr>
                <w:rFonts w:hint="eastAsia" w:ascii="宋体" w:hAnsi="宋体" w:cs="宋体"/>
                <w:kern w:val="0"/>
                <w:sz w:val="24"/>
              </w:rPr>
              <w:t>得</w:t>
            </w:r>
            <w:r>
              <w:rPr>
                <w:rFonts w:ascii="宋体" w:hAnsi="宋体" w:cs="宋体"/>
                <w:kern w:val="0"/>
                <w:sz w:val="24"/>
              </w:rPr>
              <w:t>0.5分,最高得1分。</w:t>
            </w:r>
          </w:p>
        </w:tc>
        <w:tc>
          <w:tcPr>
            <w:tcW w:w="795" w:type="dxa"/>
            <w:shd w:val="clear" w:color="auto" w:fill="auto"/>
            <w:noWrap/>
            <w:vAlign w:val="center"/>
          </w:tcPr>
          <w:p w14:paraId="68513ADC">
            <w:pPr>
              <w:widowControl/>
              <w:jc w:val="center"/>
              <w:rPr>
                <w:rFonts w:ascii="宋体" w:hAnsi="宋体" w:cs="宋体"/>
                <w:kern w:val="0"/>
                <w:sz w:val="24"/>
              </w:rPr>
            </w:pPr>
            <w:r>
              <w:rPr>
                <w:rFonts w:hint="eastAsia" w:ascii="宋体" w:hAnsi="宋体" w:cs="宋体"/>
                <w:kern w:val="0"/>
                <w:sz w:val="24"/>
              </w:rPr>
              <w:t>1</w:t>
            </w:r>
          </w:p>
        </w:tc>
        <w:tc>
          <w:tcPr>
            <w:tcW w:w="1531" w:type="dxa"/>
            <w:shd w:val="clear" w:color="auto" w:fill="auto"/>
            <w:vAlign w:val="center"/>
          </w:tcPr>
          <w:p w14:paraId="7B24BD02">
            <w:pPr>
              <w:widowControl/>
              <w:jc w:val="center"/>
              <w:rPr>
                <w:rFonts w:ascii="宋体" w:hAnsi="宋体" w:cs="宋体"/>
                <w:kern w:val="0"/>
                <w:sz w:val="24"/>
              </w:rPr>
            </w:pPr>
            <w:r>
              <w:rPr>
                <w:rFonts w:hint="eastAsia" w:ascii="宋体" w:hAnsi="宋体" w:cs="宋体"/>
                <w:kern w:val="0"/>
                <w:sz w:val="24"/>
              </w:rPr>
              <w:t>类似项目建设的成功经验</w:t>
            </w:r>
          </w:p>
        </w:tc>
      </w:tr>
      <w:tr w14:paraId="15E5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549" w:type="dxa"/>
            <w:vMerge w:val="restart"/>
            <w:shd w:val="clear" w:color="auto" w:fill="auto"/>
            <w:noWrap/>
            <w:vAlign w:val="center"/>
          </w:tcPr>
          <w:p w14:paraId="0EAB2A21">
            <w:pPr>
              <w:widowControl/>
              <w:jc w:val="center"/>
              <w:rPr>
                <w:rFonts w:ascii="宋体" w:hAnsi="宋体" w:cs="宋体"/>
                <w:kern w:val="0"/>
                <w:sz w:val="24"/>
              </w:rPr>
            </w:pPr>
            <w:r>
              <w:rPr>
                <w:rFonts w:hint="eastAsia" w:ascii="宋体" w:hAnsi="宋体" w:cs="宋体"/>
                <w:kern w:val="0"/>
                <w:sz w:val="24"/>
              </w:rPr>
              <w:t>3</w:t>
            </w:r>
          </w:p>
        </w:tc>
        <w:tc>
          <w:tcPr>
            <w:tcW w:w="6149" w:type="dxa"/>
            <w:shd w:val="clear" w:color="auto" w:fill="auto"/>
            <w:vAlign w:val="center"/>
          </w:tcPr>
          <w:p w14:paraId="56689243">
            <w:pPr>
              <w:widowControl/>
              <w:spacing w:line="360" w:lineRule="auto"/>
              <w:jc w:val="left"/>
              <w:rPr>
                <w:rFonts w:ascii="宋体" w:hAnsi="宋体" w:cs="宋体"/>
                <w:kern w:val="0"/>
                <w:sz w:val="24"/>
              </w:rPr>
            </w:pPr>
            <w:r>
              <w:rPr>
                <w:rFonts w:hint="eastAsia" w:ascii="宋体" w:hAnsi="宋体" w:cs="宋体"/>
                <w:kern w:val="0"/>
                <w:sz w:val="24"/>
              </w:rPr>
              <w:t>技术总体方案科学性和完整性，包括但不限于项目前端现状的分析；项目建设必要性、可行性分析；项目总体规划、建设原则等。</w:t>
            </w:r>
            <w:r>
              <w:rPr>
                <w:rFonts w:hint="eastAsia" w:ascii="宋体" w:hAnsi="宋体" w:cs="宋体"/>
                <w:kern w:val="0"/>
                <w:sz w:val="24"/>
                <w:lang w:val="en-US" w:eastAsia="zh-CN"/>
              </w:rPr>
              <w:t>完全符合</w:t>
            </w:r>
            <w:r>
              <w:rPr>
                <w:rFonts w:hint="eastAsia" w:ascii="宋体" w:hAnsi="宋体" w:cs="宋体"/>
                <w:kern w:val="0"/>
                <w:sz w:val="24"/>
              </w:rPr>
              <w:t>采购人要求的得</w:t>
            </w:r>
            <w:r>
              <w:rPr>
                <w:rFonts w:hint="eastAsia" w:ascii="宋体" w:hAnsi="宋体" w:cs="宋体"/>
                <w:kern w:val="0"/>
                <w:sz w:val="24"/>
                <w:lang w:val="en-US" w:eastAsia="zh-CN"/>
              </w:rPr>
              <w:t>4</w:t>
            </w:r>
            <w:r>
              <w:rPr>
                <w:rFonts w:ascii="宋体" w:hAnsi="宋体" w:cs="宋体"/>
                <w:kern w:val="0"/>
                <w:sz w:val="24"/>
              </w:rPr>
              <w:t>分，</w:t>
            </w:r>
            <w:r>
              <w:rPr>
                <w:rFonts w:hint="eastAsia" w:ascii="宋体" w:hAnsi="宋体" w:cs="宋体"/>
                <w:kern w:val="0"/>
                <w:sz w:val="24"/>
                <w:lang w:val="en-US" w:eastAsia="zh-CN"/>
              </w:rPr>
              <w:t>基本符合得3分，</w:t>
            </w:r>
            <w:r>
              <w:rPr>
                <w:rFonts w:ascii="宋体" w:hAnsi="宋体" w:cs="宋体"/>
                <w:kern w:val="0"/>
                <w:sz w:val="24"/>
              </w:rPr>
              <w:t>部分符合的得</w:t>
            </w:r>
            <w:r>
              <w:rPr>
                <w:rFonts w:hint="eastAsia" w:ascii="宋体" w:hAnsi="宋体" w:cs="宋体"/>
                <w:kern w:val="0"/>
                <w:sz w:val="24"/>
                <w:lang w:val="en-US" w:eastAsia="zh-CN"/>
              </w:rPr>
              <w:t>2</w:t>
            </w:r>
            <w:r>
              <w:rPr>
                <w:rFonts w:ascii="宋体" w:hAnsi="宋体" w:cs="宋体"/>
                <w:kern w:val="0"/>
                <w:sz w:val="24"/>
              </w:rPr>
              <w:t>分，不符合不得分。</w:t>
            </w:r>
          </w:p>
        </w:tc>
        <w:tc>
          <w:tcPr>
            <w:tcW w:w="795" w:type="dxa"/>
            <w:shd w:val="clear" w:color="auto" w:fill="auto"/>
            <w:noWrap/>
            <w:vAlign w:val="center"/>
          </w:tcPr>
          <w:p w14:paraId="6377DD64">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1531" w:type="dxa"/>
            <w:vMerge w:val="restart"/>
            <w:shd w:val="clear" w:color="auto" w:fill="auto"/>
            <w:vAlign w:val="center"/>
          </w:tcPr>
          <w:p w14:paraId="63739DD3">
            <w:pPr>
              <w:widowControl/>
              <w:jc w:val="center"/>
              <w:rPr>
                <w:rFonts w:ascii="宋体" w:hAnsi="宋体" w:cs="宋体"/>
                <w:kern w:val="0"/>
                <w:sz w:val="24"/>
              </w:rPr>
            </w:pPr>
            <w:r>
              <w:rPr>
                <w:rFonts w:hint="eastAsia" w:ascii="宋体" w:hAnsi="宋体" w:cs="宋体"/>
                <w:kern w:val="0"/>
                <w:sz w:val="24"/>
              </w:rPr>
              <w:t>投标方案的科学性和完整性</w:t>
            </w:r>
          </w:p>
        </w:tc>
      </w:tr>
      <w:tr w14:paraId="6A32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549" w:type="dxa"/>
            <w:vMerge w:val="continue"/>
            <w:shd w:val="clear" w:color="auto" w:fill="auto"/>
            <w:noWrap/>
            <w:vAlign w:val="center"/>
          </w:tcPr>
          <w:p w14:paraId="3B3995F8">
            <w:pPr>
              <w:widowControl/>
              <w:jc w:val="left"/>
            </w:pPr>
          </w:p>
        </w:tc>
        <w:tc>
          <w:tcPr>
            <w:tcW w:w="6149" w:type="dxa"/>
            <w:shd w:val="clear" w:color="auto" w:fill="auto"/>
            <w:vAlign w:val="center"/>
          </w:tcPr>
          <w:p w14:paraId="72CD8253">
            <w:pPr>
              <w:widowControl/>
              <w:spacing w:line="360" w:lineRule="auto"/>
              <w:jc w:val="left"/>
              <w:rPr>
                <w:rFonts w:hint="eastAsia" w:ascii="宋体" w:hAnsi="宋体" w:cs="宋体"/>
                <w:kern w:val="0"/>
                <w:sz w:val="24"/>
              </w:rPr>
            </w:pPr>
            <w:r>
              <w:rPr>
                <w:rFonts w:hint="eastAsia" w:ascii="宋体" w:hAnsi="宋体" w:cs="宋体"/>
                <w:kern w:val="0"/>
                <w:sz w:val="24"/>
              </w:rPr>
              <w:t>为确保软件服务运行所需的硬件施工的条理性及后期维护便利性，投标方案中需对本次招标清单内的系统设备应成熟理解，建设方案根据自行的理解提供与软件业务相对应前端设计、方案点位分布图。</w:t>
            </w:r>
            <w:r>
              <w:rPr>
                <w:rFonts w:hint="eastAsia" w:ascii="宋体" w:hAnsi="宋体" w:cs="宋体"/>
                <w:kern w:val="0"/>
                <w:sz w:val="24"/>
                <w:lang w:val="en-US" w:eastAsia="zh-CN"/>
              </w:rPr>
              <w:t>完全符合</w:t>
            </w:r>
            <w:r>
              <w:rPr>
                <w:rFonts w:hint="eastAsia" w:ascii="宋体" w:hAnsi="宋体" w:cs="宋体"/>
                <w:kern w:val="0"/>
                <w:sz w:val="24"/>
              </w:rPr>
              <w:t>采购人要求的得</w:t>
            </w:r>
            <w:r>
              <w:rPr>
                <w:rFonts w:hint="eastAsia" w:ascii="宋体" w:hAnsi="宋体" w:cs="宋体"/>
                <w:kern w:val="0"/>
                <w:sz w:val="24"/>
                <w:lang w:val="en-US" w:eastAsia="zh-CN"/>
              </w:rPr>
              <w:t>4</w:t>
            </w:r>
            <w:r>
              <w:rPr>
                <w:rFonts w:ascii="宋体" w:hAnsi="宋体" w:cs="宋体"/>
                <w:kern w:val="0"/>
                <w:sz w:val="24"/>
              </w:rPr>
              <w:t>分，</w:t>
            </w:r>
            <w:r>
              <w:rPr>
                <w:rFonts w:hint="eastAsia" w:ascii="宋体" w:hAnsi="宋体" w:cs="宋体"/>
                <w:kern w:val="0"/>
                <w:sz w:val="24"/>
                <w:lang w:val="en-US" w:eastAsia="zh-CN"/>
              </w:rPr>
              <w:t>基本符合得3分，</w:t>
            </w:r>
            <w:r>
              <w:rPr>
                <w:rFonts w:ascii="宋体" w:hAnsi="宋体" w:cs="宋体"/>
                <w:kern w:val="0"/>
                <w:sz w:val="24"/>
              </w:rPr>
              <w:t>部分符合的得</w:t>
            </w:r>
            <w:r>
              <w:rPr>
                <w:rFonts w:hint="eastAsia" w:ascii="宋体" w:hAnsi="宋体" w:cs="宋体"/>
                <w:kern w:val="0"/>
                <w:sz w:val="24"/>
                <w:lang w:val="en-US" w:eastAsia="zh-CN"/>
              </w:rPr>
              <w:t>2</w:t>
            </w:r>
            <w:r>
              <w:rPr>
                <w:rFonts w:ascii="宋体" w:hAnsi="宋体" w:cs="宋体"/>
                <w:kern w:val="0"/>
                <w:sz w:val="24"/>
              </w:rPr>
              <w:t>分，不符合不得分。</w:t>
            </w:r>
          </w:p>
        </w:tc>
        <w:tc>
          <w:tcPr>
            <w:tcW w:w="795" w:type="dxa"/>
            <w:shd w:val="clear" w:color="auto" w:fill="auto"/>
            <w:noWrap/>
            <w:vAlign w:val="center"/>
          </w:tcPr>
          <w:p w14:paraId="0A1B640D">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1531" w:type="dxa"/>
            <w:vMerge w:val="continue"/>
            <w:shd w:val="clear" w:color="auto" w:fill="auto"/>
            <w:vAlign w:val="center"/>
          </w:tcPr>
          <w:p w14:paraId="03B6C651">
            <w:pPr>
              <w:widowControl/>
              <w:jc w:val="left"/>
              <w:rPr>
                <w:rFonts w:hint="eastAsia" w:ascii="宋体" w:hAnsi="宋体" w:cs="宋体"/>
                <w:kern w:val="0"/>
                <w:sz w:val="24"/>
              </w:rPr>
            </w:pPr>
          </w:p>
        </w:tc>
      </w:tr>
      <w:tr w14:paraId="4D89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4CE5420B">
            <w:pPr>
              <w:widowControl/>
              <w:jc w:val="center"/>
              <w:rPr>
                <w:rFonts w:hint="eastAsia" w:ascii="宋体" w:hAnsi="宋体" w:cs="宋体"/>
                <w:kern w:val="0"/>
                <w:sz w:val="24"/>
              </w:rPr>
            </w:pPr>
          </w:p>
          <w:p w14:paraId="48A4C183">
            <w:pPr>
              <w:widowControl/>
              <w:jc w:val="center"/>
              <w:rPr>
                <w:rFonts w:hint="eastAsia" w:ascii="宋体" w:hAnsi="宋体" w:cs="宋体"/>
                <w:kern w:val="0"/>
                <w:sz w:val="24"/>
              </w:rPr>
            </w:pPr>
          </w:p>
          <w:p w14:paraId="25204D0F">
            <w:pPr>
              <w:widowControl/>
              <w:jc w:val="center"/>
              <w:rPr>
                <w:rFonts w:hint="eastAsia" w:ascii="宋体" w:hAnsi="宋体" w:cs="宋体"/>
                <w:kern w:val="0"/>
                <w:sz w:val="24"/>
              </w:rPr>
            </w:pPr>
          </w:p>
          <w:p w14:paraId="636EF54D">
            <w:pPr>
              <w:widowControl/>
              <w:jc w:val="center"/>
              <w:rPr>
                <w:rFonts w:hint="eastAsia" w:ascii="宋体" w:hAnsi="宋体" w:cs="宋体"/>
                <w:kern w:val="0"/>
                <w:sz w:val="24"/>
              </w:rPr>
            </w:pPr>
          </w:p>
          <w:p w14:paraId="09E296E1">
            <w:pPr>
              <w:widowControl/>
              <w:jc w:val="center"/>
              <w:rPr>
                <w:rFonts w:hint="eastAsia" w:ascii="宋体" w:hAnsi="宋体" w:cs="宋体"/>
                <w:kern w:val="0"/>
                <w:sz w:val="24"/>
              </w:rPr>
            </w:pPr>
          </w:p>
          <w:p w14:paraId="2A30D8B0">
            <w:pPr>
              <w:widowControl/>
              <w:jc w:val="center"/>
              <w:rPr>
                <w:rFonts w:hint="eastAsia" w:ascii="宋体" w:hAnsi="宋体" w:cs="宋体"/>
                <w:kern w:val="0"/>
                <w:sz w:val="24"/>
              </w:rPr>
            </w:pPr>
          </w:p>
          <w:p w14:paraId="5027AE1E">
            <w:pPr>
              <w:widowControl/>
              <w:jc w:val="center"/>
              <w:rPr>
                <w:rFonts w:hint="eastAsia" w:ascii="宋体" w:hAnsi="宋体" w:cs="宋体"/>
                <w:kern w:val="0"/>
                <w:sz w:val="24"/>
              </w:rPr>
            </w:pPr>
          </w:p>
          <w:p w14:paraId="182D3B5C">
            <w:pPr>
              <w:widowControl/>
              <w:jc w:val="center"/>
              <w:rPr>
                <w:rFonts w:hint="eastAsia" w:ascii="宋体" w:hAnsi="宋体" w:cs="宋体"/>
                <w:kern w:val="0"/>
                <w:sz w:val="24"/>
              </w:rPr>
            </w:pPr>
          </w:p>
          <w:p w14:paraId="6D7E9C6F">
            <w:pPr>
              <w:widowControl/>
              <w:jc w:val="center"/>
              <w:rPr>
                <w:rFonts w:hint="eastAsia" w:ascii="宋体" w:hAnsi="宋体" w:cs="宋体"/>
                <w:kern w:val="0"/>
                <w:sz w:val="24"/>
              </w:rPr>
            </w:pPr>
          </w:p>
          <w:p w14:paraId="269BDE3F">
            <w:pPr>
              <w:widowControl/>
              <w:jc w:val="center"/>
              <w:rPr>
                <w:rFonts w:hint="eastAsia" w:ascii="宋体" w:hAnsi="宋体" w:cs="宋体"/>
                <w:kern w:val="0"/>
                <w:sz w:val="24"/>
              </w:rPr>
            </w:pPr>
          </w:p>
          <w:p w14:paraId="6C2578DD">
            <w:pPr>
              <w:widowControl/>
              <w:jc w:val="center"/>
              <w:rPr>
                <w:rFonts w:ascii="宋体" w:hAnsi="宋体" w:cs="宋体"/>
                <w:kern w:val="0"/>
                <w:sz w:val="24"/>
              </w:rPr>
            </w:pPr>
            <w:r>
              <w:rPr>
                <w:rFonts w:hint="eastAsia" w:ascii="宋体" w:hAnsi="宋体" w:cs="宋体"/>
                <w:kern w:val="0"/>
                <w:sz w:val="24"/>
              </w:rPr>
              <w:t>4</w:t>
            </w:r>
          </w:p>
        </w:tc>
        <w:tc>
          <w:tcPr>
            <w:tcW w:w="6149" w:type="dxa"/>
            <w:shd w:val="clear" w:color="auto" w:fill="auto"/>
            <w:vAlign w:val="center"/>
          </w:tcPr>
          <w:p w14:paraId="21138BF7">
            <w:pPr>
              <w:widowControl/>
              <w:spacing w:line="360" w:lineRule="auto"/>
              <w:jc w:val="left"/>
              <w:rPr>
                <w:rFonts w:hint="eastAsia" w:ascii="宋体" w:hAnsi="宋体" w:cs="宋体"/>
                <w:b/>
                <w:bCs/>
                <w:kern w:val="0"/>
                <w:sz w:val="24"/>
              </w:rPr>
            </w:pPr>
            <w:r>
              <w:rPr>
                <w:rFonts w:hint="eastAsia" w:ascii="宋体" w:hAnsi="宋体" w:cs="宋体"/>
                <w:kern w:val="0"/>
                <w:sz w:val="24"/>
              </w:rPr>
              <w:t>投标人对招标文件“第三部分 采购需求”所要求的软件采购需求,投标方案是否包含以下内容，方案需最大限度满足采购需求，内容完整合理、阐述详细、符合西湖实际所需视为满足采购需求</w:t>
            </w:r>
            <w:r>
              <w:rPr>
                <w:rFonts w:hint="eastAsia" w:ascii="宋体" w:hAnsi="宋体" w:cs="宋体"/>
                <w:kern w:val="0"/>
                <w:sz w:val="24"/>
                <w:lang w:eastAsia="zh-CN"/>
              </w:rPr>
              <w:t>。</w:t>
            </w:r>
            <w:r>
              <w:rPr>
                <w:rFonts w:hint="eastAsia" w:ascii="宋体" w:hAnsi="宋体" w:cs="宋体"/>
                <w:kern w:val="0"/>
                <w:sz w:val="24"/>
              </w:rPr>
              <w:br w:type="textWrapping"/>
            </w:r>
            <w:r>
              <w:rPr>
                <w:rFonts w:hint="eastAsia" w:ascii="宋体" w:hAnsi="宋体" w:cs="宋体"/>
                <w:b/>
                <w:bCs/>
                <w:kern w:val="0"/>
                <w:sz w:val="24"/>
                <w:lang w:eastAsia="zh-CN"/>
              </w:rPr>
              <w:t>（</w:t>
            </w:r>
            <w:r>
              <w:rPr>
                <w:rFonts w:hint="eastAsia" w:ascii="宋体" w:hAnsi="宋体" w:cs="宋体"/>
                <w:b/>
                <w:bCs/>
                <w:kern w:val="0"/>
                <w:sz w:val="24"/>
                <w:lang w:val="en-US" w:eastAsia="zh-CN"/>
              </w:rPr>
              <w:t>1</w:t>
            </w:r>
            <w:r>
              <w:rPr>
                <w:rFonts w:hint="eastAsia" w:ascii="宋体" w:hAnsi="宋体" w:cs="宋体"/>
                <w:b/>
                <w:bCs/>
                <w:kern w:val="0"/>
                <w:sz w:val="24"/>
                <w:lang w:eastAsia="zh-CN"/>
              </w:rPr>
              <w:t>）</w:t>
            </w:r>
            <w:r>
              <w:rPr>
                <w:rFonts w:hint="eastAsia" w:ascii="宋体" w:hAnsi="宋体" w:cs="宋体"/>
                <w:b/>
                <w:bCs/>
                <w:kern w:val="0"/>
                <w:sz w:val="24"/>
              </w:rPr>
              <w:t>行为分析基础应用管理</w:t>
            </w:r>
            <w:r>
              <w:rPr>
                <w:rFonts w:hint="eastAsia" w:ascii="宋体" w:hAnsi="宋体" w:cs="宋体"/>
                <w:b/>
                <w:bCs/>
                <w:kern w:val="0"/>
                <w:sz w:val="24"/>
                <w:lang w:eastAsia="zh-CN"/>
              </w:rPr>
              <w:t>（</w:t>
            </w:r>
            <w:r>
              <w:rPr>
                <w:rFonts w:hint="eastAsia" w:ascii="宋体" w:hAnsi="宋体" w:cs="宋体"/>
                <w:b/>
                <w:bCs/>
                <w:kern w:val="0"/>
                <w:sz w:val="24"/>
                <w:lang w:val="en-US" w:eastAsia="zh-CN"/>
              </w:rPr>
              <w:t>4分</w:t>
            </w:r>
            <w:r>
              <w:rPr>
                <w:rFonts w:hint="eastAsia" w:ascii="宋体" w:hAnsi="宋体" w:cs="宋体"/>
                <w:b/>
                <w:bCs/>
                <w:kern w:val="0"/>
                <w:sz w:val="24"/>
                <w:lang w:eastAsia="zh-CN"/>
              </w:rPr>
              <w:t>）</w:t>
            </w:r>
            <w:r>
              <w:rPr>
                <w:rFonts w:hint="eastAsia" w:ascii="宋体" w:hAnsi="宋体" w:cs="宋体"/>
                <w:b/>
                <w:bCs/>
                <w:kern w:val="0"/>
                <w:sz w:val="24"/>
              </w:rPr>
              <w:t>：</w:t>
            </w:r>
            <w:r>
              <w:rPr>
                <w:rFonts w:hint="eastAsia" w:ascii="宋体" w:hAnsi="宋体" w:cs="宋体"/>
                <w:kern w:val="0"/>
                <w:sz w:val="24"/>
              </w:rPr>
              <w:br w:type="textWrapping"/>
            </w:r>
            <w:r>
              <w:rPr>
                <w:rFonts w:hint="eastAsia" w:ascii="宋体" w:hAnsi="宋体" w:cs="宋体"/>
                <w:kern w:val="0"/>
                <w:sz w:val="24"/>
                <w:lang w:val="en-US" w:eastAsia="zh-CN"/>
              </w:rPr>
              <w:t>①</w:t>
            </w:r>
            <w:r>
              <w:rPr>
                <w:rFonts w:hint="eastAsia" w:ascii="宋体" w:hAnsi="宋体" w:cs="宋体"/>
                <w:kern w:val="0"/>
                <w:sz w:val="24"/>
              </w:rPr>
              <w:t>系统管理、视频应用、视频联网、视频网管、视频质量诊断、报警联动处置、智能行为分析接入的设计方案功能响应（</w:t>
            </w:r>
            <w:r>
              <w:rPr>
                <w:rFonts w:hint="eastAsia" w:ascii="宋体" w:hAnsi="宋体" w:cs="宋体"/>
                <w:kern w:val="0"/>
                <w:sz w:val="24"/>
                <w:lang w:val="en-US" w:eastAsia="zh-CN"/>
              </w:rPr>
              <w:t>完全满足得</w:t>
            </w:r>
            <w:r>
              <w:rPr>
                <w:rFonts w:hint="eastAsia" w:ascii="宋体" w:hAnsi="宋体" w:cs="宋体"/>
                <w:kern w:val="0"/>
                <w:sz w:val="24"/>
              </w:rPr>
              <w:t>2分，部分满足</w:t>
            </w:r>
            <w:r>
              <w:rPr>
                <w:rFonts w:hint="eastAsia" w:ascii="宋体" w:hAnsi="宋体" w:cs="宋体"/>
                <w:kern w:val="0"/>
                <w:sz w:val="24"/>
                <w:lang w:val="en-US" w:eastAsia="zh-CN"/>
              </w:rPr>
              <w:t>得</w:t>
            </w:r>
            <w:r>
              <w:rPr>
                <w:rFonts w:hint="eastAsia" w:ascii="宋体" w:hAnsi="宋体" w:cs="宋体"/>
                <w:kern w:val="0"/>
                <w:sz w:val="24"/>
              </w:rPr>
              <w:t>1分，不满足或未提供不得分）；</w:t>
            </w:r>
            <w:r>
              <w:rPr>
                <w:rFonts w:hint="eastAsia" w:ascii="宋体" w:hAnsi="宋体" w:cs="宋体"/>
                <w:kern w:val="0"/>
                <w:sz w:val="24"/>
              </w:rPr>
              <w:br w:type="textWrapping"/>
            </w:r>
            <w:r>
              <w:rPr>
                <w:rFonts w:hint="eastAsia" w:ascii="宋体" w:hAnsi="宋体" w:cs="宋体"/>
                <w:kern w:val="0"/>
                <w:sz w:val="24"/>
                <w:lang w:val="en-US" w:eastAsia="zh-CN"/>
              </w:rPr>
              <w:t>②提供</w:t>
            </w:r>
            <w:r>
              <w:rPr>
                <w:rFonts w:hint="eastAsia" w:ascii="宋体" w:hAnsi="宋体" w:cs="宋体"/>
                <w:kern w:val="0"/>
                <w:sz w:val="24"/>
              </w:rPr>
              <w:t>预警中心客户端详细功能设计（</w:t>
            </w:r>
            <w:r>
              <w:rPr>
                <w:rFonts w:hint="eastAsia" w:ascii="宋体" w:hAnsi="宋体" w:cs="宋体"/>
                <w:kern w:val="0"/>
                <w:sz w:val="24"/>
                <w:lang w:val="en-US" w:eastAsia="zh-CN"/>
              </w:rPr>
              <w:t>完全满足得</w:t>
            </w:r>
            <w:r>
              <w:rPr>
                <w:rFonts w:hint="eastAsia" w:ascii="宋体" w:hAnsi="宋体" w:cs="宋体"/>
                <w:kern w:val="0"/>
                <w:sz w:val="24"/>
              </w:rPr>
              <w:t>1分，部分满足</w:t>
            </w:r>
            <w:r>
              <w:rPr>
                <w:rFonts w:hint="eastAsia" w:ascii="宋体" w:hAnsi="宋体" w:cs="宋体"/>
                <w:kern w:val="0"/>
                <w:sz w:val="24"/>
                <w:lang w:val="en-US" w:eastAsia="zh-CN"/>
              </w:rPr>
              <w:t>得</w:t>
            </w:r>
            <w:r>
              <w:rPr>
                <w:rFonts w:hint="eastAsia" w:ascii="宋体" w:hAnsi="宋体" w:cs="宋体"/>
                <w:kern w:val="0"/>
                <w:sz w:val="24"/>
              </w:rPr>
              <w:t>0.5分，不满足或未提供不得分）；</w:t>
            </w:r>
            <w:r>
              <w:rPr>
                <w:rFonts w:hint="eastAsia" w:ascii="宋体" w:hAnsi="宋体" w:cs="宋体"/>
                <w:kern w:val="0"/>
                <w:sz w:val="24"/>
              </w:rPr>
              <w:br w:type="textWrapping"/>
            </w:r>
            <w:r>
              <w:rPr>
                <w:rFonts w:hint="eastAsia" w:ascii="宋体" w:hAnsi="宋体" w:cs="宋体"/>
                <w:kern w:val="0"/>
                <w:sz w:val="24"/>
                <w:lang w:val="en-US" w:eastAsia="zh-CN"/>
              </w:rPr>
              <w:t>③提供</w:t>
            </w:r>
            <w:r>
              <w:rPr>
                <w:rFonts w:hint="eastAsia" w:ascii="宋体" w:hAnsi="宋体" w:cs="宋体"/>
                <w:kern w:val="0"/>
                <w:sz w:val="24"/>
              </w:rPr>
              <w:t>智能分析驾驶舱设计稿（</w:t>
            </w:r>
            <w:r>
              <w:rPr>
                <w:rFonts w:hint="eastAsia" w:ascii="宋体" w:hAnsi="宋体" w:cs="宋体"/>
                <w:kern w:val="0"/>
                <w:sz w:val="24"/>
                <w:lang w:val="en-US" w:eastAsia="zh-CN"/>
              </w:rPr>
              <w:t>完全满足得</w:t>
            </w:r>
            <w:r>
              <w:rPr>
                <w:rFonts w:hint="eastAsia" w:ascii="宋体" w:hAnsi="宋体" w:cs="宋体"/>
                <w:kern w:val="0"/>
                <w:sz w:val="24"/>
              </w:rPr>
              <w:t>1分，部分满足</w:t>
            </w:r>
            <w:r>
              <w:rPr>
                <w:rFonts w:hint="eastAsia" w:ascii="宋体" w:hAnsi="宋体" w:cs="宋体"/>
                <w:kern w:val="0"/>
                <w:sz w:val="24"/>
                <w:lang w:val="en-US" w:eastAsia="zh-CN"/>
              </w:rPr>
              <w:t>得</w:t>
            </w:r>
            <w:r>
              <w:rPr>
                <w:rFonts w:hint="eastAsia" w:ascii="宋体" w:hAnsi="宋体" w:cs="宋体"/>
                <w:kern w:val="0"/>
                <w:sz w:val="24"/>
              </w:rPr>
              <w:t>0.5分，不满足或未提供不得分）。</w:t>
            </w:r>
            <w:r>
              <w:rPr>
                <w:rFonts w:hint="eastAsia" w:ascii="宋体" w:hAnsi="宋体" w:cs="宋体"/>
                <w:kern w:val="0"/>
                <w:sz w:val="24"/>
              </w:rPr>
              <w:br w:type="textWrapping"/>
            </w:r>
            <w:r>
              <w:rPr>
                <w:rFonts w:hint="eastAsia" w:ascii="宋体" w:hAnsi="宋体" w:cs="宋体"/>
                <w:b/>
                <w:bCs/>
                <w:kern w:val="0"/>
                <w:sz w:val="24"/>
                <w:lang w:eastAsia="zh-CN"/>
              </w:rPr>
              <w:t>（</w:t>
            </w:r>
            <w:r>
              <w:rPr>
                <w:rFonts w:hint="eastAsia" w:ascii="宋体" w:hAnsi="宋体" w:cs="宋体"/>
                <w:b/>
                <w:bCs/>
                <w:kern w:val="0"/>
                <w:sz w:val="24"/>
                <w:lang w:val="en-US" w:eastAsia="zh-CN"/>
              </w:rPr>
              <w:t>2</w:t>
            </w:r>
            <w:r>
              <w:rPr>
                <w:rFonts w:hint="eastAsia" w:ascii="宋体" w:hAnsi="宋体" w:cs="宋体"/>
                <w:b/>
                <w:bCs/>
                <w:kern w:val="0"/>
                <w:sz w:val="24"/>
                <w:lang w:eastAsia="zh-CN"/>
              </w:rPr>
              <w:t>）</w:t>
            </w:r>
            <w:r>
              <w:rPr>
                <w:rFonts w:hint="eastAsia" w:ascii="宋体" w:hAnsi="宋体" w:cs="宋体"/>
                <w:b/>
                <w:bCs/>
                <w:kern w:val="0"/>
                <w:sz w:val="24"/>
              </w:rPr>
              <w:t>赋能应用管理</w:t>
            </w:r>
            <w:r>
              <w:rPr>
                <w:rFonts w:hint="eastAsia" w:ascii="宋体" w:hAnsi="宋体" w:cs="宋体"/>
                <w:b/>
                <w:bCs/>
                <w:kern w:val="0"/>
                <w:sz w:val="24"/>
                <w:lang w:eastAsia="zh-CN"/>
              </w:rPr>
              <w:t>（</w:t>
            </w:r>
            <w:r>
              <w:rPr>
                <w:rFonts w:hint="eastAsia" w:ascii="宋体" w:hAnsi="宋体" w:cs="宋体"/>
                <w:b/>
                <w:bCs/>
                <w:kern w:val="0"/>
                <w:sz w:val="24"/>
                <w:lang w:val="en-US" w:eastAsia="zh-CN"/>
              </w:rPr>
              <w:t>4分</w:t>
            </w:r>
            <w:r>
              <w:rPr>
                <w:rFonts w:hint="eastAsia" w:ascii="宋体" w:hAnsi="宋体" w:cs="宋体"/>
                <w:b/>
                <w:bCs/>
                <w:kern w:val="0"/>
                <w:sz w:val="24"/>
                <w:lang w:eastAsia="zh-CN"/>
              </w:rPr>
              <w:t>）</w:t>
            </w:r>
            <w:r>
              <w:rPr>
                <w:rFonts w:hint="eastAsia" w:ascii="宋体" w:hAnsi="宋体" w:cs="宋体"/>
                <w:b/>
                <w:bCs/>
                <w:kern w:val="0"/>
                <w:sz w:val="24"/>
              </w:rPr>
              <w:t>：</w:t>
            </w:r>
          </w:p>
          <w:p w14:paraId="0EE8E947">
            <w:pPr>
              <w:widowControl/>
              <w:spacing w:line="360" w:lineRule="auto"/>
              <w:jc w:val="left"/>
              <w:rPr>
                <w:rFonts w:ascii="宋体" w:hAnsi="宋体" w:cs="宋体"/>
                <w:kern w:val="0"/>
                <w:sz w:val="24"/>
              </w:rPr>
            </w:pPr>
            <w:r>
              <w:rPr>
                <w:rFonts w:hint="eastAsia" w:ascii="宋体" w:hAnsi="宋体" w:cs="宋体"/>
                <w:b w:val="0"/>
                <w:bCs w:val="0"/>
                <w:kern w:val="0"/>
                <w:sz w:val="24"/>
                <w:lang w:val="en-US" w:eastAsia="zh-CN"/>
              </w:rPr>
              <w:t>提供①</w:t>
            </w:r>
            <w:r>
              <w:rPr>
                <w:rFonts w:hint="eastAsia" w:ascii="宋体" w:hAnsi="宋体" w:cs="宋体"/>
                <w:kern w:val="0"/>
                <w:sz w:val="24"/>
              </w:rPr>
              <w:t>算法管理、</w:t>
            </w:r>
            <w:r>
              <w:rPr>
                <w:rFonts w:hint="eastAsia" w:ascii="宋体" w:hAnsi="宋体" w:cs="宋体"/>
                <w:kern w:val="0"/>
                <w:sz w:val="24"/>
                <w:lang w:val="en-US" w:eastAsia="zh-CN"/>
              </w:rPr>
              <w:t>②</w:t>
            </w:r>
            <w:r>
              <w:rPr>
                <w:rFonts w:hint="eastAsia" w:ascii="宋体" w:hAnsi="宋体" w:cs="宋体"/>
                <w:kern w:val="0"/>
                <w:sz w:val="24"/>
              </w:rPr>
              <w:t>事件检索</w:t>
            </w:r>
            <w:r>
              <w:rPr>
                <w:rFonts w:hint="eastAsia" w:ascii="宋体" w:hAnsi="宋体" w:cs="宋体"/>
                <w:kern w:val="0"/>
                <w:sz w:val="24"/>
                <w:lang w:val="en-US" w:eastAsia="zh-CN"/>
              </w:rPr>
              <w:t>的</w:t>
            </w:r>
            <w:r>
              <w:rPr>
                <w:rFonts w:hint="eastAsia" w:ascii="宋体" w:hAnsi="宋体" w:cs="宋体"/>
                <w:kern w:val="0"/>
                <w:sz w:val="24"/>
              </w:rPr>
              <w:t>功能响应设计方案（</w:t>
            </w:r>
            <w:r>
              <w:rPr>
                <w:rFonts w:hint="eastAsia" w:ascii="宋体" w:hAnsi="宋体" w:cs="宋体"/>
                <w:kern w:val="0"/>
                <w:sz w:val="24"/>
                <w:lang w:val="en-US" w:eastAsia="zh-CN"/>
              </w:rPr>
              <w:t>每小点完全满足得2</w:t>
            </w:r>
            <w:r>
              <w:rPr>
                <w:rFonts w:hint="eastAsia" w:ascii="宋体" w:hAnsi="宋体" w:cs="宋体"/>
                <w:kern w:val="0"/>
                <w:sz w:val="24"/>
              </w:rPr>
              <w:t>分，部分满足</w:t>
            </w:r>
            <w:r>
              <w:rPr>
                <w:rFonts w:hint="eastAsia" w:ascii="宋体" w:hAnsi="宋体" w:cs="宋体"/>
                <w:kern w:val="0"/>
                <w:sz w:val="24"/>
                <w:lang w:val="en-US" w:eastAsia="zh-CN"/>
              </w:rPr>
              <w:t>得1</w:t>
            </w:r>
            <w:r>
              <w:rPr>
                <w:rFonts w:hint="eastAsia" w:ascii="宋体" w:hAnsi="宋体" w:cs="宋体"/>
                <w:kern w:val="0"/>
                <w:sz w:val="24"/>
              </w:rPr>
              <w:t>分，不满足或未提供不得分）</w:t>
            </w:r>
            <w:r>
              <w:rPr>
                <w:rFonts w:hint="eastAsia" w:ascii="宋体" w:hAnsi="宋体" w:cs="宋体"/>
                <w:kern w:val="0"/>
                <w:sz w:val="24"/>
                <w:lang w:eastAsia="zh-CN"/>
              </w:rPr>
              <w:t>。</w:t>
            </w:r>
            <w:r>
              <w:rPr>
                <w:rFonts w:hint="eastAsia" w:ascii="宋体" w:hAnsi="宋体" w:cs="宋体"/>
                <w:kern w:val="0"/>
                <w:sz w:val="24"/>
              </w:rPr>
              <w:br w:type="textWrapping"/>
            </w:r>
            <w:r>
              <w:rPr>
                <w:rFonts w:hint="eastAsia" w:ascii="宋体" w:hAnsi="宋体" w:cs="宋体"/>
                <w:b/>
                <w:bCs/>
                <w:kern w:val="0"/>
                <w:sz w:val="24"/>
                <w:lang w:eastAsia="zh-CN"/>
              </w:rPr>
              <w:t>（</w:t>
            </w:r>
            <w:r>
              <w:rPr>
                <w:rFonts w:hint="eastAsia" w:ascii="宋体" w:hAnsi="宋体" w:cs="宋体"/>
                <w:b/>
                <w:bCs/>
                <w:kern w:val="0"/>
                <w:sz w:val="24"/>
                <w:lang w:val="en-US" w:eastAsia="zh-CN"/>
              </w:rPr>
              <w:t>3</w:t>
            </w:r>
            <w:r>
              <w:rPr>
                <w:rFonts w:hint="eastAsia" w:ascii="宋体" w:hAnsi="宋体" w:cs="宋体"/>
                <w:b/>
                <w:bCs/>
                <w:kern w:val="0"/>
                <w:sz w:val="24"/>
                <w:lang w:eastAsia="zh-CN"/>
              </w:rPr>
              <w:t>）</w:t>
            </w:r>
            <w:r>
              <w:rPr>
                <w:rFonts w:hint="eastAsia" w:ascii="宋体" w:hAnsi="宋体" w:cs="宋体"/>
                <w:b/>
                <w:bCs/>
                <w:kern w:val="0"/>
                <w:sz w:val="24"/>
              </w:rPr>
              <w:t>算法策略管理</w:t>
            </w:r>
            <w:r>
              <w:rPr>
                <w:rFonts w:hint="eastAsia" w:ascii="宋体" w:hAnsi="宋体" w:cs="宋体"/>
                <w:b/>
                <w:bCs/>
                <w:kern w:val="0"/>
                <w:sz w:val="24"/>
                <w:lang w:eastAsia="zh-CN"/>
              </w:rPr>
              <w:t>（</w:t>
            </w:r>
            <w:r>
              <w:rPr>
                <w:rFonts w:hint="eastAsia" w:ascii="宋体" w:hAnsi="宋体" w:cs="宋体"/>
                <w:b/>
                <w:bCs/>
                <w:kern w:val="0"/>
                <w:sz w:val="24"/>
                <w:lang w:val="en-US" w:eastAsia="zh-CN"/>
              </w:rPr>
              <w:t>2分</w:t>
            </w:r>
            <w:r>
              <w:rPr>
                <w:rFonts w:hint="eastAsia" w:ascii="宋体" w:hAnsi="宋体" w:cs="宋体"/>
                <w:b/>
                <w:bCs/>
                <w:kern w:val="0"/>
                <w:sz w:val="24"/>
                <w:lang w:eastAsia="zh-CN"/>
              </w:rPr>
              <w:t>）</w:t>
            </w:r>
            <w:r>
              <w:rPr>
                <w:rFonts w:hint="eastAsia" w:ascii="宋体" w:hAnsi="宋体" w:cs="宋体"/>
                <w:b/>
                <w:bCs/>
                <w:kern w:val="0"/>
                <w:sz w:val="24"/>
              </w:rPr>
              <w:t>：</w:t>
            </w:r>
            <w:r>
              <w:rPr>
                <w:rFonts w:hint="eastAsia" w:ascii="宋体" w:hAnsi="宋体" w:cs="宋体"/>
                <w:kern w:val="0"/>
                <w:sz w:val="24"/>
              </w:rPr>
              <w:br w:type="textWrapping"/>
            </w:r>
            <w:r>
              <w:rPr>
                <w:rFonts w:hint="eastAsia" w:ascii="宋体" w:hAnsi="宋体" w:cs="宋体"/>
                <w:kern w:val="0"/>
                <w:sz w:val="24"/>
                <w:lang w:val="en-US" w:eastAsia="zh-CN"/>
              </w:rPr>
              <w:t>提供①</w:t>
            </w:r>
            <w:r>
              <w:rPr>
                <w:rFonts w:hint="eastAsia" w:ascii="宋体" w:hAnsi="宋体" w:cs="宋体"/>
                <w:kern w:val="0"/>
                <w:sz w:val="24"/>
              </w:rPr>
              <w:t>策略分组、</w:t>
            </w:r>
            <w:r>
              <w:rPr>
                <w:rFonts w:hint="eastAsia" w:ascii="宋体" w:hAnsi="宋体" w:cs="宋体"/>
                <w:kern w:val="0"/>
                <w:sz w:val="24"/>
                <w:lang w:val="en-US" w:eastAsia="zh-CN"/>
              </w:rPr>
              <w:t>②</w:t>
            </w:r>
            <w:r>
              <w:rPr>
                <w:rFonts w:hint="eastAsia" w:ascii="宋体" w:hAnsi="宋体" w:cs="宋体"/>
                <w:kern w:val="0"/>
                <w:sz w:val="24"/>
              </w:rPr>
              <w:t>策略管理的功能响应设计方案（</w:t>
            </w:r>
            <w:r>
              <w:rPr>
                <w:rFonts w:hint="eastAsia" w:ascii="宋体" w:hAnsi="宋体" w:cs="宋体"/>
                <w:kern w:val="0"/>
                <w:sz w:val="24"/>
                <w:lang w:val="en-US" w:eastAsia="zh-CN"/>
              </w:rPr>
              <w:t>每小点完全满足得</w:t>
            </w:r>
            <w:r>
              <w:rPr>
                <w:rFonts w:hint="eastAsia" w:ascii="宋体" w:hAnsi="宋体" w:cs="宋体"/>
                <w:kern w:val="0"/>
                <w:sz w:val="24"/>
              </w:rPr>
              <w:t>1分，部分满足</w:t>
            </w:r>
            <w:r>
              <w:rPr>
                <w:rFonts w:hint="eastAsia" w:ascii="宋体" w:hAnsi="宋体" w:cs="宋体"/>
                <w:kern w:val="0"/>
                <w:sz w:val="24"/>
                <w:lang w:val="en-US" w:eastAsia="zh-CN"/>
              </w:rPr>
              <w:t>得</w:t>
            </w:r>
            <w:r>
              <w:rPr>
                <w:rFonts w:hint="eastAsia" w:ascii="宋体" w:hAnsi="宋体" w:cs="宋体"/>
                <w:kern w:val="0"/>
                <w:sz w:val="24"/>
              </w:rPr>
              <w:t>0.5分，不满足或未提供不得分</w:t>
            </w:r>
            <w:r>
              <w:rPr>
                <w:rFonts w:hint="eastAsia" w:ascii="宋体" w:hAnsi="宋体" w:cs="宋体"/>
                <w:kern w:val="0"/>
                <w:sz w:val="24"/>
                <w:lang w:eastAsia="zh-CN"/>
              </w:rPr>
              <w:t>，</w:t>
            </w:r>
            <w:r>
              <w:rPr>
                <w:rFonts w:hint="eastAsia" w:ascii="宋体" w:hAnsi="宋体" w:cs="宋体"/>
                <w:kern w:val="0"/>
                <w:sz w:val="24"/>
                <w:lang w:val="en-US" w:eastAsia="zh-CN"/>
              </w:rPr>
              <w:t>共3分</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br w:type="textWrapping"/>
            </w:r>
            <w:r>
              <w:rPr>
                <w:rFonts w:hint="eastAsia" w:ascii="宋体" w:hAnsi="宋体" w:cs="宋体"/>
                <w:b/>
                <w:bCs/>
                <w:kern w:val="0"/>
                <w:sz w:val="24"/>
                <w:lang w:eastAsia="zh-CN"/>
              </w:rPr>
              <w:t>（</w:t>
            </w:r>
            <w:r>
              <w:rPr>
                <w:rFonts w:hint="eastAsia" w:ascii="宋体" w:hAnsi="宋体" w:cs="宋体"/>
                <w:b/>
                <w:bCs/>
                <w:kern w:val="0"/>
                <w:sz w:val="24"/>
                <w:lang w:val="en-US" w:eastAsia="zh-CN"/>
              </w:rPr>
              <w:t>4</w:t>
            </w:r>
            <w:r>
              <w:rPr>
                <w:rFonts w:hint="eastAsia" w:ascii="宋体" w:hAnsi="宋体" w:cs="宋体"/>
                <w:b/>
                <w:bCs/>
                <w:kern w:val="0"/>
                <w:sz w:val="24"/>
                <w:lang w:eastAsia="zh-CN"/>
              </w:rPr>
              <w:t>）</w:t>
            </w:r>
            <w:r>
              <w:rPr>
                <w:rFonts w:hint="eastAsia" w:ascii="宋体" w:hAnsi="宋体" w:cs="宋体"/>
                <w:b/>
                <w:bCs/>
                <w:kern w:val="0"/>
                <w:sz w:val="24"/>
              </w:rPr>
              <w:t>策略算法优化服务</w:t>
            </w:r>
            <w:r>
              <w:rPr>
                <w:rFonts w:hint="eastAsia" w:ascii="宋体" w:hAnsi="宋体" w:cs="宋体"/>
                <w:b/>
                <w:bCs/>
                <w:kern w:val="0"/>
                <w:sz w:val="24"/>
                <w:lang w:eastAsia="zh-CN"/>
              </w:rPr>
              <w:t>（</w:t>
            </w:r>
            <w:r>
              <w:rPr>
                <w:rFonts w:hint="eastAsia" w:ascii="宋体" w:hAnsi="宋体" w:cs="宋体"/>
                <w:b/>
                <w:bCs/>
                <w:kern w:val="0"/>
                <w:sz w:val="24"/>
                <w:lang w:val="en-US" w:eastAsia="zh-CN"/>
              </w:rPr>
              <w:t>2分</w:t>
            </w:r>
            <w:r>
              <w:rPr>
                <w:rFonts w:hint="eastAsia" w:ascii="宋体" w:hAnsi="宋体" w:cs="宋体"/>
                <w:b/>
                <w:bCs/>
                <w:kern w:val="0"/>
                <w:sz w:val="24"/>
                <w:lang w:eastAsia="zh-CN"/>
              </w:rPr>
              <w:t>）：</w:t>
            </w:r>
            <w:r>
              <w:rPr>
                <w:rFonts w:hint="eastAsia" w:ascii="宋体" w:hAnsi="宋体" w:cs="宋体"/>
                <w:b w:val="0"/>
                <w:bCs w:val="0"/>
                <w:kern w:val="0"/>
                <w:sz w:val="24"/>
                <w:lang w:val="en-US" w:eastAsia="zh-CN"/>
              </w:rPr>
              <w:t>提供</w:t>
            </w:r>
            <w:r>
              <w:rPr>
                <w:rFonts w:hint="eastAsia" w:ascii="宋体" w:hAnsi="宋体" w:cs="宋体"/>
                <w:kern w:val="0"/>
                <w:sz w:val="24"/>
              </w:rPr>
              <w:t>功能设计</w:t>
            </w:r>
            <w:r>
              <w:rPr>
                <w:rFonts w:hint="eastAsia" w:ascii="宋体" w:hAnsi="宋体" w:cs="宋体"/>
                <w:kern w:val="0"/>
                <w:sz w:val="24"/>
                <w:lang w:val="en-US" w:eastAsia="zh-CN"/>
              </w:rPr>
              <w:t>方案，并</w:t>
            </w:r>
            <w:r>
              <w:rPr>
                <w:rFonts w:hint="eastAsia" w:ascii="宋体" w:hAnsi="宋体" w:cs="宋体"/>
                <w:kern w:val="0"/>
                <w:sz w:val="24"/>
              </w:rPr>
              <w:t>阐述合理的算法调优策略</w:t>
            </w:r>
            <w:r>
              <w:rPr>
                <w:rFonts w:hint="eastAsia" w:ascii="宋体" w:hAnsi="宋体" w:cs="宋体"/>
                <w:b w:val="0"/>
                <w:bCs w:val="0"/>
                <w:kern w:val="0"/>
                <w:sz w:val="24"/>
              </w:rPr>
              <w:t>（</w:t>
            </w:r>
            <w:r>
              <w:rPr>
                <w:rFonts w:hint="eastAsia" w:ascii="宋体" w:hAnsi="宋体" w:cs="宋体"/>
                <w:b w:val="0"/>
                <w:bCs w:val="0"/>
                <w:kern w:val="0"/>
                <w:sz w:val="24"/>
                <w:lang w:val="en-US" w:eastAsia="zh-CN"/>
              </w:rPr>
              <w:t>完全满足得2</w:t>
            </w:r>
            <w:r>
              <w:rPr>
                <w:rFonts w:hint="eastAsia" w:ascii="宋体" w:hAnsi="宋体" w:cs="宋体"/>
                <w:b w:val="0"/>
                <w:bCs w:val="0"/>
                <w:kern w:val="0"/>
                <w:sz w:val="24"/>
              </w:rPr>
              <w:t>分，部分满足</w:t>
            </w:r>
            <w:r>
              <w:rPr>
                <w:rFonts w:hint="eastAsia" w:ascii="宋体" w:hAnsi="宋体" w:cs="宋体"/>
                <w:b w:val="0"/>
                <w:bCs w:val="0"/>
                <w:kern w:val="0"/>
                <w:sz w:val="24"/>
                <w:lang w:val="en-US" w:eastAsia="zh-CN"/>
              </w:rPr>
              <w:t>得</w:t>
            </w:r>
            <w:r>
              <w:rPr>
                <w:rFonts w:hint="eastAsia" w:ascii="宋体" w:hAnsi="宋体" w:cs="宋体"/>
                <w:b w:val="0"/>
                <w:bCs w:val="0"/>
                <w:kern w:val="0"/>
                <w:sz w:val="24"/>
              </w:rPr>
              <w:t>0.5分，不满足或未提供不得分）。</w:t>
            </w:r>
          </w:p>
        </w:tc>
        <w:tc>
          <w:tcPr>
            <w:tcW w:w="795" w:type="dxa"/>
            <w:shd w:val="clear" w:color="auto" w:fill="auto"/>
            <w:noWrap/>
            <w:vAlign w:val="center"/>
          </w:tcPr>
          <w:p w14:paraId="619BBE51">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w:t>
            </w:r>
          </w:p>
        </w:tc>
        <w:tc>
          <w:tcPr>
            <w:tcW w:w="1531" w:type="dxa"/>
            <w:vAlign w:val="center"/>
          </w:tcPr>
          <w:p w14:paraId="6C88F43C">
            <w:pPr>
              <w:jc w:val="center"/>
              <w:rPr>
                <w:rFonts w:hint="eastAsia" w:ascii="宋体" w:hAnsi="宋体" w:cs="宋体"/>
                <w:kern w:val="0"/>
                <w:sz w:val="24"/>
                <w:lang w:val="en-US" w:eastAsia="zh-CN"/>
              </w:rPr>
            </w:pPr>
          </w:p>
          <w:p w14:paraId="1669B1DF">
            <w:pPr>
              <w:jc w:val="center"/>
              <w:rPr>
                <w:rFonts w:hint="eastAsia" w:ascii="宋体" w:hAnsi="宋体" w:cs="宋体"/>
                <w:kern w:val="0"/>
                <w:sz w:val="24"/>
                <w:lang w:val="en-US" w:eastAsia="zh-CN"/>
              </w:rPr>
            </w:pPr>
          </w:p>
          <w:p w14:paraId="4E9EE281">
            <w:pPr>
              <w:jc w:val="center"/>
              <w:rPr>
                <w:rFonts w:hint="eastAsia" w:ascii="宋体" w:hAnsi="宋体" w:cs="宋体"/>
                <w:kern w:val="0"/>
                <w:sz w:val="24"/>
                <w:lang w:val="en-US" w:eastAsia="zh-CN"/>
              </w:rPr>
            </w:pPr>
          </w:p>
          <w:p w14:paraId="3509354D">
            <w:pPr>
              <w:jc w:val="center"/>
              <w:rPr>
                <w:rFonts w:hint="eastAsia" w:ascii="宋体" w:hAnsi="宋体" w:cs="宋体"/>
                <w:kern w:val="0"/>
                <w:sz w:val="24"/>
                <w:lang w:val="en-US" w:eastAsia="zh-CN"/>
              </w:rPr>
            </w:pPr>
          </w:p>
          <w:p w14:paraId="4025A9A6">
            <w:pPr>
              <w:jc w:val="center"/>
              <w:rPr>
                <w:rFonts w:hint="eastAsia" w:ascii="宋体" w:hAnsi="宋体" w:cs="宋体"/>
                <w:kern w:val="0"/>
                <w:sz w:val="24"/>
                <w:lang w:val="en-US" w:eastAsia="zh-CN"/>
              </w:rPr>
            </w:pPr>
          </w:p>
          <w:p w14:paraId="63940A84">
            <w:pPr>
              <w:jc w:val="center"/>
              <w:rPr>
                <w:rFonts w:hint="eastAsia" w:ascii="宋体" w:hAnsi="宋体" w:cs="宋体"/>
                <w:kern w:val="0"/>
                <w:sz w:val="24"/>
                <w:lang w:val="en-US" w:eastAsia="zh-CN"/>
              </w:rPr>
            </w:pPr>
          </w:p>
          <w:p w14:paraId="2BD29F2A">
            <w:pPr>
              <w:jc w:val="center"/>
              <w:rPr>
                <w:rFonts w:hint="eastAsia" w:ascii="宋体" w:hAnsi="宋体" w:cs="宋体"/>
                <w:kern w:val="0"/>
                <w:sz w:val="24"/>
                <w:lang w:val="en-US" w:eastAsia="zh-CN"/>
              </w:rPr>
            </w:pPr>
          </w:p>
          <w:p w14:paraId="4475A789">
            <w:pPr>
              <w:jc w:val="center"/>
              <w:rPr>
                <w:rFonts w:hint="eastAsia" w:ascii="宋体" w:hAnsi="宋体" w:cs="宋体"/>
                <w:kern w:val="0"/>
                <w:sz w:val="24"/>
                <w:lang w:val="en-US" w:eastAsia="zh-CN"/>
              </w:rPr>
            </w:pPr>
          </w:p>
          <w:p w14:paraId="46F3FEFF">
            <w:pPr>
              <w:jc w:val="center"/>
              <w:rPr>
                <w:rFonts w:hint="eastAsia" w:ascii="宋体" w:hAnsi="宋体" w:cs="宋体"/>
                <w:kern w:val="0"/>
                <w:sz w:val="24"/>
                <w:lang w:val="en-US" w:eastAsia="zh-CN"/>
              </w:rPr>
            </w:pPr>
          </w:p>
          <w:p w14:paraId="22C5219F">
            <w:pPr>
              <w:jc w:val="center"/>
              <w:rPr>
                <w:rFonts w:hint="eastAsia" w:ascii="宋体" w:hAnsi="宋体" w:cs="宋体"/>
                <w:kern w:val="0"/>
                <w:sz w:val="24"/>
                <w:lang w:val="en-US" w:eastAsia="zh-CN"/>
              </w:rPr>
            </w:pPr>
          </w:p>
          <w:p w14:paraId="607759DD">
            <w:pPr>
              <w:jc w:val="center"/>
              <w:rPr>
                <w:rFonts w:ascii="宋体" w:hAnsi="宋体" w:cs="宋体"/>
                <w:kern w:val="0"/>
                <w:sz w:val="24"/>
              </w:rPr>
            </w:pPr>
            <w:r>
              <w:rPr>
                <w:rFonts w:hint="eastAsia" w:ascii="宋体" w:hAnsi="宋体" w:cs="宋体"/>
                <w:kern w:val="0"/>
                <w:sz w:val="24"/>
                <w:lang w:val="en-US" w:eastAsia="zh-CN"/>
              </w:rPr>
              <w:t>软件</w:t>
            </w:r>
            <w:r>
              <w:rPr>
                <w:rFonts w:hint="eastAsia" w:ascii="宋体" w:hAnsi="宋体" w:cs="宋体"/>
                <w:kern w:val="0"/>
                <w:sz w:val="24"/>
              </w:rPr>
              <w:t>需求的吻合程度</w:t>
            </w:r>
          </w:p>
        </w:tc>
      </w:tr>
      <w:tr w14:paraId="154D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57CCFAE3">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c>
          <w:tcPr>
            <w:tcW w:w="6149" w:type="dxa"/>
            <w:shd w:val="clear" w:color="auto" w:fill="auto"/>
            <w:vAlign w:val="center"/>
          </w:tcPr>
          <w:p w14:paraId="4B07D9BA">
            <w:pPr>
              <w:widowControl/>
              <w:numPr>
                <w:ilvl w:val="0"/>
                <w:numId w:val="0"/>
              </w:numPr>
              <w:spacing w:line="360" w:lineRule="auto"/>
              <w:jc w:val="left"/>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lang w:val="en-US" w:eastAsia="zh-CN"/>
              </w:rPr>
              <w:t>1</w:t>
            </w:r>
            <w:r>
              <w:rPr>
                <w:rFonts w:hint="eastAsia" w:ascii="宋体" w:hAnsi="宋体" w:cs="宋体"/>
                <w:b/>
                <w:bCs/>
                <w:kern w:val="0"/>
                <w:sz w:val="24"/>
                <w:szCs w:val="24"/>
                <w:highlight w:val="none"/>
                <w:lang w:eastAsia="zh-CN"/>
              </w:rPr>
              <w:t>）</w:t>
            </w:r>
            <w:r>
              <w:rPr>
                <w:rFonts w:hint="eastAsia" w:ascii="宋体" w:hAnsi="宋体" w:eastAsia="宋体" w:cs="宋体"/>
                <w:b/>
                <w:bCs/>
                <w:kern w:val="0"/>
                <w:sz w:val="24"/>
                <w:szCs w:val="24"/>
                <w:highlight w:val="none"/>
              </w:rPr>
              <w:t>智能调度视觉分析</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lang w:val="en-US" w:eastAsia="zh-CN"/>
              </w:rPr>
              <w:t>6分</w:t>
            </w:r>
            <w:r>
              <w:rPr>
                <w:rFonts w:hint="eastAsia" w:ascii="宋体" w:hAnsi="宋体" w:cs="宋体"/>
                <w:b/>
                <w:bCs/>
                <w:kern w:val="0"/>
                <w:sz w:val="24"/>
                <w:szCs w:val="24"/>
                <w:highlight w:val="none"/>
                <w:lang w:eastAsia="zh-CN"/>
              </w:rPr>
              <w:t>）：</w:t>
            </w:r>
          </w:p>
          <w:p w14:paraId="58C6B5B1">
            <w:pPr>
              <w:widowControl/>
              <w:spacing w:line="360" w:lineRule="auto"/>
              <w:jc w:val="left"/>
              <w:rPr>
                <w:rFonts w:hint="eastAsia" w:ascii="宋体" w:hAnsi="宋体" w:cs="宋体"/>
                <w:kern w:val="0"/>
                <w:sz w:val="24"/>
                <w:szCs w:val="24"/>
                <w:highlight w:val="none"/>
                <w:lang w:val="en-US" w:eastAsia="zh-CN" w:bidi="ar-SA"/>
              </w:rPr>
            </w:pPr>
            <w:r>
              <w:rPr>
                <w:rFonts w:hint="eastAsia" w:ascii="宋体" w:hAnsi="宋体" w:cs="宋体"/>
                <w:kern w:val="0"/>
                <w:sz w:val="24"/>
                <w:highlight w:val="none"/>
              </w:rPr>
              <w:t>①支持为球机设置多个预置点，针对每个预置点可以划定区域并配置多种分析算法，系统将按照设置的时间调用预置点和对应算法进行分析</w:t>
            </w:r>
            <w:r>
              <w:rPr>
                <w:rFonts w:hint="eastAsia" w:ascii="宋体" w:hAnsi="宋体" w:cs="宋体"/>
                <w:b/>
                <w:bCs/>
                <w:kern w:val="0"/>
                <w:sz w:val="24"/>
                <w:highlight w:val="none"/>
              </w:rPr>
              <w:t>（提供具有CMA标识的国家权威机构出具的检测报告，满足得2分，不满足或未提供不得分）</w:t>
            </w:r>
            <w:r>
              <w:rPr>
                <w:rFonts w:hint="eastAsia" w:ascii="宋体" w:hAnsi="宋体" w:cs="宋体"/>
                <w:kern w:val="0"/>
                <w:sz w:val="24"/>
                <w:highlight w:val="none"/>
              </w:rPr>
              <w:t>。</w:t>
            </w:r>
          </w:p>
          <w:p w14:paraId="25F81047">
            <w:pPr>
              <w:widowControl/>
              <w:numPr>
                <w:ilvl w:val="0"/>
                <w:numId w:val="0"/>
              </w:numPr>
              <w:spacing w:line="360" w:lineRule="auto"/>
              <w:jc w:val="left"/>
              <w:rPr>
                <w:rFonts w:hint="eastAsia" w:ascii="宋体" w:hAnsi="宋体" w:eastAsia="宋体" w:cs="宋体"/>
                <w:b/>
                <w:bCs/>
                <w:kern w:val="0"/>
                <w:sz w:val="24"/>
                <w:szCs w:val="24"/>
                <w:highlight w:val="none"/>
              </w:rPr>
            </w:pPr>
            <w:r>
              <w:rPr>
                <w:rFonts w:hint="eastAsia" w:ascii="宋体" w:hAnsi="宋体" w:cs="宋体"/>
                <w:kern w:val="0"/>
                <w:sz w:val="24"/>
                <w:szCs w:val="24"/>
                <w:highlight w:val="none"/>
                <w:lang w:val="en-US" w:eastAsia="zh-CN" w:bidi="ar-SA"/>
              </w:rPr>
              <w:t>②</w:t>
            </w:r>
            <w:r>
              <w:rPr>
                <w:rFonts w:hint="eastAsia" w:ascii="宋体" w:hAnsi="宋体" w:eastAsia="宋体" w:cs="宋体"/>
                <w:kern w:val="0"/>
                <w:sz w:val="24"/>
                <w:szCs w:val="24"/>
                <w:highlight w:val="none"/>
              </w:rPr>
              <w:t>支持在一个点位上采用矩形绘制或多边形绘制的方法设置区域，并针对每个区域设置不同的分析算法；支持设置绘制区域关联的地址标签，可根据关联地址检索分析产生的事件</w:t>
            </w:r>
            <w:r>
              <w:rPr>
                <w:rFonts w:hint="eastAsia" w:ascii="宋体" w:hAnsi="宋体" w:cs="宋体"/>
                <w:b/>
                <w:bCs/>
                <w:kern w:val="0"/>
                <w:sz w:val="24"/>
                <w:highlight w:val="none"/>
              </w:rPr>
              <w:t>（提供具有CMA标识的国家权威机构出具的检测报告，满足得2分，不满足或未提供不得分）</w:t>
            </w:r>
            <w:r>
              <w:rPr>
                <w:rFonts w:hint="eastAsia" w:ascii="宋体" w:hAnsi="宋体" w:cs="宋体"/>
                <w:kern w:val="0"/>
                <w:sz w:val="24"/>
                <w:highlight w:val="none"/>
              </w:rPr>
              <w:t>。</w:t>
            </w:r>
          </w:p>
          <w:p w14:paraId="4256FC35">
            <w:pPr>
              <w:widowControl/>
              <w:numPr>
                <w:ilvl w:val="0"/>
                <w:numId w:val="0"/>
              </w:numPr>
              <w:spacing w:line="360" w:lineRule="auto"/>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lang w:val="en-US" w:eastAsia="zh-CN" w:bidi="ar-SA"/>
              </w:rPr>
              <w:t>③</w:t>
            </w:r>
            <w:r>
              <w:rPr>
                <w:rFonts w:hint="eastAsia" w:ascii="宋体" w:hAnsi="宋体" w:eastAsia="宋体" w:cs="宋体"/>
                <w:kern w:val="0"/>
                <w:sz w:val="24"/>
                <w:szCs w:val="24"/>
                <w:highlight w:val="none"/>
              </w:rPr>
              <w:t>支持设置策略信息、支持设置规则、支持设置报警等级、支持设置联动信息，支持查看智能任务执行状态，如果任务下发失败，展示失败原因</w:t>
            </w:r>
            <w:r>
              <w:rPr>
                <w:rFonts w:hint="eastAsia" w:ascii="宋体" w:hAnsi="宋体" w:cs="宋体"/>
                <w:b/>
                <w:bCs/>
                <w:kern w:val="0"/>
                <w:sz w:val="24"/>
                <w:highlight w:val="none"/>
              </w:rPr>
              <w:t>（提供具有CMA标识的国家权威机构出具的检测报告，满足得2分，不满足或未提供不得分）</w:t>
            </w:r>
            <w:r>
              <w:rPr>
                <w:rFonts w:hint="eastAsia" w:ascii="宋体" w:hAnsi="宋体" w:cs="宋体"/>
                <w:kern w:val="0"/>
                <w:sz w:val="24"/>
                <w:highlight w:val="none"/>
              </w:rPr>
              <w:t>。</w:t>
            </w:r>
          </w:p>
          <w:p w14:paraId="5AA7ACBD">
            <w:pPr>
              <w:widowControl/>
              <w:spacing w:line="360" w:lineRule="auto"/>
              <w:jc w:val="left"/>
              <w:rPr>
                <w:rFonts w:hint="eastAsia" w:ascii="宋体" w:hAnsi="宋体" w:cs="宋体"/>
                <w:kern w:val="0"/>
                <w:sz w:val="24"/>
                <w:szCs w:val="24"/>
                <w:highlight w:val="none"/>
                <w:lang w:eastAsia="zh-CN"/>
              </w:rPr>
            </w:pPr>
            <w:r>
              <w:rPr>
                <w:rFonts w:hint="eastAsia" w:ascii="宋体" w:hAnsi="宋体" w:cs="宋体"/>
                <w:b/>
                <w:bCs/>
                <w:kern w:val="0"/>
                <w:sz w:val="24"/>
                <w:highlight w:val="none"/>
              </w:rPr>
              <w:t>（2）运行配置（2分）：</w:t>
            </w:r>
            <w:r>
              <w:rPr>
                <w:rFonts w:hint="eastAsia" w:ascii="宋体" w:hAnsi="宋体" w:cs="宋体"/>
                <w:bCs/>
                <w:kern w:val="0"/>
                <w:sz w:val="24"/>
                <w:highlight w:val="none"/>
              </w:rPr>
              <w:t>支持配置策略运行的时间计划和涉及到的相关的监控点，默认为所有监控点和所有时间；自定义情况下，用户可选择对应的时间计划，对于系统默认的时间计划（全天、工作日模板）等不满足的情况下，用户可自行设置时间计划，可定位到分钟，监控点支持用户进行单选或者多选</w:t>
            </w:r>
            <w:r>
              <w:rPr>
                <w:rFonts w:hint="eastAsia" w:ascii="宋体" w:hAnsi="宋体" w:cs="宋体"/>
                <w:b/>
                <w:bCs/>
                <w:kern w:val="0"/>
                <w:sz w:val="24"/>
                <w:highlight w:val="none"/>
              </w:rPr>
              <w:t>（提供具有CMA标识的国家权威机构出具的检测报告，满足得2分，不满足或未提供不得分）</w:t>
            </w:r>
            <w:r>
              <w:rPr>
                <w:rFonts w:hint="eastAsia" w:ascii="宋体" w:hAnsi="宋体" w:cs="宋体"/>
                <w:kern w:val="0"/>
                <w:sz w:val="24"/>
                <w:highlight w:val="none"/>
              </w:rPr>
              <w:t>。</w:t>
            </w:r>
          </w:p>
          <w:p w14:paraId="7B952E07">
            <w:pPr>
              <w:widowControl/>
              <w:numPr>
                <w:ilvl w:val="0"/>
                <w:numId w:val="0"/>
              </w:numPr>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b/>
                <w:bCs/>
                <w:kern w:val="0"/>
                <w:sz w:val="24"/>
                <w:szCs w:val="24"/>
                <w:highlight w:val="none"/>
                <w:lang w:eastAsia="zh-CN"/>
              </w:rPr>
              <w:t>（</w:t>
            </w:r>
            <w:r>
              <w:rPr>
                <w:rFonts w:hint="eastAsia" w:ascii="宋体" w:hAnsi="宋体" w:cs="宋体"/>
                <w:b/>
                <w:bCs/>
                <w:kern w:val="0"/>
                <w:sz w:val="24"/>
                <w:szCs w:val="24"/>
                <w:highlight w:val="none"/>
                <w:lang w:val="en-US" w:eastAsia="zh-CN"/>
              </w:rPr>
              <w:t>3</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rPr>
              <w:t>算法引擎授权</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lang w:val="en-US" w:eastAsia="zh-CN"/>
              </w:rPr>
              <w:t>2分</w:t>
            </w:r>
            <w:r>
              <w:rPr>
                <w:rFonts w:hint="eastAsia" w:ascii="宋体" w:hAnsi="宋体" w:cs="宋体"/>
                <w:b/>
                <w:bCs/>
                <w:kern w:val="0"/>
                <w:sz w:val="24"/>
                <w:szCs w:val="24"/>
                <w:highlight w:val="none"/>
                <w:lang w:eastAsia="zh-CN"/>
              </w:rPr>
              <w:t>）</w:t>
            </w:r>
            <w:r>
              <w:rPr>
                <w:rFonts w:hint="eastAsia" w:ascii="宋体" w:hAnsi="宋体" w:eastAsia="宋体" w:cs="宋体"/>
                <w:b/>
                <w:bCs/>
                <w:kern w:val="0"/>
                <w:sz w:val="24"/>
                <w:szCs w:val="24"/>
                <w:highlight w:val="none"/>
                <w:lang w:eastAsia="zh-CN"/>
              </w:rPr>
              <w:t>：</w:t>
            </w:r>
            <w:r>
              <w:rPr>
                <w:rFonts w:hint="eastAsia" w:ascii="宋体" w:hAnsi="宋体" w:eastAsia="宋体" w:cs="宋体"/>
                <w:kern w:val="0"/>
                <w:sz w:val="24"/>
                <w:szCs w:val="24"/>
                <w:highlight w:val="none"/>
              </w:rPr>
              <w:t>支持对剧烈运动、人员攀高、重点人员起身、离岗/回岗、睡岗、人员攀高、超时滞留、声强突变、人数异常、人员站立、人员静坐、长时间玩手机、未着制服、区域人数检测等智能规则进行配置,支持集成运行第三方算法，并支持对算法进行管理</w:t>
            </w:r>
            <w:r>
              <w:rPr>
                <w:rFonts w:hint="eastAsia" w:ascii="宋体" w:hAnsi="宋体" w:cs="宋体"/>
                <w:b/>
                <w:bCs/>
                <w:kern w:val="0"/>
                <w:sz w:val="24"/>
                <w:highlight w:val="none"/>
              </w:rPr>
              <w:t>（提供具有CMA标识的国家权威机构出具的检测报告，满足得2分，不满足或未提供不得分）</w:t>
            </w:r>
            <w:r>
              <w:rPr>
                <w:rFonts w:hint="eastAsia" w:ascii="宋体" w:hAnsi="宋体" w:cs="宋体"/>
                <w:kern w:val="0"/>
                <w:sz w:val="24"/>
                <w:highlight w:val="none"/>
              </w:rPr>
              <w:t>。</w:t>
            </w:r>
          </w:p>
        </w:tc>
        <w:tc>
          <w:tcPr>
            <w:tcW w:w="795" w:type="dxa"/>
            <w:shd w:val="clear" w:color="auto" w:fill="auto"/>
            <w:noWrap/>
            <w:vAlign w:val="center"/>
          </w:tcPr>
          <w:p w14:paraId="17841884">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1531" w:type="dxa"/>
            <w:vAlign w:val="center"/>
          </w:tcPr>
          <w:p w14:paraId="4BF223E4">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具体功能与需求的吻合程度</w:t>
            </w:r>
          </w:p>
        </w:tc>
      </w:tr>
      <w:tr w14:paraId="62C1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noWrap/>
            <w:vAlign w:val="center"/>
          </w:tcPr>
          <w:p w14:paraId="53F54153">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c>
          <w:tcPr>
            <w:tcW w:w="6149" w:type="dxa"/>
            <w:shd w:val="clear" w:color="auto" w:fill="auto"/>
            <w:vAlign w:val="center"/>
          </w:tcPr>
          <w:p w14:paraId="398BB752">
            <w:pPr>
              <w:widowControl/>
              <w:spacing w:line="360" w:lineRule="auto"/>
              <w:jc w:val="left"/>
              <w:rPr>
                <w:rFonts w:hint="eastAsia" w:ascii="宋体" w:hAnsi="宋体" w:cs="宋体"/>
                <w:kern w:val="0"/>
                <w:sz w:val="24"/>
                <w:highlight w:val="none"/>
                <w:lang w:eastAsia="zh-CN"/>
              </w:rPr>
            </w:pPr>
            <w:r>
              <w:rPr>
                <w:rFonts w:hint="eastAsia" w:ascii="宋体" w:hAnsi="宋体" w:cs="宋体"/>
                <w:kern w:val="0"/>
                <w:sz w:val="24"/>
                <w:highlight w:val="none"/>
              </w:rPr>
              <w:t>投标产品所有技术指标性能、参数等满足招标文件第三部分“三、采购需求”中</w:t>
            </w:r>
            <w:r>
              <w:rPr>
                <w:rFonts w:hint="eastAsia" w:ascii="宋体" w:hAnsi="宋体" w:cs="宋体"/>
                <w:kern w:val="0"/>
                <w:sz w:val="24"/>
                <w:highlight w:val="none"/>
                <w:lang w:val="en-US" w:eastAsia="zh-CN"/>
              </w:rPr>
              <w:t>硬件更新的</w:t>
            </w:r>
            <w:r>
              <w:rPr>
                <w:rFonts w:hint="eastAsia" w:ascii="宋体" w:hAnsi="宋体" w:cs="宋体"/>
                <w:kern w:val="0"/>
                <w:sz w:val="24"/>
                <w:highlight w:val="none"/>
              </w:rPr>
              <w:t>详细技术要求</w:t>
            </w:r>
            <w:r>
              <w:rPr>
                <w:rFonts w:hint="eastAsia" w:ascii="宋体" w:hAnsi="宋体" w:cs="宋体"/>
                <w:kern w:val="0"/>
                <w:sz w:val="24"/>
                <w:highlight w:val="none"/>
                <w:lang w:eastAsia="zh-CN"/>
              </w:rPr>
              <w:t>：</w:t>
            </w:r>
          </w:p>
          <w:p w14:paraId="4A95ADC0">
            <w:pPr>
              <w:widowControl/>
              <w:spacing w:line="360" w:lineRule="auto"/>
              <w:jc w:val="left"/>
              <w:rPr>
                <w:rFonts w:hint="eastAsia" w:ascii="宋体" w:hAnsi="宋体" w:cs="宋体"/>
                <w:kern w:val="0"/>
                <w:sz w:val="24"/>
                <w:highlight w:val="none"/>
              </w:rPr>
            </w:pPr>
            <w:r>
              <w:rPr>
                <w:rFonts w:hint="eastAsia" w:ascii="宋体" w:hAnsi="宋体" w:eastAsia="宋体" w:cs="宋体"/>
                <w:sz w:val="24"/>
                <w:highlight w:val="none"/>
              </w:rPr>
              <w:t>其中</w:t>
            </w:r>
            <w:r>
              <w:rPr>
                <w:rFonts w:hint="eastAsia" w:ascii="宋体" w:hAnsi="宋体"/>
                <w:color w:val="auto"/>
                <w:sz w:val="24"/>
                <w:highlight w:val="none"/>
              </w:rPr>
              <w:t>对于带“★”的技术指标负偏离每一项扣减</w:t>
            </w:r>
            <w:r>
              <w:rPr>
                <w:rFonts w:ascii="宋体" w:hAnsi="宋体"/>
                <w:color w:val="auto"/>
                <w:sz w:val="24"/>
                <w:highlight w:val="none"/>
              </w:rPr>
              <w:t>2分</w:t>
            </w:r>
            <w:r>
              <w:rPr>
                <w:rFonts w:hint="eastAsia" w:ascii="宋体" w:hAnsi="宋体"/>
                <w:color w:val="auto"/>
                <w:sz w:val="24"/>
                <w:highlight w:val="none"/>
              </w:rPr>
              <w:t>；其他技术指标负偏离每一项扣减1分，扣完为止。</w:t>
            </w:r>
            <w:r>
              <w:rPr>
                <w:rFonts w:hint="eastAsia" w:ascii="宋体" w:hAnsi="宋体" w:cs="宋体"/>
                <w:kern w:val="0"/>
                <w:sz w:val="24"/>
                <w:highlight w:val="none"/>
              </w:rPr>
              <w:br w:type="textWrapping"/>
            </w:r>
            <w:r>
              <w:rPr>
                <w:rFonts w:hint="eastAsia" w:ascii="宋体" w:hAnsi="宋体" w:cs="宋体"/>
                <w:b/>
                <w:bCs/>
                <w:kern w:val="0"/>
                <w:sz w:val="24"/>
                <w:highlight w:val="none"/>
              </w:rPr>
              <w:t>注：根据技术参数（参数规格）要求提供证明/报告等资料证明的，应当提供上述证明材料；没有要求提供证明材料的，应当根据技术参数要求进行响应。否则视为不满足或不响应或负偏离该项指标或要求。</w:t>
            </w:r>
          </w:p>
        </w:tc>
        <w:tc>
          <w:tcPr>
            <w:tcW w:w="795" w:type="dxa"/>
            <w:shd w:val="clear" w:color="auto" w:fill="auto"/>
            <w:noWrap/>
            <w:vAlign w:val="center"/>
          </w:tcPr>
          <w:p w14:paraId="4B153B6C">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1531" w:type="dxa"/>
            <w:shd w:val="clear" w:color="auto" w:fill="auto"/>
            <w:vAlign w:val="center"/>
          </w:tcPr>
          <w:p w14:paraId="308CE505">
            <w:pPr>
              <w:widowControl/>
              <w:jc w:val="center"/>
              <w:rPr>
                <w:rFonts w:hint="eastAsia" w:ascii="宋体" w:hAnsi="宋体" w:cs="宋体"/>
                <w:kern w:val="0"/>
                <w:sz w:val="24"/>
              </w:rPr>
            </w:pPr>
            <w:r>
              <w:rPr>
                <w:rFonts w:hint="eastAsia" w:ascii="宋体" w:hAnsi="宋体" w:cs="宋体"/>
                <w:kern w:val="0"/>
                <w:sz w:val="24"/>
              </w:rPr>
              <w:t>技术指标性能</w:t>
            </w:r>
          </w:p>
        </w:tc>
      </w:tr>
      <w:tr w14:paraId="221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noWrap/>
            <w:vAlign w:val="center"/>
          </w:tcPr>
          <w:p w14:paraId="7997FBEA">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6149" w:type="dxa"/>
            <w:shd w:val="clear" w:color="auto" w:fill="auto"/>
            <w:vAlign w:val="center"/>
          </w:tcPr>
          <w:p w14:paraId="2FC0CA54">
            <w:pPr>
              <w:widowControl/>
              <w:spacing w:line="360" w:lineRule="auto"/>
              <w:jc w:val="left"/>
              <w:rPr>
                <w:rFonts w:ascii="宋体" w:hAnsi="宋体" w:cs="宋体"/>
                <w:kern w:val="0"/>
                <w:sz w:val="24"/>
              </w:rPr>
            </w:pPr>
            <w:r>
              <w:rPr>
                <w:rFonts w:hint="eastAsia" w:ascii="宋体" w:hAnsi="宋体" w:cs="宋体"/>
                <w:kern w:val="0"/>
                <w:sz w:val="24"/>
              </w:rPr>
              <w:t>投标人项目组织实施方案，包括①系统设计、②软件开发、③测试调优、④组织机构、⑤工作时间进度表、⑥工作程序和步骤、⑦管理和协调方法、⑧关键步骤的思路和要点等。</w:t>
            </w:r>
            <w:r>
              <w:rPr>
                <w:rFonts w:hint="eastAsia" w:ascii="宋体" w:hAnsi="宋体" w:cs="宋体"/>
                <w:color w:val="000000"/>
                <w:kern w:val="0"/>
                <w:sz w:val="24"/>
              </w:rPr>
              <w:t>以上内容完整合理、阐述详细视为满足采购需求，每项完全满足的得</w:t>
            </w:r>
            <w:r>
              <w:rPr>
                <w:rFonts w:hint="eastAsia" w:ascii="宋体" w:hAnsi="宋体" w:cs="宋体"/>
                <w:color w:val="000000"/>
                <w:kern w:val="0"/>
                <w:sz w:val="24"/>
                <w:lang w:val="en-US" w:eastAsia="zh-CN"/>
              </w:rPr>
              <w:t>1</w:t>
            </w:r>
            <w:r>
              <w:rPr>
                <w:rFonts w:hint="eastAsia" w:ascii="宋体" w:hAnsi="宋体" w:cs="宋体"/>
                <w:color w:val="000000"/>
                <w:kern w:val="0"/>
                <w:sz w:val="24"/>
              </w:rPr>
              <w:t>分，部分满足得0.</w:t>
            </w:r>
            <w:r>
              <w:rPr>
                <w:rFonts w:hint="eastAsia" w:ascii="宋体" w:hAnsi="宋体" w:cs="宋体"/>
                <w:color w:val="000000"/>
                <w:kern w:val="0"/>
                <w:sz w:val="24"/>
                <w:lang w:val="en-US" w:eastAsia="zh-CN"/>
              </w:rPr>
              <w:t>5</w:t>
            </w:r>
            <w:r>
              <w:rPr>
                <w:rFonts w:hint="eastAsia" w:ascii="宋体" w:hAnsi="宋体" w:cs="宋体"/>
                <w:color w:val="000000"/>
                <w:kern w:val="0"/>
                <w:sz w:val="24"/>
              </w:rPr>
              <w:t>分，不满足的不得分，共</w:t>
            </w:r>
            <w:r>
              <w:rPr>
                <w:rFonts w:hint="eastAsia" w:ascii="宋体" w:hAnsi="宋体" w:cs="宋体"/>
                <w:color w:val="000000"/>
                <w:kern w:val="0"/>
                <w:sz w:val="24"/>
                <w:lang w:val="en-US" w:eastAsia="zh-CN"/>
              </w:rPr>
              <w:t>8</w:t>
            </w:r>
            <w:r>
              <w:rPr>
                <w:rFonts w:hint="eastAsia" w:ascii="宋体" w:hAnsi="宋体" w:cs="宋体"/>
                <w:color w:val="000000"/>
                <w:kern w:val="0"/>
                <w:sz w:val="24"/>
              </w:rPr>
              <w:t>分。</w:t>
            </w:r>
          </w:p>
        </w:tc>
        <w:tc>
          <w:tcPr>
            <w:tcW w:w="795" w:type="dxa"/>
            <w:shd w:val="clear" w:color="auto" w:fill="auto"/>
            <w:noWrap/>
            <w:vAlign w:val="center"/>
          </w:tcPr>
          <w:p w14:paraId="08954E40">
            <w:pPr>
              <w:widowControl/>
              <w:spacing w:line="360" w:lineRule="auto"/>
              <w:jc w:val="center"/>
              <w:rPr>
                <w:rFonts w:ascii="宋体" w:hAnsi="宋体" w:cs="宋体"/>
                <w:kern w:val="0"/>
                <w:sz w:val="24"/>
              </w:rPr>
            </w:pPr>
            <w:r>
              <w:rPr>
                <w:rFonts w:hint="eastAsia" w:ascii="宋体" w:hAnsi="宋体" w:cs="宋体"/>
                <w:kern w:val="0"/>
                <w:sz w:val="24"/>
              </w:rPr>
              <w:t>8</w:t>
            </w:r>
          </w:p>
        </w:tc>
        <w:tc>
          <w:tcPr>
            <w:tcW w:w="1531" w:type="dxa"/>
            <w:shd w:val="clear" w:color="auto" w:fill="auto"/>
            <w:vAlign w:val="center"/>
          </w:tcPr>
          <w:p w14:paraId="606EA0A0">
            <w:pPr>
              <w:widowControl/>
              <w:spacing w:line="360" w:lineRule="auto"/>
              <w:jc w:val="center"/>
              <w:rPr>
                <w:rFonts w:ascii="宋体" w:hAnsi="宋体" w:cs="宋体"/>
                <w:kern w:val="0"/>
                <w:sz w:val="24"/>
              </w:rPr>
            </w:pPr>
            <w:r>
              <w:rPr>
                <w:rFonts w:hint="eastAsia" w:ascii="宋体" w:hAnsi="宋体" w:cs="宋体"/>
                <w:kern w:val="0"/>
                <w:sz w:val="24"/>
              </w:rPr>
              <w:t>组织实施方案</w:t>
            </w:r>
          </w:p>
        </w:tc>
      </w:tr>
      <w:tr w14:paraId="2F9E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noWrap/>
            <w:vAlign w:val="center"/>
          </w:tcPr>
          <w:p w14:paraId="0CC9D08A">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6149" w:type="dxa"/>
            <w:shd w:val="clear" w:color="auto" w:fill="auto"/>
            <w:vAlign w:val="center"/>
          </w:tcPr>
          <w:p w14:paraId="3DB9F114">
            <w:pPr>
              <w:widowControl/>
              <w:spacing w:line="360" w:lineRule="auto"/>
              <w:jc w:val="left"/>
              <w:rPr>
                <w:rFonts w:ascii="宋体" w:hAnsi="宋体" w:cs="宋体"/>
                <w:kern w:val="0"/>
                <w:sz w:val="24"/>
              </w:rPr>
            </w:pPr>
            <w:r>
              <w:rPr>
                <w:rFonts w:hint="eastAsia" w:ascii="宋体" w:hAnsi="宋体" w:cs="宋体"/>
                <w:kern w:val="0"/>
                <w:sz w:val="24"/>
              </w:rPr>
              <w:t>项目团队情况：</w:t>
            </w:r>
          </w:p>
          <w:p w14:paraId="021A05F9">
            <w:pPr>
              <w:widowControl/>
              <w:spacing w:line="360" w:lineRule="auto"/>
              <w:jc w:val="left"/>
              <w:rPr>
                <w:rFonts w:hint="eastAsia" w:ascii="宋体" w:hAnsi="宋体" w:eastAsia="宋体" w:cs="宋体"/>
                <w:kern w:val="0"/>
                <w:sz w:val="24"/>
                <w:lang w:eastAsia="zh-CN"/>
              </w:rPr>
            </w:pPr>
            <w:r>
              <w:rPr>
                <w:rFonts w:ascii="宋体" w:hAnsi="宋体" w:cs="宋体"/>
                <w:kern w:val="0"/>
                <w:sz w:val="24"/>
              </w:rPr>
              <w:t>1、拟派项目经理具有</w:t>
            </w:r>
            <w:r>
              <w:rPr>
                <w:rFonts w:hint="eastAsia" w:ascii="宋体" w:hAnsi="宋体" w:cs="宋体"/>
                <w:kern w:val="0"/>
                <w:sz w:val="24"/>
              </w:rPr>
              <w:t>网络规划设计师</w:t>
            </w:r>
            <w:r>
              <w:rPr>
                <w:rFonts w:hint="eastAsia" w:ascii="宋体" w:hAnsi="宋体" w:cs="宋体"/>
                <w:kern w:val="0"/>
                <w:sz w:val="24"/>
                <w:lang w:eastAsia="zh-CN"/>
              </w:rPr>
              <w:t>（</w:t>
            </w:r>
            <w:r>
              <w:rPr>
                <w:rFonts w:hint="eastAsia" w:ascii="宋体" w:hAnsi="宋体" w:cs="宋体"/>
                <w:kern w:val="0"/>
                <w:sz w:val="24"/>
                <w:lang w:val="en-US" w:eastAsia="zh-CN"/>
              </w:rPr>
              <w:t>高级</w:t>
            </w:r>
            <w:r>
              <w:rPr>
                <w:rFonts w:hint="eastAsia" w:ascii="宋体" w:hAnsi="宋体" w:cs="宋体"/>
                <w:kern w:val="0"/>
                <w:sz w:val="24"/>
                <w:lang w:eastAsia="zh-CN"/>
              </w:rPr>
              <w:t>）</w:t>
            </w:r>
            <w:r>
              <w:rPr>
                <w:rFonts w:ascii="宋体" w:hAnsi="宋体" w:cs="宋体"/>
                <w:kern w:val="0"/>
                <w:sz w:val="24"/>
              </w:rPr>
              <w:t>证书</w:t>
            </w:r>
            <w:r>
              <w:rPr>
                <w:rFonts w:hint="eastAsia" w:ascii="宋体" w:hAnsi="宋体" w:cs="宋体"/>
                <w:kern w:val="0"/>
                <w:sz w:val="24"/>
                <w:lang w:eastAsia="zh-CN"/>
              </w:rPr>
              <w:t>，</w:t>
            </w:r>
            <w:r>
              <w:rPr>
                <w:rFonts w:hint="eastAsia" w:ascii="宋体" w:hAnsi="宋体" w:cs="宋体"/>
                <w:kern w:val="0"/>
                <w:sz w:val="24"/>
                <w:highlight w:val="none"/>
                <w:lang w:val="en-US" w:eastAsia="zh-CN"/>
              </w:rPr>
              <w:t>满足</w:t>
            </w:r>
            <w:r>
              <w:rPr>
                <w:rFonts w:ascii="宋体" w:hAnsi="宋体" w:cs="宋体"/>
                <w:kern w:val="0"/>
                <w:sz w:val="24"/>
                <w:highlight w:val="none"/>
              </w:rPr>
              <w:t>得</w:t>
            </w:r>
            <w:r>
              <w:rPr>
                <w:rFonts w:hint="eastAsia" w:ascii="宋体" w:hAnsi="宋体" w:cs="宋体"/>
                <w:kern w:val="0"/>
                <w:sz w:val="24"/>
                <w:highlight w:val="none"/>
                <w:lang w:val="en-US" w:eastAsia="zh-CN"/>
              </w:rPr>
              <w:t>2</w:t>
            </w:r>
            <w:r>
              <w:rPr>
                <w:rFonts w:ascii="宋体" w:hAnsi="宋体" w:cs="宋体"/>
                <w:kern w:val="0"/>
                <w:sz w:val="24"/>
                <w:highlight w:val="none"/>
              </w:rPr>
              <w:t>分</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不满足不得分</w:t>
            </w:r>
            <w:r>
              <w:rPr>
                <w:rFonts w:hint="eastAsia" w:ascii="宋体" w:hAnsi="宋体" w:cs="宋体"/>
                <w:kern w:val="0"/>
                <w:sz w:val="24"/>
                <w:highlight w:val="none"/>
              </w:rPr>
              <w:t>。</w:t>
            </w:r>
          </w:p>
          <w:p w14:paraId="7199B3C1">
            <w:pPr>
              <w:widowControl/>
              <w:spacing w:line="360" w:lineRule="auto"/>
              <w:jc w:val="left"/>
              <w:rPr>
                <w:rFonts w:hint="eastAsia" w:ascii="宋体" w:hAnsi="宋体" w:cs="仿宋"/>
                <w:color w:val="auto"/>
                <w:sz w:val="24"/>
                <w:highlight w:val="none"/>
              </w:rPr>
            </w:pPr>
            <w:r>
              <w:rPr>
                <w:rFonts w:ascii="宋体" w:hAnsi="宋体" w:cs="宋体"/>
                <w:kern w:val="0"/>
                <w:sz w:val="24"/>
              </w:rPr>
              <w:t>2、项目团队人员</w:t>
            </w:r>
            <w:r>
              <w:rPr>
                <w:rFonts w:hint="eastAsia" w:ascii="宋体" w:hAnsi="宋体" w:cs="宋体"/>
                <w:kern w:val="0"/>
                <w:sz w:val="24"/>
                <w:lang w:val="en-US" w:eastAsia="zh-CN"/>
              </w:rPr>
              <w:t>的配置情况：</w:t>
            </w:r>
            <w:r>
              <w:rPr>
                <w:rFonts w:hint="eastAsia" w:ascii="宋体" w:hAnsi="宋体" w:cs="仿宋"/>
                <w:color w:val="auto"/>
                <w:sz w:val="24"/>
                <w:highlight w:val="none"/>
              </w:rPr>
              <w:t>人员数量配置大于等于</w:t>
            </w:r>
            <w:r>
              <w:rPr>
                <w:rFonts w:hint="eastAsia" w:ascii="宋体" w:hAnsi="宋体" w:cs="仿宋"/>
                <w:color w:val="auto"/>
                <w:sz w:val="24"/>
                <w:highlight w:val="none"/>
                <w:lang w:val="en-US" w:eastAsia="zh-CN"/>
              </w:rPr>
              <w:t>15</w:t>
            </w:r>
            <w:r>
              <w:rPr>
                <w:rFonts w:hint="eastAsia" w:ascii="宋体" w:hAnsi="宋体" w:cs="仿宋"/>
                <w:color w:val="auto"/>
                <w:sz w:val="24"/>
                <w:highlight w:val="none"/>
              </w:rPr>
              <w:t>人的</w:t>
            </w:r>
            <w:r>
              <w:rPr>
                <w:rFonts w:hint="eastAsia" w:ascii="宋体" w:hAnsi="宋体" w:cs="仿宋"/>
                <w:b w:val="0"/>
                <w:bCs w:val="0"/>
                <w:color w:val="auto"/>
                <w:sz w:val="24"/>
                <w:highlight w:val="none"/>
              </w:rPr>
              <w:t>得</w:t>
            </w:r>
            <w:r>
              <w:rPr>
                <w:rFonts w:hint="eastAsia" w:ascii="宋体" w:hAnsi="宋体" w:cs="仿宋"/>
                <w:b w:val="0"/>
                <w:bCs w:val="0"/>
                <w:color w:val="auto"/>
                <w:sz w:val="24"/>
                <w:highlight w:val="none"/>
                <w:lang w:val="en-US" w:eastAsia="zh-CN"/>
              </w:rPr>
              <w:t>3</w:t>
            </w:r>
            <w:r>
              <w:rPr>
                <w:rFonts w:hint="eastAsia" w:ascii="宋体" w:hAnsi="宋体" w:cs="仿宋"/>
                <w:b w:val="0"/>
                <w:bCs w:val="0"/>
                <w:color w:val="auto"/>
                <w:sz w:val="24"/>
                <w:highlight w:val="none"/>
              </w:rPr>
              <w:t>分，人员数量配置10至</w:t>
            </w:r>
            <w:r>
              <w:rPr>
                <w:rFonts w:hint="eastAsia" w:ascii="宋体" w:hAnsi="宋体" w:cs="仿宋"/>
                <w:b w:val="0"/>
                <w:bCs w:val="0"/>
                <w:color w:val="auto"/>
                <w:sz w:val="24"/>
                <w:highlight w:val="none"/>
                <w:lang w:val="en-US" w:eastAsia="zh-CN"/>
              </w:rPr>
              <w:t>14</w:t>
            </w:r>
            <w:r>
              <w:rPr>
                <w:rFonts w:hint="eastAsia" w:ascii="宋体" w:hAnsi="宋体" w:cs="仿宋"/>
                <w:b w:val="0"/>
                <w:bCs w:val="0"/>
                <w:color w:val="auto"/>
                <w:sz w:val="24"/>
                <w:highlight w:val="none"/>
              </w:rPr>
              <w:t>人的得</w:t>
            </w:r>
            <w:r>
              <w:rPr>
                <w:rFonts w:hint="eastAsia" w:ascii="宋体" w:hAnsi="宋体" w:cs="仿宋"/>
                <w:b w:val="0"/>
                <w:bCs w:val="0"/>
                <w:color w:val="auto"/>
                <w:sz w:val="24"/>
                <w:highlight w:val="none"/>
                <w:lang w:val="en-US" w:eastAsia="zh-CN"/>
              </w:rPr>
              <w:t>2</w:t>
            </w:r>
            <w:r>
              <w:rPr>
                <w:rFonts w:hint="eastAsia" w:ascii="宋体" w:hAnsi="宋体" w:cs="仿宋"/>
                <w:b w:val="0"/>
                <w:bCs w:val="0"/>
                <w:color w:val="auto"/>
                <w:sz w:val="24"/>
                <w:highlight w:val="none"/>
              </w:rPr>
              <w:t>分，人员数量配置</w:t>
            </w:r>
            <w:r>
              <w:rPr>
                <w:rFonts w:hint="eastAsia" w:ascii="宋体" w:hAnsi="宋体" w:cs="仿宋"/>
                <w:b w:val="0"/>
                <w:bCs w:val="0"/>
                <w:color w:val="auto"/>
                <w:sz w:val="24"/>
                <w:highlight w:val="none"/>
                <w:lang w:val="en-US" w:eastAsia="zh-CN"/>
              </w:rPr>
              <w:t>5</w:t>
            </w:r>
            <w:r>
              <w:rPr>
                <w:rFonts w:hint="eastAsia" w:ascii="宋体" w:hAnsi="宋体" w:cs="仿宋"/>
                <w:b w:val="0"/>
                <w:bCs w:val="0"/>
                <w:color w:val="auto"/>
                <w:sz w:val="24"/>
                <w:highlight w:val="none"/>
              </w:rPr>
              <w:t>至</w:t>
            </w:r>
            <w:r>
              <w:rPr>
                <w:rFonts w:hint="eastAsia" w:ascii="宋体" w:hAnsi="宋体" w:cs="仿宋"/>
                <w:b w:val="0"/>
                <w:bCs w:val="0"/>
                <w:color w:val="auto"/>
                <w:sz w:val="24"/>
                <w:highlight w:val="none"/>
                <w:lang w:val="en-US" w:eastAsia="zh-CN"/>
              </w:rPr>
              <w:t>9</w:t>
            </w:r>
            <w:r>
              <w:rPr>
                <w:rFonts w:hint="eastAsia" w:ascii="宋体" w:hAnsi="宋体" w:cs="仿宋"/>
                <w:b w:val="0"/>
                <w:bCs w:val="0"/>
                <w:color w:val="auto"/>
                <w:sz w:val="24"/>
                <w:highlight w:val="none"/>
              </w:rPr>
              <w:t>人的得</w:t>
            </w:r>
            <w:r>
              <w:rPr>
                <w:rFonts w:hint="eastAsia" w:ascii="宋体" w:hAnsi="宋体" w:cs="仿宋"/>
                <w:b w:val="0"/>
                <w:bCs w:val="0"/>
                <w:color w:val="auto"/>
                <w:sz w:val="24"/>
                <w:highlight w:val="none"/>
                <w:lang w:val="en-US" w:eastAsia="zh-CN"/>
              </w:rPr>
              <w:t>1</w:t>
            </w:r>
            <w:r>
              <w:rPr>
                <w:rFonts w:hint="eastAsia" w:ascii="宋体" w:hAnsi="宋体" w:cs="仿宋"/>
                <w:b w:val="0"/>
                <w:bCs w:val="0"/>
                <w:color w:val="auto"/>
                <w:sz w:val="24"/>
                <w:highlight w:val="none"/>
              </w:rPr>
              <w:t>分，</w:t>
            </w:r>
            <w:r>
              <w:rPr>
                <w:rFonts w:hint="eastAsia" w:ascii="宋体" w:hAnsi="宋体" w:cs="仿宋"/>
                <w:color w:val="auto"/>
                <w:sz w:val="24"/>
                <w:highlight w:val="none"/>
              </w:rPr>
              <w:t>人员数量配置少于</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人的不得分。</w:t>
            </w:r>
          </w:p>
          <w:p w14:paraId="6477B431">
            <w:pPr>
              <w:widowControl/>
              <w:spacing w:line="360" w:lineRule="auto"/>
              <w:jc w:val="left"/>
              <w:rPr>
                <w:rFonts w:hint="eastAsia" w:ascii="宋体" w:hAnsi="宋体" w:eastAsia="宋体" w:cs="仿宋"/>
                <w:color w:val="auto"/>
                <w:sz w:val="24"/>
                <w:highlight w:val="none"/>
                <w:lang w:val="en-US" w:eastAsia="zh-CN"/>
              </w:rPr>
            </w:pPr>
            <w:r>
              <w:rPr>
                <w:rFonts w:hint="eastAsia" w:ascii="宋体" w:hAnsi="宋体" w:cs="仿宋"/>
                <w:b/>
                <w:bCs/>
                <w:color w:val="auto"/>
                <w:sz w:val="24"/>
                <w:highlight w:val="none"/>
                <w:lang w:val="en-US" w:eastAsia="zh-CN"/>
              </w:rPr>
              <w:t>注：</w:t>
            </w:r>
            <w:r>
              <w:rPr>
                <w:rFonts w:hint="eastAsia" w:ascii="宋体" w:hAnsi="宋体" w:cs="仿宋"/>
                <w:b/>
                <w:bCs/>
                <w:color w:val="auto"/>
                <w:sz w:val="24"/>
                <w:highlight w:val="none"/>
              </w:rPr>
              <w:t>以上需同时提供人员相关证明材料及在投标单位的</w:t>
            </w:r>
            <w:r>
              <w:rPr>
                <w:rFonts w:hint="eastAsia" w:ascii="宋体" w:hAnsi="宋体" w:cs="仿宋"/>
                <w:b/>
                <w:bCs/>
                <w:sz w:val="24"/>
                <w:highlight w:val="none"/>
                <w:lang w:val="en-US" w:eastAsia="zh-CN"/>
              </w:rPr>
              <w:t>近三个月</w:t>
            </w:r>
            <w:r>
              <w:rPr>
                <w:rFonts w:hint="eastAsia" w:ascii="宋体" w:hAnsi="宋体" w:cs="仿宋"/>
                <w:b/>
                <w:bCs/>
                <w:color w:val="auto"/>
                <w:sz w:val="24"/>
                <w:highlight w:val="none"/>
              </w:rPr>
              <w:t>社保缴纳证明方有效，否则此项不得分。</w:t>
            </w:r>
          </w:p>
        </w:tc>
        <w:tc>
          <w:tcPr>
            <w:tcW w:w="795" w:type="dxa"/>
            <w:shd w:val="clear" w:color="auto" w:fill="auto"/>
            <w:noWrap/>
            <w:vAlign w:val="center"/>
          </w:tcPr>
          <w:p w14:paraId="0C45A748">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highlight w:val="none"/>
                <w:lang w:val="en-US" w:eastAsia="zh-CN"/>
              </w:rPr>
              <w:t>5</w:t>
            </w:r>
          </w:p>
        </w:tc>
        <w:tc>
          <w:tcPr>
            <w:tcW w:w="1531" w:type="dxa"/>
            <w:shd w:val="clear" w:color="auto" w:fill="auto"/>
            <w:vAlign w:val="center"/>
          </w:tcPr>
          <w:p w14:paraId="7FA7563A">
            <w:pPr>
              <w:widowControl/>
              <w:spacing w:line="360" w:lineRule="auto"/>
              <w:jc w:val="center"/>
              <w:rPr>
                <w:rFonts w:ascii="宋体" w:hAnsi="宋体" w:cs="宋体"/>
                <w:kern w:val="0"/>
                <w:sz w:val="24"/>
              </w:rPr>
            </w:pPr>
            <w:r>
              <w:rPr>
                <w:rFonts w:hint="eastAsia" w:ascii="宋体" w:hAnsi="宋体" w:cs="宋体"/>
                <w:kern w:val="0"/>
                <w:sz w:val="24"/>
              </w:rPr>
              <w:t>项目的投入和项目组人员素质情况</w:t>
            </w:r>
          </w:p>
        </w:tc>
      </w:tr>
      <w:tr w14:paraId="4BBC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noWrap/>
            <w:vAlign w:val="center"/>
          </w:tcPr>
          <w:p w14:paraId="7979C03A">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9</w:t>
            </w:r>
          </w:p>
        </w:tc>
        <w:tc>
          <w:tcPr>
            <w:tcW w:w="6149" w:type="dxa"/>
            <w:shd w:val="clear" w:color="auto" w:fill="auto"/>
            <w:vAlign w:val="center"/>
          </w:tcPr>
          <w:p w14:paraId="175A68EC">
            <w:pPr>
              <w:widowControl/>
              <w:spacing w:line="360" w:lineRule="auto"/>
              <w:jc w:val="left"/>
              <w:rPr>
                <w:rFonts w:ascii="宋体" w:hAnsi="宋体" w:cs="宋体"/>
                <w:kern w:val="0"/>
                <w:sz w:val="24"/>
              </w:rPr>
            </w:pPr>
            <w:r>
              <w:rPr>
                <w:rFonts w:hint="eastAsia" w:ascii="宋体" w:hAnsi="宋体" w:cs="宋体"/>
                <w:kern w:val="0"/>
                <w:sz w:val="24"/>
              </w:rPr>
              <w:t>1.投标人</w:t>
            </w:r>
            <w:r>
              <w:rPr>
                <w:rFonts w:hint="eastAsia" w:ascii="宋体" w:hAnsi="宋体" w:cs="宋体"/>
                <w:kern w:val="0"/>
                <w:sz w:val="24"/>
                <w:lang w:val="en-US" w:eastAsia="zh-CN"/>
              </w:rPr>
              <w:t>是否承诺</w:t>
            </w:r>
            <w:r>
              <w:rPr>
                <w:rFonts w:hint="eastAsia" w:ascii="宋体" w:hAnsi="宋体" w:eastAsia="宋体" w:cs="宋体"/>
                <w:sz w:val="24"/>
                <w:szCs w:val="24"/>
              </w:rPr>
              <w:t>提</w:t>
            </w:r>
            <w:r>
              <w:rPr>
                <w:rFonts w:hint="eastAsia" w:ascii="宋体" w:hAnsi="宋体" w:eastAsia="宋体" w:cs="宋体"/>
                <w:sz w:val="24"/>
                <w:szCs w:val="24"/>
                <w:highlight w:val="none"/>
              </w:rPr>
              <w:t>供3年免费维护期</w:t>
            </w: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提供承诺函得1</w:t>
            </w:r>
            <w:r>
              <w:rPr>
                <w:rFonts w:hint="eastAsia" w:ascii="宋体" w:hAnsi="宋体" w:cs="宋体"/>
                <w:b/>
                <w:bCs/>
                <w:kern w:val="0"/>
                <w:sz w:val="24"/>
                <w:highlight w:val="none"/>
              </w:rPr>
              <w:t>分</w:t>
            </w: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否则不得分</w:t>
            </w:r>
            <w:r>
              <w:rPr>
                <w:rFonts w:hint="eastAsia" w:ascii="宋体" w:hAnsi="宋体" w:cs="宋体"/>
                <w:b/>
                <w:bCs/>
                <w:kern w:val="0"/>
                <w:sz w:val="24"/>
                <w:highlight w:val="none"/>
              </w:rPr>
              <w:t>）</w:t>
            </w:r>
            <w:r>
              <w:rPr>
                <w:rFonts w:hint="eastAsia" w:ascii="宋体" w:hAnsi="宋体" w:cs="宋体"/>
                <w:kern w:val="0"/>
                <w:sz w:val="24"/>
                <w:highlight w:val="none"/>
              </w:rPr>
              <w:t>；</w:t>
            </w:r>
            <w:r>
              <w:rPr>
                <w:rFonts w:hint="eastAsia" w:ascii="宋体" w:hAnsi="宋体" w:cs="宋体"/>
                <w:kern w:val="0"/>
                <w:sz w:val="24"/>
                <w:highlight w:val="none"/>
              </w:rPr>
              <w:br w:type="textWrapping"/>
            </w:r>
            <w:r>
              <w:rPr>
                <w:rFonts w:hint="eastAsia" w:ascii="宋体" w:hAnsi="宋体" w:cs="宋体"/>
                <w:kern w:val="0"/>
                <w:sz w:val="24"/>
              </w:rPr>
              <w:t>2.</w:t>
            </w:r>
            <w:bookmarkStart w:id="420" w:name="OLE_LINK11"/>
            <w:bookmarkStart w:id="421" w:name="OLE_LINK35"/>
            <w:r>
              <w:rPr>
                <w:rFonts w:hint="eastAsia" w:ascii="宋体" w:hAnsi="宋体" w:cs="宋体"/>
                <w:b w:val="0"/>
                <w:bCs w:val="0"/>
                <w:kern w:val="0"/>
                <w:sz w:val="24"/>
              </w:rPr>
              <w:t>投标人</w:t>
            </w:r>
            <w:r>
              <w:rPr>
                <w:rFonts w:hint="eastAsia" w:ascii="宋体" w:hAnsi="宋体" w:cs="宋体"/>
                <w:b w:val="0"/>
                <w:bCs w:val="0"/>
                <w:kern w:val="0"/>
                <w:sz w:val="24"/>
                <w:lang w:val="en-US" w:eastAsia="zh-CN"/>
              </w:rPr>
              <w:t>是否承诺</w:t>
            </w:r>
            <w:bookmarkEnd w:id="420"/>
            <w:bookmarkEnd w:id="421"/>
            <w:r>
              <w:rPr>
                <w:rFonts w:hint="eastAsia" w:ascii="宋体" w:hAnsi="宋体" w:eastAsia="宋体" w:cs="宋体"/>
                <w:sz w:val="24"/>
                <w:szCs w:val="24"/>
              </w:rPr>
              <w:t>在使用过程中，出现问题需要现场支持的，</w:t>
            </w:r>
            <w:r>
              <w:rPr>
                <w:rFonts w:hint="eastAsia" w:ascii="宋体" w:hAnsi="宋体" w:eastAsia="宋体" w:cs="宋体"/>
                <w:kern w:val="0"/>
                <w:sz w:val="24"/>
                <w:szCs w:val="24"/>
              </w:rPr>
              <w:t>2小时内给予问题的反馈，如需现场解决，在故障发生的4小时内，派技术人员到达现场</w:t>
            </w:r>
            <w:r>
              <w:rPr>
                <w:rFonts w:hint="eastAsia" w:ascii="宋体" w:hAnsi="宋体" w:eastAsia="宋体" w:cs="宋体"/>
                <w:sz w:val="24"/>
                <w:szCs w:val="24"/>
                <w:lang w:eastAsia="zh-CN"/>
              </w:rPr>
              <w:t>；</w:t>
            </w:r>
            <w:r>
              <w:rPr>
                <w:rFonts w:hint="eastAsia" w:ascii="宋体" w:hAnsi="宋体" w:eastAsia="宋体" w:cs="宋体"/>
                <w:sz w:val="24"/>
                <w:szCs w:val="24"/>
              </w:rPr>
              <w:t>修补和完善功能的，24小时内提出解决方案，48小时内解决问题；服务异常的，12小时内提出解决方案，24小时内解决问题；严重故障导致系统瘫痪的，4小时内提出解决方案，8小时内解决问题</w:t>
            </w: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提供承诺函得</w:t>
            </w:r>
            <w:r>
              <w:rPr>
                <w:rFonts w:hint="eastAsia" w:ascii="宋体" w:hAnsi="宋体" w:cs="宋体"/>
                <w:b/>
                <w:bCs/>
                <w:kern w:val="0"/>
                <w:sz w:val="24"/>
                <w:highlight w:val="none"/>
              </w:rPr>
              <w:t>3分</w:t>
            </w: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否则不得分</w:t>
            </w:r>
            <w:r>
              <w:rPr>
                <w:rFonts w:hint="eastAsia" w:ascii="宋体" w:hAnsi="宋体" w:cs="宋体"/>
                <w:b/>
                <w:bCs/>
                <w:kern w:val="0"/>
                <w:sz w:val="24"/>
                <w:highlight w:val="none"/>
              </w:rPr>
              <w:t>）</w:t>
            </w:r>
            <w:r>
              <w:rPr>
                <w:rFonts w:hint="eastAsia" w:ascii="宋体" w:hAnsi="宋体" w:cs="宋体"/>
                <w:kern w:val="0"/>
                <w:sz w:val="24"/>
                <w:highlight w:val="none"/>
              </w:rPr>
              <w:t>；</w:t>
            </w:r>
            <w:r>
              <w:rPr>
                <w:rFonts w:hint="eastAsia" w:ascii="宋体" w:hAnsi="宋体" w:cs="宋体"/>
                <w:kern w:val="0"/>
                <w:sz w:val="24"/>
              </w:rPr>
              <w:br w:type="textWrapping"/>
            </w:r>
            <w:r>
              <w:rPr>
                <w:rFonts w:hint="eastAsia" w:ascii="宋体" w:hAnsi="宋体" w:cs="宋体"/>
                <w:kern w:val="0"/>
                <w:sz w:val="24"/>
              </w:rPr>
              <w:t>3.</w:t>
            </w:r>
            <w:r>
              <w:rPr>
                <w:rFonts w:hint="eastAsia" w:ascii="宋体" w:hAnsi="宋体" w:cs="宋体"/>
                <w:sz w:val="24"/>
              </w:rPr>
              <w:t>投标人提出合理可行的应急响应和应急保障方案，根据方案的可行性和完整性，完全满足的得</w:t>
            </w:r>
            <w:r>
              <w:rPr>
                <w:rFonts w:hint="eastAsia" w:ascii="宋体" w:hAnsi="宋体" w:cs="宋体"/>
                <w:sz w:val="24"/>
                <w:lang w:val="en-US" w:eastAsia="zh-CN"/>
              </w:rPr>
              <w:t>4</w:t>
            </w:r>
            <w:r>
              <w:rPr>
                <w:rFonts w:hint="eastAsia" w:ascii="宋体" w:hAnsi="宋体" w:cs="宋体"/>
                <w:sz w:val="24"/>
              </w:rPr>
              <w:t>分，部分满足得</w:t>
            </w:r>
            <w:r>
              <w:rPr>
                <w:rFonts w:hint="eastAsia" w:ascii="宋体" w:hAnsi="宋体" w:cs="宋体"/>
                <w:sz w:val="24"/>
                <w:lang w:val="en-US" w:eastAsia="zh-CN"/>
              </w:rPr>
              <w:t>2</w:t>
            </w:r>
            <w:r>
              <w:rPr>
                <w:rFonts w:hint="eastAsia" w:ascii="宋体" w:hAnsi="宋体" w:cs="宋体"/>
                <w:sz w:val="24"/>
              </w:rPr>
              <w:t>分，不满足的不得分。</w:t>
            </w:r>
          </w:p>
        </w:tc>
        <w:tc>
          <w:tcPr>
            <w:tcW w:w="795" w:type="dxa"/>
            <w:shd w:val="clear" w:color="auto" w:fill="auto"/>
            <w:noWrap/>
            <w:vAlign w:val="center"/>
          </w:tcPr>
          <w:p w14:paraId="341F8E89">
            <w:pPr>
              <w:widowControl/>
              <w:spacing w:line="360" w:lineRule="auto"/>
              <w:jc w:val="center"/>
              <w:rPr>
                <w:rFonts w:ascii="宋体" w:hAnsi="宋体" w:cs="宋体"/>
                <w:kern w:val="0"/>
                <w:sz w:val="24"/>
              </w:rPr>
            </w:pPr>
            <w:r>
              <w:rPr>
                <w:rFonts w:hint="eastAsia" w:ascii="宋体" w:hAnsi="宋体" w:cs="宋体"/>
                <w:kern w:val="0"/>
                <w:sz w:val="24"/>
              </w:rPr>
              <w:t>8</w:t>
            </w:r>
          </w:p>
        </w:tc>
        <w:tc>
          <w:tcPr>
            <w:tcW w:w="1531" w:type="dxa"/>
            <w:shd w:val="clear" w:color="auto" w:fill="auto"/>
            <w:vAlign w:val="center"/>
          </w:tcPr>
          <w:p w14:paraId="475EE640">
            <w:pPr>
              <w:widowControl/>
              <w:spacing w:line="360" w:lineRule="auto"/>
              <w:jc w:val="center"/>
              <w:rPr>
                <w:rFonts w:ascii="宋体" w:hAnsi="宋体" w:cs="宋体"/>
                <w:kern w:val="0"/>
                <w:sz w:val="24"/>
              </w:rPr>
            </w:pPr>
            <w:r>
              <w:rPr>
                <w:rFonts w:hint="eastAsia" w:ascii="宋体" w:hAnsi="宋体" w:cs="宋体"/>
                <w:kern w:val="0"/>
                <w:sz w:val="24"/>
              </w:rPr>
              <w:t>售后服务保障能力</w:t>
            </w:r>
          </w:p>
        </w:tc>
      </w:tr>
      <w:tr w14:paraId="717D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noWrap/>
            <w:vAlign w:val="center"/>
          </w:tcPr>
          <w:p w14:paraId="00013216">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6149" w:type="dxa"/>
            <w:shd w:val="clear" w:color="auto" w:fill="auto"/>
            <w:vAlign w:val="center"/>
          </w:tcPr>
          <w:p w14:paraId="7C9F59A1">
            <w:pPr>
              <w:widowControl/>
              <w:spacing w:line="360" w:lineRule="auto"/>
              <w:jc w:val="left"/>
              <w:rPr>
                <w:rFonts w:ascii="宋体" w:hAnsi="宋体" w:cs="宋体"/>
                <w:kern w:val="0"/>
                <w:sz w:val="24"/>
              </w:rPr>
            </w:pPr>
            <w:bookmarkStart w:id="422" w:name="OLE_LINK15"/>
            <w:r>
              <w:rPr>
                <w:rFonts w:hint="eastAsia" w:ascii="宋体" w:hAnsi="宋体" w:cs="宋体"/>
                <w:kern w:val="0"/>
                <w:sz w:val="24"/>
              </w:rPr>
              <w:t>1. 投标人提出的技术培训方案，包括培训内容、培训人数、培训时间、培训地点等是否符合采购方要求。方案合理得</w:t>
            </w:r>
            <w:r>
              <w:rPr>
                <w:rFonts w:ascii="宋体" w:hAnsi="宋体" w:cs="宋体"/>
                <w:kern w:val="0"/>
                <w:sz w:val="24"/>
              </w:rPr>
              <w:t>4分，部分合理得2分，不合理不得分。</w:t>
            </w:r>
            <w:r>
              <w:rPr>
                <w:rFonts w:hint="eastAsia" w:ascii="宋体" w:hAnsi="宋体" w:cs="宋体"/>
                <w:kern w:val="0"/>
                <w:sz w:val="24"/>
              </w:rPr>
              <w:br w:type="textWrapping"/>
            </w:r>
            <w:r>
              <w:rPr>
                <w:rFonts w:hint="eastAsia" w:ascii="宋体" w:hAnsi="宋体" w:cs="宋体"/>
                <w:kern w:val="0"/>
                <w:sz w:val="24"/>
              </w:rPr>
              <w:t>2. 投标人提出合理、可行的试运行方案，包括①试运行的准备与②试运行制度。每一项内容完整、措施有效、合理得</w:t>
            </w:r>
            <w:r>
              <w:rPr>
                <w:rFonts w:ascii="宋体" w:hAnsi="宋体" w:cs="宋体"/>
                <w:kern w:val="0"/>
                <w:sz w:val="24"/>
              </w:rPr>
              <w:t>1分，部分合理得0.5分，不合理不得分</w:t>
            </w:r>
            <w:r>
              <w:rPr>
                <w:rFonts w:hint="eastAsia" w:ascii="宋体" w:hAnsi="宋体" w:cs="宋体"/>
                <w:kern w:val="0"/>
                <w:sz w:val="24"/>
                <w:lang w:eastAsia="zh-CN"/>
              </w:rPr>
              <w:t>，</w:t>
            </w:r>
            <w:r>
              <w:rPr>
                <w:rFonts w:hint="eastAsia" w:ascii="宋体" w:hAnsi="宋体" w:cs="宋体"/>
                <w:kern w:val="0"/>
                <w:sz w:val="24"/>
                <w:lang w:val="en-US" w:eastAsia="zh-CN"/>
              </w:rPr>
              <w:t>共2分</w:t>
            </w:r>
            <w:r>
              <w:rPr>
                <w:rFonts w:ascii="宋体" w:hAnsi="宋体" w:cs="宋体"/>
                <w:kern w:val="0"/>
                <w:sz w:val="24"/>
              </w:rPr>
              <w:t>。</w:t>
            </w:r>
          </w:p>
          <w:p w14:paraId="05F14FA5">
            <w:pPr>
              <w:widowControl/>
              <w:spacing w:line="360" w:lineRule="auto"/>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 xml:space="preserve"> </w:t>
            </w:r>
            <w:r>
              <w:rPr>
                <w:rFonts w:hint="eastAsia" w:ascii="宋体" w:hAnsi="宋体" w:cs="宋体"/>
                <w:kern w:val="0"/>
                <w:sz w:val="24"/>
              </w:rPr>
              <w:t>投标人提出科学的验收方案并在验收时提供相应的文档。方案合理得</w:t>
            </w:r>
            <w:r>
              <w:rPr>
                <w:rFonts w:ascii="宋体" w:hAnsi="宋体" w:cs="宋体"/>
                <w:kern w:val="0"/>
                <w:sz w:val="24"/>
              </w:rPr>
              <w:t>2分，部分合理得1分，不合理不得分。</w:t>
            </w:r>
            <w:bookmarkEnd w:id="422"/>
          </w:p>
        </w:tc>
        <w:tc>
          <w:tcPr>
            <w:tcW w:w="795" w:type="dxa"/>
            <w:shd w:val="clear" w:color="auto" w:fill="auto"/>
            <w:noWrap/>
            <w:vAlign w:val="center"/>
          </w:tcPr>
          <w:p w14:paraId="682ECB22">
            <w:pPr>
              <w:widowControl/>
              <w:spacing w:line="360" w:lineRule="auto"/>
              <w:jc w:val="center"/>
              <w:rPr>
                <w:rFonts w:ascii="宋体" w:hAnsi="宋体" w:cs="宋体"/>
                <w:kern w:val="0"/>
                <w:sz w:val="24"/>
              </w:rPr>
            </w:pPr>
            <w:r>
              <w:rPr>
                <w:rFonts w:hint="eastAsia" w:ascii="宋体" w:hAnsi="宋体" w:cs="宋体"/>
                <w:kern w:val="0"/>
                <w:sz w:val="24"/>
              </w:rPr>
              <w:t>8</w:t>
            </w:r>
          </w:p>
        </w:tc>
        <w:tc>
          <w:tcPr>
            <w:tcW w:w="1531" w:type="dxa"/>
            <w:shd w:val="clear" w:color="auto" w:fill="auto"/>
            <w:vAlign w:val="center"/>
          </w:tcPr>
          <w:p w14:paraId="7B4FF32F">
            <w:pPr>
              <w:widowControl/>
              <w:spacing w:line="360" w:lineRule="auto"/>
              <w:jc w:val="center"/>
              <w:rPr>
                <w:rFonts w:ascii="宋体" w:hAnsi="宋体" w:cs="宋体"/>
                <w:kern w:val="0"/>
                <w:sz w:val="24"/>
              </w:rPr>
            </w:pPr>
            <w:r>
              <w:rPr>
                <w:rFonts w:hint="eastAsia" w:ascii="宋体" w:hAnsi="宋体" w:cs="宋体"/>
                <w:kern w:val="0"/>
                <w:sz w:val="24"/>
              </w:rPr>
              <w:t>培训、测试、试运行、验收</w:t>
            </w:r>
          </w:p>
        </w:tc>
      </w:tr>
      <w:tr w14:paraId="17F0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noWrap/>
            <w:vAlign w:val="center"/>
          </w:tcPr>
          <w:p w14:paraId="59641EE7">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c>
          <w:tcPr>
            <w:tcW w:w="6149" w:type="dxa"/>
            <w:shd w:val="clear" w:color="auto" w:fill="auto"/>
            <w:vAlign w:val="center"/>
          </w:tcPr>
          <w:p w14:paraId="3A5B04C6">
            <w:pPr>
              <w:widowControl/>
              <w:spacing w:line="360" w:lineRule="auto"/>
              <w:jc w:val="left"/>
              <w:rPr>
                <w:rFonts w:ascii="宋体" w:hAnsi="宋体" w:cs="宋体"/>
                <w:kern w:val="0"/>
                <w:sz w:val="24"/>
              </w:rPr>
            </w:pPr>
            <w:r>
              <w:rPr>
                <w:rFonts w:hint="eastAsia" w:ascii="宋体" w:hAnsi="宋体" w:cs="宋体"/>
                <w:kern w:val="0"/>
                <w:sz w:val="24"/>
              </w:rPr>
              <w:t>投标人按采购人要求：①是否明确建设质量目标；②是否有质量保证措施；③是否具有详细可行的实施内容；④是否明确工期保证措施。根据提供的方案内容进行评分，每一项内容完整、措施有效、符合采购需求视为合理，合理得2</w:t>
            </w:r>
            <w:r>
              <w:rPr>
                <w:rFonts w:ascii="宋体" w:hAnsi="宋体" w:cs="宋体"/>
                <w:kern w:val="0"/>
                <w:sz w:val="24"/>
              </w:rPr>
              <w:t>分，部分合理得</w:t>
            </w:r>
            <w:r>
              <w:rPr>
                <w:rFonts w:hint="eastAsia" w:ascii="宋体" w:hAnsi="宋体" w:cs="宋体"/>
                <w:kern w:val="0"/>
                <w:sz w:val="24"/>
              </w:rPr>
              <w:t>1</w:t>
            </w:r>
            <w:r>
              <w:rPr>
                <w:rFonts w:ascii="宋体" w:hAnsi="宋体" w:cs="宋体"/>
                <w:kern w:val="0"/>
                <w:sz w:val="24"/>
              </w:rPr>
              <w:t>分，不合理不得分。</w:t>
            </w:r>
          </w:p>
        </w:tc>
        <w:tc>
          <w:tcPr>
            <w:tcW w:w="795" w:type="dxa"/>
            <w:shd w:val="clear" w:color="auto" w:fill="auto"/>
            <w:noWrap/>
            <w:vAlign w:val="center"/>
          </w:tcPr>
          <w:p w14:paraId="1D63A235">
            <w:pPr>
              <w:widowControl/>
              <w:spacing w:line="360" w:lineRule="auto"/>
              <w:jc w:val="center"/>
              <w:rPr>
                <w:rFonts w:ascii="宋体" w:hAnsi="宋体" w:cs="宋体"/>
                <w:kern w:val="0"/>
                <w:sz w:val="24"/>
              </w:rPr>
            </w:pPr>
            <w:r>
              <w:rPr>
                <w:rFonts w:hint="eastAsia" w:ascii="宋体" w:hAnsi="宋体" w:cs="宋体"/>
                <w:kern w:val="0"/>
                <w:sz w:val="24"/>
              </w:rPr>
              <w:t>8</w:t>
            </w:r>
          </w:p>
        </w:tc>
        <w:tc>
          <w:tcPr>
            <w:tcW w:w="1531" w:type="dxa"/>
            <w:shd w:val="clear" w:color="auto" w:fill="auto"/>
            <w:vAlign w:val="center"/>
          </w:tcPr>
          <w:p w14:paraId="1C2F4A45">
            <w:pPr>
              <w:widowControl/>
              <w:spacing w:line="360" w:lineRule="auto"/>
              <w:jc w:val="center"/>
              <w:rPr>
                <w:rFonts w:ascii="宋体" w:hAnsi="宋体" w:cs="宋体"/>
                <w:kern w:val="0"/>
                <w:sz w:val="24"/>
              </w:rPr>
            </w:pPr>
            <w:r>
              <w:rPr>
                <w:rFonts w:hint="eastAsia" w:ascii="宋体" w:hAnsi="宋体" w:cs="宋体"/>
                <w:kern w:val="0"/>
                <w:sz w:val="24"/>
              </w:rPr>
              <w:t>质量保证措施和建设工期组织方案</w:t>
            </w:r>
          </w:p>
        </w:tc>
      </w:tr>
      <w:tr w14:paraId="08E9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noWrap/>
            <w:vAlign w:val="center"/>
          </w:tcPr>
          <w:p w14:paraId="452C3DE0">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w:t>
            </w:r>
          </w:p>
        </w:tc>
        <w:tc>
          <w:tcPr>
            <w:tcW w:w="6149" w:type="dxa"/>
            <w:shd w:val="clear" w:color="auto" w:fill="auto"/>
            <w:vAlign w:val="center"/>
          </w:tcPr>
          <w:p w14:paraId="2185C66F">
            <w:pPr>
              <w:widowControl/>
              <w:spacing w:line="360" w:lineRule="auto"/>
              <w:jc w:val="left"/>
              <w:rPr>
                <w:rFonts w:hint="eastAsia" w:ascii="宋体" w:hAnsi="宋体" w:eastAsia="宋体" w:cs="宋体"/>
                <w:kern w:val="0"/>
                <w:sz w:val="24"/>
                <w:lang w:val="en-US" w:eastAsia="zh-CN"/>
              </w:rPr>
            </w:pPr>
            <w:r>
              <w:rPr>
                <w:rFonts w:hint="eastAsia" w:ascii="宋体" w:hAnsi="宋体" w:cs="宋体"/>
                <w:kern w:val="0"/>
                <w:sz w:val="24"/>
              </w:rPr>
              <w:t>提供</w:t>
            </w:r>
            <w:r>
              <w:rPr>
                <w:rFonts w:hint="eastAsia" w:ascii="宋体" w:hAnsi="宋体" w:cs="宋体"/>
                <w:kern w:val="0"/>
                <w:sz w:val="24"/>
                <w:highlight w:val="none"/>
                <w:lang w:val="en-US" w:eastAsia="zh-CN"/>
              </w:rPr>
              <w:t>在线</w:t>
            </w:r>
            <w:r>
              <w:rPr>
                <w:rFonts w:hint="eastAsia" w:ascii="宋体" w:hAnsi="宋体" w:cs="宋体"/>
                <w:kern w:val="0"/>
                <w:sz w:val="24"/>
              </w:rPr>
              <w:t>视频演示或软件测试环境下的演示录屏</w:t>
            </w:r>
            <w:r>
              <w:rPr>
                <w:rFonts w:hint="eastAsia" w:ascii="宋体" w:hAnsi="宋体" w:cs="宋体"/>
                <w:kern w:val="0"/>
                <w:sz w:val="24"/>
                <w:lang w:eastAsia="zh-CN"/>
              </w:rPr>
              <w:t>（</w:t>
            </w:r>
            <w:r>
              <w:rPr>
                <w:rFonts w:hint="eastAsia" w:ascii="宋体" w:hAnsi="宋体" w:cs="宋体"/>
                <w:kern w:val="0"/>
                <w:sz w:val="24"/>
                <w:lang w:val="en-US" w:eastAsia="zh-CN"/>
              </w:rPr>
              <w:t>演示时间不超过10分钟</w:t>
            </w:r>
            <w:r>
              <w:rPr>
                <w:rFonts w:hint="eastAsia" w:ascii="宋体" w:hAnsi="宋体" w:cs="宋体"/>
                <w:kern w:val="0"/>
                <w:sz w:val="24"/>
                <w:lang w:eastAsia="zh-CN"/>
              </w:rPr>
              <w:t>）</w:t>
            </w:r>
            <w:r>
              <w:rPr>
                <w:rFonts w:hint="eastAsia" w:ascii="宋体" w:hAnsi="宋体" w:cs="宋体"/>
                <w:kern w:val="0"/>
                <w:sz w:val="24"/>
                <w:lang w:val="en-US" w:eastAsia="zh-CN"/>
              </w:rPr>
              <w:t>：</w:t>
            </w:r>
          </w:p>
          <w:p w14:paraId="2BB8C33F">
            <w:pPr>
              <w:widowControl/>
              <w:spacing w:line="360" w:lineRule="auto"/>
              <w:jc w:val="left"/>
              <w:rPr>
                <w:rFonts w:ascii="宋体" w:hAnsi="宋体" w:cs="宋体"/>
                <w:b/>
                <w:bCs/>
                <w:kern w:val="0"/>
                <w:sz w:val="24"/>
                <w:highlight w:val="none"/>
              </w:rPr>
            </w:pPr>
            <w:bookmarkStart w:id="540" w:name="_GoBack"/>
            <w:r>
              <w:rPr>
                <w:rFonts w:ascii="宋体" w:hAnsi="宋体" w:cs="宋体"/>
                <w:kern w:val="0"/>
                <w:sz w:val="24"/>
                <w:highlight w:val="none"/>
              </w:rPr>
              <w:t>1、针对项目所需的特定场景算法训练，具备行为算法识别和预警能力：提供</w:t>
            </w:r>
            <w:r>
              <w:rPr>
                <w:rFonts w:hint="eastAsia" w:ascii="宋体" w:hAnsi="宋体" w:cs="宋体"/>
                <w:kern w:val="0"/>
                <w:sz w:val="24"/>
                <w:highlight w:val="none"/>
                <w:lang w:val="en-US" w:eastAsia="zh-CN"/>
              </w:rPr>
              <w:t>①</w:t>
            </w:r>
            <w:r>
              <w:rPr>
                <w:rFonts w:ascii="宋体" w:hAnsi="宋体" w:cs="宋体"/>
                <w:kern w:val="0"/>
                <w:sz w:val="24"/>
                <w:highlight w:val="none"/>
              </w:rPr>
              <w:t>人员着装识别（不少于3类着装）、</w:t>
            </w:r>
            <w:r>
              <w:rPr>
                <w:rFonts w:hint="eastAsia" w:ascii="宋体" w:hAnsi="宋体" w:cs="宋体"/>
                <w:kern w:val="0"/>
                <w:sz w:val="24"/>
                <w:highlight w:val="none"/>
                <w:lang w:val="en-US" w:eastAsia="zh-CN"/>
              </w:rPr>
              <w:t>②</w:t>
            </w:r>
            <w:r>
              <w:rPr>
                <w:rFonts w:hint="eastAsia" w:ascii="宋体" w:hAnsi="宋体" w:cs="宋体"/>
                <w:kern w:val="0"/>
                <w:sz w:val="24"/>
                <w:highlight w:val="none"/>
              </w:rPr>
              <w:t>离床检测</w:t>
            </w:r>
            <w:r>
              <w:rPr>
                <w:rFonts w:ascii="宋体" w:hAnsi="宋体" w:cs="宋体"/>
                <w:kern w:val="0"/>
                <w:sz w:val="24"/>
                <w:highlight w:val="none"/>
              </w:rPr>
              <w:t>、</w:t>
            </w:r>
            <w:r>
              <w:rPr>
                <w:rFonts w:hint="eastAsia" w:ascii="宋体" w:hAnsi="宋体" w:cs="宋体"/>
                <w:kern w:val="0"/>
                <w:sz w:val="24"/>
                <w:highlight w:val="none"/>
                <w:lang w:val="en-US" w:eastAsia="zh-CN"/>
              </w:rPr>
              <w:t>③</w:t>
            </w:r>
            <w:r>
              <w:rPr>
                <w:rFonts w:ascii="宋体" w:hAnsi="宋体" w:cs="宋体"/>
                <w:kern w:val="0"/>
                <w:sz w:val="24"/>
                <w:highlight w:val="none"/>
              </w:rPr>
              <w:t>单人滞留、</w:t>
            </w:r>
            <w:r>
              <w:rPr>
                <w:rFonts w:hint="eastAsia" w:ascii="宋体" w:hAnsi="宋体" w:cs="宋体"/>
                <w:kern w:val="0"/>
                <w:sz w:val="24"/>
                <w:highlight w:val="none"/>
                <w:lang w:val="en-US" w:eastAsia="zh-CN"/>
              </w:rPr>
              <w:t>④</w:t>
            </w:r>
            <w:r>
              <w:rPr>
                <w:rFonts w:ascii="宋体" w:hAnsi="宋体" w:cs="宋体"/>
                <w:kern w:val="0"/>
                <w:sz w:val="24"/>
                <w:highlight w:val="none"/>
              </w:rPr>
              <w:t>轮值人员缺席、</w:t>
            </w:r>
            <w:r>
              <w:rPr>
                <w:rFonts w:hint="eastAsia" w:ascii="宋体" w:hAnsi="宋体" w:cs="宋体"/>
                <w:kern w:val="0"/>
                <w:sz w:val="24"/>
                <w:highlight w:val="none"/>
                <w:lang w:val="en-US" w:eastAsia="zh-CN"/>
              </w:rPr>
              <w:t>⑤</w:t>
            </w:r>
            <w:r>
              <w:rPr>
                <w:rFonts w:ascii="宋体" w:hAnsi="宋体" w:cs="宋体"/>
                <w:kern w:val="0"/>
                <w:sz w:val="24"/>
                <w:highlight w:val="none"/>
              </w:rPr>
              <w:t>通道人员脱管、攀高、</w:t>
            </w:r>
            <w:r>
              <w:rPr>
                <w:rFonts w:hint="eastAsia" w:ascii="宋体" w:hAnsi="宋体" w:cs="宋体"/>
                <w:kern w:val="0"/>
                <w:sz w:val="24"/>
                <w:highlight w:val="none"/>
                <w:lang w:val="en-US" w:eastAsia="zh-CN"/>
              </w:rPr>
              <w:t>⑥</w:t>
            </w:r>
            <w:r>
              <w:rPr>
                <w:rFonts w:ascii="宋体" w:hAnsi="宋体" w:cs="宋体"/>
                <w:kern w:val="0"/>
                <w:sz w:val="24"/>
                <w:highlight w:val="none"/>
              </w:rPr>
              <w:t>如厕超时算法功能演示。</w:t>
            </w: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以上每小点满足得1分，共6分</w:t>
            </w:r>
            <w:r>
              <w:rPr>
                <w:rFonts w:ascii="宋体" w:hAnsi="宋体" w:cs="宋体"/>
                <w:b/>
                <w:bCs/>
                <w:kern w:val="0"/>
                <w:sz w:val="24"/>
                <w:highlight w:val="none"/>
              </w:rPr>
              <w:t>）</w:t>
            </w:r>
          </w:p>
          <w:bookmarkEnd w:id="540"/>
          <w:p w14:paraId="1F6C7D1D">
            <w:pPr>
              <w:widowControl/>
              <w:spacing w:line="360" w:lineRule="auto"/>
              <w:jc w:val="left"/>
              <w:rPr>
                <w:rFonts w:ascii="宋体" w:hAnsi="宋体" w:cs="宋体"/>
                <w:kern w:val="0"/>
                <w:sz w:val="24"/>
              </w:rPr>
            </w:pPr>
            <w:r>
              <w:rPr>
                <w:rFonts w:ascii="宋体" w:hAnsi="宋体" w:cs="宋体"/>
                <w:kern w:val="0"/>
                <w:sz w:val="24"/>
              </w:rPr>
              <w:t>2、针对算法策略管理提供可视化的算法编排流程，提供通过元件拖拉拽的方式编排算法策略，能够添加、删除元件并配置元件的各类参数信息，支持向算法元件和函数元件中添加元件备注信息并在策略拓扑图中展示。</w:t>
            </w:r>
            <w:r>
              <w:rPr>
                <w:rFonts w:hint="eastAsia" w:ascii="宋体" w:hAnsi="宋体" w:cs="宋体"/>
                <w:b/>
                <w:bCs/>
                <w:kern w:val="0"/>
                <w:sz w:val="24"/>
              </w:rPr>
              <w:t>（</w:t>
            </w:r>
            <w:r>
              <w:rPr>
                <w:rFonts w:hint="eastAsia" w:ascii="宋体" w:hAnsi="宋体" w:cs="宋体"/>
                <w:b/>
                <w:bCs/>
                <w:kern w:val="0"/>
                <w:sz w:val="24"/>
                <w:lang w:val="en-US" w:eastAsia="zh-CN"/>
              </w:rPr>
              <w:t>满足得3</w:t>
            </w:r>
            <w:r>
              <w:rPr>
                <w:rFonts w:ascii="宋体" w:hAnsi="宋体" w:cs="宋体"/>
                <w:b/>
                <w:bCs/>
                <w:kern w:val="0"/>
                <w:sz w:val="24"/>
              </w:rPr>
              <w:t>分</w:t>
            </w:r>
            <w:r>
              <w:rPr>
                <w:rFonts w:hint="eastAsia" w:ascii="宋体" w:hAnsi="宋体" w:cs="宋体"/>
                <w:b/>
                <w:bCs/>
                <w:kern w:val="0"/>
                <w:sz w:val="24"/>
                <w:lang w:eastAsia="zh-CN"/>
              </w:rPr>
              <w:t>，</w:t>
            </w:r>
            <w:r>
              <w:rPr>
                <w:rFonts w:hint="eastAsia" w:ascii="宋体" w:hAnsi="宋体" w:cs="宋体"/>
                <w:b/>
                <w:bCs/>
                <w:kern w:val="0"/>
                <w:sz w:val="24"/>
                <w:lang w:val="en-US" w:eastAsia="zh-CN"/>
              </w:rPr>
              <w:t>否则不得分</w:t>
            </w:r>
            <w:r>
              <w:rPr>
                <w:rFonts w:ascii="宋体" w:hAnsi="宋体" w:cs="宋体"/>
                <w:b/>
                <w:bCs/>
                <w:kern w:val="0"/>
                <w:sz w:val="24"/>
              </w:rPr>
              <w:t>）</w:t>
            </w:r>
          </w:p>
        </w:tc>
        <w:tc>
          <w:tcPr>
            <w:tcW w:w="795" w:type="dxa"/>
            <w:shd w:val="clear" w:color="auto" w:fill="auto"/>
            <w:noWrap/>
            <w:vAlign w:val="center"/>
          </w:tcPr>
          <w:p w14:paraId="456F9E6C">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9</w:t>
            </w:r>
          </w:p>
        </w:tc>
        <w:tc>
          <w:tcPr>
            <w:tcW w:w="1531" w:type="dxa"/>
            <w:shd w:val="clear" w:color="auto" w:fill="auto"/>
            <w:vAlign w:val="center"/>
          </w:tcPr>
          <w:p w14:paraId="5E26FF2D">
            <w:pPr>
              <w:widowControl/>
              <w:spacing w:line="360" w:lineRule="auto"/>
              <w:jc w:val="center"/>
              <w:rPr>
                <w:rFonts w:ascii="宋体" w:hAnsi="宋体" w:cs="宋体"/>
                <w:kern w:val="0"/>
                <w:sz w:val="24"/>
              </w:rPr>
            </w:pPr>
            <w:r>
              <w:rPr>
                <w:rFonts w:hint="eastAsia" w:ascii="宋体" w:hAnsi="宋体" w:cs="宋体"/>
                <w:b/>
                <w:bCs/>
                <w:kern w:val="0"/>
                <w:sz w:val="24"/>
              </w:rPr>
              <w:t>功能演示及讲解（不提供功能演示此项不得分）</w:t>
            </w:r>
          </w:p>
        </w:tc>
      </w:tr>
      <w:tr w14:paraId="5547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shd w:val="clear" w:color="auto" w:fill="auto"/>
            <w:noWrap/>
            <w:vAlign w:val="center"/>
          </w:tcPr>
          <w:p w14:paraId="485D5864">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w:t>
            </w:r>
          </w:p>
        </w:tc>
        <w:tc>
          <w:tcPr>
            <w:tcW w:w="6149" w:type="dxa"/>
            <w:shd w:val="clear" w:color="auto" w:fill="auto"/>
            <w:vAlign w:val="center"/>
          </w:tcPr>
          <w:p w14:paraId="508A5A24">
            <w:pPr>
              <w:widowControl/>
              <w:adjustRightInd/>
              <w:spacing w:line="360" w:lineRule="auto"/>
              <w:jc w:val="left"/>
              <w:rPr>
                <w:rFonts w:hint="eastAsia" w:ascii="宋体" w:hAnsi="宋体" w:cs="宋体"/>
                <w:kern w:val="0"/>
                <w:sz w:val="24"/>
              </w:rPr>
            </w:pPr>
            <w:r>
              <w:rPr>
                <w:rFonts w:hint="eastAsia" w:ascii="宋体" w:hAnsi="宋体" w:cs="宋体"/>
                <w:kern w:val="0"/>
                <w:sz w:val="24"/>
              </w:rPr>
              <w:t>有效投标报价的最低价作为评标基准价，其最低报价为满分；按［投标报价得分=（评标基准价/投标报价）*10］的计算公式计算。</w:t>
            </w:r>
            <w:r>
              <w:rPr>
                <w:rFonts w:hint="eastAsia" w:ascii="宋体" w:hAnsi="宋体" w:cs="宋体"/>
                <w:kern w:val="0"/>
                <w:sz w:val="24"/>
              </w:rPr>
              <w:br w:type="textWrapping"/>
            </w:r>
            <w:r>
              <w:rPr>
                <w:rFonts w:hint="eastAsia" w:ascii="宋体" w:hAnsi="宋体" w:cs="宋体"/>
                <w:kern w:val="0"/>
                <w:sz w:val="24"/>
              </w:rPr>
              <w:t>评标过程中，不得去掉报价中的最高报价和最低报价。</w:t>
            </w:r>
            <w:r>
              <w:rPr>
                <w:rFonts w:hint="eastAsia" w:ascii="宋体" w:hAnsi="宋体" w:cs="宋体"/>
                <w:kern w:val="0"/>
                <w:sz w:val="24"/>
              </w:rPr>
              <w:br w:type="textWrapping"/>
            </w:r>
            <w:r>
              <w:rPr>
                <w:rFonts w:hint="eastAsia" w:ascii="宋体" w:hAnsi="宋体" w:cs="宋体"/>
                <w:kern w:val="0"/>
                <w:sz w:val="24"/>
              </w:rPr>
              <w:t>因落实政府采购政策需要进行价格调整的，以调整后的价格计算评标基准价和投标报价。</w:t>
            </w:r>
          </w:p>
          <w:p w14:paraId="0562E7E2">
            <w:pPr>
              <w:widowControl/>
              <w:spacing w:line="360" w:lineRule="auto"/>
              <w:jc w:val="left"/>
              <w:rPr>
                <w:rFonts w:ascii="宋体" w:hAnsi="宋体" w:cs="宋体"/>
                <w:kern w:val="0"/>
                <w:sz w:val="24"/>
              </w:rPr>
            </w:pPr>
            <w:r>
              <w:rPr>
                <w:rFonts w:hint="eastAsia" w:ascii="宋体" w:hAnsi="宋体" w:cs="仿宋_GB2312"/>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仿宋_GB2312"/>
                <w:sz w:val="24"/>
                <w:highlight w:val="none"/>
                <w:lang w:val="en-US" w:eastAsia="zh-CN"/>
              </w:rPr>
              <w:t>1</w:t>
            </w:r>
            <w:r>
              <w:rPr>
                <w:rFonts w:hint="eastAsia" w:ascii="宋体" w:hAnsi="宋体" w:cs="仿宋_GB2312"/>
                <w:sz w:val="24"/>
                <w:highlight w:val="none"/>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仿宋_GB2312"/>
                <w:sz w:val="24"/>
                <w:highlight w:val="none"/>
                <w:lang w:val="en-US" w:eastAsia="zh-CN"/>
              </w:rPr>
              <w:t>4</w:t>
            </w:r>
            <w:r>
              <w:rPr>
                <w:rFonts w:hint="eastAsia" w:ascii="宋体" w:hAnsi="宋体" w:cs="仿宋_GB2312"/>
                <w:sz w:val="24"/>
                <w:highlight w:val="none"/>
              </w:rPr>
              <w:t>%的扣除，用扣除后的价格参加评审。</w:t>
            </w:r>
          </w:p>
        </w:tc>
        <w:tc>
          <w:tcPr>
            <w:tcW w:w="795" w:type="dxa"/>
            <w:shd w:val="clear" w:color="auto" w:fill="auto"/>
            <w:noWrap/>
            <w:vAlign w:val="center"/>
          </w:tcPr>
          <w:p w14:paraId="4E1D543C">
            <w:pPr>
              <w:widowControl/>
              <w:spacing w:line="360" w:lineRule="auto"/>
              <w:jc w:val="center"/>
              <w:rPr>
                <w:rFonts w:ascii="宋体" w:hAnsi="宋体" w:cs="宋体"/>
                <w:kern w:val="0"/>
                <w:sz w:val="24"/>
              </w:rPr>
            </w:pPr>
            <w:r>
              <w:rPr>
                <w:rFonts w:hint="eastAsia" w:ascii="宋体" w:hAnsi="宋体" w:cs="宋体"/>
                <w:kern w:val="0"/>
                <w:sz w:val="24"/>
              </w:rPr>
              <w:t>10</w:t>
            </w:r>
          </w:p>
        </w:tc>
        <w:tc>
          <w:tcPr>
            <w:tcW w:w="1531" w:type="dxa"/>
            <w:shd w:val="clear" w:color="auto" w:fill="auto"/>
            <w:vAlign w:val="center"/>
          </w:tcPr>
          <w:p w14:paraId="489805ED">
            <w:pPr>
              <w:widowControl/>
              <w:spacing w:line="360" w:lineRule="auto"/>
              <w:jc w:val="center"/>
              <w:rPr>
                <w:rFonts w:ascii="宋体" w:hAnsi="宋体" w:cs="宋体"/>
                <w:kern w:val="0"/>
                <w:sz w:val="24"/>
              </w:rPr>
            </w:pPr>
            <w:r>
              <w:rPr>
                <w:rFonts w:hint="eastAsia" w:ascii="宋体" w:hAnsi="宋体" w:cs="宋体"/>
                <w:kern w:val="0"/>
                <w:sz w:val="24"/>
              </w:rPr>
              <w:t>/</w:t>
            </w:r>
          </w:p>
        </w:tc>
      </w:tr>
    </w:tbl>
    <w:p w14:paraId="6D4A8372">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0"/>
          <w:szCs w:val="20"/>
          <w:highlight w:val="none"/>
          <w:shd w:val="clear" w:color="auto" w:fill="FFFFFF"/>
        </w:rPr>
        <w:t>*</w:t>
      </w:r>
      <w:r>
        <w:rPr>
          <w:rFonts w:hint="eastAsia" w:cs="宋体" w:asciiTheme="minorEastAsia" w:hAnsiTheme="minorEastAsia" w:eastAsiaTheme="minorEastAsia"/>
          <w:b/>
          <w:sz w:val="24"/>
          <w:highlight w:val="none"/>
        </w:rPr>
        <w:t>备注：</w:t>
      </w:r>
      <w:r>
        <w:rPr>
          <w:rFonts w:hint="eastAsia" w:cs="宋体" w:asciiTheme="minorEastAsia" w:hAnsiTheme="minorEastAsia" w:eastAsiaTheme="minorEastAsia"/>
          <w:sz w:val="24"/>
          <w:highlight w:val="none"/>
        </w:rPr>
        <w:t>投标人编制投标文件（商务技术文件部分）时，建议按此目录（序号和内容）提供评标标准相应的商务技术资料。 </w:t>
      </w:r>
    </w:p>
    <w:p w14:paraId="1402F802">
      <w:pPr>
        <w:snapToGrid w:val="0"/>
        <w:spacing w:line="360" w:lineRule="auto"/>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32"/>
          <w:highlight w:val="none"/>
        </w:rPr>
        <w:t>一、评标方法</w:t>
      </w:r>
    </w:p>
    <w:p w14:paraId="3E357035">
      <w:pPr>
        <w:adjustRightInd/>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1.本项目采用综合评分法。</w:t>
      </w:r>
      <w:r>
        <w:rPr>
          <w:rFonts w:hint="eastAsia" w:cs="宋体" w:asciiTheme="minorEastAsia" w:hAnsiTheme="minorEastAsia" w:eastAsiaTheme="minorEastAsia"/>
          <w:kern w:val="0"/>
          <w:sz w:val="24"/>
          <w:highlight w:val="none"/>
        </w:rPr>
        <w:t>综合评分法，是指投标文件满足招标文件全部实质性要求，且按照评审因素的量化指标评审得分最高的投标人为中标候选人的评标方法。</w:t>
      </w:r>
    </w:p>
    <w:p w14:paraId="27EA39FF">
      <w:pPr>
        <w:adjustRightInd/>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b/>
          <w:sz w:val="32"/>
          <w:highlight w:val="none"/>
        </w:rPr>
        <w:t>二、评标标准</w:t>
      </w:r>
    </w:p>
    <w:p w14:paraId="3ACD39E9">
      <w:pPr>
        <w:spacing w:line="360" w:lineRule="auto"/>
        <w:ind w:firstLine="472" w:firstLineChars="196"/>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评标标准：</w:t>
      </w:r>
      <w:r>
        <w:rPr>
          <w:rFonts w:hint="eastAsia" w:cs="宋体" w:asciiTheme="minorEastAsia" w:hAnsiTheme="minorEastAsia" w:eastAsiaTheme="minorEastAsia"/>
          <w:kern w:val="0"/>
          <w:sz w:val="24"/>
          <w:highlight w:val="none"/>
        </w:rPr>
        <w:t>见评标办法前附表。</w:t>
      </w:r>
    </w:p>
    <w:p w14:paraId="357E0546">
      <w:pPr>
        <w:spacing w:line="360" w:lineRule="auto"/>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三、评标程序</w:t>
      </w:r>
    </w:p>
    <w:p w14:paraId="2CDF0B70">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3.1符合性审查。</w:t>
      </w:r>
      <w:r>
        <w:rPr>
          <w:rFonts w:hint="eastAsia" w:cs="宋体" w:asciiTheme="minorEastAsia" w:hAnsiTheme="minorEastAsia" w:eastAsiaTheme="minorEastAsia"/>
          <w:kern w:val="0"/>
          <w:sz w:val="24"/>
          <w:highlight w:val="none"/>
        </w:rPr>
        <w:t>评标委员会应当对符合资格的投标人的投标文件进行符合性审查，以确定其是否满足招标文件的实质性要求。不满足招标文件的实质性要求的，投标无效。</w:t>
      </w:r>
    </w:p>
    <w:p w14:paraId="2AEE3C5D">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3.2 比较与评价。</w:t>
      </w:r>
      <w:r>
        <w:rPr>
          <w:rFonts w:hint="eastAsia" w:cs="宋体" w:asciiTheme="minorEastAsia" w:hAnsiTheme="minorEastAsia" w:eastAsiaTheme="minorEastAsia"/>
          <w:kern w:val="0"/>
          <w:sz w:val="24"/>
          <w:highlight w:val="none"/>
        </w:rPr>
        <w:t>评标委员会应当按照招标文件中规定的评标方法和标准，对符合性审查合格的投标文件进行商务和技术评估，综合比较与评价。</w:t>
      </w:r>
    </w:p>
    <w:p w14:paraId="211B70BB">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3.3汇总商务技术得分。</w:t>
      </w:r>
      <w:r>
        <w:rPr>
          <w:rFonts w:hint="eastAsia" w:cs="宋体" w:asciiTheme="minorEastAsia" w:hAnsiTheme="minorEastAsia" w:eastAsiaTheme="minorEastAsia"/>
          <w:kern w:val="0"/>
          <w:sz w:val="24"/>
          <w:highlight w:val="none"/>
        </w:rPr>
        <w:t>评标委员会各成员应当独立对每个投标人的商务和技术文件进行评价，并汇总商务技术得分情况。</w:t>
      </w:r>
    </w:p>
    <w:p w14:paraId="3C7FDC88">
      <w:pPr>
        <w:spacing w:line="360" w:lineRule="auto"/>
        <w:ind w:firstLine="472" w:firstLineChars="196"/>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3.4报价评审。</w:t>
      </w:r>
    </w:p>
    <w:p w14:paraId="07A7D105">
      <w:pPr>
        <w:pStyle w:val="129"/>
        <w:spacing w:before="0"/>
        <w:ind w:firstLine="508" w:firstLineChars="212"/>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3.4.1投标文件报价出现前后不一致的，按照下列规定修正：</w:t>
      </w:r>
    </w:p>
    <w:p w14:paraId="0A5746D4">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3.4.1.1投标文件中开标一览表(报价表)内容与投标文件中相应内容不一致的，以开标一览表(报价表)为准;</w:t>
      </w:r>
    </w:p>
    <w:p w14:paraId="3D16AC47">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3.4.1.2大写金额和小写金额不一致的，以大写金额为准;</w:t>
      </w:r>
    </w:p>
    <w:p w14:paraId="417F12FE">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3.4.1.3单价金额小数点或者百分比有明显错位的，以开标一览表的总价为准，并修改单价;</w:t>
      </w:r>
    </w:p>
    <w:p w14:paraId="3A737521">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3.4.1.4总价金额与按单价汇总金额不一致的，以单价金额计算结果为准。</w:t>
      </w:r>
    </w:p>
    <w:p w14:paraId="68544EB7">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A9A229B">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3.4.2投标文件出现不是唯一的、有选择性投标报价的，投标无效。</w:t>
      </w:r>
    </w:p>
    <w:p w14:paraId="2488D590">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3.4.3投标报价超过招标文件中规定的预算金额或者最高限价的，投标无效。</w:t>
      </w:r>
    </w:p>
    <w:p w14:paraId="72A9854F">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3.4.4评标委员会认为投标人的报价明显低于其他通过符合性审查投标人的报价，有可能影响产品</w:t>
      </w:r>
      <w:r>
        <w:rPr>
          <w:rFonts w:hint="eastAsia" w:cs="宋体" w:asciiTheme="minorEastAsia" w:hAnsiTheme="minorEastAsia" w:eastAsiaTheme="minorEastAsia"/>
          <w:kern w:val="0"/>
          <w:szCs w:val="24"/>
          <w:highlight w:val="none"/>
          <w:lang w:eastAsia="zh-CN"/>
        </w:rPr>
        <w:t>（服务）</w:t>
      </w:r>
      <w:r>
        <w:rPr>
          <w:rFonts w:hint="eastAsia" w:cs="宋体" w:asciiTheme="minorEastAsia" w:hAnsiTheme="minorEastAsia" w:eastAsiaTheme="minorEastAsia"/>
          <w:kern w:val="0"/>
          <w:szCs w:val="24"/>
          <w:highlight w:val="none"/>
        </w:rPr>
        <w:t>质量或者不能诚信履约的，应当要求其在合理的时间内提供书面说明，必要时提交相关证明材料;投标人不能证明其报价合理性的，评标委员会应当将其作为无效投标处理。</w:t>
      </w:r>
    </w:p>
    <w:p w14:paraId="159A83F3">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3.4.5</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77D5628D">
      <w:pPr>
        <w:spacing w:line="360" w:lineRule="auto"/>
        <w:ind w:firstLine="482"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3.5排序与推荐。</w:t>
      </w:r>
      <w:r>
        <w:rPr>
          <w:rFonts w:hint="eastAsia" w:cs="宋体" w:asciiTheme="minorEastAsia" w:hAnsiTheme="minorEastAsia" w:eastAsia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F5AB13">
      <w:pPr>
        <w:spacing w:line="360" w:lineRule="auto"/>
        <w:ind w:firstLine="480" w:firstLineChars="200"/>
        <w:rPr>
          <w:rFonts w:cs="宋体" w:asciiTheme="minorEastAsia" w:hAnsiTheme="minorEastAsia" w:eastAsiaTheme="minorEastAsia"/>
          <w:b/>
          <w:kern w:val="0"/>
          <w:sz w:val="24"/>
          <w:highlight w:val="none"/>
        </w:rPr>
      </w:pPr>
      <w:r>
        <w:rPr>
          <w:rFonts w:hint="eastAsia" w:cs="宋体" w:asciiTheme="minorEastAsia" w:hAnsiTheme="minorEastAsia" w:eastAsia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A175ED">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3.6编写评标报告。</w:t>
      </w:r>
      <w:r>
        <w:rPr>
          <w:rFonts w:hint="eastAsia" w:cs="宋体" w:asciiTheme="minorEastAsia" w:hAnsiTheme="minorEastAsia" w:eastAsiaTheme="min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FB9A5E">
      <w:pPr>
        <w:widowControl/>
        <w:shd w:val="clear" w:color="auto" w:fill="FFFFFF"/>
        <w:adjustRightInd/>
        <w:spacing w:after="225" w:line="315" w:lineRule="atLeast"/>
        <w:jc w:val="left"/>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四、评标中的其他事项</w:t>
      </w:r>
    </w:p>
    <w:p w14:paraId="14A5FE2D">
      <w:pPr>
        <w:pStyle w:val="129"/>
        <w:spacing w:before="0"/>
        <w:ind w:firstLine="472" w:firstLineChars="196"/>
        <w:rPr>
          <w:rFonts w:cs="宋体" w:asciiTheme="minorEastAsia" w:hAnsiTheme="minorEastAsia" w:eastAsiaTheme="minorEastAsia"/>
          <w:kern w:val="0"/>
          <w:szCs w:val="24"/>
          <w:highlight w:val="none"/>
        </w:rPr>
      </w:pPr>
      <w:r>
        <w:rPr>
          <w:rFonts w:hint="eastAsia" w:cs="宋体" w:asciiTheme="minorEastAsia" w:hAnsiTheme="minorEastAsia" w:eastAsiaTheme="minorEastAsia"/>
          <w:b/>
          <w:kern w:val="0"/>
          <w:szCs w:val="24"/>
          <w:highlight w:val="none"/>
        </w:rPr>
        <w:t>4.1投标人澄清、说明或者补正。</w:t>
      </w:r>
      <w:r>
        <w:rPr>
          <w:rFonts w:hint="eastAsia" w:cs="宋体" w:asciiTheme="minorEastAsia" w:hAnsiTheme="minorEastAsia" w:eastAsiaTheme="minor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0B8C82">
      <w:pPr>
        <w:pStyle w:val="25"/>
        <w:spacing w:line="360" w:lineRule="auto"/>
        <w:ind w:left="954" w:leftChars="226" w:hanging="479" w:firstLineChars="0"/>
        <w:rPr>
          <w:rFonts w:cs="宋体" w:asciiTheme="minorEastAsia" w:hAnsiTheme="minorEastAsia" w:eastAsiaTheme="minorEastAsia"/>
          <w:szCs w:val="21"/>
          <w:highlight w:val="none"/>
        </w:rPr>
      </w:pPr>
      <w:r>
        <w:rPr>
          <w:rFonts w:hint="eastAsia" w:cs="宋体" w:asciiTheme="minorEastAsia" w:hAnsiTheme="minorEastAsia" w:eastAsiaTheme="minorEastAsia"/>
          <w:b/>
          <w:kern w:val="0"/>
          <w:highlight w:val="none"/>
        </w:rPr>
        <w:t>4.2投标无效。</w:t>
      </w:r>
      <w:r>
        <w:rPr>
          <w:rFonts w:hint="eastAsia" w:cs="宋体" w:asciiTheme="minorEastAsia" w:hAnsiTheme="minorEastAsia" w:eastAsiaTheme="minorEastAsia"/>
          <w:szCs w:val="21"/>
          <w:highlight w:val="none"/>
        </w:rPr>
        <w:t>有下列情形之一的，投标无效：</w:t>
      </w:r>
    </w:p>
    <w:p w14:paraId="590470DD">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4.2.1投标人不具备招标文件中规定的资格要求的（投标人未提供有效的资格文件的，视为投标人不具备招标文件中规定的资格要求）；</w:t>
      </w:r>
    </w:p>
    <w:p w14:paraId="060C01D9">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4.2.2投标文件未按照招标文件要求签署、盖章的；</w:t>
      </w:r>
    </w:p>
    <w:p w14:paraId="6515BCA9">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71C117F">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4.2.4投标文件含有采购人不能接受的附加条件的；</w:t>
      </w:r>
    </w:p>
    <w:p w14:paraId="7599092C">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4.2.5投标文件中承诺的投标有效期少于招标文件中载明的投标有效期的；</w:t>
      </w:r>
    </w:p>
    <w:p w14:paraId="779C9650">
      <w:pPr>
        <w:snapToGrid w:val="0"/>
        <w:spacing w:line="360" w:lineRule="auto"/>
        <w:ind w:firstLine="120" w:firstLineChars="5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4.2.6投标文件出现不是唯一的、有选择性投标报价的;</w:t>
      </w:r>
    </w:p>
    <w:p w14:paraId="66DB996E">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4.2.7投标报价超过招标文件中规定的预算金额或者最高限价的;</w:t>
      </w:r>
    </w:p>
    <w:p w14:paraId="6B42C142">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4.2.8报价明显低于其他通过符合性审查投标人的报价，有可能影响产品</w:t>
      </w:r>
      <w:r>
        <w:rPr>
          <w:rFonts w:hint="eastAsia" w:cs="宋体" w:asciiTheme="minorEastAsia" w:hAnsiTheme="minorEastAsia" w:eastAsiaTheme="minorEastAsia"/>
          <w:kern w:val="0"/>
          <w:sz w:val="24"/>
          <w:highlight w:val="none"/>
          <w:lang w:eastAsia="zh-CN"/>
        </w:rPr>
        <w:t>（服务）</w:t>
      </w:r>
      <w:r>
        <w:rPr>
          <w:rFonts w:hint="eastAsia" w:cs="宋体" w:asciiTheme="minorEastAsia" w:hAnsiTheme="minorEastAsia" w:eastAsiaTheme="minorEastAsia"/>
          <w:kern w:val="0"/>
          <w:sz w:val="24"/>
          <w:highlight w:val="none"/>
        </w:rPr>
        <w:t>质量或者不能诚信履约的，未能按要求提供书面说明或者提交相关证明材料，不能证明其报价合理性的;</w:t>
      </w:r>
    </w:p>
    <w:p w14:paraId="6F81BB93">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4.2.9投标人对根据修正原则修正后的报价不确认的；</w:t>
      </w:r>
    </w:p>
    <w:p w14:paraId="023F7ED8">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4.2.10投标人提供虚假材料投标的；</w:t>
      </w:r>
    </w:p>
    <w:p w14:paraId="2798D853">
      <w:pPr>
        <w:spacing w:line="360" w:lineRule="auto"/>
        <w:ind w:firstLine="240" w:firstLineChars="1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4.2.11投标人有恶意串通、妨碍其他投标人的竞争行为、损害采购人或者其他投标人的合法权益情形的；</w:t>
      </w:r>
    </w:p>
    <w:p w14:paraId="4F0C2075">
      <w:pPr>
        <w:spacing w:line="360" w:lineRule="auto"/>
        <w:ind w:firstLine="480" w:firstLineChars="20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4.2.12投标人仅提交备份投标文件，未在电子交易平台传输递交投标文件的，投标无效；</w:t>
      </w:r>
    </w:p>
    <w:p w14:paraId="07C7267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4.2.13投标人未提供样品或提供的样品不满足采购需求实质性条件的，投标无效；</w:t>
      </w:r>
    </w:p>
    <w:p w14:paraId="2DBFCBDF">
      <w:pPr>
        <w:pStyle w:val="3"/>
        <w:pageBreakBefore w:val="0"/>
        <w:widowControl w:val="0"/>
        <w:kinsoku/>
        <w:wordWrap/>
        <w:overflowPunct/>
        <w:topLinePunct w:val="0"/>
        <w:autoSpaceDE/>
        <w:autoSpaceDN/>
        <w:bidi w:val="0"/>
        <w:adjustRightInd w:val="0"/>
        <w:snapToGrid w:val="0"/>
        <w:ind w:left="430" w:leftChars="205" w:firstLine="0" w:firstLineChars="0"/>
        <w:textAlignment w:val="auto"/>
        <w:rPr>
          <w:rFonts w:hint="eastAsia"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b w:val="0"/>
          <w:bCs w:val="0"/>
          <w:kern w:val="0"/>
          <w:sz w:val="24"/>
          <w:szCs w:val="24"/>
          <w:highlight w:val="none"/>
          <w:lang w:val="en-US"/>
        </w:rPr>
        <w:t>4.2.1</w:t>
      </w:r>
      <w:r>
        <w:rPr>
          <w:rFonts w:hint="default" w:cs="宋体" w:asciiTheme="minorEastAsia" w:hAnsiTheme="minorEastAsia" w:eastAsiaTheme="minorEastAsia"/>
          <w:b w:val="0"/>
          <w:bCs w:val="0"/>
          <w:kern w:val="0"/>
          <w:sz w:val="24"/>
          <w:szCs w:val="24"/>
          <w:highlight w:val="none"/>
          <w:lang w:val="en-US"/>
        </w:rPr>
        <w:t>4</w:t>
      </w:r>
      <w:r>
        <w:rPr>
          <w:rFonts w:hint="eastAsia" w:cs="宋体" w:asciiTheme="minorEastAsia" w:hAnsiTheme="minorEastAsia" w:eastAsiaTheme="minorEastAsia"/>
          <w:b w:val="0"/>
          <w:bCs w:val="0"/>
          <w:kern w:val="0"/>
          <w:sz w:val="24"/>
          <w:szCs w:val="24"/>
          <w:highlight w:val="none"/>
          <w:lang w:val="en-US"/>
        </w:rPr>
        <w:t>投标文件不满足招标文件的其它实质性要求的；</w:t>
      </w:r>
    </w:p>
    <w:p w14:paraId="12EC7C03">
      <w:pPr>
        <w:pStyle w:val="3"/>
        <w:keepNext/>
        <w:keepLines/>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cs="宋体" w:asciiTheme="minorEastAsia" w:hAnsiTheme="minorEastAsia" w:eastAsiaTheme="minorEastAsia"/>
          <w:b w:val="0"/>
          <w:bCs w:val="0"/>
          <w:kern w:val="0"/>
          <w:sz w:val="24"/>
          <w:szCs w:val="24"/>
          <w:highlight w:val="none"/>
          <w:lang w:val="en-US" w:eastAsia="zh-CN" w:bidi="ar-SA"/>
        </w:rPr>
      </w:pPr>
      <w:r>
        <w:rPr>
          <w:rFonts w:hint="eastAsia" w:cs="宋体" w:asciiTheme="minorEastAsia" w:hAnsiTheme="minorEastAsia" w:eastAsiaTheme="minorEastAsia"/>
          <w:b w:val="0"/>
          <w:bCs w:val="0"/>
          <w:kern w:val="0"/>
          <w:sz w:val="24"/>
          <w:szCs w:val="24"/>
          <w:highlight w:val="none"/>
          <w:lang w:val="en-US" w:eastAsia="zh-CN" w:bidi="ar-SA"/>
        </w:rPr>
        <w:t>4.2.1</w:t>
      </w:r>
      <w:r>
        <w:rPr>
          <w:rFonts w:hint="default" w:cs="宋体" w:asciiTheme="minorEastAsia" w:hAnsiTheme="minorEastAsia" w:eastAsiaTheme="minorEastAsia"/>
          <w:b w:val="0"/>
          <w:bCs w:val="0"/>
          <w:kern w:val="0"/>
          <w:sz w:val="24"/>
          <w:szCs w:val="24"/>
          <w:highlight w:val="none"/>
          <w:lang w:val="en-US" w:eastAsia="zh-CN" w:bidi="ar-SA"/>
        </w:rPr>
        <w:t>5</w:t>
      </w:r>
      <w:r>
        <w:rPr>
          <w:rFonts w:hint="eastAsia" w:cs="宋体" w:asciiTheme="minorEastAsia" w:hAnsiTheme="minorEastAsia" w:eastAsiaTheme="minorEastAsia"/>
          <w:b w:val="0"/>
          <w:bCs w:val="0"/>
          <w:kern w:val="0"/>
          <w:sz w:val="24"/>
          <w:szCs w:val="24"/>
          <w:highlight w:val="none"/>
          <w:lang w:val="en-US" w:eastAsia="zh-CN" w:bidi="ar-SA"/>
        </w:rPr>
        <w:t>法律、法规、规章（适用本市的）及省级以上规范性文件（适用本市的）规定的其他无效情形。</w:t>
      </w:r>
    </w:p>
    <w:p w14:paraId="45D49497">
      <w:pPr>
        <w:pStyle w:val="25"/>
        <w:snapToGrid w:val="0"/>
        <w:spacing w:line="360" w:lineRule="auto"/>
        <w:ind w:firstLine="472" w:firstLineChars="196"/>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5.废标。</w:t>
      </w:r>
      <w:r>
        <w:rPr>
          <w:rFonts w:hint="eastAsia" w:cs="宋体" w:asciiTheme="minorEastAsia" w:hAnsiTheme="minorEastAsia" w:eastAsiaTheme="minorEastAsia"/>
          <w:highlight w:val="none"/>
        </w:rPr>
        <w:t>根据《中华人民共和国政府采购法》第三十六条之规定，在采购中，出现下列情形之一的，应予废标：</w:t>
      </w:r>
    </w:p>
    <w:p w14:paraId="7C4407CB">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5.1符合专业条件的供应商或者对招标文件作实质响应的供应商不足3家的；</w:t>
      </w:r>
    </w:p>
    <w:p w14:paraId="08CAD771">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5.2出现影响采购公正的违法、违规行为的；</w:t>
      </w:r>
    </w:p>
    <w:p w14:paraId="531D8EFC">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5.3投标人的报价均超过了采购预算，采购人不能支付的；</w:t>
      </w:r>
    </w:p>
    <w:p w14:paraId="7E6D6635">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5.4因重大变故，采购任务取消的。</w:t>
      </w:r>
    </w:p>
    <w:p w14:paraId="7BA60333">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废标后，采购机构应当将废标理由通知所有投标人。</w:t>
      </w:r>
    </w:p>
    <w:p w14:paraId="181B3C70">
      <w:pPr>
        <w:pStyle w:val="25"/>
        <w:snapToGrid w:val="0"/>
        <w:spacing w:line="360" w:lineRule="auto"/>
        <w:ind w:firstLine="590" w:firstLineChars="245"/>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6.修改招标文件，重新组织采购活动。</w:t>
      </w:r>
      <w:r>
        <w:rPr>
          <w:rFonts w:hint="eastAsia" w:cs="宋体" w:asciiTheme="minorEastAsia" w:hAnsiTheme="minorEastAsia" w:eastAsiaTheme="minorEastAsia"/>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9293717">
      <w:pPr>
        <w:pStyle w:val="25"/>
        <w:snapToGrid w:val="0"/>
        <w:spacing w:line="360" w:lineRule="auto"/>
        <w:ind w:firstLine="482"/>
        <w:rPr>
          <w:rFonts w:cs="宋体" w:asciiTheme="minorEastAsia" w:hAnsiTheme="minorEastAsia" w:eastAsiaTheme="minorEastAsia"/>
          <w:highlight w:val="none"/>
        </w:rPr>
      </w:pPr>
      <w:r>
        <w:rPr>
          <w:rFonts w:hint="eastAsia" w:cs="宋体" w:asciiTheme="minorEastAsia" w:hAnsiTheme="minorEastAsia" w:eastAsiaTheme="minorEastAsia"/>
          <w:b/>
          <w:kern w:val="0"/>
          <w:highlight w:val="none"/>
        </w:rPr>
        <w:t>7.重新开展采购。</w:t>
      </w:r>
      <w:r>
        <w:rPr>
          <w:rFonts w:hint="eastAsia" w:cs="宋体" w:asciiTheme="minorEastAsia" w:hAnsiTheme="minorEastAsia" w:eastAsiaTheme="minorEastAsia"/>
          <w:highlight w:val="none"/>
        </w:rPr>
        <w:t>有政府采购法第七十一条、第七十二条规定的违法行为之一，影响或者可能影响中标结果的，依照下列规定处理：</w:t>
      </w:r>
    </w:p>
    <w:p w14:paraId="6342F81F">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7.1未确定中标供应商的，终止本次政府采购活动，重新开展政府采购活动。</w:t>
      </w:r>
    </w:p>
    <w:p w14:paraId="092B31A8">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7.2已确定中标供应商但尚未签订政府采购合同的，中标结果无效，从合格的中标候选人中另行确定中标供应商；没有合格的中标候选人的，重新开展政府采购活动。</w:t>
      </w:r>
    </w:p>
    <w:p w14:paraId="6A068109">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7.3政府采购合同已签订但尚未履行的，撤销合同，从合格的中标候选人中另行确定中标供应商；没有合格的中标候选人的，重新开展政府采购活动。</w:t>
      </w:r>
    </w:p>
    <w:p w14:paraId="2D69D262">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7.4政府采购合同已经履行，给采购人、供应商造成损失的，由责任人承担赔偿责任。</w:t>
      </w:r>
    </w:p>
    <w:p w14:paraId="780D4611">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ED5E418">
      <w:pPr>
        <w:pStyle w:val="25"/>
        <w:snapToGrid w:val="0"/>
        <w:spacing w:line="360" w:lineRule="auto"/>
        <w:ind w:firstLine="0" w:firstLineChars="0"/>
        <w:rPr>
          <w:rFonts w:cs="宋体" w:asciiTheme="minorEastAsia" w:hAnsiTheme="minorEastAsia" w:eastAsiaTheme="minorEastAsia"/>
          <w:highlight w:val="none"/>
        </w:rPr>
      </w:pPr>
    </w:p>
    <w:bookmarkEnd w:id="27"/>
    <w:p w14:paraId="4F82B5A6">
      <w:pPr>
        <w:widowControl/>
        <w:adjustRightInd/>
        <w:jc w:val="left"/>
        <w:rPr>
          <w:rFonts w:cs="宋体" w:asciiTheme="minorEastAsia" w:hAnsiTheme="minorEastAsia" w:eastAsiaTheme="minorEastAsia"/>
          <w:b/>
          <w:sz w:val="36"/>
          <w:szCs w:val="36"/>
          <w:highlight w:val="none"/>
        </w:rPr>
      </w:pPr>
      <w:bookmarkStart w:id="423" w:name="第五部分"/>
      <w:bookmarkStart w:id="424" w:name="_Toc86217003"/>
      <w:r>
        <w:rPr>
          <w:rFonts w:cs="宋体" w:asciiTheme="minorEastAsia" w:hAnsiTheme="minorEastAsia" w:eastAsiaTheme="minorEastAsia"/>
          <w:b/>
          <w:sz w:val="36"/>
          <w:szCs w:val="36"/>
          <w:highlight w:val="none"/>
        </w:rPr>
        <w:br w:type="page"/>
      </w:r>
    </w:p>
    <w:p w14:paraId="05846E86">
      <w:pPr>
        <w:spacing w:line="360" w:lineRule="auto"/>
        <w:jc w:val="center"/>
        <w:outlineLvl w:val="0"/>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第</w:t>
      </w:r>
      <w:r>
        <w:rPr>
          <w:rFonts w:hint="eastAsia" w:ascii="宋体" w:hAnsi="宋体" w:eastAsia="宋体" w:cs="仿宋_GB2312"/>
          <w:b/>
          <w:color w:val="auto"/>
          <w:sz w:val="36"/>
          <w:szCs w:val="36"/>
          <w:highlight w:val="none"/>
          <w:lang w:eastAsia="zh-CN"/>
        </w:rPr>
        <w:t>五</w:t>
      </w:r>
      <w:r>
        <w:rPr>
          <w:rFonts w:hint="eastAsia" w:ascii="宋体" w:hAnsi="宋体" w:eastAsia="宋体" w:cs="仿宋_GB2312"/>
          <w:b/>
          <w:color w:val="auto"/>
          <w:sz w:val="36"/>
          <w:szCs w:val="36"/>
          <w:highlight w:val="none"/>
        </w:rPr>
        <w:t>部分  拟签订的合同文本</w:t>
      </w:r>
    </w:p>
    <w:p w14:paraId="6A60F659">
      <w:pPr>
        <w:spacing w:line="360" w:lineRule="auto"/>
        <w:rPr>
          <w:rFonts w:ascii="宋体" w:hAnsi="宋体" w:eastAsia="宋体"/>
          <w:color w:val="auto"/>
          <w:sz w:val="24"/>
          <w:highlight w:val="none"/>
        </w:rPr>
      </w:pPr>
    </w:p>
    <w:p w14:paraId="02A465BD">
      <w:pPr>
        <w:spacing w:line="360" w:lineRule="auto"/>
        <w:rPr>
          <w:rFonts w:ascii="宋体" w:hAnsi="宋体" w:eastAsia="宋体"/>
          <w:color w:val="auto"/>
          <w:sz w:val="24"/>
          <w:highlight w:val="none"/>
          <w:u w:val="single"/>
        </w:rPr>
      </w:pPr>
      <w:r>
        <w:rPr>
          <w:rFonts w:hint="eastAsia" w:ascii="宋体" w:hAnsi="宋体" w:eastAsia="宋体"/>
          <w:color w:val="auto"/>
          <w:sz w:val="24"/>
          <w:highlight w:val="none"/>
        </w:rPr>
        <w:t>合同编号：</w:t>
      </w:r>
      <w:r>
        <w:rPr>
          <w:rFonts w:hint="eastAsia" w:ascii="宋体" w:hAnsi="宋体" w:eastAsia="宋体"/>
          <w:color w:val="auto"/>
          <w:sz w:val="24"/>
          <w:highlight w:val="none"/>
          <w:u w:val="single"/>
        </w:rPr>
        <w:t xml:space="preserve">           </w:t>
      </w:r>
    </w:p>
    <w:p w14:paraId="12F297F2">
      <w:pPr>
        <w:spacing w:line="360" w:lineRule="auto"/>
        <w:rPr>
          <w:rFonts w:ascii="宋体" w:hAnsi="宋体" w:eastAsia="宋体"/>
          <w:color w:val="auto"/>
          <w:sz w:val="24"/>
          <w:highlight w:val="none"/>
          <w:u w:val="single"/>
        </w:rPr>
      </w:pPr>
    </w:p>
    <w:p w14:paraId="601DD7CD">
      <w:pPr>
        <w:pStyle w:val="700"/>
        <w:spacing w:line="360" w:lineRule="auto"/>
        <w:ind w:leftChars="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772846C2">
      <w:pPr>
        <w:pStyle w:val="700"/>
        <w:ind w:firstLine="2843" w:firstLineChars="1180"/>
        <w:rPr>
          <w:rFonts w:ascii="宋体" w:hAnsi="宋体" w:cs="宋体"/>
          <w:b/>
          <w:szCs w:val="24"/>
        </w:rPr>
      </w:pPr>
      <w:r>
        <w:rPr>
          <w:rFonts w:hint="eastAsia" w:ascii="宋体" w:hAnsi="宋体" w:cs="宋体"/>
          <w:b/>
          <w:szCs w:val="24"/>
        </w:rPr>
        <w:t>第一部分 合同书</w:t>
      </w:r>
    </w:p>
    <w:p w14:paraId="29D6A639">
      <w:pPr>
        <w:pStyle w:val="700"/>
        <w:spacing w:line="360" w:lineRule="auto"/>
        <w:rPr>
          <w:rFonts w:ascii="宋体" w:hAnsi="宋体" w:eastAsia="宋体"/>
          <w:color w:val="auto"/>
          <w:szCs w:val="24"/>
          <w:highlight w:val="none"/>
        </w:rPr>
      </w:pPr>
    </w:p>
    <w:p w14:paraId="68661E1E">
      <w:pPr>
        <w:pStyle w:val="700"/>
        <w:spacing w:line="360" w:lineRule="auto"/>
        <w:rPr>
          <w:rFonts w:ascii="宋体" w:hAnsi="宋体" w:eastAsia="宋体"/>
          <w:color w:val="auto"/>
          <w:szCs w:val="24"/>
          <w:highlight w:val="none"/>
        </w:rPr>
      </w:pPr>
    </w:p>
    <w:p w14:paraId="34A6875A">
      <w:pPr>
        <w:spacing w:before="120" w:line="360" w:lineRule="auto"/>
        <w:rPr>
          <w:rFonts w:ascii="宋体" w:hAnsi="宋体" w:eastAsia="宋体"/>
          <w:color w:val="auto"/>
          <w:sz w:val="24"/>
          <w:highlight w:val="none"/>
        </w:rPr>
      </w:pPr>
    </w:p>
    <w:p w14:paraId="2A7A575D">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项目名称：</w:t>
      </w:r>
      <w:r>
        <w:rPr>
          <w:rFonts w:hint="eastAsia" w:ascii="宋体" w:hAnsi="宋体"/>
          <w:color w:val="auto"/>
          <w:sz w:val="24"/>
          <w:highlight w:val="none"/>
          <w:u w:val="single"/>
          <w:lang w:eastAsia="zh-CN"/>
        </w:rPr>
        <w:t>杭州市公安局西湖区分局看守所智能行为分析系统项目</w:t>
      </w:r>
    </w:p>
    <w:p w14:paraId="3CF2B337">
      <w:pPr>
        <w:pStyle w:val="597"/>
        <w:spacing w:before="120" w:line="360" w:lineRule="auto"/>
        <w:ind w:firstLine="960" w:firstLineChars="400"/>
        <w:rPr>
          <w:rFonts w:hint="eastAsia" w:ascii="宋体" w:hAnsi="宋体" w:eastAsia="宋体"/>
          <w:color w:val="auto"/>
          <w:szCs w:val="24"/>
          <w:highlight w:val="none"/>
          <w:lang w:eastAsia="zh-CN"/>
        </w:rPr>
      </w:pPr>
      <w:r>
        <w:rPr>
          <w:rFonts w:hint="eastAsia" w:ascii="宋体" w:hAnsi="宋体" w:eastAsia="宋体"/>
          <w:color w:val="auto"/>
          <w:szCs w:val="24"/>
          <w:highlight w:val="none"/>
          <w:lang w:eastAsia="zh-CN"/>
        </w:rPr>
        <w:t>项目编号：</w:t>
      </w:r>
      <w:r>
        <w:rPr>
          <w:rFonts w:hint="eastAsia" w:ascii="宋体" w:hAnsi="宋体" w:eastAsia="宋体"/>
          <w:color w:val="auto"/>
          <w:szCs w:val="24"/>
          <w:highlight w:val="none"/>
          <w:u w:val="single"/>
          <w:lang w:eastAsia="zh-CN"/>
        </w:rPr>
        <w:t>XHZFCG-2025-G-09</w:t>
      </w:r>
      <w:r>
        <w:rPr>
          <w:rFonts w:hint="eastAsia" w:ascii="宋体" w:hAnsi="宋体" w:eastAsia="宋体"/>
          <w:color w:val="auto"/>
          <w:sz w:val="24"/>
          <w:highlight w:val="none"/>
          <w:u w:val="single"/>
        </w:rPr>
        <w:t xml:space="preserve">                   </w:t>
      </w:r>
    </w:p>
    <w:p w14:paraId="05A9ADD0">
      <w:pPr>
        <w:pStyle w:val="597"/>
        <w:spacing w:before="120" w:line="360" w:lineRule="auto"/>
        <w:ind w:firstLine="960" w:firstLineChars="400"/>
        <w:rPr>
          <w:rFonts w:hint="eastAsia" w:ascii="宋体" w:hAnsi="宋体" w:eastAsia="宋体"/>
          <w:color w:val="auto"/>
          <w:szCs w:val="24"/>
          <w:highlight w:val="none"/>
          <w:lang w:eastAsia="zh-CN"/>
        </w:rPr>
      </w:pPr>
    </w:p>
    <w:p w14:paraId="188FAFDF">
      <w:pPr>
        <w:spacing w:line="360" w:lineRule="auto"/>
        <w:rPr>
          <w:rFonts w:ascii="宋体" w:hAnsi="宋体" w:eastAsia="宋体"/>
          <w:color w:val="auto"/>
          <w:sz w:val="24"/>
          <w:highlight w:val="none"/>
        </w:rPr>
      </w:pPr>
    </w:p>
    <w:p w14:paraId="4BD28EDD">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甲方：</w:t>
      </w:r>
      <w:r>
        <w:rPr>
          <w:rFonts w:hint="eastAsia" w:ascii="宋体" w:hAnsi="宋体" w:eastAsia="宋体"/>
          <w:color w:val="auto"/>
          <w:sz w:val="24"/>
          <w:highlight w:val="none"/>
          <w:u w:val="single"/>
        </w:rPr>
        <w:t xml:space="preserve">                                       </w:t>
      </w:r>
    </w:p>
    <w:p w14:paraId="350740A3">
      <w:pPr>
        <w:spacing w:before="120" w:line="360" w:lineRule="auto"/>
        <w:rPr>
          <w:rFonts w:ascii="宋体" w:hAnsi="宋体" w:eastAsia="宋体"/>
          <w:color w:val="auto"/>
          <w:sz w:val="24"/>
          <w:highlight w:val="none"/>
        </w:rPr>
      </w:pPr>
    </w:p>
    <w:p w14:paraId="73DB0B8B">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乙方：</w:t>
      </w:r>
      <w:r>
        <w:rPr>
          <w:rFonts w:hint="eastAsia" w:ascii="宋体" w:hAnsi="宋体" w:eastAsia="宋体"/>
          <w:color w:val="auto"/>
          <w:sz w:val="24"/>
          <w:highlight w:val="none"/>
          <w:u w:val="single"/>
        </w:rPr>
        <w:t xml:space="preserve">                                       </w:t>
      </w:r>
    </w:p>
    <w:p w14:paraId="792E06C1">
      <w:pPr>
        <w:spacing w:before="120" w:line="360" w:lineRule="auto"/>
        <w:rPr>
          <w:rFonts w:ascii="宋体" w:hAnsi="宋体" w:eastAsia="宋体"/>
          <w:color w:val="auto"/>
          <w:sz w:val="24"/>
          <w:highlight w:val="none"/>
        </w:rPr>
      </w:pPr>
    </w:p>
    <w:p w14:paraId="46C21C76">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签订地：</w:t>
      </w:r>
      <w:r>
        <w:rPr>
          <w:rFonts w:hint="eastAsia" w:ascii="宋体" w:hAnsi="宋体" w:eastAsia="宋体"/>
          <w:color w:val="auto"/>
          <w:sz w:val="24"/>
          <w:highlight w:val="none"/>
          <w:u w:val="single"/>
        </w:rPr>
        <w:t xml:space="preserve">                                     </w:t>
      </w:r>
    </w:p>
    <w:p w14:paraId="3A010957">
      <w:pPr>
        <w:spacing w:before="120" w:line="360" w:lineRule="auto"/>
        <w:rPr>
          <w:rFonts w:ascii="宋体" w:hAnsi="宋体" w:eastAsia="宋体"/>
          <w:color w:val="auto"/>
          <w:sz w:val="24"/>
          <w:highlight w:val="none"/>
        </w:rPr>
      </w:pPr>
    </w:p>
    <w:p w14:paraId="00184F9A">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14:paraId="5ADA05FB">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14:paraId="498F8953">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杭州市公安局西湖区分局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杭州市公安局西湖区分局看守所智能行为分析系统项目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评审小组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2F2D9C5">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杭州市公安局西湖区分局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1E1E5F1">
      <w:pPr>
        <w:spacing w:line="360" w:lineRule="auto"/>
        <w:ind w:firstLine="482" w:firstLineChars="200"/>
        <w:outlineLvl w:val="0"/>
        <w:rPr>
          <w:rFonts w:ascii="宋体" w:hAnsi="宋体"/>
          <w:color w:val="auto"/>
          <w:sz w:val="24"/>
          <w:highlight w:val="none"/>
        </w:rPr>
      </w:pPr>
      <w:bookmarkStart w:id="425" w:name="_Toc22967"/>
      <w:bookmarkStart w:id="426" w:name="_Toc19273"/>
      <w:bookmarkStart w:id="427" w:name="_Toc28855"/>
      <w:bookmarkStart w:id="428" w:name="_Toc20421"/>
      <w:bookmarkStart w:id="42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5"/>
      <w:bookmarkEnd w:id="426"/>
      <w:bookmarkEnd w:id="427"/>
      <w:bookmarkEnd w:id="428"/>
      <w:bookmarkEnd w:id="429"/>
    </w:p>
    <w:p w14:paraId="68FCBE2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F77A63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208785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10D205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0EF56B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DFCC8EE">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068F7C9">
      <w:pPr>
        <w:spacing w:line="360" w:lineRule="auto"/>
        <w:ind w:firstLine="482" w:firstLineChars="200"/>
        <w:outlineLvl w:val="0"/>
        <w:rPr>
          <w:rFonts w:ascii="宋体" w:hAnsi="宋体"/>
          <w:b/>
          <w:color w:val="auto"/>
          <w:sz w:val="24"/>
          <w:highlight w:val="none"/>
        </w:rPr>
      </w:pPr>
      <w:bookmarkStart w:id="430" w:name="_Toc18585"/>
      <w:bookmarkStart w:id="431" w:name="_Toc2918"/>
      <w:bookmarkStart w:id="432" w:name="_Toc22185"/>
      <w:bookmarkStart w:id="433" w:name="_Toc6311"/>
      <w:bookmarkStart w:id="43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30"/>
      <w:bookmarkEnd w:id="431"/>
      <w:bookmarkEnd w:id="432"/>
      <w:bookmarkEnd w:id="433"/>
      <w:bookmarkEnd w:id="434"/>
    </w:p>
    <w:p w14:paraId="05F47ED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w:t>
      </w:r>
    </w:p>
    <w:p w14:paraId="1C9BC9FD">
      <w:pPr>
        <w:spacing w:line="360" w:lineRule="auto"/>
        <w:ind w:firstLine="480" w:firstLineChars="200"/>
        <w:rPr>
          <w:rFonts w:hint="eastAsia" w:ascii="宋体" w:hAnsi="宋体" w:eastAsia="宋体"/>
          <w:color w:val="auto"/>
          <w:sz w:val="24"/>
          <w:highlight w:val="none"/>
          <w:u w:val="single"/>
          <w:lang w:eastAsia="zh-CN"/>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none"/>
          <w:lang w:eastAsia="zh-CN"/>
        </w:rPr>
        <w:t>；</w:t>
      </w:r>
    </w:p>
    <w:p w14:paraId="7984E01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w:t>
      </w:r>
    </w:p>
    <w:p w14:paraId="796FDAB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335F220F">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2D44436">
      <w:pPr>
        <w:spacing w:line="360" w:lineRule="auto"/>
        <w:ind w:firstLine="480" w:firstLineChars="200"/>
        <w:rPr>
          <w:rFonts w:ascii="宋体" w:hAnsi="宋体" w:cs="宋体"/>
          <w:color w:val="auto"/>
          <w:sz w:val="24"/>
          <w:highlight w:val="none"/>
          <w:u w:val="single"/>
        </w:rPr>
      </w:pPr>
      <w:bookmarkStart w:id="435" w:name="_Toc1386"/>
      <w:bookmarkStart w:id="436" w:name="_Toc13918"/>
      <w:bookmarkStart w:id="437" w:name="_Toc5635"/>
      <w:bookmarkStart w:id="438" w:name="_Toc4929"/>
      <w:bookmarkStart w:id="43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434F2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843B6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E0CBCC">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35"/>
      <w:bookmarkEnd w:id="436"/>
      <w:bookmarkEnd w:id="437"/>
      <w:bookmarkEnd w:id="438"/>
      <w:bookmarkEnd w:id="439"/>
    </w:p>
    <w:p w14:paraId="32C72752">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6633E97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12E2A4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704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AFC2DB">
            <w:pPr>
              <w:pStyle w:val="318"/>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14:paraId="06AC9B45">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14:paraId="193DC4D0">
            <w:pPr>
              <w:pStyle w:val="318"/>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3FD1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EB086F3">
            <w:pPr>
              <w:pStyle w:val="318"/>
              <w:spacing w:line="360" w:lineRule="auto"/>
              <w:ind w:firstLine="200"/>
              <w:jc w:val="center"/>
              <w:rPr>
                <w:rFonts w:hAnsi="宋体"/>
                <w:color w:val="auto"/>
                <w:sz w:val="24"/>
                <w:szCs w:val="24"/>
                <w:highlight w:val="none"/>
              </w:rPr>
            </w:pPr>
          </w:p>
        </w:tc>
        <w:tc>
          <w:tcPr>
            <w:tcW w:w="3402" w:type="dxa"/>
            <w:noWrap w:val="0"/>
            <w:vAlign w:val="center"/>
          </w:tcPr>
          <w:p w14:paraId="5FD044D2">
            <w:pPr>
              <w:pStyle w:val="318"/>
              <w:spacing w:line="360" w:lineRule="auto"/>
              <w:ind w:firstLine="200"/>
              <w:jc w:val="center"/>
              <w:rPr>
                <w:rFonts w:hAnsi="宋体"/>
                <w:color w:val="auto"/>
                <w:sz w:val="24"/>
                <w:szCs w:val="24"/>
                <w:highlight w:val="none"/>
              </w:rPr>
            </w:pPr>
          </w:p>
        </w:tc>
        <w:tc>
          <w:tcPr>
            <w:tcW w:w="2552" w:type="dxa"/>
            <w:noWrap w:val="0"/>
            <w:vAlign w:val="center"/>
          </w:tcPr>
          <w:p w14:paraId="6D3C7472">
            <w:pPr>
              <w:pStyle w:val="318"/>
              <w:spacing w:line="360" w:lineRule="auto"/>
              <w:ind w:firstLine="200"/>
              <w:jc w:val="center"/>
              <w:rPr>
                <w:rFonts w:hAnsi="宋体"/>
                <w:color w:val="auto"/>
                <w:sz w:val="24"/>
                <w:szCs w:val="24"/>
                <w:highlight w:val="none"/>
              </w:rPr>
            </w:pPr>
          </w:p>
        </w:tc>
      </w:tr>
      <w:tr w14:paraId="18A6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916C38F">
            <w:pPr>
              <w:pStyle w:val="318"/>
              <w:spacing w:line="360" w:lineRule="auto"/>
              <w:ind w:firstLine="200"/>
              <w:jc w:val="center"/>
              <w:rPr>
                <w:rFonts w:hAnsi="宋体"/>
                <w:color w:val="auto"/>
                <w:sz w:val="24"/>
                <w:szCs w:val="24"/>
                <w:highlight w:val="none"/>
              </w:rPr>
            </w:pPr>
          </w:p>
        </w:tc>
        <w:tc>
          <w:tcPr>
            <w:tcW w:w="3402" w:type="dxa"/>
            <w:noWrap w:val="0"/>
            <w:vAlign w:val="center"/>
          </w:tcPr>
          <w:p w14:paraId="6F28AEFA">
            <w:pPr>
              <w:pStyle w:val="318"/>
              <w:spacing w:line="360" w:lineRule="auto"/>
              <w:ind w:firstLine="200"/>
              <w:jc w:val="center"/>
              <w:rPr>
                <w:rFonts w:hAnsi="宋体"/>
                <w:color w:val="auto"/>
                <w:sz w:val="24"/>
                <w:szCs w:val="24"/>
                <w:highlight w:val="none"/>
              </w:rPr>
            </w:pPr>
          </w:p>
        </w:tc>
        <w:tc>
          <w:tcPr>
            <w:tcW w:w="2552" w:type="dxa"/>
            <w:noWrap w:val="0"/>
            <w:vAlign w:val="center"/>
          </w:tcPr>
          <w:p w14:paraId="1EC276B7">
            <w:pPr>
              <w:pStyle w:val="318"/>
              <w:spacing w:line="360" w:lineRule="auto"/>
              <w:ind w:firstLine="200"/>
              <w:jc w:val="center"/>
              <w:rPr>
                <w:rFonts w:hAnsi="宋体"/>
                <w:color w:val="auto"/>
                <w:sz w:val="24"/>
                <w:szCs w:val="24"/>
                <w:highlight w:val="none"/>
              </w:rPr>
            </w:pPr>
          </w:p>
        </w:tc>
      </w:tr>
      <w:tr w14:paraId="64D8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8C491F9">
            <w:pPr>
              <w:pStyle w:val="318"/>
              <w:spacing w:line="360" w:lineRule="auto"/>
              <w:ind w:firstLine="200"/>
              <w:jc w:val="center"/>
              <w:rPr>
                <w:rFonts w:hAnsi="宋体"/>
                <w:color w:val="auto"/>
                <w:sz w:val="24"/>
                <w:szCs w:val="24"/>
                <w:highlight w:val="none"/>
              </w:rPr>
            </w:pPr>
          </w:p>
        </w:tc>
        <w:tc>
          <w:tcPr>
            <w:tcW w:w="3402" w:type="dxa"/>
            <w:noWrap w:val="0"/>
            <w:vAlign w:val="center"/>
          </w:tcPr>
          <w:p w14:paraId="0FC0A3B3">
            <w:pPr>
              <w:pStyle w:val="318"/>
              <w:spacing w:line="360" w:lineRule="auto"/>
              <w:ind w:firstLine="200"/>
              <w:jc w:val="center"/>
              <w:rPr>
                <w:rFonts w:hAnsi="宋体"/>
                <w:color w:val="auto"/>
                <w:sz w:val="24"/>
                <w:szCs w:val="24"/>
                <w:highlight w:val="none"/>
              </w:rPr>
            </w:pPr>
          </w:p>
        </w:tc>
        <w:tc>
          <w:tcPr>
            <w:tcW w:w="2552" w:type="dxa"/>
            <w:noWrap w:val="0"/>
            <w:vAlign w:val="center"/>
          </w:tcPr>
          <w:p w14:paraId="7408087C">
            <w:pPr>
              <w:pStyle w:val="318"/>
              <w:spacing w:line="360" w:lineRule="auto"/>
              <w:ind w:firstLine="200"/>
              <w:jc w:val="center"/>
              <w:rPr>
                <w:rFonts w:hAnsi="宋体"/>
                <w:color w:val="auto"/>
                <w:sz w:val="24"/>
                <w:szCs w:val="24"/>
                <w:highlight w:val="none"/>
              </w:rPr>
            </w:pPr>
          </w:p>
        </w:tc>
      </w:tr>
      <w:tr w14:paraId="0A06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902FDB0">
            <w:pPr>
              <w:pStyle w:val="318"/>
              <w:spacing w:line="360" w:lineRule="auto"/>
              <w:ind w:firstLine="200"/>
              <w:jc w:val="center"/>
              <w:rPr>
                <w:rFonts w:hAnsi="宋体"/>
                <w:color w:val="auto"/>
                <w:sz w:val="24"/>
                <w:szCs w:val="24"/>
                <w:highlight w:val="none"/>
              </w:rPr>
            </w:pPr>
          </w:p>
        </w:tc>
        <w:tc>
          <w:tcPr>
            <w:tcW w:w="3402" w:type="dxa"/>
            <w:noWrap w:val="0"/>
            <w:vAlign w:val="center"/>
          </w:tcPr>
          <w:p w14:paraId="68CA0119">
            <w:pPr>
              <w:pStyle w:val="318"/>
              <w:spacing w:line="360" w:lineRule="auto"/>
              <w:ind w:firstLine="200"/>
              <w:jc w:val="center"/>
              <w:rPr>
                <w:rFonts w:hAnsi="宋体"/>
                <w:color w:val="auto"/>
                <w:sz w:val="24"/>
                <w:szCs w:val="24"/>
                <w:highlight w:val="none"/>
              </w:rPr>
            </w:pPr>
          </w:p>
        </w:tc>
        <w:tc>
          <w:tcPr>
            <w:tcW w:w="2552" w:type="dxa"/>
            <w:noWrap w:val="0"/>
            <w:vAlign w:val="center"/>
          </w:tcPr>
          <w:p w14:paraId="7E79A7A7">
            <w:pPr>
              <w:pStyle w:val="318"/>
              <w:spacing w:line="360" w:lineRule="auto"/>
              <w:ind w:firstLine="200"/>
              <w:jc w:val="center"/>
              <w:rPr>
                <w:rFonts w:hAnsi="宋体"/>
                <w:color w:val="auto"/>
                <w:sz w:val="24"/>
                <w:szCs w:val="24"/>
                <w:highlight w:val="none"/>
              </w:rPr>
            </w:pPr>
          </w:p>
        </w:tc>
      </w:tr>
      <w:tr w14:paraId="085D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BA1590B">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14:paraId="52337441">
            <w:pPr>
              <w:pStyle w:val="318"/>
              <w:spacing w:line="360" w:lineRule="auto"/>
              <w:ind w:firstLine="200"/>
              <w:jc w:val="center"/>
              <w:rPr>
                <w:rFonts w:hAnsi="宋体"/>
                <w:color w:val="auto"/>
                <w:sz w:val="24"/>
                <w:szCs w:val="24"/>
                <w:highlight w:val="none"/>
              </w:rPr>
            </w:pPr>
          </w:p>
        </w:tc>
      </w:tr>
    </w:tbl>
    <w:p w14:paraId="75225AC0">
      <w:pPr>
        <w:spacing w:line="360" w:lineRule="auto"/>
        <w:ind w:firstLine="480" w:firstLineChars="200"/>
        <w:rPr>
          <w:rFonts w:hint="eastAsia" w:ascii="宋体" w:hAnsi="宋体"/>
          <w:color w:val="auto"/>
          <w:sz w:val="24"/>
          <w:highlight w:val="none"/>
          <w:lang w:val="en-US"/>
        </w:rPr>
      </w:pPr>
      <w:bookmarkStart w:id="440" w:name="_Toc26916"/>
      <w:bookmarkStart w:id="441" w:name="_Toc30158"/>
      <w:bookmarkStart w:id="442" w:name="_Toc14993"/>
      <w:bookmarkStart w:id="443" w:name="_Toc3654"/>
      <w:bookmarkStart w:id="44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03BCF6C">
      <w:pPr>
        <w:spacing w:line="360" w:lineRule="auto"/>
        <w:ind w:firstLine="480" w:firstLineChars="2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i/>
          <w:color w:val="auto"/>
          <w:sz w:val="24"/>
          <w:highlight w:val="none"/>
          <w:u w:val="single"/>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40"/>
    <w:bookmarkEnd w:id="441"/>
    <w:bookmarkEnd w:id="442"/>
    <w:bookmarkEnd w:id="443"/>
    <w:bookmarkEnd w:id="444"/>
    <w:p w14:paraId="5914C973">
      <w:pPr>
        <w:pStyle w:val="958"/>
        <w:spacing w:before="0" w:beforeAutospacing="0" w:after="0" w:afterAutospacing="0" w:line="360" w:lineRule="auto"/>
        <w:ind w:firstLine="480"/>
        <w:rPr>
          <w:b/>
          <w:color w:val="auto"/>
          <w:highlight w:val="none"/>
        </w:rPr>
      </w:pPr>
      <w:bookmarkStart w:id="445" w:name="_Toc22618"/>
      <w:bookmarkStart w:id="446" w:name="_Toc1814"/>
      <w:bookmarkStart w:id="447" w:name="_Toc10340"/>
      <w:bookmarkStart w:id="448" w:name="_Toc11108"/>
      <w:bookmarkStart w:id="449" w:name="_Toc8772"/>
      <w:bookmarkStart w:id="450" w:name="_Toc31421"/>
      <w:bookmarkStart w:id="451" w:name="_Toc4760"/>
      <w:bookmarkStart w:id="452" w:name="_Toc3625"/>
      <w:r>
        <w:rPr>
          <w:rFonts w:hint="eastAsia"/>
          <w:b/>
          <w:color w:val="auto"/>
          <w:highlight w:val="none"/>
        </w:rPr>
        <w:t>1.4履约保证金</w:t>
      </w:r>
    </w:p>
    <w:p w14:paraId="4BA8993F">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D387E5A">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A0195E6">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7226DDE">
      <w:pPr>
        <w:pStyle w:val="3"/>
        <w:numPr>
          <w:ilvl w:val="0"/>
          <w:numId w:val="0"/>
        </w:numPr>
        <w:tabs>
          <w:tab w:val="left" w:pos="0"/>
          <w:tab w:val="clear" w:pos="432"/>
        </w:tabs>
        <w:spacing w:line="360" w:lineRule="auto"/>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32D0262">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8083C82">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45"/>
      <w:bookmarkEnd w:id="446"/>
      <w:bookmarkEnd w:id="447"/>
      <w:r>
        <w:rPr>
          <w:rFonts w:hint="eastAsia" w:ascii="宋体" w:hAnsi="宋体" w:cs="宋体"/>
          <w:b/>
          <w:color w:val="auto"/>
          <w:sz w:val="24"/>
          <w:highlight w:val="none"/>
        </w:rPr>
        <w:t>预付款</w:t>
      </w:r>
    </w:p>
    <w:p w14:paraId="2F44EDED">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B7EA0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194F28A">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B1FF436">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D6CC35B">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6870D0E">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72D2600">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949976C">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48"/>
      <w:bookmarkEnd w:id="449"/>
      <w:bookmarkEnd w:id="450"/>
      <w:bookmarkEnd w:id="451"/>
      <w:bookmarkEnd w:id="452"/>
    </w:p>
    <w:p w14:paraId="288B122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AB9416C">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595526C">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013C95F">
      <w:pPr>
        <w:spacing w:line="360" w:lineRule="auto"/>
        <w:ind w:firstLine="480" w:firstLineChars="200"/>
        <w:outlineLvl w:val="0"/>
        <w:rPr>
          <w:rFonts w:ascii="宋体" w:hAnsi="宋体"/>
          <w:bCs/>
          <w:color w:val="auto"/>
          <w:sz w:val="24"/>
          <w:highlight w:val="none"/>
        </w:rPr>
      </w:pPr>
      <w:bookmarkStart w:id="453" w:name="_Toc3079"/>
      <w:bookmarkStart w:id="454" w:name="_Toc5698"/>
      <w:bookmarkStart w:id="455" w:name="_Toc8586"/>
      <w:bookmarkStart w:id="456" w:name="_Toc24662"/>
      <w:bookmarkStart w:id="45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3899694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3E2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2DFB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4116F4">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53"/>
      <w:bookmarkEnd w:id="454"/>
      <w:bookmarkEnd w:id="455"/>
      <w:bookmarkEnd w:id="456"/>
      <w:bookmarkEnd w:id="457"/>
    </w:p>
    <w:p w14:paraId="63DE6351">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 xml:space="preserve">.1 </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，日迟延履行</w:t>
      </w:r>
      <w:r>
        <w:rPr>
          <w:rFonts w:ascii="宋体" w:hAnsi="宋体"/>
          <w:sz w:val="24"/>
        </w:rPr>
        <w:t>违约金按</w:t>
      </w:r>
      <w:r>
        <w:rPr>
          <w:rFonts w:hint="eastAsia" w:ascii="宋体" w:hAnsi="宋体"/>
          <w:sz w:val="24"/>
        </w:rPr>
        <w:t>合同总价</w:t>
      </w:r>
      <w:r>
        <w:rPr>
          <w:rFonts w:ascii="宋体" w:hAnsi="宋体"/>
          <w:sz w:val="24"/>
        </w:rPr>
        <w:t>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；迟延履行超过十五（1</w:t>
      </w:r>
      <w:r>
        <w:rPr>
          <w:rFonts w:ascii="宋体" w:hAnsi="宋体"/>
          <w:sz w:val="24"/>
        </w:rPr>
        <w:t>5</w:t>
      </w:r>
      <w:r>
        <w:rPr>
          <w:rFonts w:hint="eastAsia" w:ascii="宋体" w:hAnsi="宋体"/>
          <w:sz w:val="24"/>
        </w:rPr>
        <w:t>）日的，甲方有权单方解除本合同，双方对乙方已实际交付并通过甲方验收部分的服务进行按实际结算（如双方对该部分结算有争议无法协商一致，需另行委托第三方机构审计的，该等审计费用由乙方最终承担），同时乙方应退还甲方已预付但未实际交付服务对应的费用（如有），乙方还应按本合同总价款的2</w:t>
      </w:r>
      <w:r>
        <w:rPr>
          <w:rFonts w:ascii="宋体" w:hAnsi="宋体"/>
          <w:sz w:val="24"/>
        </w:rPr>
        <w:t>0%</w:t>
      </w:r>
      <w:r>
        <w:rPr>
          <w:rFonts w:hint="eastAsia" w:ascii="宋体" w:hAnsi="宋体"/>
          <w:sz w:val="24"/>
        </w:rPr>
        <w:t>另行支付违约金；违约金不足以弥补甲方全部损失的，乙方应继续补足；</w:t>
      </w:r>
    </w:p>
    <w:p w14:paraId="7D5B29F1">
      <w:pPr>
        <w:pStyle w:val="3"/>
        <w:numPr>
          <w:ilvl w:val="0"/>
          <w:numId w:val="0"/>
        </w:numPr>
        <w:tabs>
          <w:tab w:val="clear" w:pos="432"/>
        </w:tabs>
        <w:spacing w:line="360" w:lineRule="auto"/>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27D1965">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C33F46E">
      <w:pPr>
        <w:spacing w:line="360" w:lineRule="auto"/>
        <w:ind w:firstLine="480" w:firstLineChars="200"/>
        <w:rPr>
          <w:rFonts w:ascii="宋体" w:hAnsi="宋体" w:cs="宋体"/>
          <w:color w:val="auto"/>
          <w:sz w:val="24"/>
          <w:highlight w:val="none"/>
        </w:rPr>
      </w:pPr>
      <w:bookmarkStart w:id="458" w:name="_Toc18683"/>
      <w:bookmarkStart w:id="459" w:name="_Toc9497"/>
      <w:bookmarkStart w:id="460" w:name="_Toc30329"/>
      <w:bookmarkStart w:id="461" w:name="_Toc32454"/>
      <w:bookmarkStart w:id="46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F4F2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B44A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72944F6">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58"/>
    <w:bookmarkEnd w:id="459"/>
    <w:bookmarkEnd w:id="460"/>
    <w:bookmarkEnd w:id="461"/>
    <w:bookmarkEnd w:id="462"/>
    <w:p w14:paraId="4B6DAA99">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7764076D">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w:t>
      </w:r>
      <w:r>
        <w:rPr>
          <w:rFonts w:hint="eastAsia" w:ascii="宋体" w:hAnsi="宋体" w:cs="宋体"/>
          <w:color w:val="auto"/>
          <w:sz w:val="24"/>
          <w:highlight w:val="none"/>
        </w:rPr>
        <w:t>条款规定的方式解决：</w:t>
      </w:r>
    </w:p>
    <w:p w14:paraId="083779E7">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E5C3475">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8A0C31F">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72E8F16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9DB2852">
      <w:pPr>
        <w:autoSpaceDE w:val="0"/>
        <w:autoSpaceDN w:val="0"/>
        <w:spacing w:line="360" w:lineRule="auto"/>
        <w:rPr>
          <w:rFonts w:ascii="宋体" w:hAnsi="宋体"/>
          <w:color w:val="auto"/>
          <w:sz w:val="24"/>
          <w:highlight w:val="none"/>
          <w:lang w:val="zh-CN"/>
        </w:rPr>
      </w:pPr>
    </w:p>
    <w:p w14:paraId="4DBA2A36">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3AEFC69">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0A1C4A9">
      <w:pPr>
        <w:autoSpaceDE w:val="0"/>
        <w:autoSpaceDN w:val="0"/>
        <w:spacing w:line="360" w:lineRule="auto"/>
        <w:rPr>
          <w:rFonts w:ascii="宋体" w:hAnsi="宋体"/>
          <w:color w:val="auto"/>
          <w:sz w:val="24"/>
          <w:highlight w:val="none"/>
          <w:lang w:val="zh-CN"/>
        </w:rPr>
      </w:pPr>
    </w:p>
    <w:p w14:paraId="200EAE1C">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CAAC356">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3E38792">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A6CE5B9">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11E5B82">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4B1EF58">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5885117">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A3E59B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C253402">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90CD773">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8EC93FD">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BCF4D2D">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6F65047">
      <w:pPr>
        <w:widowControl/>
        <w:spacing w:line="360" w:lineRule="auto"/>
        <w:jc w:val="left"/>
        <w:rPr>
          <w:rFonts w:ascii="宋体" w:hAnsi="宋体"/>
          <w:b/>
          <w:color w:val="auto"/>
          <w:sz w:val="24"/>
          <w:highlight w:val="none"/>
        </w:rPr>
      </w:pPr>
    </w:p>
    <w:p w14:paraId="6DF6CDE5">
      <w:pPr>
        <w:widowControl/>
        <w:adjustRightInd/>
        <w:spacing w:line="360" w:lineRule="auto"/>
        <w:jc w:val="left"/>
        <w:rPr>
          <w:rFonts w:ascii="宋体" w:hAnsi="宋体"/>
          <w:b/>
          <w:color w:val="auto"/>
          <w:sz w:val="24"/>
          <w:highlight w:val="none"/>
        </w:rPr>
      </w:pPr>
      <w:r>
        <w:rPr>
          <w:rFonts w:ascii="宋体" w:hAnsi="宋体"/>
          <w:b/>
          <w:color w:val="auto"/>
          <w:highlight w:val="none"/>
        </w:rPr>
        <w:br w:type="page"/>
      </w:r>
    </w:p>
    <w:p w14:paraId="6D6F0393">
      <w:pPr>
        <w:pStyle w:val="700"/>
        <w:spacing w:line="360" w:lineRule="auto"/>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77CA068">
      <w:pPr>
        <w:spacing w:line="360" w:lineRule="auto"/>
        <w:ind w:firstLine="482" w:firstLineChars="200"/>
        <w:outlineLvl w:val="0"/>
        <w:rPr>
          <w:rFonts w:ascii="宋体" w:hAnsi="宋体"/>
          <w:b/>
          <w:color w:val="auto"/>
          <w:sz w:val="24"/>
          <w:highlight w:val="none"/>
        </w:rPr>
      </w:pPr>
      <w:bookmarkStart w:id="463" w:name="_Toc31297"/>
      <w:bookmarkStart w:id="464" w:name="_Toc25079"/>
      <w:bookmarkStart w:id="465" w:name="_Toc14021"/>
      <w:bookmarkStart w:id="466" w:name="_Toc5228"/>
      <w:bookmarkStart w:id="467" w:name="_Toc19680"/>
      <w:r>
        <w:rPr>
          <w:rFonts w:ascii="宋体" w:hAnsi="宋体"/>
          <w:b/>
          <w:color w:val="auto"/>
          <w:sz w:val="24"/>
          <w:highlight w:val="none"/>
        </w:rPr>
        <w:t>2.1 定义</w:t>
      </w:r>
      <w:bookmarkEnd w:id="463"/>
      <w:bookmarkEnd w:id="464"/>
      <w:bookmarkEnd w:id="465"/>
      <w:bookmarkEnd w:id="466"/>
      <w:bookmarkEnd w:id="467"/>
    </w:p>
    <w:p w14:paraId="627534EE">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EEAA64A">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6DD931F">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E08871A">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0198F81">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532F7BC">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F645AE6">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5A93877">
      <w:pPr>
        <w:spacing w:line="360" w:lineRule="auto"/>
        <w:ind w:firstLine="482" w:firstLineChars="200"/>
        <w:outlineLvl w:val="0"/>
        <w:rPr>
          <w:rFonts w:ascii="宋体" w:hAnsi="宋体"/>
          <w:b/>
          <w:color w:val="auto"/>
          <w:sz w:val="24"/>
          <w:highlight w:val="none"/>
        </w:rPr>
      </w:pPr>
      <w:bookmarkStart w:id="468" w:name="_Toc19539"/>
      <w:bookmarkStart w:id="469" w:name="_Toc3769"/>
      <w:bookmarkStart w:id="470" w:name="_Toc31402"/>
      <w:bookmarkStart w:id="471" w:name="_Toc23289"/>
      <w:bookmarkStart w:id="472" w:name="_Toc16752"/>
      <w:r>
        <w:rPr>
          <w:rFonts w:ascii="宋体" w:hAnsi="宋体"/>
          <w:b/>
          <w:color w:val="auto"/>
          <w:sz w:val="24"/>
          <w:highlight w:val="none"/>
        </w:rPr>
        <w:t>2.2 技术规范</w:t>
      </w:r>
      <w:bookmarkEnd w:id="468"/>
      <w:bookmarkEnd w:id="469"/>
      <w:bookmarkEnd w:id="470"/>
      <w:bookmarkEnd w:id="471"/>
      <w:bookmarkEnd w:id="472"/>
    </w:p>
    <w:p w14:paraId="2D357B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81CB36C">
      <w:pPr>
        <w:spacing w:line="360" w:lineRule="auto"/>
        <w:ind w:firstLine="482" w:firstLineChars="200"/>
        <w:outlineLvl w:val="0"/>
        <w:rPr>
          <w:rFonts w:ascii="宋体" w:hAnsi="宋体"/>
          <w:b/>
          <w:color w:val="auto"/>
          <w:sz w:val="24"/>
          <w:highlight w:val="none"/>
        </w:rPr>
      </w:pPr>
      <w:bookmarkStart w:id="473" w:name="_Toc4133"/>
      <w:bookmarkStart w:id="474" w:name="_Toc12412"/>
      <w:bookmarkStart w:id="475" w:name="_Toc27945"/>
      <w:bookmarkStart w:id="476" w:name="_Toc9161"/>
      <w:bookmarkStart w:id="477" w:name="_Toc13673"/>
      <w:r>
        <w:rPr>
          <w:rFonts w:ascii="宋体" w:hAnsi="宋体"/>
          <w:b/>
          <w:color w:val="auto"/>
          <w:sz w:val="24"/>
          <w:highlight w:val="none"/>
        </w:rPr>
        <w:t>2.3 知识产权</w:t>
      </w:r>
      <w:bookmarkEnd w:id="473"/>
      <w:bookmarkEnd w:id="474"/>
      <w:bookmarkEnd w:id="475"/>
      <w:bookmarkEnd w:id="476"/>
      <w:bookmarkEnd w:id="477"/>
    </w:p>
    <w:p w14:paraId="3A38A59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BA7FF9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F5F6CF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282FC79">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F9047B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98AF24B">
      <w:pPr>
        <w:spacing w:line="360" w:lineRule="auto"/>
        <w:ind w:firstLine="482" w:firstLineChars="200"/>
        <w:outlineLvl w:val="0"/>
        <w:rPr>
          <w:rFonts w:ascii="宋体" w:hAnsi="宋体"/>
          <w:b/>
          <w:color w:val="auto"/>
          <w:sz w:val="24"/>
          <w:highlight w:val="none"/>
        </w:rPr>
      </w:pPr>
      <w:bookmarkStart w:id="478" w:name="_Toc32670"/>
      <w:bookmarkStart w:id="479" w:name="_Toc22011"/>
      <w:bookmarkStart w:id="480" w:name="_Toc31233"/>
      <w:bookmarkStart w:id="481" w:name="_Toc15447"/>
      <w:bookmarkStart w:id="482" w:name="_Toc26555"/>
      <w:r>
        <w:rPr>
          <w:rFonts w:ascii="宋体" w:hAnsi="宋体"/>
          <w:b/>
          <w:color w:val="auto"/>
          <w:sz w:val="24"/>
          <w:highlight w:val="none"/>
        </w:rPr>
        <w:t>2.5 结算方式和付款条件</w:t>
      </w:r>
      <w:bookmarkEnd w:id="478"/>
      <w:bookmarkEnd w:id="479"/>
      <w:bookmarkEnd w:id="480"/>
      <w:bookmarkEnd w:id="481"/>
      <w:bookmarkEnd w:id="482"/>
    </w:p>
    <w:p w14:paraId="63E9EBE6">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8D6674C">
      <w:pPr>
        <w:spacing w:line="360" w:lineRule="auto"/>
        <w:ind w:firstLine="482" w:firstLineChars="200"/>
        <w:outlineLvl w:val="0"/>
        <w:rPr>
          <w:rFonts w:ascii="宋体" w:hAnsi="宋体"/>
          <w:b/>
          <w:color w:val="auto"/>
          <w:sz w:val="24"/>
          <w:highlight w:val="none"/>
        </w:rPr>
      </w:pPr>
      <w:bookmarkStart w:id="483" w:name="_Toc16163"/>
      <w:bookmarkStart w:id="484" w:name="_Toc13154"/>
      <w:bookmarkStart w:id="485" w:name="_Toc30507"/>
      <w:bookmarkStart w:id="486" w:name="_Toc13467"/>
      <w:bookmarkStart w:id="487" w:name="_Toc18990"/>
      <w:r>
        <w:rPr>
          <w:rFonts w:ascii="宋体" w:hAnsi="宋体"/>
          <w:b/>
          <w:color w:val="auto"/>
          <w:sz w:val="24"/>
          <w:highlight w:val="none"/>
        </w:rPr>
        <w:t>2.6 技术资料和保密义务</w:t>
      </w:r>
      <w:bookmarkEnd w:id="483"/>
      <w:bookmarkEnd w:id="484"/>
      <w:bookmarkEnd w:id="485"/>
      <w:bookmarkEnd w:id="486"/>
      <w:bookmarkEnd w:id="487"/>
    </w:p>
    <w:p w14:paraId="30E172E2">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84B45B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FACF0D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4FC528D">
      <w:pPr>
        <w:spacing w:line="360" w:lineRule="auto"/>
        <w:ind w:firstLine="482" w:firstLineChars="200"/>
        <w:outlineLvl w:val="0"/>
        <w:rPr>
          <w:rFonts w:ascii="宋体" w:hAnsi="宋体"/>
          <w:b/>
          <w:color w:val="auto"/>
          <w:sz w:val="24"/>
          <w:highlight w:val="none"/>
        </w:rPr>
      </w:pPr>
      <w:bookmarkStart w:id="48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88"/>
    </w:p>
    <w:p w14:paraId="22341DB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603023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2FC21B0">
      <w:pPr>
        <w:spacing w:line="360" w:lineRule="auto"/>
        <w:ind w:firstLine="482" w:firstLineChars="200"/>
        <w:outlineLvl w:val="0"/>
        <w:rPr>
          <w:rFonts w:ascii="宋体" w:hAnsi="宋体"/>
          <w:b/>
          <w:color w:val="auto"/>
          <w:sz w:val="24"/>
          <w:highlight w:val="none"/>
        </w:rPr>
      </w:pPr>
      <w:bookmarkStart w:id="48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89"/>
    </w:p>
    <w:p w14:paraId="6A67AC2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6313E95">
      <w:pPr>
        <w:spacing w:line="360" w:lineRule="auto"/>
        <w:ind w:firstLine="482" w:firstLineChars="200"/>
        <w:outlineLvl w:val="0"/>
        <w:rPr>
          <w:rFonts w:ascii="宋体" w:hAnsi="宋体"/>
          <w:b/>
          <w:color w:val="auto"/>
          <w:sz w:val="24"/>
          <w:highlight w:val="none"/>
        </w:rPr>
      </w:pPr>
      <w:bookmarkStart w:id="49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90"/>
    </w:p>
    <w:p w14:paraId="3BF2B0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677FD8B">
      <w:pPr>
        <w:spacing w:line="360" w:lineRule="auto"/>
        <w:ind w:firstLine="482" w:firstLineChars="200"/>
        <w:outlineLvl w:val="0"/>
        <w:rPr>
          <w:rFonts w:ascii="宋体" w:hAnsi="宋体"/>
          <w:b/>
          <w:color w:val="auto"/>
          <w:sz w:val="24"/>
          <w:highlight w:val="none"/>
        </w:rPr>
      </w:pPr>
      <w:bookmarkStart w:id="491" w:name="_Toc42"/>
      <w:bookmarkStart w:id="492" w:name="_Toc23368"/>
      <w:bookmarkStart w:id="493" w:name="_Toc21830"/>
      <w:bookmarkStart w:id="494" w:name="_Toc26689"/>
      <w:bookmarkStart w:id="495" w:name="_Toc10663"/>
      <w:r>
        <w:rPr>
          <w:rFonts w:ascii="宋体" w:hAnsi="宋体"/>
          <w:b/>
          <w:color w:val="auto"/>
          <w:sz w:val="24"/>
          <w:highlight w:val="none"/>
        </w:rPr>
        <w:t>2.10 合同转让和分包</w:t>
      </w:r>
      <w:bookmarkEnd w:id="491"/>
      <w:bookmarkEnd w:id="492"/>
      <w:bookmarkEnd w:id="493"/>
      <w:bookmarkEnd w:id="494"/>
      <w:bookmarkEnd w:id="495"/>
    </w:p>
    <w:p w14:paraId="50AB03DE">
      <w:pPr>
        <w:spacing w:line="360" w:lineRule="auto"/>
        <w:ind w:firstLine="480" w:firstLineChars="200"/>
        <w:rPr>
          <w:rFonts w:ascii="宋体" w:hAnsi="宋体"/>
          <w:sz w:val="24"/>
        </w:rPr>
      </w:pPr>
      <w:bookmarkStart w:id="496" w:name="_Toc25571"/>
      <w:bookmarkStart w:id="497" w:name="_Toc4720"/>
      <w:bookmarkStart w:id="498" w:name="_Toc32494"/>
      <w:bookmarkStart w:id="499" w:name="_Toc26633"/>
      <w:bookmarkStart w:id="500" w:name="_Toc14371"/>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亦不得分包。</w:t>
      </w:r>
    </w:p>
    <w:p w14:paraId="02BF8CF4">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2.11 不可抗力</w:t>
      </w:r>
      <w:bookmarkEnd w:id="496"/>
      <w:bookmarkEnd w:id="497"/>
      <w:bookmarkEnd w:id="498"/>
      <w:bookmarkEnd w:id="499"/>
      <w:bookmarkEnd w:id="500"/>
    </w:p>
    <w:p w14:paraId="558C76A5">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0A58A4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CD3C53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13DB35C">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E5F7F59">
      <w:pPr>
        <w:spacing w:line="360" w:lineRule="auto"/>
        <w:ind w:firstLine="482" w:firstLineChars="200"/>
        <w:outlineLvl w:val="0"/>
        <w:rPr>
          <w:rFonts w:ascii="宋体" w:hAnsi="宋体"/>
          <w:b/>
          <w:color w:val="auto"/>
          <w:sz w:val="24"/>
          <w:highlight w:val="none"/>
        </w:rPr>
      </w:pPr>
      <w:bookmarkStart w:id="501" w:name="_Toc23854"/>
      <w:bookmarkStart w:id="502" w:name="_Toc3638"/>
      <w:bookmarkStart w:id="503" w:name="_Toc14115"/>
      <w:bookmarkStart w:id="504" w:name="_Toc24465"/>
      <w:bookmarkStart w:id="505" w:name="_Toc25783"/>
      <w:r>
        <w:rPr>
          <w:rFonts w:ascii="宋体" w:hAnsi="宋体"/>
          <w:b/>
          <w:color w:val="auto"/>
          <w:sz w:val="24"/>
          <w:highlight w:val="none"/>
        </w:rPr>
        <w:t>2.12 税费</w:t>
      </w:r>
      <w:bookmarkEnd w:id="501"/>
      <w:bookmarkEnd w:id="502"/>
      <w:bookmarkEnd w:id="503"/>
      <w:bookmarkEnd w:id="504"/>
      <w:bookmarkEnd w:id="505"/>
    </w:p>
    <w:p w14:paraId="0A31B791">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DEE57CB">
      <w:pPr>
        <w:spacing w:line="360" w:lineRule="auto"/>
        <w:ind w:firstLine="482" w:firstLineChars="200"/>
        <w:outlineLvl w:val="0"/>
        <w:rPr>
          <w:rFonts w:ascii="宋体" w:hAnsi="宋体"/>
          <w:b/>
          <w:color w:val="auto"/>
          <w:sz w:val="24"/>
          <w:highlight w:val="none"/>
        </w:rPr>
      </w:pPr>
      <w:bookmarkStart w:id="506" w:name="_Toc7315"/>
      <w:bookmarkStart w:id="507" w:name="_Toc25525"/>
      <w:bookmarkStart w:id="508" w:name="_Toc14814"/>
      <w:bookmarkStart w:id="509" w:name="_Toc26883"/>
      <w:bookmarkStart w:id="510" w:name="_Toc30105"/>
      <w:r>
        <w:rPr>
          <w:rFonts w:ascii="宋体" w:hAnsi="宋体"/>
          <w:b/>
          <w:color w:val="auto"/>
          <w:sz w:val="24"/>
          <w:highlight w:val="none"/>
        </w:rPr>
        <w:t>2.13 乙方破产</w:t>
      </w:r>
      <w:bookmarkEnd w:id="506"/>
      <w:bookmarkEnd w:id="507"/>
      <w:bookmarkEnd w:id="508"/>
      <w:bookmarkEnd w:id="509"/>
      <w:bookmarkEnd w:id="510"/>
    </w:p>
    <w:p w14:paraId="659A6507">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39622FE">
      <w:pPr>
        <w:spacing w:line="360" w:lineRule="auto"/>
        <w:ind w:firstLine="482" w:firstLineChars="200"/>
        <w:outlineLvl w:val="0"/>
        <w:rPr>
          <w:rFonts w:ascii="宋体" w:hAnsi="宋体"/>
          <w:b/>
          <w:color w:val="auto"/>
          <w:sz w:val="24"/>
          <w:highlight w:val="none"/>
        </w:rPr>
      </w:pPr>
      <w:bookmarkStart w:id="511" w:name="_Toc23323"/>
      <w:bookmarkStart w:id="512" w:name="_Toc1123"/>
      <w:bookmarkStart w:id="513" w:name="_Toc2016"/>
      <w:r>
        <w:rPr>
          <w:rFonts w:ascii="宋体" w:hAnsi="宋体"/>
          <w:b/>
          <w:color w:val="auto"/>
          <w:sz w:val="24"/>
          <w:highlight w:val="none"/>
        </w:rPr>
        <w:t>2.14 合同中止、终止</w:t>
      </w:r>
      <w:bookmarkEnd w:id="511"/>
      <w:bookmarkEnd w:id="512"/>
      <w:bookmarkEnd w:id="513"/>
    </w:p>
    <w:p w14:paraId="3821C2E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CAA9562">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CEEEF1F">
      <w:pPr>
        <w:spacing w:line="360" w:lineRule="auto"/>
        <w:ind w:firstLine="482" w:firstLineChars="200"/>
        <w:outlineLvl w:val="0"/>
        <w:rPr>
          <w:rFonts w:ascii="宋体" w:hAnsi="宋体"/>
          <w:b/>
          <w:color w:val="auto"/>
          <w:sz w:val="24"/>
          <w:highlight w:val="none"/>
        </w:rPr>
      </w:pPr>
      <w:bookmarkStart w:id="514" w:name="_Toc17363"/>
      <w:bookmarkStart w:id="515" w:name="_Toc14525"/>
      <w:bookmarkStart w:id="516" w:name="_Toc1969"/>
      <w:r>
        <w:rPr>
          <w:rFonts w:ascii="宋体" w:hAnsi="宋体"/>
          <w:b/>
          <w:color w:val="auto"/>
          <w:sz w:val="24"/>
          <w:highlight w:val="none"/>
        </w:rPr>
        <w:t>2.15 检验和验收</w:t>
      </w:r>
      <w:bookmarkEnd w:id="514"/>
      <w:bookmarkEnd w:id="515"/>
      <w:bookmarkEnd w:id="516"/>
    </w:p>
    <w:p w14:paraId="4FD34AF0">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BE8ACFA">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AA6381">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B136328">
      <w:pPr>
        <w:spacing w:line="360" w:lineRule="auto"/>
        <w:ind w:firstLine="482" w:firstLineChars="200"/>
        <w:outlineLvl w:val="0"/>
        <w:rPr>
          <w:rFonts w:ascii="宋体" w:hAnsi="宋体"/>
          <w:b/>
          <w:color w:val="auto"/>
          <w:sz w:val="24"/>
          <w:highlight w:val="none"/>
        </w:rPr>
      </w:pPr>
      <w:bookmarkStart w:id="517" w:name="_Toc2308"/>
      <w:bookmarkStart w:id="518" w:name="_Toc31892"/>
      <w:bookmarkStart w:id="519" w:name="_Toc9808"/>
      <w:bookmarkStart w:id="520" w:name="_Toc12666"/>
      <w:bookmarkStart w:id="521" w:name="_Toc25198"/>
      <w:r>
        <w:rPr>
          <w:rFonts w:ascii="宋体" w:hAnsi="宋体"/>
          <w:b/>
          <w:color w:val="auto"/>
          <w:sz w:val="24"/>
          <w:highlight w:val="none"/>
        </w:rPr>
        <w:t>2.16 通知和送达</w:t>
      </w:r>
      <w:bookmarkEnd w:id="517"/>
      <w:bookmarkEnd w:id="518"/>
      <w:bookmarkEnd w:id="519"/>
      <w:bookmarkEnd w:id="520"/>
      <w:bookmarkEnd w:id="521"/>
    </w:p>
    <w:p w14:paraId="17EC4627">
      <w:pPr>
        <w:spacing w:line="360" w:lineRule="auto"/>
        <w:ind w:firstLine="480" w:firstLineChars="200"/>
        <w:rPr>
          <w:rFonts w:ascii="宋体" w:hAnsi="宋体"/>
          <w:color w:val="auto"/>
          <w:sz w:val="24"/>
          <w:highlight w:val="none"/>
        </w:rPr>
      </w:pPr>
      <w:bookmarkStart w:id="522" w:name="_Toc18401"/>
      <w:bookmarkStart w:id="523" w:name="_Toc27674"/>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52576B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22"/>
      <w:bookmarkEnd w:id="523"/>
    </w:p>
    <w:p w14:paraId="23731465">
      <w:pPr>
        <w:spacing w:line="360" w:lineRule="auto"/>
        <w:ind w:firstLine="480" w:firstLineChars="200"/>
        <w:rPr>
          <w:rFonts w:ascii="宋体" w:hAnsi="宋体"/>
          <w:color w:val="auto"/>
          <w:sz w:val="24"/>
          <w:highlight w:val="none"/>
        </w:rPr>
      </w:pPr>
      <w:r>
        <w:rPr>
          <w:rFonts w:hint="eastAsia" w:ascii="宋体" w:hAnsi="宋体"/>
          <w:sz w:val="24"/>
        </w:rPr>
        <w:t>2</w:t>
      </w:r>
      <w:r>
        <w:rPr>
          <w:rFonts w:ascii="宋体" w:hAnsi="宋体"/>
          <w:sz w:val="24"/>
        </w:rPr>
        <w:t xml:space="preserve">.16.3 </w:t>
      </w:r>
      <w:r>
        <w:rPr>
          <w:rFonts w:hint="eastAsia" w:ascii="宋体" w:hAnsi="宋体"/>
          <w:sz w:val="24"/>
        </w:rPr>
        <w:t>本合同内列明的送达信息、送达方式同样适用于双方争议解决时法律文书的送达。</w:t>
      </w:r>
    </w:p>
    <w:p w14:paraId="12F3F5E6">
      <w:pPr>
        <w:spacing w:line="360" w:lineRule="auto"/>
        <w:ind w:firstLine="482" w:firstLineChars="200"/>
        <w:outlineLvl w:val="0"/>
        <w:rPr>
          <w:rFonts w:ascii="宋体" w:hAnsi="宋体"/>
          <w:b/>
          <w:color w:val="auto"/>
          <w:sz w:val="24"/>
          <w:highlight w:val="none"/>
        </w:rPr>
      </w:pPr>
      <w:bookmarkStart w:id="524" w:name="_Toc20808"/>
      <w:bookmarkStart w:id="525" w:name="_Toc12254"/>
      <w:bookmarkStart w:id="526" w:name="_Toc5063"/>
      <w:bookmarkStart w:id="527" w:name="_Toc27644"/>
      <w:bookmarkStart w:id="528"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24"/>
      <w:bookmarkEnd w:id="525"/>
      <w:bookmarkEnd w:id="526"/>
      <w:bookmarkEnd w:id="527"/>
      <w:bookmarkEnd w:id="528"/>
    </w:p>
    <w:p w14:paraId="6B92E75D">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091B75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A2ACE74">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227DAE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674EC5E">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0F51759">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B5DD473">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5A269E2E">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6BDC5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3B6EA1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noWrap w:val="0"/>
            <w:vAlign w:val="center"/>
          </w:tcPr>
          <w:p w14:paraId="6461BF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807E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370E763">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4464" w:type="pct"/>
            <w:noWrap w:val="0"/>
            <w:vAlign w:val="center"/>
          </w:tcPr>
          <w:p w14:paraId="08681539">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1.3.1</w:t>
            </w:r>
          </w:p>
        </w:tc>
      </w:tr>
      <w:tr w14:paraId="6E4B1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52D757F">
            <w:pPr>
              <w:spacing w:line="360" w:lineRule="auto"/>
              <w:rPr>
                <w:rFonts w:hint="default"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1.3.2</w:t>
            </w:r>
          </w:p>
        </w:tc>
        <w:tc>
          <w:tcPr>
            <w:tcW w:w="4464" w:type="pct"/>
            <w:noWrap w:val="0"/>
            <w:vAlign w:val="center"/>
          </w:tcPr>
          <w:p w14:paraId="444FF073">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1AB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58EF4D0">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1.3.3</w:t>
            </w:r>
          </w:p>
        </w:tc>
        <w:tc>
          <w:tcPr>
            <w:tcW w:w="4464" w:type="pct"/>
            <w:noWrap w:val="0"/>
            <w:vAlign w:val="center"/>
          </w:tcPr>
          <w:p w14:paraId="7FE4AB1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3FC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8F8A64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noWrap w:val="0"/>
            <w:vAlign w:val="center"/>
          </w:tcPr>
          <w:p w14:paraId="042B75E4">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2DA5F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40C267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noWrap w:val="0"/>
            <w:vAlign w:val="center"/>
          </w:tcPr>
          <w:p w14:paraId="0A6E8554">
            <w:pPr>
              <w:spacing w:line="360" w:lineRule="auto"/>
              <w:rPr>
                <w:rFonts w:hint="eastAsia" w:eastAsia="宋体"/>
                <w:color w:val="auto"/>
                <w:sz w:val="24"/>
                <w:highlight w:val="none"/>
                <w:lang w:val="en-US" w:eastAsia="zh-CN"/>
              </w:rPr>
            </w:pPr>
            <w:r>
              <w:rPr>
                <w:rFonts w:hint="eastAsia" w:ascii="宋体" w:hAnsi="宋体" w:cs="宋体"/>
                <w:sz w:val="24"/>
              </w:rPr>
              <w:t>签订合同后</w:t>
            </w:r>
            <w:r>
              <w:rPr>
                <w:rFonts w:ascii="宋体" w:hAnsi="宋体" w:cs="宋体"/>
                <w:sz w:val="24"/>
              </w:rPr>
              <w:t>7</w:t>
            </w:r>
            <w:r>
              <w:rPr>
                <w:rFonts w:hint="eastAsia" w:ascii="宋体" w:hAnsi="宋体" w:cs="宋体"/>
                <w:sz w:val="24"/>
              </w:rPr>
              <w:t>个工作日内，乙方须向甲方缴纳合同总额1％的履约保证金</w:t>
            </w:r>
            <w:r>
              <w:rPr>
                <w:rFonts w:hint="eastAsia" w:ascii="宋体" w:hAnsi="宋体" w:cs="宋体"/>
                <w:sz w:val="24"/>
                <w:lang w:eastAsia="zh-CN"/>
              </w:rPr>
              <w:t>，</w:t>
            </w:r>
            <w:r>
              <w:rPr>
                <w:rFonts w:hint="eastAsia" w:ascii="宋体" w:hAnsi="宋体" w:cs="宋体"/>
                <w:sz w:val="24"/>
              </w:rPr>
              <w:t>甲方在质保期结束后，若无质量和服务等问题，在5个工作日内将履约保证金原额归还乙方。</w:t>
            </w:r>
          </w:p>
        </w:tc>
      </w:tr>
      <w:tr w14:paraId="5637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F8D09FA">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464" w:type="pct"/>
            <w:noWrap w:val="0"/>
            <w:vAlign w:val="center"/>
          </w:tcPr>
          <w:p w14:paraId="2D64A0BC">
            <w:pPr>
              <w:adjustRightInd/>
              <w:spacing w:line="360" w:lineRule="auto"/>
              <w:outlineLvl w:val="2"/>
              <w:rPr>
                <w:rFonts w:hint="eastAsia" w:eastAsia="宋体"/>
                <w:color w:val="auto"/>
                <w:sz w:val="24"/>
                <w:highlight w:val="none"/>
                <w:lang w:val="en-US" w:eastAsia="zh-CN"/>
              </w:rPr>
            </w:pPr>
            <w:r>
              <w:rPr>
                <w:rFonts w:hint="eastAsia" w:ascii="宋体" w:hAnsi="宋体" w:cs="宋体"/>
                <w:sz w:val="24"/>
              </w:rPr>
              <w:t>履约保证金可以用支票、汇票、本票或者银行、保险公司出具的保函等非现金形式交纳。</w:t>
            </w:r>
          </w:p>
        </w:tc>
      </w:tr>
      <w:tr w14:paraId="01DF4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1C356D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noWrap w:val="0"/>
            <w:vAlign w:val="center"/>
          </w:tcPr>
          <w:p w14:paraId="666BFE99">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lang w:val="en-US" w:eastAsia="zh-CN"/>
              </w:rPr>
              <w:t xml:space="preserve"> </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78E5D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06BFE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noWrap w:val="0"/>
            <w:vAlign w:val="center"/>
          </w:tcPr>
          <w:p w14:paraId="73F674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highlight w:val="none"/>
                <w:lang w:val="en-US" w:eastAsia="zh-CN"/>
              </w:rPr>
            </w:pPr>
            <w:r>
              <w:rPr>
                <w:rFonts w:hint="eastAsia" w:ascii="宋体" w:hAnsi="宋体" w:cs="宋体"/>
                <w:sz w:val="24"/>
              </w:rPr>
              <w:t>合同正式签订后，且乙方提供等额正规发票后的5个工作日内</w:t>
            </w:r>
            <w:r>
              <w:rPr>
                <w:rFonts w:hint="eastAsia" w:ascii="宋体" w:hAnsi="宋体" w:cs="宋体"/>
                <w:sz w:val="24"/>
                <w:lang w:eastAsia="zh-CN"/>
              </w:rPr>
              <w:t>，</w:t>
            </w:r>
            <w:r>
              <w:rPr>
                <w:rFonts w:hint="eastAsia" w:ascii="宋体" w:hAnsi="宋体" w:cs="宋体"/>
                <w:sz w:val="24"/>
              </w:rPr>
              <w:t>支付合同总价的</w:t>
            </w:r>
            <w:r>
              <w:rPr>
                <w:rFonts w:ascii="宋体" w:hAnsi="宋体" w:cs="宋体"/>
                <w:sz w:val="24"/>
              </w:rPr>
              <w:t>5</w:t>
            </w:r>
            <w:r>
              <w:rPr>
                <w:rFonts w:hint="eastAsia" w:ascii="宋体" w:hAnsi="宋体" w:cs="宋体"/>
                <w:sz w:val="24"/>
              </w:rPr>
              <w:t>0%</w:t>
            </w:r>
            <w:r>
              <w:rPr>
                <w:rFonts w:hint="eastAsia" w:ascii="宋体" w:hAnsi="宋体" w:cs="宋体"/>
                <w:sz w:val="24"/>
                <w:lang w:eastAsia="zh-CN"/>
              </w:rPr>
              <w:t>。</w:t>
            </w:r>
          </w:p>
        </w:tc>
      </w:tr>
      <w:tr w14:paraId="2D7E2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DB454A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noWrap w:val="0"/>
            <w:vAlign w:val="center"/>
          </w:tcPr>
          <w:p w14:paraId="5EAD5288">
            <w:pPr>
              <w:spacing w:line="360" w:lineRule="auto"/>
              <w:rPr>
                <w:rFonts w:hint="eastAsia" w:ascii="宋体" w:hAnsi="宋体" w:eastAsia="宋体" w:cs="宋体"/>
                <w:color w:val="auto"/>
                <w:sz w:val="24"/>
                <w:highlight w:val="none"/>
                <w:lang w:val="en-US" w:eastAsia="zh-CN"/>
              </w:rPr>
            </w:pPr>
            <w:r>
              <w:rPr>
                <w:rFonts w:hint="eastAsia" w:ascii="宋体" w:hAnsi="宋体" w:cs="宋体"/>
                <w:sz w:val="24"/>
                <w:highlight w:val="none"/>
                <w:lang w:val="en-US" w:eastAsia="zh-CN"/>
              </w:rPr>
              <w:t>/</w:t>
            </w:r>
          </w:p>
        </w:tc>
      </w:tr>
      <w:tr w14:paraId="37132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9167A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noWrap w:val="0"/>
            <w:vAlign w:val="center"/>
          </w:tcPr>
          <w:p w14:paraId="7420824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7F6C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3AAC95E">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noWrap w:val="0"/>
            <w:vAlign w:val="center"/>
          </w:tcPr>
          <w:p w14:paraId="1CA7D09B">
            <w:pPr>
              <w:adjustRightInd/>
              <w:spacing w:line="360" w:lineRule="auto"/>
              <w:outlineLvl w:val="2"/>
              <w:rPr>
                <w:rFonts w:ascii="宋体" w:hAnsi="宋体" w:cs="宋体"/>
                <w:sz w:val="24"/>
              </w:rPr>
            </w:pPr>
            <w:r>
              <w:rPr>
                <w:rFonts w:hint="eastAsia" w:ascii="宋体" w:hAnsi="宋体" w:cs="宋体"/>
                <w:sz w:val="24"/>
              </w:rPr>
              <w:t>第一笔：支付比例：合同总价的</w:t>
            </w:r>
            <w:r>
              <w:rPr>
                <w:rFonts w:ascii="宋体" w:hAnsi="宋体" w:cs="宋体"/>
                <w:sz w:val="24"/>
              </w:rPr>
              <w:t>5</w:t>
            </w:r>
            <w:r>
              <w:rPr>
                <w:rFonts w:hint="eastAsia" w:ascii="宋体" w:hAnsi="宋体" w:cs="宋体"/>
                <w:sz w:val="24"/>
              </w:rPr>
              <w:t>0%</w:t>
            </w:r>
          </w:p>
          <w:p w14:paraId="7B754856">
            <w:pPr>
              <w:adjustRightInd/>
              <w:spacing w:line="360" w:lineRule="auto"/>
              <w:outlineLvl w:val="2"/>
              <w:rPr>
                <w:rFonts w:ascii="宋体" w:hAnsi="宋体" w:cs="宋体"/>
                <w:sz w:val="24"/>
              </w:rPr>
            </w:pPr>
            <w:r>
              <w:rPr>
                <w:rFonts w:hint="eastAsia" w:ascii="宋体" w:hAnsi="宋体" w:cs="宋体"/>
                <w:sz w:val="24"/>
              </w:rPr>
              <w:t>支付条件：合同正式签订后，且乙方提供等额正规发票后的5个工作日内。</w:t>
            </w:r>
          </w:p>
          <w:p w14:paraId="19E4F6E7">
            <w:pPr>
              <w:adjustRightInd/>
              <w:spacing w:line="360" w:lineRule="auto"/>
              <w:outlineLvl w:val="2"/>
              <w:rPr>
                <w:rFonts w:ascii="宋体" w:hAnsi="宋体" w:cs="宋体"/>
                <w:sz w:val="24"/>
              </w:rPr>
            </w:pPr>
            <w:r>
              <w:rPr>
                <w:rFonts w:hint="eastAsia" w:ascii="宋体" w:hAnsi="宋体" w:cs="宋体"/>
                <w:sz w:val="24"/>
              </w:rPr>
              <w:t xml:space="preserve">第二笔：支付比例：合同总价的 </w:t>
            </w:r>
            <w:r>
              <w:rPr>
                <w:rFonts w:ascii="宋体" w:hAnsi="宋体" w:cs="宋体"/>
                <w:sz w:val="24"/>
              </w:rPr>
              <w:t>30</w:t>
            </w:r>
            <w:r>
              <w:rPr>
                <w:rFonts w:hint="eastAsia" w:ascii="宋体" w:hAnsi="宋体" w:cs="宋体"/>
                <w:sz w:val="24"/>
              </w:rPr>
              <w:t>%</w:t>
            </w:r>
          </w:p>
          <w:p w14:paraId="372499D0">
            <w:pPr>
              <w:adjustRightInd/>
              <w:spacing w:line="360" w:lineRule="auto"/>
              <w:outlineLvl w:val="2"/>
              <w:rPr>
                <w:rFonts w:ascii="宋体" w:hAnsi="宋体" w:cs="宋体"/>
                <w:sz w:val="24"/>
              </w:rPr>
            </w:pPr>
            <w:r>
              <w:rPr>
                <w:rFonts w:hint="eastAsia" w:ascii="宋体" w:hAnsi="宋体" w:cs="宋体"/>
                <w:sz w:val="24"/>
              </w:rPr>
              <w:t>支付条件：乙方完成项目开发并经甲方初验合格后，提供等额正规发票后的</w:t>
            </w:r>
            <w:r>
              <w:rPr>
                <w:rFonts w:ascii="宋体" w:hAnsi="宋体" w:cs="宋体"/>
                <w:sz w:val="24"/>
              </w:rPr>
              <w:t>5</w:t>
            </w:r>
            <w:r>
              <w:rPr>
                <w:rFonts w:hint="eastAsia" w:ascii="宋体" w:hAnsi="宋体" w:cs="宋体"/>
                <w:sz w:val="24"/>
              </w:rPr>
              <w:t>个工作日内。</w:t>
            </w:r>
          </w:p>
          <w:p w14:paraId="1AE68B59">
            <w:pPr>
              <w:adjustRightInd/>
              <w:spacing w:line="360" w:lineRule="auto"/>
              <w:outlineLvl w:val="2"/>
              <w:rPr>
                <w:rFonts w:ascii="宋体" w:hAnsi="宋体" w:cs="宋体"/>
                <w:sz w:val="24"/>
              </w:rPr>
            </w:pPr>
            <w:r>
              <w:rPr>
                <w:rFonts w:hint="eastAsia" w:ascii="宋体" w:hAnsi="宋体" w:cs="宋体"/>
                <w:sz w:val="24"/>
              </w:rPr>
              <w:t xml:space="preserve">第三笔：支付比例：合同总价的 </w:t>
            </w:r>
            <w:r>
              <w:rPr>
                <w:rFonts w:ascii="宋体" w:hAnsi="宋体" w:cs="宋体"/>
                <w:sz w:val="24"/>
              </w:rPr>
              <w:t>20</w:t>
            </w:r>
            <w:r>
              <w:rPr>
                <w:rFonts w:hint="eastAsia" w:ascii="宋体" w:hAnsi="宋体" w:cs="宋体"/>
                <w:sz w:val="24"/>
              </w:rPr>
              <w:t>%</w:t>
            </w:r>
          </w:p>
          <w:p w14:paraId="31C84C85">
            <w:pPr>
              <w:adjustRightInd/>
              <w:spacing w:line="360" w:lineRule="auto"/>
              <w:outlineLvl w:val="2"/>
              <w:rPr>
                <w:rFonts w:hint="default" w:ascii="宋体" w:hAnsi="宋体" w:cs="宋体"/>
                <w:color w:val="auto"/>
                <w:sz w:val="24"/>
                <w:highlight w:val="none"/>
                <w:lang w:val="en-US"/>
              </w:rPr>
            </w:pPr>
            <w:r>
              <w:rPr>
                <w:rFonts w:hint="eastAsia" w:ascii="宋体" w:hAnsi="宋体" w:cs="宋体"/>
                <w:sz w:val="24"/>
              </w:rPr>
              <w:t>支付条件：项目试运行一个月后终验，终验合格后，乙方提供等额正规发票后的</w:t>
            </w:r>
            <w:r>
              <w:rPr>
                <w:rFonts w:ascii="宋体" w:hAnsi="宋体" w:cs="宋体"/>
                <w:sz w:val="24"/>
              </w:rPr>
              <w:t>5</w:t>
            </w:r>
            <w:r>
              <w:rPr>
                <w:rFonts w:hint="eastAsia" w:ascii="宋体" w:hAnsi="宋体" w:cs="宋体"/>
                <w:sz w:val="24"/>
              </w:rPr>
              <w:t>个工作日内支付。中标人须在采购人支付合同款前提供符合采购人要求的发票，如因中标人原因延迟提供发票的，采购人有权相应顺延支付合同款时间。</w:t>
            </w:r>
          </w:p>
        </w:tc>
      </w:tr>
      <w:tr w14:paraId="6C749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5F53B2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noWrap w:val="0"/>
            <w:vAlign w:val="center"/>
          </w:tcPr>
          <w:p w14:paraId="7DDE6A22">
            <w:pPr>
              <w:widowControl/>
              <w:autoSpaceDE w:val="0"/>
              <w:autoSpaceDN w:val="0"/>
              <w:snapToGrid w:val="0"/>
              <w:spacing w:line="360" w:lineRule="auto"/>
              <w:ind w:right="-53" w:rightChars="-25"/>
              <w:jc w:val="left"/>
              <w:textAlignment w:val="bottom"/>
              <w:rPr>
                <w:rFonts w:hint="default" w:ascii="宋体" w:hAnsi="宋体" w:eastAsia="宋体" w:cs="宋体"/>
                <w:color w:val="auto"/>
                <w:kern w:val="2"/>
                <w:sz w:val="24"/>
                <w:szCs w:val="24"/>
                <w:highlight w:val="none"/>
                <w:lang w:val="en-US" w:eastAsia="zh-CN" w:bidi="ar-SA"/>
              </w:rPr>
            </w:pPr>
            <w:r>
              <w:rPr>
                <w:rFonts w:hint="eastAsia" w:ascii="宋体" w:hAnsi="宋体" w:cs="宋体"/>
                <w:sz w:val="24"/>
              </w:rPr>
              <w:t>合同签订后3个月内完成所有项目的研发、建设、调试并移交采购人试运行（试运行一个月）。</w:t>
            </w:r>
          </w:p>
        </w:tc>
      </w:tr>
      <w:tr w14:paraId="08D13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800791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noWrap w:val="0"/>
            <w:vAlign w:val="center"/>
          </w:tcPr>
          <w:p w14:paraId="51B92E28">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采购人指定地点</w:t>
            </w:r>
          </w:p>
        </w:tc>
      </w:tr>
      <w:tr w14:paraId="06A0E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107831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noWrap w:val="0"/>
            <w:vAlign w:val="center"/>
          </w:tcPr>
          <w:p w14:paraId="02926B4A">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现场交付</w:t>
            </w:r>
          </w:p>
        </w:tc>
      </w:tr>
      <w:tr w14:paraId="689E8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5D81E4B">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noWrap w:val="0"/>
            <w:vAlign w:val="center"/>
          </w:tcPr>
          <w:p w14:paraId="365B0FD1">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8BA1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B3E683E">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noWrap w:val="0"/>
            <w:vAlign w:val="center"/>
          </w:tcPr>
          <w:p w14:paraId="632E651D">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5EF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FABE2F4">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noWrap w:val="0"/>
            <w:vAlign w:val="center"/>
          </w:tcPr>
          <w:p w14:paraId="2859E755">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2B40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4DCDFA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noWrap w:val="0"/>
            <w:vAlign w:val="center"/>
          </w:tcPr>
          <w:p w14:paraId="61322106">
            <w:pPr>
              <w:spacing w:line="360" w:lineRule="auto"/>
              <w:rPr>
                <w:rFonts w:ascii="宋体" w:hAnsi="宋体" w:cs="宋体"/>
                <w:sz w:val="24"/>
              </w:rPr>
            </w:pPr>
            <w:r>
              <w:rPr>
                <w:rFonts w:hint="eastAsia" w:ascii="宋体" w:hAnsi="宋体" w:cs="宋体"/>
                <w:sz w:val="24"/>
              </w:rPr>
              <w:t>（1）如乙方违反本合同约定，向第三方转让、分包本合同项下任何权利义务的，甲方有权单方解除本合同并不予支付任何费用，乙方应按本合同总价的3</w:t>
            </w:r>
            <w:r>
              <w:rPr>
                <w:rFonts w:ascii="宋体" w:hAnsi="宋体" w:cs="宋体"/>
                <w:sz w:val="24"/>
              </w:rPr>
              <w:t>0%</w:t>
            </w:r>
            <w:r>
              <w:rPr>
                <w:rFonts w:hint="eastAsia" w:ascii="宋体" w:hAnsi="宋体" w:cs="宋体"/>
                <w:sz w:val="24"/>
              </w:rPr>
              <w:t>向甲方支付违约金；违约金不足以弥补甲方全部损失的，乙方应继续补足。</w:t>
            </w:r>
          </w:p>
          <w:p w14:paraId="736F23A2">
            <w:pPr>
              <w:spacing w:line="360" w:lineRule="auto"/>
              <w:rPr>
                <w:rFonts w:ascii="宋体" w:hAnsi="宋体" w:cs="宋体"/>
                <w:color w:val="auto"/>
                <w:sz w:val="24"/>
                <w:highlight w:val="none"/>
              </w:rPr>
            </w:pPr>
            <w:r>
              <w:rPr>
                <w:rFonts w:hint="eastAsia" w:ascii="宋体" w:hAnsi="宋体" w:cs="宋体"/>
                <w:sz w:val="24"/>
              </w:rPr>
              <w:t>（2）乙方勤勉尽责，对交付的服务成果的真实性、合法性、完整性负责，如乙方交付的成果存在虚假或严重不实的，视为乙方根本性违约，甲方有权单方解除本合同且无需支付问题成果对应的服务费（已支付的乙方予以返还），乙方应按本合同总价的2</w:t>
            </w:r>
            <w:r>
              <w:rPr>
                <w:rFonts w:ascii="宋体" w:hAnsi="宋体" w:cs="宋体"/>
                <w:sz w:val="24"/>
              </w:rPr>
              <w:t>0%</w:t>
            </w:r>
            <w:r>
              <w:rPr>
                <w:rFonts w:hint="eastAsia" w:ascii="宋体" w:hAnsi="宋体" w:cs="宋体"/>
                <w:sz w:val="24"/>
              </w:rPr>
              <w:t>向甲方支付违约金；违约金不足以弥补甲方全部损失的，乙方应继续补足。</w:t>
            </w:r>
          </w:p>
        </w:tc>
      </w:tr>
      <w:tr w14:paraId="51FC7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860E5A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noWrap w:val="0"/>
            <w:vAlign w:val="center"/>
          </w:tcPr>
          <w:p w14:paraId="32D7297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r>
      <w:tr w14:paraId="75E44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B32AFB9">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noWrap w:val="0"/>
            <w:vAlign w:val="center"/>
          </w:tcPr>
          <w:p w14:paraId="0361954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70D9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58D0DD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noWrap w:val="0"/>
            <w:vAlign w:val="center"/>
          </w:tcPr>
          <w:p w14:paraId="5C96650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14:paraId="318B3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F09351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noWrap w:val="0"/>
            <w:vAlign w:val="center"/>
          </w:tcPr>
          <w:p w14:paraId="00BE6DC4">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2492A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9F3266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p>
        </w:tc>
        <w:tc>
          <w:tcPr>
            <w:tcW w:w="4464" w:type="pct"/>
            <w:noWrap w:val="0"/>
            <w:vAlign w:val="center"/>
          </w:tcPr>
          <w:p w14:paraId="213FD68C">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同1.6.2</w:t>
            </w:r>
          </w:p>
        </w:tc>
      </w:tr>
      <w:tr w14:paraId="0163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291DCE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2.11.3</w:t>
            </w:r>
          </w:p>
        </w:tc>
        <w:tc>
          <w:tcPr>
            <w:tcW w:w="4464" w:type="pct"/>
            <w:noWrap w:val="0"/>
            <w:vAlign w:val="center"/>
          </w:tcPr>
          <w:p w14:paraId="1412DCD3">
            <w:p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snapToGrid w:val="0"/>
                <w:color w:val="auto"/>
                <w:kern w:val="0"/>
                <w:sz w:val="24"/>
                <w:highlight w:val="none"/>
              </w:rPr>
              <w:t>因不可抗力致使合同有变更必要的，双方当事人应在</w:t>
            </w:r>
            <w:r>
              <w:rPr>
                <w:rFonts w:hint="eastAsia" w:ascii="宋体" w:hAnsi="宋体" w:eastAsia="宋体" w:cs="宋体"/>
                <w:snapToGrid w:val="0"/>
                <w:color w:val="auto"/>
                <w:kern w:val="0"/>
                <w:sz w:val="24"/>
                <w:highlight w:val="none"/>
                <w:u w:val="single"/>
              </w:rPr>
              <w:t>30日</w:t>
            </w:r>
            <w:r>
              <w:rPr>
                <w:rFonts w:hint="eastAsia" w:ascii="宋体" w:hAnsi="宋体" w:eastAsia="宋体" w:cs="宋体"/>
                <w:snapToGrid w:val="0"/>
                <w:color w:val="auto"/>
                <w:kern w:val="0"/>
                <w:sz w:val="24"/>
                <w:highlight w:val="none"/>
              </w:rPr>
              <w:t>内以书面形式变更合同</w:t>
            </w:r>
          </w:p>
        </w:tc>
      </w:tr>
      <w:tr w14:paraId="68CB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14:paraId="4927EB5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noWrap w:val="0"/>
            <w:vAlign w:val="center"/>
          </w:tcPr>
          <w:p w14:paraId="2786A59E">
            <w:pPr>
              <w:spacing w:line="360" w:lineRule="auto"/>
              <w:jc w:val="left"/>
              <w:rPr>
                <w:rFonts w:ascii="宋体" w:hAnsi="宋体" w:cs="宋体"/>
                <w:color w:val="auto"/>
                <w:sz w:val="24"/>
                <w:highlight w:val="none"/>
              </w:rPr>
            </w:pPr>
            <w:r>
              <w:rPr>
                <w:rFonts w:hint="eastAsia" w:ascii="宋体" w:hAnsi="宋体" w:eastAsia="宋体" w:cs="宋体"/>
                <w:snapToGrid w:val="0"/>
                <w:color w:val="auto"/>
                <w:kern w:val="0"/>
                <w:sz w:val="24"/>
                <w:highlight w:val="none"/>
              </w:rPr>
              <w:t>受不可抗力影响的一方在不可抗力发生后，应在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内以书面形式通知对方当事人，并在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内，将有关部门出具的证明文件送达对方当事人。</w:t>
            </w:r>
          </w:p>
        </w:tc>
      </w:tr>
      <w:tr w14:paraId="4016A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5FE817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noWrap w:val="0"/>
            <w:vAlign w:val="center"/>
          </w:tcPr>
          <w:p w14:paraId="05A6419B">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乙方按照</w:t>
            </w:r>
            <w:r>
              <w:rPr>
                <w:rFonts w:hint="eastAsia" w:ascii="宋体" w:hAnsi="宋体" w:cs="宋体"/>
                <w:b/>
                <w:color w:val="auto"/>
                <w:sz w:val="24"/>
                <w:highlight w:val="none"/>
                <w:u w:val="single"/>
              </w:rPr>
              <w:t>双方确定的服务考核办法</w:t>
            </w:r>
            <w:r>
              <w:rPr>
                <w:rFonts w:hint="eastAsia" w:ascii="宋体" w:hAnsi="宋体" w:cs="宋体"/>
                <w:color w:val="auto"/>
                <w:sz w:val="24"/>
                <w:highlight w:val="none"/>
              </w:rPr>
              <w:t>的约定，定期提交服务报告，甲方按照</w:t>
            </w:r>
            <w:r>
              <w:rPr>
                <w:rFonts w:hint="eastAsia" w:ascii="宋体" w:hAnsi="宋体" w:cs="宋体"/>
                <w:b/>
                <w:color w:val="auto"/>
                <w:sz w:val="24"/>
                <w:highlight w:val="none"/>
                <w:u w:val="single"/>
              </w:rPr>
              <w:t>服务考核办法</w:t>
            </w:r>
            <w:r>
              <w:rPr>
                <w:rFonts w:hint="eastAsia" w:ascii="宋体" w:hAnsi="宋体" w:cs="宋体"/>
                <w:color w:val="auto"/>
                <w:sz w:val="24"/>
                <w:highlight w:val="none"/>
              </w:rPr>
              <w:t>的约定进行定期验收</w:t>
            </w:r>
            <w:r>
              <w:rPr>
                <w:rFonts w:hint="eastAsia" w:ascii="宋体" w:hAnsi="宋体" w:cs="宋体"/>
                <w:color w:val="auto"/>
                <w:sz w:val="24"/>
                <w:highlight w:val="none"/>
                <w:lang w:eastAsia="zh-CN"/>
              </w:rPr>
              <w:t>。</w:t>
            </w:r>
          </w:p>
        </w:tc>
      </w:tr>
      <w:tr w14:paraId="10ED5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5422A4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noWrap w:val="0"/>
            <w:vAlign w:val="center"/>
          </w:tcPr>
          <w:p w14:paraId="0755007A">
            <w:pPr>
              <w:spacing w:line="360" w:lineRule="auto"/>
              <w:jc w:val="left"/>
              <w:rPr>
                <w:rFonts w:ascii="宋体" w:hAnsi="宋体" w:cs="宋体"/>
                <w:color w:val="auto"/>
                <w:sz w:val="24"/>
                <w:highlight w:val="none"/>
              </w:rPr>
            </w:pPr>
            <w:r>
              <w:rPr>
                <w:rFonts w:hint="eastAsia" w:ascii="宋体" w:hAnsi="宋体" w:eastAsia="宋体" w:cs="宋体"/>
                <w:color w:val="auto"/>
                <w:sz w:val="24"/>
                <w:highlight w:val="none"/>
              </w:rPr>
              <w:t>服务考核办法及招标文件中记载的采购需求</w:t>
            </w:r>
          </w:p>
        </w:tc>
      </w:tr>
      <w:tr w14:paraId="65723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14:paraId="4117663E">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noWrap w:val="0"/>
            <w:vAlign w:val="center"/>
          </w:tcPr>
          <w:p w14:paraId="0AFFB6EA">
            <w:pPr>
              <w:spacing w:line="360" w:lineRule="auto"/>
              <w:jc w:val="left"/>
              <w:rPr>
                <w:rFonts w:ascii="宋体" w:hAnsi="宋体" w:cs="宋体"/>
                <w:color w:val="auto"/>
                <w:sz w:val="24"/>
                <w:highlight w:val="none"/>
              </w:rPr>
            </w:pPr>
            <w:r>
              <w:rPr>
                <w:rFonts w:hint="eastAsia" w:ascii="宋体" w:hAnsi="宋体" w:cs="宋体"/>
                <w:sz w:val="24"/>
              </w:rPr>
              <w:t>壹式</w:t>
            </w:r>
            <w:r>
              <w:rPr>
                <w:rFonts w:hint="eastAsia" w:ascii="宋体" w:hAnsi="宋体" w:cs="宋体"/>
                <w:sz w:val="24"/>
                <w:u w:val="single"/>
                <w:lang w:val="en-US" w:eastAsia="zh-CN"/>
              </w:rPr>
              <w:t xml:space="preserve">  </w:t>
            </w:r>
            <w:r>
              <w:rPr>
                <w:rFonts w:hint="eastAsia" w:ascii="宋体" w:hAnsi="宋体" w:cs="宋体"/>
                <w:sz w:val="24"/>
              </w:rPr>
              <w:t>份，甲方执</w:t>
            </w:r>
            <w:r>
              <w:rPr>
                <w:rFonts w:hint="eastAsia" w:ascii="宋体" w:hAnsi="宋体" w:cs="宋体"/>
                <w:b/>
                <w:bCs/>
                <w:sz w:val="24"/>
                <w:u w:val="single"/>
                <w:lang w:val="en-US" w:eastAsia="zh-CN"/>
              </w:rPr>
              <w:t xml:space="preserve"> </w:t>
            </w:r>
            <w:r>
              <w:rPr>
                <w:rFonts w:hint="eastAsia" w:ascii="宋体" w:hAnsi="宋体" w:cs="宋体"/>
                <w:sz w:val="24"/>
              </w:rPr>
              <w:t>份，乙方执</w:t>
            </w:r>
            <w:r>
              <w:rPr>
                <w:rFonts w:hint="eastAsia" w:ascii="宋体" w:hAnsi="宋体" w:cs="宋体"/>
                <w:b/>
                <w:bCs/>
                <w:sz w:val="24"/>
                <w:u w:val="single"/>
                <w:lang w:val="en-US" w:eastAsia="zh-CN"/>
              </w:rPr>
              <w:t xml:space="preserve"> </w:t>
            </w:r>
            <w:r>
              <w:rPr>
                <w:rFonts w:hint="eastAsia" w:ascii="宋体" w:hAnsi="宋体" w:cs="宋体"/>
                <w:sz w:val="24"/>
              </w:rPr>
              <w:t>份</w:t>
            </w:r>
            <w:r>
              <w:rPr>
                <w:rFonts w:hint="eastAsia" w:ascii="宋体" w:hAnsi="宋体" w:cs="宋体"/>
                <w:sz w:val="24"/>
                <w:lang w:eastAsia="zh-CN"/>
              </w:rPr>
              <w:t>，采购中心执</w:t>
            </w:r>
            <w:r>
              <w:rPr>
                <w:rFonts w:hint="eastAsia" w:ascii="宋体" w:hAnsi="宋体" w:cs="宋体"/>
                <w:b/>
                <w:bCs/>
                <w:sz w:val="24"/>
                <w:u w:val="single"/>
                <w:lang w:val="en-US" w:eastAsia="zh-CN"/>
              </w:rPr>
              <w:t>1</w:t>
            </w:r>
            <w:r>
              <w:rPr>
                <w:rFonts w:hint="eastAsia" w:ascii="宋体" w:hAnsi="宋体" w:cs="宋体"/>
                <w:sz w:val="24"/>
                <w:lang w:val="en-US" w:eastAsia="zh-CN"/>
              </w:rPr>
              <w:t>份</w:t>
            </w:r>
          </w:p>
        </w:tc>
      </w:tr>
    </w:tbl>
    <w:p w14:paraId="17489A70">
      <w:pPr>
        <w:widowControl/>
        <w:adjustRightInd/>
        <w:jc w:val="left"/>
        <w:rPr>
          <w:rFonts w:cs="宋体" w:asciiTheme="minorEastAsia" w:hAnsiTheme="minorEastAsia" w:eastAsiaTheme="minorEastAsia"/>
          <w:b/>
          <w:sz w:val="36"/>
          <w:szCs w:val="20"/>
          <w:highlight w:val="none"/>
        </w:rPr>
      </w:pPr>
    </w:p>
    <w:p w14:paraId="6F16C5F3">
      <w:pPr>
        <w:spacing w:line="360" w:lineRule="auto"/>
        <w:jc w:val="center"/>
        <w:outlineLvl w:val="0"/>
        <w:rPr>
          <w:rFonts w:hint="eastAsia" w:cs="宋体" w:asciiTheme="minorEastAsia" w:hAnsiTheme="minorEastAsia" w:eastAsiaTheme="minorEastAsia"/>
          <w:b/>
          <w:sz w:val="36"/>
          <w:szCs w:val="20"/>
          <w:highlight w:val="none"/>
        </w:rPr>
      </w:pPr>
    </w:p>
    <w:p w14:paraId="7A652CE2">
      <w:pPr>
        <w:spacing w:line="360" w:lineRule="auto"/>
        <w:jc w:val="center"/>
        <w:outlineLvl w:val="0"/>
        <w:rPr>
          <w:rFonts w:hint="eastAsia" w:cs="宋体" w:asciiTheme="minorEastAsia" w:hAnsiTheme="minorEastAsia" w:eastAsiaTheme="minorEastAsia"/>
          <w:b/>
          <w:sz w:val="36"/>
          <w:szCs w:val="20"/>
          <w:highlight w:val="none"/>
        </w:rPr>
      </w:pPr>
    </w:p>
    <w:p w14:paraId="396B2D26">
      <w:pPr>
        <w:pStyle w:val="37"/>
        <w:rPr>
          <w:rFonts w:hint="eastAsia"/>
        </w:rPr>
      </w:pPr>
    </w:p>
    <w:p w14:paraId="12049D77">
      <w:pPr>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第六部分</w:t>
      </w:r>
      <w:bookmarkEnd w:id="423"/>
      <w:r>
        <w:rPr>
          <w:rFonts w:hint="eastAsia" w:cs="宋体" w:asciiTheme="minorEastAsia" w:hAnsiTheme="minorEastAsia" w:eastAsiaTheme="minorEastAsia"/>
          <w:b/>
          <w:sz w:val="36"/>
          <w:szCs w:val="20"/>
          <w:highlight w:val="none"/>
        </w:rPr>
        <w:t xml:space="preserve"> </w:t>
      </w:r>
      <w:bookmarkEnd w:id="424"/>
      <w:r>
        <w:rPr>
          <w:rFonts w:hint="eastAsia" w:cs="宋体" w:asciiTheme="minorEastAsia" w:hAnsiTheme="minorEastAsia" w:eastAsiaTheme="minorEastAsia"/>
          <w:b/>
          <w:sz w:val="36"/>
          <w:szCs w:val="20"/>
          <w:highlight w:val="none"/>
        </w:rPr>
        <w:t>应提交的有关格式范例</w:t>
      </w:r>
    </w:p>
    <w:p w14:paraId="0CE15AB3">
      <w:pPr>
        <w:spacing w:line="360" w:lineRule="auto"/>
        <w:jc w:val="center"/>
        <w:outlineLvl w:val="0"/>
        <w:rPr>
          <w:rFonts w:cs="宋体" w:asciiTheme="minorEastAsia" w:hAnsiTheme="minorEastAsia" w:eastAsiaTheme="minorEastAsia"/>
          <w:b/>
          <w:kern w:val="0"/>
          <w:sz w:val="36"/>
          <w:szCs w:val="36"/>
          <w:highlight w:val="none"/>
        </w:rPr>
      </w:pPr>
    </w:p>
    <w:p w14:paraId="41FF11C7">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资格文件部分</w:t>
      </w:r>
    </w:p>
    <w:p w14:paraId="3C8C6632">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14:paraId="7DC9B158">
      <w:pPr>
        <w:spacing w:line="360" w:lineRule="auto"/>
        <w:jc w:val="center"/>
        <w:outlineLvl w:val="0"/>
        <w:rPr>
          <w:rFonts w:cs="宋体" w:asciiTheme="minorEastAsia" w:hAnsiTheme="minorEastAsia" w:eastAsiaTheme="minorEastAsia"/>
          <w:b/>
          <w:kern w:val="0"/>
          <w:sz w:val="36"/>
          <w:szCs w:val="36"/>
          <w:highlight w:val="none"/>
        </w:rPr>
      </w:pPr>
    </w:p>
    <w:p w14:paraId="3A4E0E54">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（1）符合参加政府采购活动应当具备的一般条件的承诺函……………（页码）</w:t>
      </w:r>
    </w:p>
    <w:p w14:paraId="7BE87CE5">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szCs w:val="20"/>
          <w:highlight w:val="none"/>
        </w:rPr>
        <w:t>（2）联合协议</w:t>
      </w:r>
      <w:r>
        <w:rPr>
          <w:rFonts w:hint="eastAsia" w:cs="宋体" w:asciiTheme="minorEastAsia" w:hAnsiTheme="minorEastAsia" w:eastAsiaTheme="minorEastAsia"/>
          <w:sz w:val="24"/>
          <w:highlight w:val="none"/>
        </w:rPr>
        <w:t>………………………………………………………………（页码）</w:t>
      </w:r>
    </w:p>
    <w:p w14:paraId="5C13A051">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）落实政府采购政策需满足的资格要求………………………………（页码）</w:t>
      </w:r>
    </w:p>
    <w:p w14:paraId="1E0EA640">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）本项目的特定资格要求………………………………………………（页码）</w:t>
      </w:r>
    </w:p>
    <w:p w14:paraId="7082D243">
      <w:pPr>
        <w:snapToGrid w:val="0"/>
        <w:spacing w:line="360" w:lineRule="auto"/>
        <w:ind w:firstLine="480" w:firstLineChars="200"/>
        <w:rPr>
          <w:rFonts w:cs="宋体" w:asciiTheme="minorEastAsia" w:hAnsiTheme="minorEastAsia" w:eastAsiaTheme="minorEastAsia"/>
          <w:sz w:val="24"/>
          <w:highlight w:val="none"/>
        </w:rPr>
      </w:pPr>
    </w:p>
    <w:p w14:paraId="336299BE">
      <w:pPr>
        <w:spacing w:line="360" w:lineRule="auto"/>
        <w:ind w:firstLine="480" w:firstLineChars="200"/>
        <w:rPr>
          <w:rFonts w:cs="宋体" w:asciiTheme="minorEastAsia" w:hAnsiTheme="minorEastAsia" w:eastAsiaTheme="minorEastAsia"/>
          <w:sz w:val="24"/>
          <w:highlight w:val="none"/>
        </w:rPr>
      </w:pPr>
    </w:p>
    <w:p w14:paraId="79BB373E">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kern w:val="0"/>
          <w:sz w:val="24"/>
          <w:highlight w:val="none"/>
        </w:rPr>
        <w:br w:type="page"/>
      </w:r>
      <w:r>
        <w:rPr>
          <w:rFonts w:hint="eastAsia" w:cs="宋体" w:asciiTheme="minorEastAsia" w:hAnsiTheme="minorEastAsia" w:eastAsiaTheme="minorEastAsia"/>
          <w:b/>
          <w:kern w:val="0"/>
          <w:sz w:val="32"/>
          <w:szCs w:val="32"/>
          <w:highlight w:val="none"/>
        </w:rPr>
        <w:t xml:space="preserve">  一、 符合参加政府采购活动应当具备的一般条件的承诺函</w:t>
      </w:r>
    </w:p>
    <w:p w14:paraId="631AB1AD">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14:paraId="1D169BB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宋体" w:asciiTheme="minorEastAsia" w:hAnsiTheme="minorEastAsia" w:eastAsiaTheme="minorEastAsia"/>
          <w:sz w:val="24"/>
          <w:highlight w:val="none"/>
          <w:lang w:eastAsia="zh-CN"/>
        </w:rPr>
        <w:t>杭州市公安局西湖区分局看守所智能行为分析系统项目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XHZFCG-2025-G-09</w:t>
      </w:r>
      <w:r>
        <w:rPr>
          <w:rFonts w:hint="eastAsia" w:cs="宋体" w:asciiTheme="minorEastAsia" w:hAnsiTheme="minorEastAsia" w:eastAsiaTheme="minorEastAsia"/>
          <w:sz w:val="24"/>
          <w:highlight w:val="none"/>
        </w:rPr>
        <w:t>】政府采购活动，郑重承诺：</w:t>
      </w:r>
    </w:p>
    <w:p w14:paraId="6083C38C">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14:paraId="2A6F36F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7DE3FD6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4526650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4B7DE98F">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2E3F1572">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BD1724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2A5E0C4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474A477F">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7CA988F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14:paraId="00F600D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6B82573E">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投标人名称(电子签名)：</w:t>
      </w:r>
    </w:p>
    <w:p w14:paraId="66CA494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0B88FD5A">
      <w:pPr>
        <w:snapToGrid w:val="0"/>
        <w:spacing w:line="360" w:lineRule="auto"/>
        <w:ind w:right="480"/>
        <w:jc w:val="left"/>
        <w:rPr>
          <w:rFonts w:hint="eastAsia" w:ascii="宋体" w:hAnsi="宋体" w:cs="仿宋_GB2312"/>
          <w:color w:val="auto"/>
          <w:sz w:val="24"/>
          <w:highlight w:val="none"/>
        </w:rPr>
      </w:pPr>
    </w:p>
    <w:p w14:paraId="0A75C4D8">
      <w:pPr>
        <w:snapToGrid w:val="0"/>
        <w:spacing w:line="360" w:lineRule="auto"/>
        <w:ind w:right="480"/>
        <w:jc w:val="left"/>
        <w:rPr>
          <w:rFonts w:cs="宋体" w:asciiTheme="minorEastAsia" w:hAnsiTheme="minorEastAsia" w:eastAsiaTheme="minorEastAsia"/>
          <w:b/>
          <w:kern w:val="0"/>
          <w:sz w:val="32"/>
          <w:szCs w:val="32"/>
          <w:highlight w:val="none"/>
        </w:rPr>
      </w:pPr>
      <w:r>
        <w:rPr>
          <w:rFonts w:hint="eastAsia" w:ascii="宋体" w:hAnsi="宋体" w:cs="仿宋_GB2312"/>
          <w:color w:val="auto"/>
          <w:sz w:val="24"/>
          <w:highlight w:val="none"/>
        </w:rPr>
        <w:t>注：根据《</w:t>
      </w:r>
      <w:r>
        <w:rPr>
          <w:rFonts w:ascii="宋体" w:hAnsi="宋体" w:cs="仿宋_GB2312"/>
          <w:color w:val="auto"/>
          <w:sz w:val="24"/>
          <w:highlight w:val="none"/>
        </w:rPr>
        <w:t>关于规范政府采购供应商资格设定及资格审查的通知</w:t>
      </w:r>
      <w:r>
        <w:rPr>
          <w:rFonts w:hint="eastAsia" w:ascii="宋体" w:hAnsi="宋体" w:cs="仿宋_GB2312"/>
          <w:color w:val="auto"/>
          <w:sz w:val="24"/>
          <w:highlight w:val="none"/>
        </w:rPr>
        <w:t>》（</w:t>
      </w:r>
      <w:r>
        <w:rPr>
          <w:rFonts w:ascii="宋体" w:hAnsi="宋体" w:cs="仿宋_GB2312"/>
          <w:color w:val="auto"/>
          <w:sz w:val="24"/>
          <w:highlight w:val="none"/>
        </w:rPr>
        <w:t>浙财采监[2013]24号</w:t>
      </w:r>
      <w:r>
        <w:rPr>
          <w:rFonts w:hint="eastAsia" w:ascii="宋体" w:hAnsi="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B3FE1FF">
      <w:pPr>
        <w:widowControl/>
        <w:adjustRightInd/>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二、联合协议（如果有）</w:t>
      </w:r>
    </w:p>
    <w:p w14:paraId="2766E37B">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[以联合体形式投标的，提供联合协议（附件5）；本项目不接受联合体投标或者投标人不以联合体形式投标的，则不需要提供）]</w:t>
      </w:r>
    </w:p>
    <w:p w14:paraId="0065F819">
      <w:pPr>
        <w:snapToGrid w:val="0"/>
        <w:spacing w:line="360" w:lineRule="auto"/>
        <w:ind w:right="480"/>
        <w:jc w:val="center"/>
        <w:rPr>
          <w:rFonts w:cs="宋体" w:asciiTheme="minorEastAsia" w:hAnsiTheme="minorEastAsia" w:eastAsiaTheme="minorEastAsia"/>
          <w:b/>
          <w:kern w:val="0"/>
          <w:sz w:val="32"/>
          <w:szCs w:val="32"/>
          <w:highlight w:val="none"/>
        </w:rPr>
      </w:pPr>
    </w:p>
    <w:p w14:paraId="14A97293">
      <w:pPr>
        <w:snapToGrid w:val="0"/>
        <w:spacing w:line="360" w:lineRule="auto"/>
        <w:ind w:right="480"/>
        <w:jc w:val="center"/>
        <w:rPr>
          <w:rFonts w:cs="宋体" w:asciiTheme="minorEastAsia" w:hAnsiTheme="minorEastAsia" w:eastAsiaTheme="minorEastAsia"/>
          <w:b/>
          <w:kern w:val="0"/>
          <w:sz w:val="32"/>
          <w:szCs w:val="32"/>
          <w:highlight w:val="none"/>
        </w:rPr>
      </w:pPr>
    </w:p>
    <w:p w14:paraId="7223BA82">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三、落实政府采购政策需满足的资格要求</w:t>
      </w:r>
    </w:p>
    <w:p w14:paraId="65C78F1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（根据招标公告落实政府采购政策需满足的资格要求选择提供相应的材料；未要求的，无需提供）</w:t>
      </w:r>
    </w:p>
    <w:p w14:paraId="20EEB5D2">
      <w:pPr>
        <w:spacing w:line="360" w:lineRule="auto"/>
        <w:ind w:firstLine="723" w:firstLineChars="300"/>
        <w:rPr>
          <w:rFonts w:ascii="宋体" w:hAnsi="宋体" w:cs="宋体"/>
          <w:b/>
          <w:bCs/>
          <w:sz w:val="24"/>
          <w:highlight w:val="none"/>
        </w:rPr>
      </w:pPr>
      <w:r>
        <w:rPr>
          <w:rFonts w:hint="eastAsia" w:ascii="宋体" w:hAnsi="宋体" w:cs="宋体"/>
          <w:b/>
          <w:bCs/>
          <w:sz w:val="24"/>
          <w:highlight w:val="none"/>
          <w:lang w:val="en-US" w:eastAsia="zh-CN"/>
        </w:rPr>
        <w:t>本项目专门面向中小微企业，</w:t>
      </w:r>
      <w:r>
        <w:rPr>
          <w:rFonts w:hint="eastAsia" w:ascii="宋体" w:hAnsi="宋体" w:cs="宋体"/>
          <w:b/>
          <w:bCs/>
          <w:sz w:val="24"/>
          <w:highlight w:val="none"/>
        </w:rPr>
        <w:t>服务全部由符合政策要求的中小</w:t>
      </w:r>
      <w:r>
        <w:rPr>
          <w:rFonts w:hint="eastAsia" w:ascii="宋体" w:hAnsi="宋体" w:cs="宋体"/>
          <w:b/>
          <w:bCs/>
          <w:sz w:val="24"/>
          <w:highlight w:val="none"/>
          <w:lang w:eastAsia="zh-CN"/>
        </w:rPr>
        <w:t>微</w:t>
      </w:r>
      <w:r>
        <w:rPr>
          <w:rFonts w:hint="eastAsia" w:ascii="宋体" w:hAnsi="宋体" w:cs="宋体"/>
          <w:b/>
          <w:bCs/>
          <w:sz w:val="24"/>
          <w:highlight w:val="none"/>
        </w:rPr>
        <w:t>企业承接，提供中小企业声明函；</w:t>
      </w:r>
    </w:p>
    <w:p w14:paraId="6EA0FDCA">
      <w:pPr>
        <w:widowControl/>
        <w:spacing w:line="360" w:lineRule="auto"/>
        <w:ind w:firstLine="480"/>
        <w:jc w:val="left"/>
        <w:rPr>
          <w:rFonts w:hint="default" w:ascii="宋体" w:hAnsi="宋体" w:cs="宋体"/>
          <w:sz w:val="24"/>
          <w:highlight w:val="none"/>
          <w:lang w:val="en-US"/>
        </w:rPr>
      </w:pPr>
    </w:p>
    <w:p w14:paraId="25616DF3">
      <w:pPr>
        <w:rPr>
          <w:highlight w:val="none"/>
        </w:rPr>
      </w:pPr>
    </w:p>
    <w:p w14:paraId="237826FD">
      <w:pPr>
        <w:widowControl/>
        <w:spacing w:line="360" w:lineRule="auto"/>
        <w:ind w:left="15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四、本项目的特定资格要求（如果有）</w:t>
      </w:r>
    </w:p>
    <w:p w14:paraId="35F37CD1">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（根据招标公告本项目的特定资格要求提供相应的材料；未要求的，无需提供）</w:t>
      </w:r>
    </w:p>
    <w:p w14:paraId="7BF27AD0">
      <w:pPr>
        <w:rPr>
          <w:rFonts w:cs="宋体" w:asciiTheme="minorEastAsia" w:hAnsiTheme="minorEastAsia" w:eastAsiaTheme="minorEastAsia"/>
          <w:highlight w:val="none"/>
        </w:rPr>
      </w:pPr>
    </w:p>
    <w:p w14:paraId="5BCCAC6B">
      <w:pPr>
        <w:snapToGrid w:val="0"/>
        <w:spacing w:line="360" w:lineRule="auto"/>
        <w:ind w:right="480"/>
        <w:jc w:val="center"/>
        <w:rPr>
          <w:rFonts w:cs="宋体" w:asciiTheme="minorEastAsia" w:hAnsiTheme="minorEastAsia" w:eastAsiaTheme="minorEastAsia"/>
          <w:b/>
          <w:kern w:val="0"/>
          <w:sz w:val="32"/>
          <w:szCs w:val="32"/>
          <w:highlight w:val="none"/>
        </w:rPr>
      </w:pPr>
    </w:p>
    <w:p w14:paraId="2790681C">
      <w:pPr>
        <w:widowControl/>
        <w:adjustRightInd/>
        <w:jc w:val="left"/>
        <w:rPr>
          <w:rFonts w:cs="宋体" w:asciiTheme="minorEastAsia" w:hAnsiTheme="minorEastAsia" w:eastAsiaTheme="minorEastAsia"/>
          <w:b/>
          <w:kern w:val="0"/>
          <w:sz w:val="36"/>
          <w:szCs w:val="36"/>
          <w:highlight w:val="none"/>
        </w:rPr>
      </w:pPr>
      <w:r>
        <w:rPr>
          <w:rFonts w:cs="宋体" w:asciiTheme="minorEastAsia" w:hAnsiTheme="minorEastAsia" w:eastAsiaTheme="minorEastAsia"/>
          <w:b/>
          <w:kern w:val="0"/>
          <w:sz w:val="36"/>
          <w:szCs w:val="36"/>
          <w:highlight w:val="none"/>
        </w:rPr>
        <w:br w:type="page"/>
      </w:r>
    </w:p>
    <w:p w14:paraId="3638D802">
      <w:pPr>
        <w:spacing w:line="360" w:lineRule="auto"/>
        <w:ind w:right="420" w:firstLine="3614" w:firstLineChars="100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商务技术文件部分</w:t>
      </w:r>
    </w:p>
    <w:p w14:paraId="010B549C">
      <w:pPr>
        <w:spacing w:line="360" w:lineRule="auto"/>
        <w:jc w:val="center"/>
        <w:outlineLvl w:val="0"/>
        <w:rPr>
          <w:rFonts w:cs="宋体" w:asciiTheme="minorEastAsia" w:hAnsiTheme="minorEastAsia" w:eastAsiaTheme="minorEastAsia"/>
          <w:b/>
          <w:kern w:val="0"/>
          <w:sz w:val="24"/>
          <w:highlight w:val="none"/>
        </w:rPr>
      </w:pPr>
    </w:p>
    <w:p w14:paraId="2E8521EA">
      <w:pPr>
        <w:spacing w:line="360" w:lineRule="auto"/>
        <w:jc w:val="center"/>
        <w:outlineLvl w:val="0"/>
        <w:rPr>
          <w:rFonts w:cs="宋体" w:asciiTheme="minorEastAsia" w:hAnsiTheme="minorEastAsia" w:eastAsiaTheme="minorEastAsia"/>
          <w:b/>
          <w:kern w:val="0"/>
          <w:sz w:val="28"/>
          <w:szCs w:val="28"/>
          <w:highlight w:val="none"/>
        </w:rPr>
      </w:pPr>
      <w:r>
        <w:rPr>
          <w:rFonts w:hint="eastAsia" w:cs="宋体" w:asciiTheme="minorEastAsia" w:hAnsiTheme="minorEastAsia" w:eastAsiaTheme="minorEastAsia"/>
          <w:b/>
          <w:kern w:val="0"/>
          <w:sz w:val="28"/>
          <w:szCs w:val="28"/>
          <w:highlight w:val="none"/>
        </w:rPr>
        <w:t>目录</w:t>
      </w:r>
    </w:p>
    <w:p w14:paraId="1B6D74AC">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（1）投标函</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（2）授权委托书或法定代表人（单位负责人、自然人本人）身份证明</w:t>
      </w:r>
      <w:r>
        <w:rPr>
          <w:rFonts w:hint="eastAsia" w:cs="宋体" w:asciiTheme="minorEastAsia" w:hAnsiTheme="minorEastAsia" w:eastAsiaTheme="minorEastAsia"/>
          <w:highlight w:val="none"/>
        </w:rPr>
        <w:t>………（页码）</w:t>
      </w:r>
    </w:p>
    <w:p w14:paraId="1F4568F5">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highlight w:val="none"/>
        </w:rPr>
        <w:t>…………………………………………………………………………（页码）</w:t>
      </w:r>
    </w:p>
    <w:p w14:paraId="669E6594">
      <w:pPr>
        <w:snapToGrid w:val="0"/>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r>
        <w:rPr>
          <w:rFonts w:hint="eastAsia" w:cs="宋体" w:asciiTheme="minorEastAsia" w:hAnsiTheme="minorEastAsia" w:eastAsiaTheme="minorEastAsia"/>
          <w:highlight w:val="none"/>
        </w:rPr>
        <w:t>………………………………………………………………………（页码）</w:t>
      </w:r>
    </w:p>
    <w:p w14:paraId="1DE2B542">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zh-CN"/>
        </w:rPr>
        <w:t>政府采购供应商廉洁自律承诺书</w:t>
      </w:r>
      <w:r>
        <w:rPr>
          <w:rFonts w:hint="eastAsia" w:cs="宋体" w:asciiTheme="minorEastAsia" w:hAnsiTheme="minorEastAsia" w:eastAsiaTheme="minorEastAsia"/>
          <w:highlight w:val="none"/>
        </w:rPr>
        <w:t>…………………………………………………（页码）</w:t>
      </w:r>
    </w:p>
    <w:p w14:paraId="38FC1F07">
      <w:pPr>
        <w:snapToGrid w:val="0"/>
        <w:spacing w:line="360" w:lineRule="auto"/>
        <w:jc w:val="center"/>
        <w:rPr>
          <w:rFonts w:cs="宋体" w:asciiTheme="minorEastAsia" w:hAnsiTheme="minorEastAsia" w:eastAsiaTheme="minorEastAsia"/>
          <w:b/>
          <w:kern w:val="0"/>
          <w:sz w:val="32"/>
          <w:szCs w:val="32"/>
          <w:highlight w:val="none"/>
          <w:lang w:val="zh-CN"/>
        </w:rPr>
      </w:pPr>
    </w:p>
    <w:p w14:paraId="2B9CBC9C">
      <w:pPr>
        <w:snapToGrid w:val="0"/>
        <w:spacing w:line="360" w:lineRule="auto"/>
        <w:jc w:val="center"/>
        <w:rPr>
          <w:rFonts w:cs="宋体" w:asciiTheme="minorEastAsia" w:hAnsiTheme="minorEastAsia" w:eastAsiaTheme="minorEastAsia"/>
          <w:b/>
          <w:kern w:val="0"/>
          <w:sz w:val="32"/>
          <w:szCs w:val="32"/>
          <w:highlight w:val="none"/>
          <w:lang w:val="zh-CN"/>
        </w:rPr>
      </w:pPr>
    </w:p>
    <w:p w14:paraId="56496944">
      <w:pPr>
        <w:snapToGrid w:val="0"/>
        <w:spacing w:line="360" w:lineRule="auto"/>
        <w:jc w:val="center"/>
        <w:rPr>
          <w:rFonts w:cs="宋体" w:asciiTheme="minorEastAsia" w:hAnsiTheme="minorEastAsia" w:eastAsiaTheme="minorEastAsia"/>
          <w:b/>
          <w:kern w:val="0"/>
          <w:sz w:val="32"/>
          <w:szCs w:val="32"/>
          <w:highlight w:val="none"/>
          <w:lang w:val="zh-CN"/>
        </w:rPr>
      </w:pPr>
    </w:p>
    <w:p w14:paraId="047C8EDB">
      <w:pPr>
        <w:snapToGrid w:val="0"/>
        <w:spacing w:line="360" w:lineRule="auto"/>
        <w:jc w:val="center"/>
        <w:rPr>
          <w:rFonts w:cs="宋体" w:asciiTheme="minorEastAsia" w:hAnsiTheme="minorEastAsia" w:eastAsiaTheme="minorEastAsia"/>
          <w:b/>
          <w:kern w:val="0"/>
          <w:sz w:val="32"/>
          <w:szCs w:val="32"/>
          <w:highlight w:val="none"/>
          <w:lang w:val="zh-CN"/>
        </w:rPr>
      </w:pPr>
    </w:p>
    <w:p w14:paraId="74E519C0">
      <w:pPr>
        <w:snapToGrid w:val="0"/>
        <w:spacing w:line="360" w:lineRule="auto"/>
        <w:jc w:val="center"/>
        <w:rPr>
          <w:rFonts w:cs="宋体" w:asciiTheme="minorEastAsia" w:hAnsiTheme="minorEastAsia" w:eastAsiaTheme="minorEastAsia"/>
          <w:b/>
          <w:kern w:val="0"/>
          <w:sz w:val="32"/>
          <w:szCs w:val="32"/>
          <w:highlight w:val="none"/>
          <w:lang w:val="zh-CN"/>
        </w:rPr>
      </w:pPr>
    </w:p>
    <w:p w14:paraId="3BD78B67">
      <w:pPr>
        <w:snapToGrid w:val="0"/>
        <w:spacing w:line="360" w:lineRule="auto"/>
        <w:jc w:val="center"/>
        <w:rPr>
          <w:rFonts w:cs="宋体" w:asciiTheme="minorEastAsia" w:hAnsiTheme="minorEastAsia" w:eastAsiaTheme="minorEastAsia"/>
          <w:b/>
          <w:kern w:val="0"/>
          <w:sz w:val="32"/>
          <w:szCs w:val="32"/>
          <w:highlight w:val="none"/>
          <w:lang w:val="zh-CN"/>
        </w:rPr>
      </w:pPr>
    </w:p>
    <w:p w14:paraId="4B7BAC13">
      <w:pPr>
        <w:snapToGrid w:val="0"/>
        <w:spacing w:line="360" w:lineRule="auto"/>
        <w:jc w:val="center"/>
        <w:rPr>
          <w:rFonts w:cs="宋体" w:asciiTheme="minorEastAsia" w:hAnsiTheme="minorEastAsia" w:eastAsiaTheme="minorEastAsia"/>
          <w:b/>
          <w:kern w:val="0"/>
          <w:sz w:val="32"/>
          <w:szCs w:val="32"/>
          <w:highlight w:val="none"/>
          <w:lang w:val="zh-CN"/>
        </w:rPr>
      </w:pPr>
    </w:p>
    <w:p w14:paraId="773BDED4">
      <w:pPr>
        <w:snapToGrid w:val="0"/>
        <w:spacing w:line="360" w:lineRule="auto"/>
        <w:jc w:val="center"/>
        <w:rPr>
          <w:rFonts w:cs="宋体" w:asciiTheme="minorEastAsia" w:hAnsiTheme="minorEastAsia" w:eastAsiaTheme="minorEastAsia"/>
          <w:b/>
          <w:kern w:val="0"/>
          <w:sz w:val="32"/>
          <w:szCs w:val="32"/>
          <w:highlight w:val="none"/>
          <w:lang w:val="zh-CN"/>
        </w:rPr>
      </w:pPr>
    </w:p>
    <w:p w14:paraId="1847012F">
      <w:pPr>
        <w:snapToGrid w:val="0"/>
        <w:spacing w:line="360" w:lineRule="auto"/>
        <w:jc w:val="center"/>
        <w:rPr>
          <w:rFonts w:cs="宋体" w:asciiTheme="minorEastAsia" w:hAnsiTheme="minorEastAsia" w:eastAsiaTheme="minorEastAsia"/>
          <w:b/>
          <w:kern w:val="0"/>
          <w:sz w:val="32"/>
          <w:szCs w:val="32"/>
          <w:highlight w:val="none"/>
          <w:lang w:val="zh-CN"/>
        </w:rPr>
      </w:pPr>
    </w:p>
    <w:p w14:paraId="67A8FB3F">
      <w:pPr>
        <w:snapToGrid w:val="0"/>
        <w:spacing w:line="360" w:lineRule="auto"/>
        <w:jc w:val="center"/>
        <w:rPr>
          <w:rFonts w:cs="宋体" w:asciiTheme="minorEastAsia" w:hAnsiTheme="minorEastAsia" w:eastAsiaTheme="minorEastAsia"/>
          <w:b/>
          <w:kern w:val="0"/>
          <w:sz w:val="32"/>
          <w:szCs w:val="32"/>
          <w:highlight w:val="none"/>
          <w:lang w:val="zh-CN"/>
        </w:rPr>
      </w:pPr>
    </w:p>
    <w:p w14:paraId="0E05CF2B">
      <w:pPr>
        <w:snapToGrid w:val="0"/>
        <w:spacing w:line="360" w:lineRule="auto"/>
        <w:jc w:val="center"/>
        <w:rPr>
          <w:rFonts w:cs="宋体" w:asciiTheme="minorEastAsia" w:hAnsiTheme="minorEastAsia" w:eastAsiaTheme="minorEastAsia"/>
          <w:b/>
          <w:kern w:val="0"/>
          <w:sz w:val="32"/>
          <w:szCs w:val="32"/>
          <w:highlight w:val="none"/>
          <w:lang w:val="zh-CN"/>
        </w:rPr>
      </w:pPr>
    </w:p>
    <w:p w14:paraId="06D84E0A">
      <w:pPr>
        <w:snapToGrid w:val="0"/>
        <w:spacing w:line="360" w:lineRule="auto"/>
        <w:jc w:val="center"/>
        <w:rPr>
          <w:rFonts w:cs="宋体" w:asciiTheme="minorEastAsia" w:hAnsiTheme="minorEastAsia" w:eastAsiaTheme="minorEastAsia"/>
          <w:b/>
          <w:kern w:val="0"/>
          <w:sz w:val="32"/>
          <w:szCs w:val="32"/>
          <w:highlight w:val="none"/>
          <w:lang w:val="zh-CN"/>
        </w:rPr>
      </w:pPr>
    </w:p>
    <w:p w14:paraId="187A9A50">
      <w:pPr>
        <w:rPr>
          <w:rFonts w:cs="宋体" w:asciiTheme="minorEastAsia" w:hAnsiTheme="minorEastAsia" w:eastAsiaTheme="minorEastAsia"/>
          <w:b/>
          <w:kern w:val="0"/>
          <w:sz w:val="32"/>
          <w:szCs w:val="32"/>
          <w:highlight w:val="none"/>
          <w:lang w:val="zh-CN"/>
        </w:rPr>
      </w:pPr>
    </w:p>
    <w:p w14:paraId="6F66DE8C">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4BB4920D">
      <w:pPr>
        <w:snapToGrid w:val="0"/>
        <w:spacing w:line="360" w:lineRule="auto"/>
        <w:jc w:val="center"/>
        <w:outlineLvl w:val="0"/>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kern w:val="0"/>
          <w:sz w:val="32"/>
          <w:szCs w:val="32"/>
          <w:highlight w:val="none"/>
        </w:rPr>
        <w:t>一、投标</w:t>
      </w:r>
      <w:r>
        <w:rPr>
          <w:rFonts w:hint="eastAsia" w:cs="宋体" w:asciiTheme="minorEastAsia" w:hAnsiTheme="minorEastAsia" w:eastAsiaTheme="minorEastAsia"/>
          <w:b/>
          <w:sz w:val="32"/>
          <w:szCs w:val="32"/>
          <w:highlight w:val="none"/>
        </w:rPr>
        <w:t>函</w:t>
      </w:r>
    </w:p>
    <w:p w14:paraId="34A6AF2F">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14:paraId="6D2E0BE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我方参加你方组织的</w:t>
      </w:r>
      <w:r>
        <w:rPr>
          <w:rFonts w:hint="eastAsia" w:cs="宋体" w:asciiTheme="minorEastAsia" w:hAnsiTheme="minorEastAsia" w:eastAsiaTheme="minorEastAsia"/>
          <w:sz w:val="24"/>
          <w:highlight w:val="none"/>
          <w:lang w:eastAsia="zh-CN"/>
        </w:rPr>
        <w:t>杭州市公安局西湖区分局看守所智能行为分析系统项目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XHZFCG-2025-G-09</w:t>
      </w:r>
      <w:r>
        <w:rPr>
          <w:rFonts w:hint="eastAsia" w:cs="宋体" w:asciiTheme="minorEastAsia" w:hAnsiTheme="minorEastAsia" w:eastAsiaTheme="minorEastAsia"/>
          <w:sz w:val="24"/>
          <w:highlight w:val="none"/>
        </w:rPr>
        <w:t>】招标的有关活动，并对此项目进行投标。为此：</w:t>
      </w:r>
    </w:p>
    <w:p w14:paraId="530FA09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1、我方承诺投标有效期从提交投标文件的截止之日起</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天（不少于90天）</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本投标文件在投标有效期满之前均具有约束力。</w:t>
      </w:r>
    </w:p>
    <w:p w14:paraId="58B3693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2、我方的投标文件包括以下内容：</w:t>
      </w:r>
    </w:p>
    <w:p w14:paraId="31F42D83">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2.1资格文件：</w:t>
      </w:r>
    </w:p>
    <w:p w14:paraId="27AA9144">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2.1.1承诺函；</w:t>
      </w:r>
    </w:p>
    <w:p w14:paraId="6E82DA5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2.1.2</w:t>
      </w:r>
      <w:r>
        <w:rPr>
          <w:rFonts w:hint="eastAsia" w:cs="宋体" w:asciiTheme="minorEastAsia" w:hAnsiTheme="minorEastAsia" w:eastAsiaTheme="minorEastAsia"/>
          <w:snapToGrid w:val="0"/>
          <w:kern w:val="28"/>
          <w:sz w:val="24"/>
          <w:szCs w:val="20"/>
          <w:highlight w:val="none"/>
        </w:rPr>
        <w:t>联合协议</w:t>
      </w:r>
      <w:bookmarkStart w:id="529" w:name="_Hlk101257010"/>
      <w:r>
        <w:rPr>
          <w:rFonts w:hint="eastAsia" w:cs="宋体" w:asciiTheme="minorEastAsia" w:hAnsiTheme="minorEastAsia" w:eastAsiaTheme="minorEastAsia"/>
          <w:sz w:val="24"/>
          <w:highlight w:val="none"/>
        </w:rPr>
        <w:t>（如果有)</w:t>
      </w:r>
      <w:bookmarkEnd w:id="529"/>
      <w:r>
        <w:rPr>
          <w:rFonts w:hint="eastAsia" w:cs="宋体" w:asciiTheme="minorEastAsia" w:hAnsiTheme="minorEastAsia" w:eastAsiaTheme="minorEastAsia"/>
          <w:snapToGrid w:val="0"/>
          <w:kern w:val="28"/>
          <w:sz w:val="24"/>
          <w:szCs w:val="20"/>
          <w:highlight w:val="none"/>
        </w:rPr>
        <w:t>；</w:t>
      </w:r>
    </w:p>
    <w:p w14:paraId="4D6F504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.1.3</w:t>
      </w:r>
      <w:r>
        <w:rPr>
          <w:rFonts w:hint="eastAsia" w:cs="宋体" w:asciiTheme="minorEastAsia" w:hAnsiTheme="minorEastAsia" w:eastAsiaTheme="minorEastAsia"/>
          <w:sz w:val="24"/>
          <w:highlight w:val="none"/>
        </w:rPr>
        <w:t>落实政府采购政策需满足的资格要求；</w:t>
      </w:r>
    </w:p>
    <w:p w14:paraId="3DE2A4E0">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本项目的特定资格要求（如果有)。</w:t>
      </w:r>
    </w:p>
    <w:p w14:paraId="2E773834">
      <w:pPr>
        <w:snapToGrid w:val="0"/>
        <w:spacing w:line="360" w:lineRule="auto"/>
        <w:ind w:left="210" w:leftChars="1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14:paraId="3AE849E4">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2.2.1投标函；</w:t>
      </w:r>
      <w:r>
        <w:rPr>
          <w:rFonts w:hint="eastAsia" w:cs="宋体" w:asciiTheme="minorEastAsia" w:hAnsiTheme="minorEastAsia" w:eastAsiaTheme="minorEastAsia"/>
          <w:sz w:val="24"/>
          <w:highlight w:val="none"/>
          <w:lang w:val="zh-CN"/>
        </w:rPr>
        <w:t xml:space="preserve"> </w:t>
      </w:r>
    </w:p>
    <w:p w14:paraId="7C2B94BF">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2.2.2授权委托书或法定代表人（单位负责人）身份证明；</w:t>
      </w:r>
    </w:p>
    <w:p w14:paraId="345B878B">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分包意向协议（如果有)；</w:t>
      </w:r>
    </w:p>
    <w:p w14:paraId="317415BD">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28EF8E8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051EE190">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14:paraId="0B2F0FD6">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14:paraId="25E689A1">
      <w:pPr>
        <w:snapToGrid w:val="0"/>
        <w:spacing w:line="360" w:lineRule="auto"/>
        <w:ind w:left="420" w:leftChars="2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cs="宋体" w:asciiTheme="minorEastAsia" w:hAnsiTheme="minorEastAsia" w:eastAsiaTheme="minorEastAsia"/>
          <w:sz w:val="24"/>
          <w:highlight w:val="none"/>
        </w:rPr>
        <w:t>8</w:t>
      </w:r>
      <w:r>
        <w:rPr>
          <w:rFonts w:hint="eastAsia" w:cs="宋体" w:asciiTheme="minorEastAsia" w:hAnsiTheme="minorEastAsia" w:eastAsiaTheme="minorEastAsia"/>
          <w:sz w:val="24"/>
          <w:highlight w:val="none"/>
          <w:lang w:val="zh-CN"/>
        </w:rPr>
        <w:t>政府采购供应商廉洁自律承诺书；</w:t>
      </w:r>
    </w:p>
    <w:p w14:paraId="642A3008">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3报价文件</w:t>
      </w:r>
    </w:p>
    <w:p w14:paraId="1A2EC0B0">
      <w:pPr>
        <w:snapToGrid w:val="0"/>
        <w:spacing w:line="360" w:lineRule="auto"/>
        <w:ind w:left="420" w:leftChars="200" w:firstLine="480" w:firstLineChars="2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2.3.1开标一览表（报价表）</w:t>
      </w:r>
      <w:r>
        <w:rPr>
          <w:rFonts w:hint="eastAsia" w:cs="宋体" w:asciiTheme="minorEastAsia" w:hAnsiTheme="minorEastAsia" w:eastAsiaTheme="minorEastAsia"/>
          <w:sz w:val="24"/>
          <w:highlight w:val="none"/>
          <w:lang w:eastAsia="zh-CN"/>
        </w:rPr>
        <w:t>。</w:t>
      </w:r>
    </w:p>
    <w:p w14:paraId="7F01BDA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3、我方承诺除商务技术偏离表列出的偏离外，我方响应招标文件的全部要求。</w:t>
      </w:r>
    </w:p>
    <w:p w14:paraId="68F1403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4、如我方中标，我方承诺：</w:t>
      </w:r>
    </w:p>
    <w:p w14:paraId="29F9F06E">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4.1在收到中标通知书后，在中标通知书规定的期限内与你方签订合同； </w:t>
      </w:r>
    </w:p>
    <w:p w14:paraId="68EEE4EC">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692F95C6">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4.3按照招标文件要求提交履约保证金； </w:t>
      </w:r>
    </w:p>
    <w:p w14:paraId="62DF888F">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40822FA1">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5、其他补充说明:</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14:paraId="0F35D23D">
      <w:pPr>
        <w:spacing w:line="360" w:lineRule="auto"/>
        <w:ind w:firstLine="3600" w:firstLineChars="1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投标人名称（电子签名）：                          </w:t>
      </w:r>
    </w:p>
    <w:p w14:paraId="41DC69AD">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31D4250C">
      <w:pPr>
        <w:snapToGrid w:val="0"/>
        <w:spacing w:line="360" w:lineRule="auto"/>
        <w:ind w:left="420" w:leftChars="200" w:firstLine="4200" w:firstLineChars="1750"/>
        <w:rPr>
          <w:rFonts w:cs="宋体" w:asciiTheme="minorEastAsia" w:hAnsiTheme="minorEastAsia" w:eastAsiaTheme="minorEastAsia"/>
          <w:kern w:val="0"/>
          <w:sz w:val="24"/>
          <w:highlight w:val="none"/>
          <w:u w:val="single"/>
        </w:rPr>
      </w:pPr>
    </w:p>
    <w:p w14:paraId="0491E259">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7B70F6F5">
      <w:pPr>
        <w:snapToGrid w:val="0"/>
        <w:spacing w:line="360" w:lineRule="auto"/>
        <w:jc w:val="center"/>
        <w:rPr>
          <w:rFonts w:cs="宋体" w:asciiTheme="minorEastAsia" w:hAnsiTheme="minorEastAsia" w:eastAsiaTheme="minorEastAsia"/>
          <w:b/>
          <w:kern w:val="0"/>
          <w:sz w:val="32"/>
          <w:szCs w:val="32"/>
          <w:highlight w:val="none"/>
        </w:rPr>
      </w:pPr>
    </w:p>
    <w:p w14:paraId="2FCFC9A6">
      <w:pPr>
        <w:snapToGrid w:val="0"/>
        <w:spacing w:line="360" w:lineRule="auto"/>
        <w:rPr>
          <w:rFonts w:cs="宋体" w:asciiTheme="minorEastAsia" w:hAnsiTheme="minorEastAsia" w:eastAsiaTheme="minorEastAsia"/>
          <w:sz w:val="24"/>
          <w:highlight w:val="none"/>
        </w:rPr>
      </w:pPr>
    </w:p>
    <w:p w14:paraId="56653E41">
      <w:pPr>
        <w:jc w:val="center"/>
        <w:rPr>
          <w:rFonts w:cs="宋体" w:asciiTheme="minorEastAsia" w:hAnsiTheme="minorEastAsia" w:eastAsiaTheme="minorEastAsia"/>
          <w:b/>
          <w:kern w:val="0"/>
          <w:sz w:val="32"/>
          <w:szCs w:val="32"/>
          <w:highlight w:val="none"/>
        </w:rPr>
      </w:pPr>
    </w:p>
    <w:p w14:paraId="09AA7597">
      <w:pPr>
        <w:jc w:val="center"/>
        <w:rPr>
          <w:rFonts w:cs="宋体" w:asciiTheme="minorEastAsia" w:hAnsiTheme="minorEastAsia" w:eastAsiaTheme="minorEastAsia"/>
          <w:b/>
          <w:kern w:val="0"/>
          <w:sz w:val="32"/>
          <w:szCs w:val="32"/>
          <w:highlight w:val="none"/>
        </w:rPr>
      </w:pPr>
    </w:p>
    <w:p w14:paraId="20EE733A">
      <w:pPr>
        <w:jc w:val="center"/>
        <w:rPr>
          <w:rFonts w:cs="宋体" w:asciiTheme="minorEastAsia" w:hAnsiTheme="minorEastAsia" w:eastAsiaTheme="minorEastAsia"/>
          <w:b/>
          <w:kern w:val="0"/>
          <w:sz w:val="32"/>
          <w:szCs w:val="32"/>
          <w:highlight w:val="none"/>
        </w:rPr>
      </w:pPr>
    </w:p>
    <w:p w14:paraId="70CDA67D">
      <w:pPr>
        <w:jc w:val="center"/>
        <w:rPr>
          <w:rFonts w:cs="宋体" w:asciiTheme="minorEastAsia" w:hAnsiTheme="minorEastAsia" w:eastAsiaTheme="minorEastAsia"/>
          <w:b/>
          <w:kern w:val="0"/>
          <w:sz w:val="32"/>
          <w:szCs w:val="32"/>
          <w:highlight w:val="none"/>
        </w:rPr>
      </w:pPr>
    </w:p>
    <w:p w14:paraId="682E2364">
      <w:pPr>
        <w:jc w:val="center"/>
        <w:rPr>
          <w:rFonts w:cs="宋体" w:asciiTheme="minorEastAsia" w:hAnsiTheme="minorEastAsia" w:eastAsiaTheme="minorEastAsia"/>
          <w:b/>
          <w:kern w:val="0"/>
          <w:sz w:val="32"/>
          <w:szCs w:val="32"/>
          <w:highlight w:val="none"/>
        </w:rPr>
      </w:pPr>
    </w:p>
    <w:p w14:paraId="668723FB">
      <w:pPr>
        <w:jc w:val="center"/>
        <w:rPr>
          <w:rFonts w:cs="宋体" w:asciiTheme="minorEastAsia" w:hAnsiTheme="minorEastAsia" w:eastAsiaTheme="minorEastAsia"/>
          <w:b/>
          <w:kern w:val="0"/>
          <w:sz w:val="32"/>
          <w:szCs w:val="32"/>
          <w:highlight w:val="none"/>
        </w:rPr>
      </w:pPr>
    </w:p>
    <w:p w14:paraId="30861629">
      <w:pPr>
        <w:jc w:val="center"/>
        <w:rPr>
          <w:rFonts w:cs="宋体" w:asciiTheme="minorEastAsia" w:hAnsiTheme="minorEastAsia" w:eastAsiaTheme="minorEastAsia"/>
          <w:b/>
          <w:kern w:val="0"/>
          <w:sz w:val="32"/>
          <w:szCs w:val="32"/>
          <w:highlight w:val="none"/>
        </w:rPr>
      </w:pPr>
    </w:p>
    <w:p w14:paraId="67558737">
      <w:pPr>
        <w:jc w:val="center"/>
        <w:rPr>
          <w:rFonts w:cs="宋体" w:asciiTheme="minorEastAsia" w:hAnsiTheme="minorEastAsia" w:eastAsiaTheme="minorEastAsia"/>
          <w:b/>
          <w:kern w:val="0"/>
          <w:sz w:val="32"/>
          <w:szCs w:val="32"/>
          <w:highlight w:val="none"/>
        </w:rPr>
      </w:pPr>
    </w:p>
    <w:p w14:paraId="29E6AC19">
      <w:pPr>
        <w:jc w:val="center"/>
        <w:rPr>
          <w:rFonts w:cs="宋体" w:asciiTheme="minorEastAsia" w:hAnsiTheme="minorEastAsia" w:eastAsiaTheme="minorEastAsia"/>
          <w:b/>
          <w:kern w:val="0"/>
          <w:sz w:val="32"/>
          <w:szCs w:val="32"/>
          <w:highlight w:val="none"/>
        </w:rPr>
      </w:pPr>
    </w:p>
    <w:p w14:paraId="587497FF">
      <w:pPr>
        <w:jc w:val="center"/>
        <w:rPr>
          <w:rFonts w:cs="宋体" w:asciiTheme="minorEastAsia" w:hAnsiTheme="minorEastAsia" w:eastAsiaTheme="minorEastAsia"/>
          <w:b/>
          <w:kern w:val="0"/>
          <w:sz w:val="32"/>
          <w:szCs w:val="32"/>
          <w:highlight w:val="none"/>
        </w:rPr>
      </w:pPr>
    </w:p>
    <w:p w14:paraId="7A9CD7CD">
      <w:pPr>
        <w:jc w:val="center"/>
        <w:rPr>
          <w:rFonts w:cs="宋体" w:asciiTheme="minorEastAsia" w:hAnsiTheme="minorEastAsia" w:eastAsiaTheme="minorEastAsia"/>
          <w:b/>
          <w:kern w:val="0"/>
          <w:sz w:val="32"/>
          <w:szCs w:val="32"/>
          <w:highlight w:val="none"/>
        </w:rPr>
      </w:pPr>
    </w:p>
    <w:p w14:paraId="01365395">
      <w:pPr>
        <w:jc w:val="center"/>
        <w:rPr>
          <w:rFonts w:cs="宋体" w:asciiTheme="minorEastAsia" w:hAnsiTheme="minorEastAsia" w:eastAsiaTheme="minorEastAsia"/>
          <w:b/>
          <w:kern w:val="0"/>
          <w:sz w:val="32"/>
          <w:szCs w:val="32"/>
          <w:highlight w:val="none"/>
        </w:rPr>
      </w:pPr>
    </w:p>
    <w:p w14:paraId="61926924">
      <w:pPr>
        <w:jc w:val="center"/>
        <w:rPr>
          <w:rFonts w:cs="宋体" w:asciiTheme="minorEastAsia" w:hAnsiTheme="minorEastAsia" w:eastAsiaTheme="minorEastAsia"/>
          <w:b/>
          <w:kern w:val="0"/>
          <w:sz w:val="32"/>
          <w:szCs w:val="32"/>
          <w:highlight w:val="none"/>
        </w:rPr>
      </w:pPr>
    </w:p>
    <w:p w14:paraId="4DFE9BFE">
      <w:pPr>
        <w:jc w:val="center"/>
        <w:rPr>
          <w:rFonts w:cs="宋体" w:asciiTheme="minorEastAsia" w:hAnsiTheme="minorEastAsia" w:eastAsiaTheme="minorEastAsia"/>
          <w:b/>
          <w:kern w:val="0"/>
          <w:sz w:val="32"/>
          <w:szCs w:val="32"/>
          <w:highlight w:val="none"/>
        </w:rPr>
      </w:pPr>
    </w:p>
    <w:p w14:paraId="3525A487">
      <w:pPr>
        <w:jc w:val="center"/>
        <w:rPr>
          <w:rFonts w:cs="宋体" w:asciiTheme="minorEastAsia" w:hAnsiTheme="minorEastAsia" w:eastAsiaTheme="minorEastAsia"/>
          <w:b/>
          <w:kern w:val="0"/>
          <w:sz w:val="32"/>
          <w:szCs w:val="32"/>
          <w:highlight w:val="none"/>
        </w:rPr>
      </w:pPr>
    </w:p>
    <w:p w14:paraId="1BA2C3F4">
      <w:pPr>
        <w:jc w:val="center"/>
        <w:rPr>
          <w:rFonts w:cs="宋体" w:asciiTheme="minorEastAsia" w:hAnsiTheme="minorEastAsia" w:eastAsiaTheme="minorEastAsia"/>
          <w:b/>
          <w:kern w:val="0"/>
          <w:sz w:val="32"/>
          <w:szCs w:val="32"/>
          <w:highlight w:val="none"/>
        </w:rPr>
      </w:pPr>
    </w:p>
    <w:p w14:paraId="6C0CC05F">
      <w:pPr>
        <w:jc w:val="center"/>
        <w:rPr>
          <w:rFonts w:cs="宋体" w:asciiTheme="minorEastAsia" w:hAnsiTheme="minorEastAsia" w:eastAsiaTheme="minorEastAsia"/>
          <w:b/>
          <w:kern w:val="0"/>
          <w:sz w:val="32"/>
          <w:szCs w:val="32"/>
          <w:highlight w:val="none"/>
        </w:rPr>
      </w:pPr>
    </w:p>
    <w:p w14:paraId="643B5A99">
      <w:pPr>
        <w:jc w:val="center"/>
        <w:rPr>
          <w:rFonts w:cs="宋体" w:asciiTheme="minorEastAsia" w:hAnsiTheme="minorEastAsia" w:eastAsiaTheme="minorEastAsia"/>
          <w:b/>
          <w:kern w:val="0"/>
          <w:sz w:val="32"/>
          <w:szCs w:val="32"/>
          <w:highlight w:val="none"/>
        </w:rPr>
      </w:pPr>
    </w:p>
    <w:p w14:paraId="32B92C7F">
      <w:pPr>
        <w:jc w:val="center"/>
        <w:rPr>
          <w:rFonts w:cs="宋体" w:asciiTheme="minorEastAsia" w:hAnsiTheme="minorEastAsia" w:eastAsiaTheme="minorEastAsia"/>
          <w:b/>
          <w:kern w:val="0"/>
          <w:sz w:val="32"/>
          <w:szCs w:val="32"/>
          <w:highlight w:val="none"/>
        </w:rPr>
      </w:pPr>
    </w:p>
    <w:p w14:paraId="41D6BD6D">
      <w:pPr>
        <w:jc w:val="center"/>
        <w:rPr>
          <w:rFonts w:cs="宋体" w:asciiTheme="minorEastAsia" w:hAnsiTheme="minorEastAsia" w:eastAsiaTheme="minorEastAsia"/>
          <w:b/>
          <w:kern w:val="0"/>
          <w:sz w:val="32"/>
          <w:szCs w:val="32"/>
          <w:highlight w:val="none"/>
        </w:rPr>
      </w:pPr>
    </w:p>
    <w:p w14:paraId="510DB2C9">
      <w:pPr>
        <w:pStyle w:val="3"/>
        <w:rPr>
          <w:rFonts w:asciiTheme="minorEastAsia" w:hAnsiTheme="minorEastAsia" w:eastAsiaTheme="minorEastAsia"/>
          <w:highlight w:val="none"/>
          <w:lang w:val="en-US"/>
        </w:rPr>
      </w:pPr>
    </w:p>
    <w:p w14:paraId="00D2D6C0">
      <w:pPr>
        <w:jc w:val="center"/>
        <w:rPr>
          <w:rFonts w:cs="宋体" w:asciiTheme="minorEastAsia" w:hAnsiTheme="minorEastAsia" w:eastAsiaTheme="minorEastAsia"/>
          <w:b/>
          <w:kern w:val="0"/>
          <w:sz w:val="32"/>
          <w:szCs w:val="32"/>
          <w:highlight w:val="none"/>
        </w:rPr>
      </w:pPr>
    </w:p>
    <w:p w14:paraId="33EF028C">
      <w:pPr>
        <w:jc w:val="center"/>
        <w:rPr>
          <w:rFonts w:cs="宋体" w:asciiTheme="minorEastAsia" w:hAnsiTheme="minorEastAsia" w:eastAsiaTheme="minorEastAsia"/>
          <w:b/>
          <w:kern w:val="0"/>
          <w:sz w:val="32"/>
          <w:szCs w:val="32"/>
          <w:highlight w:val="none"/>
        </w:rPr>
      </w:pPr>
    </w:p>
    <w:p w14:paraId="50FF116C">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6CF43182">
      <w:pPr>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二、授权委托书或法定代表人（单位负责人、自然人本人）身份证明</w:t>
      </w:r>
    </w:p>
    <w:p w14:paraId="19E6DFAD">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p>
    <w:p w14:paraId="1D1E7AC6">
      <w:pPr>
        <w:snapToGrid w:val="0"/>
        <w:spacing w:line="360" w:lineRule="auto"/>
        <w:ind w:firstLine="2872" w:firstLineChars="894"/>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lang w:val="zh-CN"/>
        </w:rPr>
        <w:t>授权委托书（适用于非联合体投标）</w:t>
      </w:r>
      <w:r>
        <w:rPr>
          <w:rFonts w:hint="eastAsia" w:cs="宋体" w:asciiTheme="minorEastAsia" w:hAnsiTheme="minorEastAsia" w:eastAsiaTheme="minorEastAsia"/>
          <w:highlight w:val="none"/>
        </w:rPr>
        <w:t xml:space="preserve">                               </w:t>
      </w:r>
    </w:p>
    <w:p w14:paraId="582A18EF">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7C953F31">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杭州市公安局西湖区分局看守所智能行为分析系统项目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XHZFCG-2025-G-09</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6548F65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14:paraId="4679E3B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14:paraId="7733908C">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投标人名称(电子签名)：</w:t>
      </w:r>
    </w:p>
    <w:p w14:paraId="2D52EC24">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签发日期：  年  月   日</w:t>
      </w:r>
    </w:p>
    <w:p w14:paraId="20FDABFC">
      <w:pPr>
        <w:snapToGrid w:val="0"/>
        <w:spacing w:line="360" w:lineRule="auto"/>
        <w:rPr>
          <w:rFonts w:cs="宋体" w:asciiTheme="minorEastAsia" w:hAnsiTheme="minorEastAsia" w:eastAsiaTheme="minorEastAsia"/>
          <w:sz w:val="24"/>
          <w:highlight w:val="none"/>
        </w:rPr>
      </w:pPr>
    </w:p>
    <w:p w14:paraId="5A7D8E31">
      <w:pPr>
        <w:spacing w:line="360" w:lineRule="auto"/>
        <w:jc w:val="center"/>
        <w:rPr>
          <w:rFonts w:hint="eastAsia"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 xml:space="preserve">      </w:t>
      </w:r>
      <w:r>
        <w:rPr>
          <w:rFonts w:hint="eastAsia" w:cs="宋体" w:asciiTheme="minorEastAsia" w:hAnsiTheme="minorEastAsia" w:eastAsiaTheme="minorEastAsia"/>
          <w:b/>
          <w:kern w:val="0"/>
          <w:sz w:val="32"/>
          <w:szCs w:val="32"/>
          <w:highlight w:val="none"/>
        </w:rPr>
        <w:t xml:space="preserve"> </w:t>
      </w:r>
      <w:r>
        <w:rPr>
          <w:rFonts w:hint="eastAsia" w:cs="宋体" w:asciiTheme="minorEastAsia" w:hAnsiTheme="minorEastAsia" w:eastAsiaTheme="minorEastAsia"/>
          <w:b/>
          <w:kern w:val="0"/>
          <w:sz w:val="32"/>
          <w:szCs w:val="32"/>
          <w:highlight w:val="none"/>
          <w:lang w:val="zh-CN"/>
        </w:rPr>
        <w:t>授权委托书（适用于联合体投标）</w:t>
      </w:r>
    </w:p>
    <w:p w14:paraId="70AE8C5E">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46B29DF5">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杭州市公安局西湖区分局看守所智能行为分析系统项目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XHZFCG-2025-G-09</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7DC23EB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14:paraId="7D6FADF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14:paraId="2AE5CA75">
      <w:pPr>
        <w:jc w:val="center"/>
        <w:rPr>
          <w:rFonts w:cs="宋体" w:asciiTheme="minorEastAsia" w:hAnsiTheme="minorEastAsia" w:eastAsiaTheme="minorEastAsia"/>
          <w:b/>
          <w:kern w:val="0"/>
          <w:sz w:val="32"/>
          <w:szCs w:val="32"/>
          <w:highlight w:val="none"/>
        </w:rPr>
      </w:pPr>
    </w:p>
    <w:p w14:paraId="32961190">
      <w:pPr>
        <w:rPr>
          <w:rFonts w:cs="宋体" w:asciiTheme="minorEastAsia" w:hAnsiTheme="minorEastAsia" w:eastAsiaTheme="minorEastAsia"/>
          <w:highlight w:val="none"/>
        </w:rPr>
      </w:pPr>
    </w:p>
    <w:p w14:paraId="40006D25">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3FB32697">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135B4271">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1E16C8C1">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0B98FAE3">
      <w:pPr>
        <w:autoSpaceDE w:val="0"/>
        <w:autoSpaceDN w:val="0"/>
        <w:spacing w:line="360" w:lineRule="auto"/>
        <w:jc w:val="left"/>
        <w:rPr>
          <w:rFonts w:ascii="宋体" w:hAnsi="宋体" w:cs="宋体"/>
          <w:b/>
          <w:color w:val="auto"/>
          <w:kern w:val="0"/>
          <w:sz w:val="32"/>
          <w:szCs w:val="32"/>
          <w:highlight w:val="none"/>
          <w:u w:val="single"/>
          <w:lang w:val="zh-CN"/>
        </w:rPr>
      </w:pPr>
      <w:r>
        <w:rPr>
          <w:rFonts w:hint="eastAsia" w:ascii="宋体" w:hAnsi="宋体" w:cs="宋体"/>
          <w:b/>
          <w:color w:val="auto"/>
          <w:kern w:val="0"/>
          <w:sz w:val="24"/>
          <w:highlight w:val="none"/>
          <w:u w:val="single"/>
          <w:lang w:val="zh-CN"/>
        </w:rPr>
        <w:t>注：▲供应商委派不在本单位缴纳社保的人员作为授权代表（代理人）的，应当在投标（响应）文件中，说明具体原因、授权代表缴纳社保的单位，并附列该授权代表缴纳社保清单。</w:t>
      </w:r>
    </w:p>
    <w:p w14:paraId="6758EF08">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14:paraId="3433B67B">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14:paraId="1DE841BE">
      <w:pPr>
        <w:autoSpaceDE w:val="0"/>
        <w:autoSpaceDN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32"/>
          <w:szCs w:val="32"/>
          <w:highlight w:val="none"/>
          <w:lang w:val="zh-CN"/>
        </w:rPr>
        <w:t>法定代表人、单位负责人或自然人本人</w:t>
      </w:r>
      <w:r>
        <w:rPr>
          <w:rFonts w:hint="eastAsia" w:cs="宋体" w:asciiTheme="minorEastAsia" w:hAnsiTheme="minorEastAsia" w:eastAsiaTheme="minorEastAsia"/>
          <w:b/>
          <w:sz w:val="30"/>
          <w:szCs w:val="30"/>
          <w:highlight w:val="none"/>
        </w:rPr>
        <w:t>的身份证明（适用于法定代表人、单位负责人或者自然人本人代表投标人参加投标）</w:t>
      </w:r>
    </w:p>
    <w:p w14:paraId="2F263C30">
      <w:pPr>
        <w:pStyle w:val="147"/>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03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35DA48">
            <w:pPr>
              <w:pStyle w:val="147"/>
              <w:adjustRightIn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正面：                                 反面：</w:t>
            </w:r>
          </w:p>
          <w:p w14:paraId="5E85E9C5">
            <w:pPr>
              <w:pStyle w:val="147"/>
              <w:adjustRightInd w:val="0"/>
              <w:spacing w:line="360" w:lineRule="auto"/>
              <w:rPr>
                <w:rFonts w:cs="宋体" w:asciiTheme="minorEastAsia" w:hAnsiTheme="minorEastAsia" w:eastAsiaTheme="minorEastAsia"/>
                <w:bCs/>
                <w:sz w:val="24"/>
                <w:highlight w:val="none"/>
              </w:rPr>
            </w:pPr>
          </w:p>
        </w:tc>
      </w:tr>
    </w:tbl>
    <w:p w14:paraId="25324F90">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14:paraId="2E729EB6">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投标人名称(电子签名)：                              </w:t>
      </w:r>
    </w:p>
    <w:p w14:paraId="62765E4B">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89BF297">
      <w:pPr>
        <w:jc w:val="center"/>
        <w:rPr>
          <w:rFonts w:cs="宋体" w:asciiTheme="minorEastAsia" w:hAnsiTheme="minorEastAsia" w:eastAsiaTheme="minorEastAsia"/>
          <w:b/>
          <w:kern w:val="0"/>
          <w:sz w:val="32"/>
          <w:szCs w:val="32"/>
          <w:highlight w:val="none"/>
        </w:rPr>
      </w:pPr>
    </w:p>
    <w:p w14:paraId="7FF59322">
      <w:pPr>
        <w:jc w:val="center"/>
        <w:rPr>
          <w:rFonts w:cs="宋体" w:asciiTheme="minorEastAsia" w:hAnsiTheme="minorEastAsia" w:eastAsiaTheme="minorEastAsia"/>
          <w:b/>
          <w:kern w:val="0"/>
          <w:sz w:val="32"/>
          <w:szCs w:val="32"/>
          <w:highlight w:val="none"/>
        </w:rPr>
      </w:pPr>
    </w:p>
    <w:p w14:paraId="27B38633">
      <w:pPr>
        <w:jc w:val="center"/>
        <w:rPr>
          <w:rFonts w:cs="宋体" w:asciiTheme="minorEastAsia" w:hAnsiTheme="minorEastAsia" w:eastAsiaTheme="minorEastAsia"/>
          <w:b/>
          <w:kern w:val="0"/>
          <w:sz w:val="32"/>
          <w:szCs w:val="32"/>
          <w:highlight w:val="none"/>
        </w:rPr>
      </w:pPr>
    </w:p>
    <w:p w14:paraId="351CF57C">
      <w:pPr>
        <w:jc w:val="center"/>
        <w:rPr>
          <w:rFonts w:cs="宋体" w:asciiTheme="minorEastAsia" w:hAnsiTheme="minorEastAsia" w:eastAsiaTheme="minorEastAsia"/>
          <w:b/>
          <w:kern w:val="0"/>
          <w:sz w:val="32"/>
          <w:szCs w:val="32"/>
          <w:highlight w:val="none"/>
        </w:rPr>
      </w:pPr>
    </w:p>
    <w:p w14:paraId="606406CA">
      <w:pPr>
        <w:jc w:val="center"/>
        <w:rPr>
          <w:rFonts w:cs="宋体" w:asciiTheme="minorEastAsia" w:hAnsiTheme="minorEastAsia" w:eastAsiaTheme="minorEastAsia"/>
          <w:b/>
          <w:kern w:val="0"/>
          <w:sz w:val="32"/>
          <w:szCs w:val="32"/>
          <w:highlight w:val="none"/>
        </w:rPr>
      </w:pPr>
    </w:p>
    <w:p w14:paraId="79FC610E">
      <w:pPr>
        <w:jc w:val="center"/>
        <w:rPr>
          <w:rFonts w:cs="宋体" w:asciiTheme="minorEastAsia" w:hAnsiTheme="minorEastAsia" w:eastAsiaTheme="minorEastAsia"/>
          <w:b/>
          <w:kern w:val="0"/>
          <w:sz w:val="32"/>
          <w:szCs w:val="32"/>
          <w:highlight w:val="none"/>
        </w:rPr>
      </w:pPr>
    </w:p>
    <w:p w14:paraId="4FAF8283">
      <w:pPr>
        <w:jc w:val="center"/>
        <w:rPr>
          <w:rFonts w:cs="宋体" w:asciiTheme="minorEastAsia" w:hAnsiTheme="minorEastAsia" w:eastAsiaTheme="minorEastAsia"/>
          <w:b/>
          <w:kern w:val="0"/>
          <w:sz w:val="32"/>
          <w:szCs w:val="32"/>
          <w:highlight w:val="none"/>
        </w:rPr>
      </w:pPr>
    </w:p>
    <w:p w14:paraId="699B275E">
      <w:pPr>
        <w:jc w:val="center"/>
        <w:rPr>
          <w:rFonts w:cs="宋体" w:asciiTheme="minorEastAsia" w:hAnsiTheme="minorEastAsia" w:eastAsiaTheme="minorEastAsia"/>
          <w:b/>
          <w:kern w:val="0"/>
          <w:sz w:val="32"/>
          <w:szCs w:val="32"/>
          <w:highlight w:val="none"/>
        </w:rPr>
      </w:pPr>
    </w:p>
    <w:p w14:paraId="52201C9F">
      <w:pPr>
        <w:jc w:val="center"/>
        <w:rPr>
          <w:rFonts w:cs="宋体" w:asciiTheme="minorEastAsia" w:hAnsiTheme="minorEastAsia" w:eastAsiaTheme="minorEastAsia"/>
          <w:b/>
          <w:kern w:val="0"/>
          <w:sz w:val="32"/>
          <w:szCs w:val="32"/>
          <w:highlight w:val="none"/>
        </w:rPr>
      </w:pPr>
    </w:p>
    <w:p w14:paraId="7BF2E09B">
      <w:pPr>
        <w:jc w:val="center"/>
        <w:rPr>
          <w:rFonts w:cs="宋体" w:asciiTheme="minorEastAsia" w:hAnsiTheme="minorEastAsia" w:eastAsiaTheme="minorEastAsia"/>
          <w:b/>
          <w:kern w:val="0"/>
          <w:sz w:val="32"/>
          <w:szCs w:val="32"/>
          <w:highlight w:val="none"/>
        </w:rPr>
      </w:pPr>
    </w:p>
    <w:p w14:paraId="1E779EE3">
      <w:pPr>
        <w:snapToGrid w:val="0"/>
        <w:spacing w:line="360" w:lineRule="auto"/>
        <w:ind w:right="480"/>
        <w:rPr>
          <w:rFonts w:cs="宋体" w:asciiTheme="minorEastAsia" w:hAnsiTheme="minorEastAsia" w:eastAsiaTheme="minorEastAsia"/>
          <w:b/>
          <w:kern w:val="0"/>
          <w:sz w:val="32"/>
          <w:szCs w:val="32"/>
          <w:highlight w:val="none"/>
        </w:rPr>
        <w:sectPr>
          <w:headerReference r:id="rId9" w:type="first"/>
          <w:footerReference r:id="rId11" w:type="first"/>
          <w:headerReference r:id="rId8" w:type="default"/>
          <w:footerReference r:id="rId10" w:type="default"/>
          <w:pgSz w:w="11906" w:h="16838"/>
          <w:pgMar w:top="680" w:right="1417" w:bottom="471" w:left="1417" w:header="851" w:footer="992" w:gutter="0"/>
          <w:cols w:space="0" w:num="1"/>
          <w:titlePg/>
          <w:rtlGutter w:val="0"/>
          <w:docGrid w:linePitch="312" w:charSpace="0"/>
        </w:sectPr>
      </w:pPr>
    </w:p>
    <w:p w14:paraId="1D3FCE9F">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三、分包意向协议（如果有）</w:t>
      </w:r>
    </w:p>
    <w:p w14:paraId="32E07055">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中标后以分包方式履行合同的，提供分包意向协议(附件6</w:t>
      </w:r>
      <w:r>
        <w:rPr>
          <w:rFonts w:cs="宋体" w:asciiTheme="minorEastAsia" w:hAnsiTheme="minorEastAsia" w:eastAsiaTheme="minorEastAsia"/>
          <w:b/>
          <w:sz w:val="24"/>
          <w:highlight w:val="none"/>
        </w:rPr>
        <w:t>)</w:t>
      </w:r>
      <w:r>
        <w:rPr>
          <w:rFonts w:hint="eastAsia" w:cs="宋体" w:asciiTheme="minorEastAsia" w:hAnsiTheme="minorEastAsia" w:eastAsiaTheme="minorEastAsia"/>
          <w:b/>
          <w:sz w:val="24"/>
          <w:highlight w:val="none"/>
        </w:rPr>
        <w:t>；采购人不同意分包或者投标人中标后不以分包方式履行合同的，则不需要提供。</w:t>
      </w:r>
      <w:r>
        <w:rPr>
          <w:rFonts w:hint="eastAsia" w:cs="宋体" w:asciiTheme="minorEastAsia" w:hAnsiTheme="minorEastAsia" w:eastAsiaTheme="minorEastAsia"/>
          <w:sz w:val="24"/>
          <w:highlight w:val="none"/>
        </w:rPr>
        <w:t>]</w:t>
      </w:r>
    </w:p>
    <w:p w14:paraId="54F35416">
      <w:pPr>
        <w:snapToGrid w:val="0"/>
        <w:spacing w:line="360" w:lineRule="auto"/>
        <w:rPr>
          <w:rFonts w:cs="宋体" w:asciiTheme="minorEastAsia" w:hAnsiTheme="minorEastAsia" w:eastAsiaTheme="minorEastAsia"/>
          <w:kern w:val="0"/>
          <w:sz w:val="24"/>
          <w:highlight w:val="none"/>
        </w:rPr>
      </w:pPr>
    </w:p>
    <w:p w14:paraId="144ADB1B">
      <w:pPr>
        <w:jc w:val="center"/>
        <w:rPr>
          <w:rFonts w:cs="宋体" w:asciiTheme="minorEastAsia" w:hAnsiTheme="minorEastAsia" w:eastAsiaTheme="minorEastAsia"/>
          <w:b/>
          <w:kern w:val="0"/>
          <w:sz w:val="32"/>
          <w:szCs w:val="32"/>
          <w:highlight w:val="none"/>
        </w:rPr>
      </w:pPr>
    </w:p>
    <w:p w14:paraId="1AFC24AC">
      <w:pPr>
        <w:jc w:val="center"/>
        <w:rPr>
          <w:rFonts w:cs="宋体" w:asciiTheme="minorEastAsia" w:hAnsiTheme="minorEastAsia" w:eastAsiaTheme="minorEastAsia"/>
          <w:b/>
          <w:kern w:val="0"/>
          <w:sz w:val="32"/>
          <w:szCs w:val="32"/>
          <w:highlight w:val="none"/>
        </w:rPr>
      </w:pPr>
    </w:p>
    <w:p w14:paraId="40A955D6">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四、符合性审查资料</w:t>
      </w:r>
    </w:p>
    <w:p w14:paraId="540FEE30">
      <w:pPr>
        <w:jc w:val="center"/>
        <w:rPr>
          <w:rFonts w:cs="宋体" w:asciiTheme="minorEastAsia" w:hAnsiTheme="minorEastAsia" w:eastAsiaTheme="minorEastAsia"/>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507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331CA5">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4991" w:type="dxa"/>
            <w:vAlign w:val="center"/>
          </w:tcPr>
          <w:p w14:paraId="0E564023">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实质性要求</w:t>
            </w:r>
          </w:p>
        </w:tc>
        <w:tc>
          <w:tcPr>
            <w:tcW w:w="2551" w:type="dxa"/>
            <w:vAlign w:val="center"/>
          </w:tcPr>
          <w:p w14:paraId="54C4E68A">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需要提供的符合性审查资料</w:t>
            </w:r>
          </w:p>
        </w:tc>
        <w:tc>
          <w:tcPr>
            <w:tcW w:w="1418" w:type="dxa"/>
            <w:vAlign w:val="center"/>
          </w:tcPr>
          <w:p w14:paraId="2EB88E9C">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投标文件中的</w:t>
            </w:r>
          </w:p>
          <w:p w14:paraId="6CBF22DD">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页码位置</w:t>
            </w:r>
          </w:p>
        </w:tc>
      </w:tr>
      <w:tr w14:paraId="133E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C9CE14">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4991" w:type="dxa"/>
            <w:vAlign w:val="center"/>
          </w:tcPr>
          <w:p w14:paraId="11237141">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投标文件按照招标文件要求签署、盖章。</w:t>
            </w:r>
          </w:p>
        </w:tc>
        <w:tc>
          <w:tcPr>
            <w:tcW w:w="2551" w:type="dxa"/>
            <w:vAlign w:val="center"/>
          </w:tcPr>
          <w:p w14:paraId="52D06FC4">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需要使用电子签名或者签字盖章的投标文件的组成部分</w:t>
            </w:r>
          </w:p>
        </w:tc>
        <w:tc>
          <w:tcPr>
            <w:tcW w:w="1418" w:type="dxa"/>
            <w:vAlign w:val="center"/>
          </w:tcPr>
          <w:p w14:paraId="4249A8D8">
            <w:pPr>
              <w:jc w:val="center"/>
              <w:rPr>
                <w:rFonts w:cs="宋体" w:asciiTheme="minorEastAsia" w:hAnsiTheme="minorEastAsia" w:eastAsiaTheme="minorEastAsia"/>
                <w:sz w:val="24"/>
                <w:highlight w:val="none"/>
              </w:rPr>
            </w:pPr>
          </w:p>
          <w:p w14:paraId="32226CFC">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见投标文件</w:t>
            </w:r>
          </w:p>
          <w:p w14:paraId="19545923">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14:paraId="378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76E7EF">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4991" w:type="dxa"/>
            <w:vAlign w:val="center"/>
          </w:tcPr>
          <w:p w14:paraId="4E666C5C">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投标文件中承诺的投标有效期不少于招标文件中载明的投标有效期。</w:t>
            </w:r>
          </w:p>
        </w:tc>
        <w:tc>
          <w:tcPr>
            <w:tcW w:w="2551" w:type="dxa"/>
            <w:vAlign w:val="center"/>
          </w:tcPr>
          <w:p w14:paraId="10AB55F4">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投标函</w:t>
            </w:r>
          </w:p>
        </w:tc>
        <w:tc>
          <w:tcPr>
            <w:tcW w:w="1418" w:type="dxa"/>
            <w:vAlign w:val="center"/>
          </w:tcPr>
          <w:p w14:paraId="6D018189">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14:paraId="0963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33EB3B">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4991" w:type="dxa"/>
            <w:vAlign w:val="center"/>
          </w:tcPr>
          <w:p w14:paraId="178AEBA6">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投标文件满足招标文件的其它实质性要求。</w:t>
            </w:r>
          </w:p>
        </w:tc>
        <w:tc>
          <w:tcPr>
            <w:tcW w:w="2551" w:type="dxa"/>
            <w:vAlign w:val="center"/>
          </w:tcPr>
          <w:p w14:paraId="45EA602E">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招标文件其它实质性要求相应的材料（“▲” 系指实质性要求条款，招标文件无其它实质性要求的，无需提供）</w:t>
            </w:r>
          </w:p>
        </w:tc>
        <w:tc>
          <w:tcPr>
            <w:tcW w:w="1418" w:type="dxa"/>
            <w:vAlign w:val="center"/>
          </w:tcPr>
          <w:p w14:paraId="3613168D">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bl>
    <w:p w14:paraId="6086A997">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B49BB26">
      <w:pPr>
        <w:jc w:val="center"/>
        <w:rPr>
          <w:rFonts w:cs="宋体" w:asciiTheme="minorEastAsia" w:hAnsiTheme="minorEastAsia" w:eastAsiaTheme="minorEastAsia"/>
          <w:b/>
          <w:kern w:val="0"/>
          <w:sz w:val="32"/>
          <w:szCs w:val="32"/>
          <w:highlight w:val="none"/>
        </w:rPr>
      </w:pPr>
    </w:p>
    <w:p w14:paraId="4292A215">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 xml:space="preserve">            </w:t>
      </w:r>
    </w:p>
    <w:p w14:paraId="7A462C57">
      <w:pPr>
        <w:jc w:val="center"/>
        <w:rPr>
          <w:rFonts w:cs="宋体" w:asciiTheme="minorEastAsia" w:hAnsiTheme="minorEastAsia" w:eastAsiaTheme="minorEastAsia"/>
          <w:b/>
          <w:kern w:val="0"/>
          <w:sz w:val="32"/>
          <w:szCs w:val="32"/>
          <w:highlight w:val="none"/>
        </w:rPr>
      </w:pPr>
    </w:p>
    <w:p w14:paraId="063F2764">
      <w:pPr>
        <w:jc w:val="center"/>
        <w:rPr>
          <w:rFonts w:cs="宋体" w:asciiTheme="minorEastAsia" w:hAnsiTheme="minorEastAsia" w:eastAsiaTheme="minorEastAsia"/>
          <w:b/>
          <w:kern w:val="0"/>
          <w:sz w:val="32"/>
          <w:szCs w:val="32"/>
          <w:highlight w:val="none"/>
        </w:rPr>
      </w:pPr>
    </w:p>
    <w:p w14:paraId="5A3CC6B0">
      <w:pPr>
        <w:jc w:val="center"/>
        <w:rPr>
          <w:rFonts w:cs="宋体" w:asciiTheme="minorEastAsia" w:hAnsiTheme="minorEastAsia" w:eastAsiaTheme="minorEastAsia"/>
          <w:b/>
          <w:kern w:val="0"/>
          <w:sz w:val="32"/>
          <w:szCs w:val="32"/>
          <w:highlight w:val="none"/>
        </w:rPr>
      </w:pPr>
    </w:p>
    <w:p w14:paraId="4F87687F">
      <w:pPr>
        <w:jc w:val="center"/>
        <w:rPr>
          <w:rFonts w:cs="宋体" w:asciiTheme="minorEastAsia" w:hAnsiTheme="minorEastAsia" w:eastAsiaTheme="minorEastAsia"/>
          <w:b/>
          <w:kern w:val="0"/>
          <w:sz w:val="32"/>
          <w:szCs w:val="32"/>
          <w:highlight w:val="none"/>
        </w:rPr>
      </w:pPr>
    </w:p>
    <w:p w14:paraId="1B76207F">
      <w:pPr>
        <w:jc w:val="center"/>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rPr>
        <w:t>五、评标标准相应的商务技术资料</w:t>
      </w:r>
    </w:p>
    <w:p w14:paraId="4536E69C">
      <w:pPr>
        <w:snapToGrid w:val="0"/>
        <w:spacing w:line="360" w:lineRule="auto"/>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（按招标文件第四部分评标办法前附表中“投标文件中评标标准相应的商务技术资料目录”提供资料。）</w:t>
      </w:r>
    </w:p>
    <w:p w14:paraId="709E5AE3">
      <w:pPr>
        <w:jc w:val="center"/>
        <w:rPr>
          <w:rFonts w:cs="宋体" w:asciiTheme="minorEastAsia" w:hAnsiTheme="minorEastAsia" w:eastAsiaTheme="minorEastAsia"/>
          <w:b/>
          <w:kern w:val="0"/>
          <w:sz w:val="32"/>
          <w:szCs w:val="32"/>
          <w:highlight w:val="none"/>
        </w:rPr>
      </w:pPr>
    </w:p>
    <w:p w14:paraId="2596694C">
      <w:pPr>
        <w:jc w:val="center"/>
        <w:rPr>
          <w:rFonts w:cs="宋体" w:asciiTheme="minorEastAsia" w:hAnsiTheme="minorEastAsia" w:eastAsiaTheme="minorEastAsia"/>
          <w:b/>
          <w:kern w:val="0"/>
          <w:sz w:val="32"/>
          <w:szCs w:val="32"/>
          <w:highlight w:val="none"/>
        </w:rPr>
      </w:pPr>
    </w:p>
    <w:p w14:paraId="5B83A855">
      <w:pPr>
        <w:jc w:val="center"/>
        <w:rPr>
          <w:rFonts w:cs="宋体" w:asciiTheme="minorEastAsia" w:hAnsiTheme="minorEastAsia" w:eastAsiaTheme="minorEastAsia"/>
          <w:b/>
          <w:kern w:val="0"/>
          <w:sz w:val="32"/>
          <w:szCs w:val="32"/>
          <w:highlight w:val="none"/>
        </w:rPr>
      </w:pPr>
    </w:p>
    <w:p w14:paraId="196B7397">
      <w:pPr>
        <w:ind w:firstLine="2891" w:firstLineChars="9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六、投标标的清单</w:t>
      </w:r>
    </w:p>
    <w:tbl>
      <w:tblPr>
        <w:tblStyle w:val="6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52"/>
        <w:gridCol w:w="1581"/>
        <w:gridCol w:w="2313"/>
        <w:gridCol w:w="1612"/>
        <w:gridCol w:w="875"/>
        <w:gridCol w:w="1786"/>
      </w:tblGrid>
      <w:tr w14:paraId="1D8E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7890A4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5255F2F4">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581" w:type="dxa"/>
            <w:tcBorders>
              <w:top w:val="single" w:color="auto" w:sz="4" w:space="0"/>
              <w:left w:val="single" w:color="auto" w:sz="4" w:space="0"/>
              <w:bottom w:val="single" w:color="auto" w:sz="4" w:space="0"/>
              <w:right w:val="single" w:color="auto" w:sz="4" w:space="0"/>
            </w:tcBorders>
          </w:tcPr>
          <w:p w14:paraId="53109042">
            <w:pPr>
              <w:spacing w:line="360" w:lineRule="auto"/>
              <w:jc w:val="center"/>
              <w:rPr>
                <w:rFonts w:cs="宋体" w:asciiTheme="minorEastAsia" w:hAnsiTheme="minorEastAsia" w:eastAsiaTheme="minorEastAsia"/>
                <w:b/>
                <w:sz w:val="24"/>
                <w:highlight w:val="none"/>
              </w:rPr>
            </w:pPr>
          </w:p>
          <w:p w14:paraId="790A3CBC">
            <w:pPr>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p w14:paraId="3266FC89">
            <w:pPr>
              <w:spacing w:line="360" w:lineRule="auto"/>
              <w:jc w:val="center"/>
              <w:rPr>
                <w:rFonts w:hint="eastAsia" w:cs="宋体" w:asciiTheme="minorEastAsia" w:hAnsiTheme="minorEastAsia" w:eastAsiaTheme="minorEastAsia"/>
                <w:b/>
                <w:sz w:val="24"/>
                <w:highlight w:val="none"/>
                <w:lang w:eastAsia="zh-CN"/>
              </w:rPr>
            </w:pPr>
          </w:p>
        </w:tc>
        <w:tc>
          <w:tcPr>
            <w:tcW w:w="2313" w:type="dxa"/>
            <w:tcBorders>
              <w:top w:val="single" w:color="auto" w:sz="4" w:space="0"/>
              <w:left w:val="single" w:color="auto" w:sz="4" w:space="0"/>
              <w:bottom w:val="single" w:color="auto" w:sz="4" w:space="0"/>
              <w:right w:val="single" w:color="auto" w:sz="4" w:space="0"/>
            </w:tcBorders>
            <w:vAlign w:val="center"/>
          </w:tcPr>
          <w:p w14:paraId="7064CAAD">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服务要求</w:t>
            </w:r>
          </w:p>
        </w:tc>
        <w:tc>
          <w:tcPr>
            <w:tcW w:w="1612" w:type="dxa"/>
            <w:tcBorders>
              <w:top w:val="single" w:color="auto" w:sz="4" w:space="0"/>
              <w:left w:val="single" w:color="auto" w:sz="4" w:space="0"/>
              <w:bottom w:val="single" w:color="auto" w:sz="4" w:space="0"/>
              <w:right w:val="single" w:color="auto" w:sz="4" w:space="0"/>
            </w:tcBorders>
            <w:vAlign w:val="center"/>
          </w:tcPr>
          <w:p w14:paraId="501DAFFD">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p>
        </w:tc>
        <w:tc>
          <w:tcPr>
            <w:tcW w:w="875" w:type="dxa"/>
            <w:tcBorders>
              <w:top w:val="single" w:color="auto" w:sz="4" w:space="0"/>
              <w:left w:val="single" w:color="auto" w:sz="4" w:space="0"/>
              <w:bottom w:val="single" w:color="auto" w:sz="4" w:space="0"/>
              <w:right w:val="single" w:color="auto" w:sz="4" w:space="0"/>
            </w:tcBorders>
            <w:vAlign w:val="center"/>
          </w:tcPr>
          <w:p w14:paraId="610D9ACC">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1786" w:type="dxa"/>
            <w:tcBorders>
              <w:top w:val="single" w:color="auto" w:sz="4" w:space="0"/>
              <w:left w:val="single" w:color="auto" w:sz="4" w:space="0"/>
              <w:bottom w:val="single" w:color="auto" w:sz="4" w:space="0"/>
              <w:right w:val="single" w:color="auto" w:sz="4" w:space="0"/>
            </w:tcBorders>
            <w:vAlign w:val="center"/>
          </w:tcPr>
          <w:p w14:paraId="31F2F084">
            <w:pPr>
              <w:spacing w:line="360" w:lineRule="auto"/>
              <w:jc w:val="center"/>
              <w:rPr>
                <w:rFonts w:cs="宋体" w:asciiTheme="minorEastAsia" w:hAnsiTheme="minorEastAsia" w:eastAsiaTheme="minorEastAsia"/>
                <w:b/>
                <w:sz w:val="24"/>
                <w:highlight w:val="none"/>
              </w:rPr>
            </w:pPr>
          </w:p>
          <w:p w14:paraId="7CBE987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6CAD2419">
            <w:pPr>
              <w:spacing w:line="360" w:lineRule="auto"/>
              <w:jc w:val="center"/>
              <w:rPr>
                <w:rFonts w:cs="宋体" w:asciiTheme="minorEastAsia" w:hAnsiTheme="minorEastAsia" w:eastAsiaTheme="minorEastAsia"/>
                <w:b/>
                <w:sz w:val="24"/>
                <w:highlight w:val="none"/>
              </w:rPr>
            </w:pPr>
          </w:p>
        </w:tc>
      </w:tr>
      <w:tr w14:paraId="23E8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49A7E50">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643C488D">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022272E7">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2971E3A9">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7B8CF97E">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2CCC8DA6">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29F293F2">
            <w:pPr>
              <w:spacing w:line="360" w:lineRule="auto"/>
              <w:jc w:val="center"/>
              <w:rPr>
                <w:rFonts w:cs="宋体" w:asciiTheme="minorEastAsia" w:hAnsiTheme="minorEastAsia" w:eastAsiaTheme="minorEastAsia"/>
                <w:sz w:val="24"/>
                <w:highlight w:val="none"/>
              </w:rPr>
            </w:pPr>
          </w:p>
        </w:tc>
      </w:tr>
      <w:tr w14:paraId="3E18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0182475">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7EE01A55">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0BF5B7D1">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75072650">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679D64B5">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0C4B0EFE">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15F3429F">
            <w:pPr>
              <w:spacing w:line="360" w:lineRule="auto"/>
              <w:jc w:val="center"/>
              <w:rPr>
                <w:rFonts w:cs="宋体" w:asciiTheme="minorEastAsia" w:hAnsiTheme="minorEastAsia" w:eastAsiaTheme="minorEastAsia"/>
                <w:sz w:val="24"/>
                <w:highlight w:val="none"/>
              </w:rPr>
            </w:pPr>
          </w:p>
        </w:tc>
      </w:tr>
      <w:tr w14:paraId="4F85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DFC9A1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14:paraId="2D67C6DB">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524AB048">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3A24A26B">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006DA1A0">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627CE2A1">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6B8A0467">
            <w:pPr>
              <w:spacing w:line="360" w:lineRule="auto"/>
              <w:jc w:val="center"/>
              <w:rPr>
                <w:rFonts w:cs="宋体" w:asciiTheme="minorEastAsia" w:hAnsiTheme="minorEastAsia" w:eastAsiaTheme="minorEastAsia"/>
                <w:sz w:val="24"/>
                <w:highlight w:val="none"/>
              </w:rPr>
            </w:pPr>
          </w:p>
        </w:tc>
      </w:tr>
    </w:tbl>
    <w:p w14:paraId="6900E3C4">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7BAD86F">
      <w:pPr>
        <w:jc w:val="center"/>
        <w:rPr>
          <w:rFonts w:cs="宋体" w:asciiTheme="minorEastAsia" w:hAnsiTheme="minorEastAsia" w:eastAsiaTheme="minorEastAsia"/>
          <w:b/>
          <w:kern w:val="0"/>
          <w:sz w:val="32"/>
          <w:szCs w:val="32"/>
          <w:highlight w:val="none"/>
        </w:rPr>
      </w:pPr>
    </w:p>
    <w:p w14:paraId="2A60241E">
      <w:pPr>
        <w:jc w:val="center"/>
        <w:rPr>
          <w:rFonts w:cs="宋体" w:asciiTheme="minorEastAsia" w:hAnsiTheme="minorEastAsia" w:eastAsiaTheme="minorEastAsia"/>
          <w:b/>
          <w:kern w:val="0"/>
          <w:sz w:val="32"/>
          <w:szCs w:val="32"/>
          <w:highlight w:val="none"/>
        </w:rPr>
      </w:pPr>
    </w:p>
    <w:p w14:paraId="7C8EBDE8">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6AE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79759F">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序号</w:t>
            </w:r>
          </w:p>
        </w:tc>
        <w:tc>
          <w:tcPr>
            <w:tcW w:w="3683" w:type="dxa"/>
          </w:tcPr>
          <w:p w14:paraId="1273ECB5">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招标文件章节及具体内容</w:t>
            </w:r>
          </w:p>
        </w:tc>
        <w:tc>
          <w:tcPr>
            <w:tcW w:w="3546" w:type="dxa"/>
          </w:tcPr>
          <w:p w14:paraId="62A4ABC5">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投标文件章节及具体内容</w:t>
            </w:r>
          </w:p>
        </w:tc>
        <w:tc>
          <w:tcPr>
            <w:tcW w:w="1276" w:type="dxa"/>
          </w:tcPr>
          <w:p w14:paraId="33D0A206">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偏离说明</w:t>
            </w:r>
          </w:p>
        </w:tc>
      </w:tr>
      <w:tr w14:paraId="55E8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DA438C">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p>
        </w:tc>
        <w:tc>
          <w:tcPr>
            <w:tcW w:w="3683" w:type="dxa"/>
          </w:tcPr>
          <w:p w14:paraId="6E44A433">
            <w:pPr>
              <w:jc w:val="center"/>
              <w:rPr>
                <w:rFonts w:cs="宋体" w:asciiTheme="minorEastAsia" w:hAnsiTheme="minorEastAsia" w:eastAsiaTheme="minorEastAsia"/>
                <w:b/>
                <w:kern w:val="0"/>
                <w:sz w:val="32"/>
                <w:szCs w:val="32"/>
                <w:highlight w:val="none"/>
              </w:rPr>
            </w:pPr>
          </w:p>
        </w:tc>
        <w:tc>
          <w:tcPr>
            <w:tcW w:w="3546" w:type="dxa"/>
          </w:tcPr>
          <w:p w14:paraId="6476B65A">
            <w:pPr>
              <w:jc w:val="center"/>
              <w:rPr>
                <w:rFonts w:cs="宋体" w:asciiTheme="minorEastAsia" w:hAnsiTheme="minorEastAsia" w:eastAsiaTheme="minorEastAsia"/>
                <w:b/>
                <w:kern w:val="0"/>
                <w:sz w:val="32"/>
                <w:szCs w:val="32"/>
                <w:highlight w:val="none"/>
              </w:rPr>
            </w:pPr>
          </w:p>
        </w:tc>
        <w:tc>
          <w:tcPr>
            <w:tcW w:w="1276" w:type="dxa"/>
          </w:tcPr>
          <w:p w14:paraId="05957B5D">
            <w:pPr>
              <w:jc w:val="center"/>
              <w:rPr>
                <w:rFonts w:cs="宋体" w:asciiTheme="minorEastAsia" w:hAnsiTheme="minorEastAsia" w:eastAsiaTheme="minorEastAsia"/>
                <w:b/>
                <w:kern w:val="0"/>
                <w:sz w:val="32"/>
                <w:szCs w:val="32"/>
                <w:highlight w:val="none"/>
              </w:rPr>
            </w:pPr>
          </w:p>
        </w:tc>
      </w:tr>
      <w:tr w14:paraId="6C2F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0D09F4">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p>
        </w:tc>
        <w:tc>
          <w:tcPr>
            <w:tcW w:w="3683" w:type="dxa"/>
          </w:tcPr>
          <w:p w14:paraId="7944FCA4">
            <w:pPr>
              <w:jc w:val="center"/>
              <w:rPr>
                <w:rFonts w:cs="宋体" w:asciiTheme="minorEastAsia" w:hAnsiTheme="minorEastAsia" w:eastAsiaTheme="minorEastAsia"/>
                <w:b/>
                <w:kern w:val="0"/>
                <w:sz w:val="32"/>
                <w:szCs w:val="32"/>
                <w:highlight w:val="none"/>
              </w:rPr>
            </w:pPr>
          </w:p>
        </w:tc>
        <w:tc>
          <w:tcPr>
            <w:tcW w:w="3546" w:type="dxa"/>
          </w:tcPr>
          <w:p w14:paraId="2BDE6B58">
            <w:pPr>
              <w:jc w:val="center"/>
              <w:rPr>
                <w:rFonts w:cs="宋体" w:asciiTheme="minorEastAsia" w:hAnsiTheme="minorEastAsia" w:eastAsiaTheme="minorEastAsia"/>
                <w:b/>
                <w:kern w:val="0"/>
                <w:sz w:val="32"/>
                <w:szCs w:val="32"/>
                <w:highlight w:val="none"/>
              </w:rPr>
            </w:pPr>
          </w:p>
        </w:tc>
        <w:tc>
          <w:tcPr>
            <w:tcW w:w="1276" w:type="dxa"/>
          </w:tcPr>
          <w:p w14:paraId="3C8EDA3D">
            <w:pPr>
              <w:jc w:val="center"/>
              <w:rPr>
                <w:rFonts w:cs="宋体" w:asciiTheme="minorEastAsia" w:hAnsiTheme="minorEastAsia" w:eastAsiaTheme="minorEastAsia"/>
                <w:b/>
                <w:kern w:val="0"/>
                <w:sz w:val="32"/>
                <w:szCs w:val="32"/>
                <w:highlight w:val="none"/>
              </w:rPr>
            </w:pPr>
          </w:p>
        </w:tc>
      </w:tr>
      <w:tr w14:paraId="1294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10F7B4">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w:t>
            </w:r>
          </w:p>
        </w:tc>
        <w:tc>
          <w:tcPr>
            <w:tcW w:w="3683" w:type="dxa"/>
          </w:tcPr>
          <w:p w14:paraId="0D9B2A2F">
            <w:pPr>
              <w:jc w:val="center"/>
              <w:rPr>
                <w:rFonts w:cs="宋体" w:asciiTheme="minorEastAsia" w:hAnsiTheme="minorEastAsia" w:eastAsiaTheme="minorEastAsia"/>
                <w:b/>
                <w:kern w:val="0"/>
                <w:sz w:val="32"/>
                <w:szCs w:val="32"/>
                <w:highlight w:val="none"/>
              </w:rPr>
            </w:pPr>
          </w:p>
        </w:tc>
        <w:tc>
          <w:tcPr>
            <w:tcW w:w="3546" w:type="dxa"/>
          </w:tcPr>
          <w:p w14:paraId="0240D1E7">
            <w:pPr>
              <w:jc w:val="center"/>
              <w:rPr>
                <w:rFonts w:cs="宋体" w:asciiTheme="minorEastAsia" w:hAnsiTheme="minorEastAsia" w:eastAsiaTheme="minorEastAsia"/>
                <w:b/>
                <w:kern w:val="0"/>
                <w:sz w:val="32"/>
                <w:szCs w:val="32"/>
                <w:highlight w:val="none"/>
              </w:rPr>
            </w:pPr>
          </w:p>
        </w:tc>
        <w:tc>
          <w:tcPr>
            <w:tcW w:w="1276" w:type="dxa"/>
          </w:tcPr>
          <w:p w14:paraId="7753F878">
            <w:pPr>
              <w:jc w:val="center"/>
              <w:rPr>
                <w:rFonts w:cs="宋体" w:asciiTheme="minorEastAsia" w:hAnsiTheme="minorEastAsia" w:eastAsiaTheme="minorEastAsia"/>
                <w:b/>
                <w:kern w:val="0"/>
                <w:sz w:val="32"/>
                <w:szCs w:val="32"/>
                <w:highlight w:val="none"/>
              </w:rPr>
            </w:pPr>
          </w:p>
        </w:tc>
      </w:tr>
    </w:tbl>
    <w:p w14:paraId="38F5E1BB">
      <w:pPr>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投标人保证：除商务技术偏离表列出的偏离外，投标人响应招标文件的全部要求</w:t>
      </w:r>
    </w:p>
    <w:p w14:paraId="2C09CECC">
      <w:pPr>
        <w:jc w:val="center"/>
        <w:rPr>
          <w:rFonts w:cs="宋体" w:asciiTheme="minorEastAsia" w:hAnsiTheme="minorEastAsia" w:eastAsiaTheme="minorEastAsia"/>
          <w:b/>
          <w:kern w:val="0"/>
          <w:sz w:val="32"/>
          <w:szCs w:val="32"/>
          <w:highlight w:val="none"/>
        </w:rPr>
      </w:pPr>
    </w:p>
    <w:p w14:paraId="52842D3F">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DE31737">
      <w:pPr>
        <w:ind w:firstLine="1911" w:firstLineChars="595"/>
        <w:rPr>
          <w:rFonts w:cs="宋体" w:asciiTheme="minorEastAsia" w:hAnsiTheme="minorEastAsia" w:eastAsiaTheme="minorEastAsia"/>
          <w:b/>
          <w:bCs/>
          <w:sz w:val="32"/>
          <w:szCs w:val="32"/>
          <w:highlight w:val="none"/>
        </w:rPr>
      </w:pPr>
    </w:p>
    <w:p w14:paraId="537C7F25">
      <w:pPr>
        <w:spacing w:line="360" w:lineRule="auto"/>
        <w:jc w:val="center"/>
        <w:rPr>
          <w:rFonts w:hint="eastAsia" w:cs="宋体" w:asciiTheme="minorEastAsia" w:hAnsiTheme="minorEastAsia" w:eastAsiaTheme="minorEastAsia"/>
          <w:b/>
          <w:bCs/>
          <w:sz w:val="32"/>
          <w:szCs w:val="32"/>
          <w:highlight w:val="none"/>
        </w:rPr>
      </w:pPr>
    </w:p>
    <w:p w14:paraId="628D48E3">
      <w:pPr>
        <w:spacing w:line="360" w:lineRule="auto"/>
        <w:jc w:val="center"/>
        <w:rPr>
          <w:rFonts w:hint="eastAsia" w:cs="宋体" w:asciiTheme="minorEastAsia" w:hAnsiTheme="minorEastAsia" w:eastAsiaTheme="minorEastAsia"/>
          <w:b/>
          <w:bCs/>
          <w:sz w:val="32"/>
          <w:szCs w:val="32"/>
          <w:highlight w:val="none"/>
        </w:rPr>
      </w:pPr>
    </w:p>
    <w:p w14:paraId="2A7F3512">
      <w:pPr>
        <w:spacing w:line="360" w:lineRule="auto"/>
        <w:jc w:val="center"/>
        <w:rPr>
          <w:rFonts w:hint="eastAsia" w:cs="宋体" w:asciiTheme="minorEastAsia" w:hAnsiTheme="minorEastAsia" w:eastAsiaTheme="minorEastAsia"/>
          <w:b/>
          <w:bCs/>
          <w:sz w:val="32"/>
          <w:szCs w:val="32"/>
          <w:highlight w:val="none"/>
        </w:rPr>
      </w:pPr>
    </w:p>
    <w:p w14:paraId="198830E9">
      <w:pPr>
        <w:spacing w:line="360" w:lineRule="auto"/>
        <w:jc w:val="center"/>
        <w:rPr>
          <w:rFonts w:hint="eastAsia" w:cs="宋体" w:asciiTheme="minorEastAsia" w:hAnsiTheme="minorEastAsia" w:eastAsiaTheme="minorEastAsia"/>
          <w:b/>
          <w:bCs/>
          <w:sz w:val="32"/>
          <w:szCs w:val="32"/>
          <w:highlight w:val="none"/>
        </w:rPr>
      </w:pPr>
    </w:p>
    <w:p w14:paraId="65B5E67A">
      <w:pPr>
        <w:spacing w:line="360" w:lineRule="auto"/>
        <w:jc w:val="center"/>
        <w:rPr>
          <w:rFonts w:hint="eastAsia" w:cs="宋体" w:asciiTheme="minorEastAsia" w:hAnsiTheme="minorEastAsia" w:eastAsiaTheme="minorEastAsia"/>
          <w:b/>
          <w:bCs/>
          <w:sz w:val="32"/>
          <w:szCs w:val="32"/>
          <w:highlight w:val="none"/>
        </w:rPr>
      </w:pPr>
    </w:p>
    <w:p w14:paraId="1555FA8F">
      <w:pPr>
        <w:spacing w:line="360" w:lineRule="auto"/>
        <w:jc w:val="center"/>
        <w:rPr>
          <w:rFonts w:hint="eastAsia" w:cs="宋体" w:asciiTheme="minorEastAsia" w:hAnsiTheme="minorEastAsia" w:eastAsiaTheme="minorEastAsia"/>
          <w:b/>
          <w:bCs/>
          <w:sz w:val="32"/>
          <w:szCs w:val="32"/>
          <w:highlight w:val="none"/>
        </w:rPr>
      </w:pPr>
    </w:p>
    <w:p w14:paraId="29F52530">
      <w:pPr>
        <w:spacing w:line="360" w:lineRule="auto"/>
        <w:jc w:val="center"/>
        <w:rPr>
          <w:rFonts w:hint="eastAsia" w:cs="宋体" w:asciiTheme="minorEastAsia" w:hAnsiTheme="minorEastAsia" w:eastAsiaTheme="minorEastAsia"/>
          <w:b/>
          <w:bCs/>
          <w:sz w:val="32"/>
          <w:szCs w:val="32"/>
          <w:highlight w:val="none"/>
        </w:rPr>
      </w:pPr>
    </w:p>
    <w:p w14:paraId="251F10E6">
      <w:pPr>
        <w:spacing w:line="360" w:lineRule="auto"/>
        <w:jc w:val="center"/>
        <w:rPr>
          <w:rFonts w:hint="eastAsia" w:cs="宋体" w:asciiTheme="minorEastAsia" w:hAnsiTheme="minorEastAsia" w:eastAsiaTheme="minorEastAsia"/>
          <w:b/>
          <w:bCs/>
          <w:sz w:val="32"/>
          <w:szCs w:val="32"/>
          <w:highlight w:val="none"/>
        </w:rPr>
      </w:pPr>
    </w:p>
    <w:p w14:paraId="1E5D10C1">
      <w:pPr>
        <w:spacing w:line="360" w:lineRule="auto"/>
        <w:jc w:val="center"/>
        <w:rPr>
          <w:rFonts w:hint="eastAsia" w:cs="宋体" w:asciiTheme="minorEastAsia" w:hAnsiTheme="minorEastAsia" w:eastAsiaTheme="minorEastAsia"/>
          <w:b/>
          <w:bCs/>
          <w:sz w:val="32"/>
          <w:szCs w:val="32"/>
          <w:highlight w:val="none"/>
        </w:rPr>
      </w:pPr>
    </w:p>
    <w:p w14:paraId="7AAECED6">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E018FE4">
      <w:pPr>
        <w:spacing w:line="360" w:lineRule="auto"/>
        <w:ind w:firstLine="1911" w:firstLineChars="595"/>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bCs/>
          <w:sz w:val="32"/>
          <w:szCs w:val="32"/>
          <w:highlight w:val="none"/>
          <w:lang w:val="en-US" w:eastAsia="zh-CN"/>
        </w:rPr>
        <w:t>八</w:t>
      </w:r>
      <w:r>
        <w:rPr>
          <w:rFonts w:hint="eastAsia" w:cs="宋体" w:asciiTheme="minorEastAsia" w:hAnsiTheme="minorEastAsia" w:eastAsiaTheme="minorEastAsia"/>
          <w:b/>
          <w:kern w:val="0"/>
          <w:sz w:val="32"/>
          <w:szCs w:val="32"/>
          <w:highlight w:val="none"/>
        </w:rPr>
        <w:t>、</w:t>
      </w:r>
      <w:r>
        <w:rPr>
          <w:rFonts w:hint="eastAsia" w:cs="宋体" w:asciiTheme="minorEastAsia" w:hAnsiTheme="minorEastAsia" w:eastAsiaTheme="minorEastAsia"/>
          <w:b/>
          <w:kern w:val="0"/>
          <w:sz w:val="32"/>
          <w:szCs w:val="32"/>
          <w:highlight w:val="none"/>
          <w:lang w:val="zh-CN"/>
        </w:rPr>
        <w:t>政府采购供应商廉洁自律承诺书</w:t>
      </w:r>
    </w:p>
    <w:p w14:paraId="305FE44D">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4E2A82FB">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我单位响应你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项目招标要求参加投标。在这次投标过程中和中标后，我们将严格遵守国家法律法规要求，并郑重承诺：</w:t>
      </w:r>
    </w:p>
    <w:p w14:paraId="1E90ABDA">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33633702">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二、不为项目有关人员及部门报销应由你方单位或个人支付的费用； </w:t>
      </w:r>
    </w:p>
    <w:p w14:paraId="6265E27A">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三、不向项目有关人员及部门提供有可能影响公正的宴请和健身娱乐等活动； </w:t>
      </w:r>
    </w:p>
    <w:p w14:paraId="27013200">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四、不为项目有关人员及部门出国（境）、旅游等提供方便；</w:t>
      </w:r>
    </w:p>
    <w:p w14:paraId="5C7C6EB9">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五、不为项目有关人员个人装修住房、婚丧嫁娶、配偶子女工作安排等提供</w:t>
      </w:r>
    </w:p>
    <w:p w14:paraId="01EC4FE1">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好处；</w:t>
      </w:r>
    </w:p>
    <w:p w14:paraId="68ADB69E">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六、严格遵守《</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政府采购法》《</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招标投标</w:t>
      </w:r>
    </w:p>
    <w:p w14:paraId="75046383">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法》</w:t>
      </w:r>
      <w:r>
        <w:rPr>
          <w:rFonts w:hint="eastAsia" w:cs="宋体" w:asciiTheme="minorEastAsia" w:hAnsiTheme="minorEastAsia" w:eastAsiaTheme="minorEastAsia"/>
          <w:sz w:val="24"/>
          <w:highlight w:val="none"/>
          <w:lang w:val="zh-CN"/>
        </w:rPr>
        <w:t>《中华人民共和国民法典》</w:t>
      </w:r>
      <w:r>
        <w:rPr>
          <w:rFonts w:hint="eastAsia" w:cs="宋体" w:asciiTheme="minorEastAsia" w:hAnsiTheme="minorEastAsia" w:eastAsiaTheme="minorEastAsia"/>
          <w:kern w:val="0"/>
          <w:sz w:val="24"/>
          <w:highlight w:val="none"/>
          <w:lang w:val="zh-CN"/>
        </w:rPr>
        <w:t xml:space="preserve">等法律法规，诚实守信，合法经营，坚决抵制各种违法违纪行为。 </w:t>
      </w:r>
    </w:p>
    <w:p w14:paraId="724C64E2">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如违反上述承诺，你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进行项目建设或其他经营活动，并通报区财政局。由此引起的相应损失均由我单位承担。</w:t>
      </w:r>
    </w:p>
    <w:p w14:paraId="76312FD4">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2BDBF802">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7B4A543B">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5943434F">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投标人名称（</w:t>
      </w:r>
      <w:r>
        <w:rPr>
          <w:rFonts w:hint="eastAsia" w:cs="宋体" w:asciiTheme="minorEastAsia" w:hAnsiTheme="minorEastAsia" w:eastAsiaTheme="minorEastAsia"/>
          <w:sz w:val="24"/>
          <w:highlight w:val="none"/>
        </w:rPr>
        <w:t>电子签名</w:t>
      </w:r>
      <w:r>
        <w:rPr>
          <w:rFonts w:hint="eastAsia" w:cs="宋体" w:asciiTheme="minorEastAsia" w:hAnsiTheme="minorEastAsia" w:eastAsiaTheme="minorEastAsia"/>
          <w:kern w:val="0"/>
          <w:sz w:val="24"/>
          <w:highlight w:val="none"/>
          <w:lang w:val="zh-CN"/>
        </w:rPr>
        <w:t xml:space="preserve">）：                                                                                                                                                                                                               </w:t>
      </w:r>
    </w:p>
    <w:p w14:paraId="74A5EB85">
      <w:pPr>
        <w:spacing w:line="360" w:lineRule="auto"/>
        <w:ind w:left="4620" w:leftChars="2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 xml:space="preserve">   年   月   日</w:t>
      </w:r>
    </w:p>
    <w:p w14:paraId="1D1E17D2">
      <w:pPr>
        <w:spacing w:line="360" w:lineRule="auto"/>
        <w:jc w:val="center"/>
        <w:rPr>
          <w:rFonts w:cs="宋体" w:asciiTheme="minorEastAsia" w:hAnsiTheme="minorEastAsia" w:eastAsiaTheme="minorEastAsia"/>
          <w:b/>
          <w:bCs/>
          <w:sz w:val="24"/>
          <w:highlight w:val="none"/>
        </w:rPr>
      </w:pPr>
    </w:p>
    <w:p w14:paraId="40389DE9">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153719E9">
      <w:pPr>
        <w:spacing w:line="360" w:lineRule="auto"/>
        <w:jc w:val="center"/>
        <w:rPr>
          <w:rFonts w:cs="宋体" w:asciiTheme="minorEastAsia" w:hAnsiTheme="minorEastAsia" w:eastAsiaTheme="minorEastAsia"/>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E335559">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报价文件部分</w:t>
      </w:r>
    </w:p>
    <w:p w14:paraId="50CF4A5B">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14:paraId="7DD30FBA">
      <w:pPr>
        <w:spacing w:line="360" w:lineRule="auto"/>
        <w:jc w:val="center"/>
        <w:outlineLvl w:val="0"/>
        <w:rPr>
          <w:rFonts w:cs="宋体" w:asciiTheme="minorEastAsia" w:hAnsiTheme="minorEastAsia" w:eastAsiaTheme="minorEastAsia"/>
          <w:b/>
          <w:kern w:val="0"/>
          <w:sz w:val="36"/>
          <w:szCs w:val="36"/>
          <w:highlight w:val="none"/>
        </w:rPr>
      </w:pPr>
    </w:p>
    <w:p w14:paraId="17D42549">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（1）开标一览表（报价表）………………………………………………………（页码）</w:t>
      </w:r>
    </w:p>
    <w:p w14:paraId="10EA4F1F">
      <w:pPr>
        <w:snapToGrid w:val="0"/>
        <w:spacing w:line="360" w:lineRule="auto"/>
        <w:ind w:right="480"/>
        <w:jc w:val="center"/>
        <w:rPr>
          <w:rFonts w:cs="宋体" w:asciiTheme="minorEastAsia" w:hAnsiTheme="minorEastAsia" w:eastAsiaTheme="minorEastAsia"/>
          <w:b/>
          <w:kern w:val="0"/>
          <w:sz w:val="32"/>
          <w:szCs w:val="32"/>
          <w:highlight w:val="none"/>
        </w:rPr>
      </w:pPr>
    </w:p>
    <w:p w14:paraId="296F175C">
      <w:pPr>
        <w:snapToGrid w:val="0"/>
        <w:spacing w:line="360" w:lineRule="auto"/>
        <w:ind w:right="480"/>
        <w:jc w:val="center"/>
        <w:rPr>
          <w:rFonts w:cs="宋体" w:asciiTheme="minorEastAsia" w:hAnsiTheme="minorEastAsia" w:eastAsiaTheme="minorEastAsia"/>
          <w:b/>
          <w:kern w:val="0"/>
          <w:sz w:val="32"/>
          <w:szCs w:val="32"/>
          <w:highlight w:val="none"/>
        </w:rPr>
      </w:pPr>
    </w:p>
    <w:p w14:paraId="1E8DA15F">
      <w:pPr>
        <w:snapToGrid w:val="0"/>
        <w:spacing w:line="360" w:lineRule="auto"/>
        <w:ind w:right="480"/>
        <w:jc w:val="center"/>
        <w:rPr>
          <w:rFonts w:cs="宋体" w:asciiTheme="minorEastAsia" w:hAnsiTheme="minorEastAsia" w:eastAsiaTheme="minorEastAsia"/>
          <w:b/>
          <w:kern w:val="0"/>
          <w:sz w:val="32"/>
          <w:szCs w:val="32"/>
          <w:highlight w:val="none"/>
        </w:rPr>
      </w:pPr>
    </w:p>
    <w:p w14:paraId="232A5DE9">
      <w:pPr>
        <w:snapToGrid w:val="0"/>
        <w:spacing w:line="360" w:lineRule="auto"/>
        <w:ind w:right="480"/>
        <w:jc w:val="center"/>
        <w:rPr>
          <w:rFonts w:cs="宋体" w:asciiTheme="minorEastAsia" w:hAnsiTheme="minorEastAsia" w:eastAsiaTheme="minorEastAsia"/>
          <w:b/>
          <w:kern w:val="0"/>
          <w:sz w:val="32"/>
          <w:szCs w:val="32"/>
          <w:highlight w:val="none"/>
        </w:rPr>
      </w:pPr>
    </w:p>
    <w:p w14:paraId="38CE46BC">
      <w:pPr>
        <w:snapToGrid w:val="0"/>
        <w:spacing w:line="360" w:lineRule="auto"/>
        <w:ind w:right="480"/>
        <w:jc w:val="center"/>
        <w:rPr>
          <w:rFonts w:cs="宋体" w:asciiTheme="minorEastAsia" w:hAnsiTheme="minorEastAsia" w:eastAsiaTheme="minorEastAsia"/>
          <w:b/>
          <w:kern w:val="0"/>
          <w:sz w:val="32"/>
          <w:szCs w:val="32"/>
          <w:highlight w:val="none"/>
        </w:rPr>
      </w:pPr>
    </w:p>
    <w:p w14:paraId="57D72AE0">
      <w:pPr>
        <w:snapToGrid w:val="0"/>
        <w:spacing w:line="360" w:lineRule="auto"/>
        <w:ind w:right="480"/>
        <w:jc w:val="center"/>
        <w:rPr>
          <w:rFonts w:cs="宋体" w:asciiTheme="minorEastAsia" w:hAnsiTheme="minorEastAsia" w:eastAsiaTheme="minorEastAsia"/>
          <w:b/>
          <w:kern w:val="0"/>
          <w:sz w:val="32"/>
          <w:szCs w:val="32"/>
          <w:highlight w:val="none"/>
        </w:rPr>
      </w:pPr>
    </w:p>
    <w:p w14:paraId="799E4F50">
      <w:pPr>
        <w:snapToGrid w:val="0"/>
        <w:spacing w:line="360" w:lineRule="auto"/>
        <w:ind w:right="480"/>
        <w:jc w:val="center"/>
        <w:rPr>
          <w:rFonts w:cs="宋体" w:asciiTheme="minorEastAsia" w:hAnsiTheme="minorEastAsia" w:eastAsiaTheme="minorEastAsia"/>
          <w:b/>
          <w:kern w:val="0"/>
          <w:sz w:val="32"/>
          <w:szCs w:val="32"/>
          <w:highlight w:val="none"/>
        </w:rPr>
      </w:pPr>
    </w:p>
    <w:p w14:paraId="4288C36C">
      <w:pPr>
        <w:snapToGrid w:val="0"/>
        <w:spacing w:line="360" w:lineRule="auto"/>
        <w:ind w:right="480"/>
        <w:jc w:val="center"/>
        <w:rPr>
          <w:rFonts w:cs="宋体" w:asciiTheme="minorEastAsia" w:hAnsiTheme="minorEastAsia" w:eastAsiaTheme="minorEastAsia"/>
          <w:b/>
          <w:kern w:val="0"/>
          <w:sz w:val="32"/>
          <w:szCs w:val="32"/>
          <w:highlight w:val="none"/>
        </w:rPr>
      </w:pPr>
    </w:p>
    <w:p w14:paraId="2F2E72F5">
      <w:pPr>
        <w:snapToGrid w:val="0"/>
        <w:spacing w:line="360" w:lineRule="auto"/>
        <w:ind w:right="480"/>
        <w:jc w:val="center"/>
        <w:rPr>
          <w:rFonts w:cs="宋体" w:asciiTheme="minorEastAsia" w:hAnsiTheme="minorEastAsia" w:eastAsiaTheme="minorEastAsia"/>
          <w:b/>
          <w:kern w:val="0"/>
          <w:sz w:val="32"/>
          <w:szCs w:val="32"/>
          <w:highlight w:val="none"/>
        </w:rPr>
      </w:pPr>
    </w:p>
    <w:p w14:paraId="0CB1377F">
      <w:pPr>
        <w:snapToGrid w:val="0"/>
        <w:spacing w:line="360" w:lineRule="auto"/>
        <w:ind w:right="480"/>
        <w:jc w:val="center"/>
        <w:rPr>
          <w:rFonts w:cs="宋体" w:asciiTheme="minorEastAsia" w:hAnsiTheme="minorEastAsia" w:eastAsiaTheme="minorEastAsia"/>
          <w:b/>
          <w:kern w:val="0"/>
          <w:sz w:val="32"/>
          <w:szCs w:val="32"/>
          <w:highlight w:val="none"/>
        </w:rPr>
      </w:pPr>
    </w:p>
    <w:p w14:paraId="5F3F9255">
      <w:pPr>
        <w:snapToGrid w:val="0"/>
        <w:spacing w:line="360" w:lineRule="auto"/>
        <w:ind w:right="480"/>
        <w:jc w:val="center"/>
        <w:rPr>
          <w:rFonts w:cs="宋体" w:asciiTheme="minorEastAsia" w:hAnsiTheme="minorEastAsia" w:eastAsiaTheme="minorEastAsia"/>
          <w:b/>
          <w:kern w:val="0"/>
          <w:sz w:val="32"/>
          <w:szCs w:val="32"/>
          <w:highlight w:val="none"/>
        </w:rPr>
      </w:pPr>
    </w:p>
    <w:p w14:paraId="2DB38921">
      <w:pPr>
        <w:snapToGrid w:val="0"/>
        <w:spacing w:line="360" w:lineRule="auto"/>
        <w:ind w:right="480"/>
        <w:jc w:val="center"/>
        <w:rPr>
          <w:rFonts w:cs="宋体" w:asciiTheme="minorEastAsia" w:hAnsiTheme="minorEastAsia" w:eastAsiaTheme="minorEastAsia"/>
          <w:b/>
          <w:kern w:val="0"/>
          <w:sz w:val="32"/>
          <w:szCs w:val="32"/>
          <w:highlight w:val="none"/>
        </w:rPr>
      </w:pPr>
    </w:p>
    <w:p w14:paraId="28B7B8FB">
      <w:pPr>
        <w:snapToGrid w:val="0"/>
        <w:spacing w:line="360" w:lineRule="auto"/>
        <w:ind w:right="480"/>
        <w:jc w:val="center"/>
        <w:rPr>
          <w:rFonts w:cs="宋体" w:asciiTheme="minorEastAsia" w:hAnsiTheme="minorEastAsia" w:eastAsiaTheme="minorEastAsia"/>
          <w:b/>
          <w:kern w:val="0"/>
          <w:sz w:val="32"/>
          <w:szCs w:val="32"/>
          <w:highlight w:val="none"/>
        </w:rPr>
      </w:pPr>
    </w:p>
    <w:p w14:paraId="0D3306FD">
      <w:pPr>
        <w:snapToGrid w:val="0"/>
        <w:spacing w:line="360" w:lineRule="auto"/>
        <w:ind w:right="480"/>
        <w:jc w:val="center"/>
        <w:rPr>
          <w:rFonts w:cs="宋体" w:asciiTheme="minorEastAsia" w:hAnsiTheme="minorEastAsia" w:eastAsiaTheme="minorEastAsia"/>
          <w:b/>
          <w:kern w:val="0"/>
          <w:sz w:val="32"/>
          <w:szCs w:val="32"/>
          <w:highlight w:val="none"/>
        </w:rPr>
      </w:pPr>
    </w:p>
    <w:p w14:paraId="655C6BC8">
      <w:pPr>
        <w:snapToGrid w:val="0"/>
        <w:spacing w:line="360" w:lineRule="auto"/>
        <w:ind w:right="480"/>
        <w:jc w:val="center"/>
        <w:rPr>
          <w:rFonts w:cs="宋体" w:asciiTheme="minorEastAsia" w:hAnsiTheme="minorEastAsia" w:eastAsiaTheme="minorEastAsia"/>
          <w:b/>
          <w:kern w:val="0"/>
          <w:sz w:val="32"/>
          <w:szCs w:val="32"/>
          <w:highlight w:val="none"/>
        </w:rPr>
      </w:pPr>
    </w:p>
    <w:p w14:paraId="674389DC">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B4B7532">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pPr>
      <w:r>
        <w:rPr>
          <w:rFonts w:hint="eastAsia" w:cs="宋体" w:asciiTheme="minorEastAsia" w:hAnsiTheme="minorEastAsia" w:eastAsiaTheme="minorEastAsia"/>
          <w:kern w:val="2"/>
          <w:sz w:val="32"/>
          <w:szCs w:val="32"/>
          <w:highlight w:val="none"/>
        </w:rPr>
        <w:t>一、开标一览表（报价表）</w:t>
      </w:r>
    </w:p>
    <w:p w14:paraId="623A91A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58BFC681">
      <w:pPr>
        <w:snapToGrid w:val="0"/>
        <w:spacing w:line="360" w:lineRule="auto"/>
        <w:ind w:firstLine="482"/>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highlight w:val="none"/>
          <w:lang w:eastAsia="zh-CN"/>
        </w:rPr>
        <w:t>杭州市公安局西湖区分局看守所智能行为分析系统项目</w:t>
      </w:r>
      <w:r>
        <w:rPr>
          <w:rFonts w:hint="eastAsia" w:cs="宋体" w:asciiTheme="minorEastAsia" w:hAnsiTheme="minorEastAsia" w:eastAsiaTheme="minorEastAsia"/>
          <w:kern w:val="0"/>
          <w:sz w:val="24"/>
          <w:highlight w:val="none"/>
          <w:lang w:val="zh-CN"/>
        </w:rPr>
        <w:t>【招标编号：</w:t>
      </w:r>
      <w:r>
        <w:rPr>
          <w:rFonts w:hint="eastAsia" w:cs="宋体" w:asciiTheme="minorEastAsia" w:hAnsiTheme="minorEastAsia" w:eastAsiaTheme="minorEastAsia"/>
          <w:sz w:val="24"/>
          <w:highlight w:val="none"/>
          <w:lang w:eastAsia="zh-CN"/>
        </w:rPr>
        <w:t>XHZFCG-2025-G-09</w:t>
      </w:r>
      <w:r>
        <w:rPr>
          <w:rFonts w:hint="eastAsia" w:cs="宋体" w:asciiTheme="minorEastAsia" w:hAnsiTheme="minorEastAsia" w:eastAsiaTheme="minorEastAsia"/>
          <w:sz w:val="24"/>
          <w:highlight w:val="none"/>
        </w:rPr>
        <w:t>】的实施</w:t>
      </w:r>
      <w:r>
        <w:rPr>
          <w:rFonts w:hint="eastAsia" w:cs="宋体" w:asciiTheme="minorEastAsia" w:hAnsiTheme="minorEastAsia" w:eastAsiaTheme="minorEastAsia"/>
          <w:kern w:val="0"/>
          <w:sz w:val="24"/>
          <w:highlight w:val="none"/>
          <w:lang w:val="zh-CN"/>
        </w:rPr>
        <w:t>。</w:t>
      </w:r>
    </w:p>
    <w:p w14:paraId="3D4A9E7A">
      <w:pPr>
        <w:spacing w:line="360" w:lineRule="auto"/>
        <w:jc w:val="center"/>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2410"/>
        <w:gridCol w:w="2268"/>
        <w:gridCol w:w="2126"/>
        <w:gridCol w:w="2127"/>
        <w:gridCol w:w="2126"/>
      </w:tblGrid>
      <w:tr w14:paraId="4887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vAlign w:val="center"/>
          </w:tcPr>
          <w:p w14:paraId="1223FE4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559" w:type="dxa"/>
            <w:vAlign w:val="center"/>
          </w:tcPr>
          <w:p w14:paraId="1BA066D8">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701" w:type="dxa"/>
          </w:tcPr>
          <w:p w14:paraId="5B37D1B7">
            <w:pPr>
              <w:spacing w:line="360" w:lineRule="auto"/>
              <w:jc w:val="center"/>
              <w:rPr>
                <w:rFonts w:cs="宋体" w:asciiTheme="minorEastAsia" w:hAnsiTheme="minorEastAsia" w:eastAsiaTheme="minorEastAsia"/>
                <w:b/>
                <w:sz w:val="24"/>
                <w:highlight w:val="none"/>
              </w:rPr>
            </w:pPr>
          </w:p>
          <w:p w14:paraId="41095DC4">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1BC7BB44">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64CD4CDD">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p>
        </w:tc>
        <w:tc>
          <w:tcPr>
            <w:tcW w:w="2126" w:type="dxa"/>
            <w:vAlign w:val="center"/>
          </w:tcPr>
          <w:p w14:paraId="4E5376A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5EDC15F5">
            <w:pPr>
              <w:spacing w:line="360" w:lineRule="auto"/>
              <w:jc w:val="center"/>
              <w:rPr>
                <w:rFonts w:cs="宋体" w:asciiTheme="minorEastAsia" w:hAnsiTheme="minorEastAsia" w:eastAsiaTheme="minorEastAsia"/>
                <w:b/>
                <w:sz w:val="24"/>
                <w:highlight w:val="none"/>
              </w:rPr>
            </w:pPr>
          </w:p>
          <w:p w14:paraId="6DDED40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14:paraId="0432CBA1">
            <w:pPr>
              <w:spacing w:line="360" w:lineRule="auto"/>
              <w:jc w:val="center"/>
              <w:rPr>
                <w:rFonts w:cs="宋体" w:asciiTheme="minorEastAsia" w:hAnsiTheme="minorEastAsia" w:eastAsiaTheme="minorEastAsia"/>
                <w:b/>
                <w:sz w:val="24"/>
                <w:highlight w:val="none"/>
              </w:rPr>
            </w:pPr>
          </w:p>
          <w:p w14:paraId="7482641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68ED5DAC">
            <w:pPr>
              <w:spacing w:line="360" w:lineRule="auto"/>
              <w:jc w:val="center"/>
              <w:rPr>
                <w:rFonts w:cs="宋体" w:asciiTheme="minorEastAsia" w:hAnsiTheme="minorEastAsia" w:eastAsiaTheme="minorEastAsia"/>
                <w:b/>
                <w:sz w:val="24"/>
                <w:highlight w:val="none"/>
              </w:rPr>
            </w:pPr>
          </w:p>
        </w:tc>
      </w:tr>
      <w:tr w14:paraId="703F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DFCCA6D">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559" w:type="dxa"/>
            <w:vAlign w:val="center"/>
          </w:tcPr>
          <w:p w14:paraId="2E73C850">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2290B1AD">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5E40C7A">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BA4A6D4">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FDC3D3B">
            <w:pPr>
              <w:spacing w:line="360" w:lineRule="auto"/>
              <w:jc w:val="center"/>
              <w:rPr>
                <w:rFonts w:cs="宋体" w:asciiTheme="minorEastAsia" w:hAnsiTheme="minorEastAsia" w:eastAsiaTheme="minorEastAsia"/>
                <w:sz w:val="24"/>
                <w:highlight w:val="none"/>
              </w:rPr>
            </w:pPr>
          </w:p>
        </w:tc>
        <w:tc>
          <w:tcPr>
            <w:tcW w:w="2127" w:type="dxa"/>
          </w:tcPr>
          <w:p w14:paraId="34BFD90D">
            <w:pPr>
              <w:spacing w:line="360" w:lineRule="auto"/>
              <w:jc w:val="center"/>
              <w:rPr>
                <w:rFonts w:cs="宋体" w:asciiTheme="minorEastAsia" w:hAnsiTheme="minorEastAsia" w:eastAsiaTheme="minorEastAsia"/>
                <w:sz w:val="24"/>
                <w:highlight w:val="none"/>
              </w:rPr>
            </w:pPr>
          </w:p>
        </w:tc>
        <w:tc>
          <w:tcPr>
            <w:tcW w:w="2126" w:type="dxa"/>
            <w:vAlign w:val="center"/>
          </w:tcPr>
          <w:p w14:paraId="04225B96">
            <w:pPr>
              <w:spacing w:line="360" w:lineRule="auto"/>
              <w:jc w:val="center"/>
              <w:rPr>
                <w:rFonts w:cs="宋体" w:asciiTheme="minorEastAsia" w:hAnsiTheme="minorEastAsia" w:eastAsiaTheme="minorEastAsia"/>
                <w:sz w:val="24"/>
                <w:highlight w:val="none"/>
              </w:rPr>
            </w:pPr>
          </w:p>
        </w:tc>
      </w:tr>
      <w:tr w14:paraId="5A02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C1698B">
            <w:pPr>
              <w:spacing w:line="360" w:lineRule="auto"/>
              <w:jc w:val="center"/>
              <w:rPr>
                <w:rFonts w:hint="default" w:cs="宋体" w:asciiTheme="minorEastAsia" w:hAnsiTheme="minorEastAsia" w:eastAsiaTheme="minorEastAsia"/>
                <w:sz w:val="24"/>
                <w:highlight w:val="none"/>
                <w:lang w:val="en-US"/>
              </w:rPr>
            </w:pPr>
            <w:r>
              <w:rPr>
                <w:rFonts w:hint="default" w:cs="宋体" w:asciiTheme="minorEastAsia" w:hAnsiTheme="minorEastAsia" w:eastAsiaTheme="minorEastAsia"/>
                <w:sz w:val="24"/>
                <w:highlight w:val="none"/>
                <w:lang w:val="en-US"/>
              </w:rPr>
              <w:t>......</w:t>
            </w:r>
          </w:p>
        </w:tc>
        <w:tc>
          <w:tcPr>
            <w:tcW w:w="1559" w:type="dxa"/>
            <w:vAlign w:val="center"/>
          </w:tcPr>
          <w:p w14:paraId="273FC592">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699D6D3A">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4CCB46B">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7A1628E">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4188D7EB">
            <w:pPr>
              <w:spacing w:line="360" w:lineRule="auto"/>
              <w:jc w:val="center"/>
              <w:rPr>
                <w:rFonts w:cs="宋体" w:asciiTheme="minorEastAsia" w:hAnsiTheme="minorEastAsia" w:eastAsiaTheme="minorEastAsia"/>
                <w:sz w:val="24"/>
                <w:highlight w:val="none"/>
              </w:rPr>
            </w:pPr>
          </w:p>
        </w:tc>
        <w:tc>
          <w:tcPr>
            <w:tcW w:w="2127" w:type="dxa"/>
          </w:tcPr>
          <w:p w14:paraId="1B7B3C2D">
            <w:pPr>
              <w:spacing w:line="360" w:lineRule="auto"/>
              <w:jc w:val="center"/>
              <w:rPr>
                <w:rFonts w:cs="宋体" w:asciiTheme="minorEastAsia" w:hAnsiTheme="minorEastAsia" w:eastAsiaTheme="minorEastAsia"/>
                <w:sz w:val="24"/>
                <w:highlight w:val="none"/>
              </w:rPr>
            </w:pPr>
          </w:p>
        </w:tc>
        <w:tc>
          <w:tcPr>
            <w:tcW w:w="2126" w:type="dxa"/>
            <w:vAlign w:val="center"/>
          </w:tcPr>
          <w:p w14:paraId="77FFB616">
            <w:pPr>
              <w:spacing w:line="360" w:lineRule="auto"/>
              <w:jc w:val="center"/>
              <w:rPr>
                <w:rFonts w:cs="宋体" w:asciiTheme="minorEastAsia" w:hAnsiTheme="minorEastAsia" w:eastAsiaTheme="minorEastAsia"/>
                <w:sz w:val="24"/>
                <w:highlight w:val="none"/>
              </w:rPr>
            </w:pPr>
          </w:p>
        </w:tc>
      </w:tr>
      <w:tr w14:paraId="3D19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025C1F">
            <w:pPr>
              <w:spacing w:line="360" w:lineRule="auto"/>
              <w:jc w:val="center"/>
              <w:rPr>
                <w:rFonts w:cs="宋体" w:asciiTheme="minorEastAsia" w:hAnsiTheme="minorEastAsia" w:eastAsiaTheme="minorEastAsia"/>
                <w:sz w:val="24"/>
                <w:highlight w:val="none"/>
              </w:rPr>
            </w:pPr>
          </w:p>
        </w:tc>
        <w:tc>
          <w:tcPr>
            <w:tcW w:w="1559" w:type="dxa"/>
            <w:vAlign w:val="center"/>
          </w:tcPr>
          <w:p w14:paraId="0E1123E6">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72BC63A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CF24F1E">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52C474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E6CC166">
            <w:pPr>
              <w:spacing w:line="360" w:lineRule="auto"/>
              <w:jc w:val="center"/>
              <w:rPr>
                <w:rFonts w:cs="宋体" w:asciiTheme="minorEastAsia" w:hAnsiTheme="minorEastAsia" w:eastAsiaTheme="minorEastAsia"/>
                <w:sz w:val="24"/>
                <w:highlight w:val="none"/>
              </w:rPr>
            </w:pPr>
          </w:p>
        </w:tc>
        <w:tc>
          <w:tcPr>
            <w:tcW w:w="2127" w:type="dxa"/>
          </w:tcPr>
          <w:p w14:paraId="289F17F2">
            <w:pPr>
              <w:spacing w:line="360" w:lineRule="auto"/>
              <w:jc w:val="center"/>
              <w:rPr>
                <w:rFonts w:cs="宋体" w:asciiTheme="minorEastAsia" w:hAnsiTheme="minorEastAsia" w:eastAsiaTheme="minorEastAsia"/>
                <w:sz w:val="24"/>
                <w:highlight w:val="none"/>
              </w:rPr>
            </w:pPr>
          </w:p>
        </w:tc>
        <w:tc>
          <w:tcPr>
            <w:tcW w:w="2126" w:type="dxa"/>
            <w:vAlign w:val="center"/>
          </w:tcPr>
          <w:p w14:paraId="12BA3620">
            <w:pPr>
              <w:spacing w:line="360" w:lineRule="auto"/>
              <w:jc w:val="center"/>
              <w:rPr>
                <w:rFonts w:cs="宋体" w:asciiTheme="minorEastAsia" w:hAnsiTheme="minorEastAsia" w:eastAsiaTheme="minorEastAsia"/>
                <w:sz w:val="24"/>
                <w:highlight w:val="none"/>
              </w:rPr>
            </w:pPr>
          </w:p>
        </w:tc>
      </w:tr>
      <w:tr w14:paraId="58A6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7B4785">
            <w:pPr>
              <w:pStyle w:val="3"/>
              <w:rPr>
                <w:rFonts w:asciiTheme="minorEastAsia" w:hAnsiTheme="minorEastAsia" w:eastAsiaTheme="minorEastAsia"/>
                <w:highlight w:val="none"/>
              </w:rPr>
            </w:pPr>
          </w:p>
        </w:tc>
        <w:tc>
          <w:tcPr>
            <w:tcW w:w="1559" w:type="dxa"/>
            <w:vAlign w:val="center"/>
          </w:tcPr>
          <w:p w14:paraId="02CFEE6C">
            <w:pPr>
              <w:snapToGrid w:val="0"/>
              <w:spacing w:line="360" w:lineRule="auto"/>
              <w:jc w:val="center"/>
              <w:rPr>
                <w:rFonts w:cs="仿宋_GB2312" w:asciiTheme="minorEastAsia" w:hAnsiTheme="minorEastAsia" w:eastAsiaTheme="minorEastAsia"/>
                <w:sz w:val="24"/>
                <w:highlight w:val="none"/>
              </w:rPr>
            </w:pPr>
          </w:p>
        </w:tc>
        <w:tc>
          <w:tcPr>
            <w:tcW w:w="1701" w:type="dxa"/>
            <w:vAlign w:val="center"/>
          </w:tcPr>
          <w:p w14:paraId="016F5A9D">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DF2751E">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3F981C5">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63EC21C">
            <w:pPr>
              <w:spacing w:line="360" w:lineRule="auto"/>
              <w:jc w:val="center"/>
              <w:rPr>
                <w:rFonts w:cs="宋体" w:asciiTheme="minorEastAsia" w:hAnsiTheme="minorEastAsia" w:eastAsiaTheme="minorEastAsia"/>
                <w:sz w:val="24"/>
                <w:highlight w:val="none"/>
              </w:rPr>
            </w:pPr>
          </w:p>
        </w:tc>
        <w:tc>
          <w:tcPr>
            <w:tcW w:w="2127" w:type="dxa"/>
          </w:tcPr>
          <w:p w14:paraId="326E9930">
            <w:pPr>
              <w:spacing w:line="360" w:lineRule="auto"/>
              <w:jc w:val="center"/>
              <w:rPr>
                <w:rFonts w:cs="宋体" w:asciiTheme="minorEastAsia" w:hAnsiTheme="minorEastAsia" w:eastAsiaTheme="minorEastAsia"/>
                <w:sz w:val="24"/>
                <w:highlight w:val="none"/>
              </w:rPr>
            </w:pPr>
          </w:p>
        </w:tc>
        <w:tc>
          <w:tcPr>
            <w:tcW w:w="2126" w:type="dxa"/>
            <w:vAlign w:val="center"/>
          </w:tcPr>
          <w:p w14:paraId="2F60D81D">
            <w:pPr>
              <w:spacing w:line="360" w:lineRule="auto"/>
              <w:jc w:val="center"/>
              <w:rPr>
                <w:rFonts w:cs="宋体" w:asciiTheme="minorEastAsia" w:hAnsiTheme="minorEastAsia" w:eastAsiaTheme="minorEastAsia"/>
                <w:sz w:val="24"/>
                <w:highlight w:val="none"/>
              </w:rPr>
            </w:pPr>
          </w:p>
        </w:tc>
      </w:tr>
      <w:tr w14:paraId="31EA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41772E">
            <w:pPr>
              <w:spacing w:line="360" w:lineRule="auto"/>
              <w:jc w:val="center"/>
              <w:rPr>
                <w:rFonts w:cs="宋体" w:asciiTheme="minorEastAsia" w:hAnsiTheme="minorEastAsia" w:eastAsiaTheme="minorEastAsia"/>
                <w:sz w:val="24"/>
                <w:highlight w:val="none"/>
              </w:rPr>
            </w:pPr>
          </w:p>
        </w:tc>
        <w:tc>
          <w:tcPr>
            <w:tcW w:w="1559" w:type="dxa"/>
            <w:vAlign w:val="center"/>
          </w:tcPr>
          <w:p w14:paraId="66D7A236">
            <w:pPr>
              <w:snapToGrid w:val="0"/>
              <w:spacing w:line="360" w:lineRule="auto"/>
              <w:jc w:val="center"/>
              <w:rPr>
                <w:rFonts w:asciiTheme="minorEastAsia" w:hAnsiTheme="minorEastAsia" w:eastAsiaTheme="minorEastAsia"/>
                <w:sz w:val="24"/>
                <w:highlight w:val="none"/>
              </w:rPr>
            </w:pPr>
          </w:p>
        </w:tc>
        <w:tc>
          <w:tcPr>
            <w:tcW w:w="1701" w:type="dxa"/>
            <w:vAlign w:val="center"/>
          </w:tcPr>
          <w:p w14:paraId="280B0409">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F6B7C7A">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D4CCAE8">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4DFD6B85">
            <w:pPr>
              <w:spacing w:line="360" w:lineRule="auto"/>
              <w:jc w:val="center"/>
              <w:rPr>
                <w:rFonts w:cs="宋体" w:asciiTheme="minorEastAsia" w:hAnsiTheme="minorEastAsia" w:eastAsiaTheme="minorEastAsia"/>
                <w:sz w:val="24"/>
                <w:highlight w:val="none"/>
              </w:rPr>
            </w:pPr>
          </w:p>
        </w:tc>
        <w:tc>
          <w:tcPr>
            <w:tcW w:w="2127" w:type="dxa"/>
          </w:tcPr>
          <w:p w14:paraId="6113FF54">
            <w:pPr>
              <w:spacing w:line="360" w:lineRule="auto"/>
              <w:jc w:val="center"/>
              <w:rPr>
                <w:rFonts w:cs="宋体" w:asciiTheme="minorEastAsia" w:hAnsiTheme="minorEastAsia" w:eastAsiaTheme="minorEastAsia"/>
                <w:sz w:val="24"/>
                <w:highlight w:val="none"/>
              </w:rPr>
            </w:pPr>
          </w:p>
        </w:tc>
        <w:tc>
          <w:tcPr>
            <w:tcW w:w="2126" w:type="dxa"/>
            <w:vAlign w:val="center"/>
          </w:tcPr>
          <w:p w14:paraId="7EC9E6E6">
            <w:pPr>
              <w:spacing w:line="360" w:lineRule="auto"/>
              <w:jc w:val="center"/>
              <w:rPr>
                <w:rFonts w:cs="宋体" w:asciiTheme="minorEastAsia" w:hAnsiTheme="minorEastAsia" w:eastAsiaTheme="minorEastAsia"/>
                <w:sz w:val="24"/>
                <w:highlight w:val="none"/>
              </w:rPr>
            </w:pPr>
          </w:p>
        </w:tc>
      </w:tr>
      <w:tr w14:paraId="33E5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415A16">
            <w:pPr>
              <w:spacing w:line="360" w:lineRule="auto"/>
              <w:jc w:val="center"/>
              <w:rPr>
                <w:rFonts w:cs="宋体" w:asciiTheme="minorEastAsia" w:hAnsiTheme="minorEastAsia" w:eastAsiaTheme="minorEastAsia"/>
                <w:sz w:val="24"/>
                <w:highlight w:val="none"/>
              </w:rPr>
            </w:pPr>
          </w:p>
        </w:tc>
        <w:tc>
          <w:tcPr>
            <w:tcW w:w="1559" w:type="dxa"/>
            <w:vAlign w:val="center"/>
          </w:tcPr>
          <w:p w14:paraId="71768F1E">
            <w:pPr>
              <w:snapToGrid w:val="0"/>
              <w:spacing w:line="360" w:lineRule="auto"/>
              <w:jc w:val="center"/>
              <w:rPr>
                <w:rFonts w:asciiTheme="minorEastAsia" w:hAnsiTheme="minorEastAsia" w:eastAsiaTheme="minorEastAsia"/>
                <w:sz w:val="24"/>
                <w:highlight w:val="none"/>
              </w:rPr>
            </w:pPr>
          </w:p>
        </w:tc>
        <w:tc>
          <w:tcPr>
            <w:tcW w:w="1701" w:type="dxa"/>
            <w:vAlign w:val="center"/>
          </w:tcPr>
          <w:p w14:paraId="4AF89714">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04411D9E">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3DBC2B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0DD5ABC7">
            <w:pPr>
              <w:spacing w:line="360" w:lineRule="auto"/>
              <w:jc w:val="center"/>
              <w:rPr>
                <w:rFonts w:cs="宋体" w:asciiTheme="minorEastAsia" w:hAnsiTheme="minorEastAsia" w:eastAsiaTheme="minorEastAsia"/>
                <w:sz w:val="24"/>
                <w:highlight w:val="none"/>
              </w:rPr>
            </w:pPr>
          </w:p>
        </w:tc>
        <w:tc>
          <w:tcPr>
            <w:tcW w:w="2127" w:type="dxa"/>
          </w:tcPr>
          <w:p w14:paraId="0DC450E5">
            <w:pPr>
              <w:spacing w:line="360" w:lineRule="auto"/>
              <w:jc w:val="center"/>
              <w:rPr>
                <w:rFonts w:cs="宋体" w:asciiTheme="minorEastAsia" w:hAnsiTheme="minorEastAsia" w:eastAsiaTheme="minorEastAsia"/>
                <w:sz w:val="24"/>
                <w:highlight w:val="none"/>
              </w:rPr>
            </w:pPr>
          </w:p>
        </w:tc>
        <w:tc>
          <w:tcPr>
            <w:tcW w:w="2126" w:type="dxa"/>
            <w:vAlign w:val="center"/>
          </w:tcPr>
          <w:p w14:paraId="74AB7A01">
            <w:pPr>
              <w:spacing w:line="360" w:lineRule="auto"/>
              <w:jc w:val="center"/>
              <w:rPr>
                <w:rFonts w:cs="宋体" w:asciiTheme="minorEastAsia" w:hAnsiTheme="minorEastAsia" w:eastAsiaTheme="minorEastAsia"/>
                <w:sz w:val="24"/>
                <w:highlight w:val="none"/>
              </w:rPr>
            </w:pPr>
          </w:p>
        </w:tc>
      </w:tr>
      <w:tr w14:paraId="2851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0BB79A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投标报价（小写）</w:t>
            </w:r>
          </w:p>
        </w:tc>
        <w:tc>
          <w:tcPr>
            <w:tcW w:w="8647" w:type="dxa"/>
            <w:gridSpan w:val="4"/>
            <w:vAlign w:val="center"/>
          </w:tcPr>
          <w:p w14:paraId="5F778371">
            <w:pPr>
              <w:spacing w:line="360" w:lineRule="auto"/>
              <w:jc w:val="center"/>
              <w:rPr>
                <w:rFonts w:cs="宋体" w:asciiTheme="minorEastAsia" w:hAnsiTheme="minorEastAsia" w:eastAsiaTheme="minorEastAsia"/>
                <w:sz w:val="24"/>
                <w:highlight w:val="none"/>
              </w:rPr>
            </w:pPr>
          </w:p>
        </w:tc>
      </w:tr>
      <w:tr w14:paraId="5FF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1A5A49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投标报价（大写）</w:t>
            </w:r>
          </w:p>
        </w:tc>
        <w:tc>
          <w:tcPr>
            <w:tcW w:w="8647" w:type="dxa"/>
            <w:gridSpan w:val="4"/>
            <w:vAlign w:val="center"/>
          </w:tcPr>
          <w:p w14:paraId="228E8553">
            <w:pPr>
              <w:spacing w:line="360" w:lineRule="auto"/>
              <w:jc w:val="center"/>
              <w:rPr>
                <w:rFonts w:cs="宋体" w:asciiTheme="minorEastAsia" w:hAnsiTheme="minorEastAsia" w:eastAsiaTheme="minorEastAsia"/>
                <w:sz w:val="24"/>
                <w:highlight w:val="none"/>
              </w:rPr>
            </w:pPr>
          </w:p>
        </w:tc>
      </w:tr>
    </w:tbl>
    <w:p w14:paraId="1EFFBEDA">
      <w:pPr>
        <w:snapToGrid w:val="0"/>
        <w:spacing w:line="360" w:lineRule="auto"/>
        <w:ind w:left="480"/>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注：</w:t>
      </w:r>
    </w:p>
    <w:p w14:paraId="2706729B">
      <w:pPr>
        <w:spacing w:line="360" w:lineRule="auto"/>
        <w:ind w:left="-2" w:leftChars="-1"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1、投标人需按本表格式填写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投标文件含有采购人不能接受的附加条件，投标无效</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kern w:val="0"/>
          <w:sz w:val="24"/>
          <w:highlight w:val="none"/>
          <w:lang w:val="zh-CN"/>
        </w:rPr>
        <w:t>。</w:t>
      </w:r>
    </w:p>
    <w:p w14:paraId="639F628A">
      <w:pPr>
        <w:spacing w:line="360" w:lineRule="auto"/>
        <w:ind w:firstLine="480" w:firstLineChars="200"/>
        <w:rPr>
          <w:rFonts w:hint="eastAsia" w:ascii="宋体" w:hAnsi="宋体" w:cs="宋体"/>
          <w:b/>
          <w:color w:val="auto"/>
          <w:kern w:val="0"/>
          <w:sz w:val="24"/>
          <w:highlight w:val="none"/>
          <w:lang w:val="zh-CN"/>
        </w:rPr>
      </w:pPr>
      <w:r>
        <w:rPr>
          <w:rFonts w:hint="default" w:ascii="宋体" w:hAnsi="宋体" w:cs="宋体"/>
          <w:color w:val="auto"/>
          <w:kern w:val="0"/>
          <w:sz w:val="24"/>
          <w:highlight w:val="none"/>
          <w:lang w:val="en-US"/>
        </w:rPr>
        <w:t>2</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2AE7C13D">
      <w:pPr>
        <w:pStyle w:val="3"/>
        <w:rPr>
          <w:rFonts w:hint="eastAsia" w:ascii="宋体" w:hAnsi="宋体" w:eastAsia="宋体" w:cs="宋体"/>
          <w:b/>
          <w:bCs/>
          <w:color w:val="auto"/>
          <w:kern w:val="0"/>
          <w:sz w:val="24"/>
          <w:szCs w:val="24"/>
          <w:highlight w:val="none"/>
          <w:lang w:val="en-US" w:eastAsia="zh-CN" w:bidi="ar-SA"/>
        </w:rPr>
      </w:pPr>
      <w:r>
        <w:rPr>
          <w:rFonts w:hint="default" w:ascii="宋体" w:hAnsi="宋体" w:cs="宋体"/>
          <w:b/>
          <w:color w:val="auto"/>
          <w:sz w:val="24"/>
          <w:highlight w:val="none"/>
          <w:lang w:val="en-US"/>
        </w:rPr>
        <w:t xml:space="preserve">    3</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特别说明</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供应商报价低于项目预算50%的，应当在报价文件中详细阐述不影响产品质量或者诚信履约的具体原因。</w:t>
      </w:r>
    </w:p>
    <w:p w14:paraId="7B78CC30">
      <w:pPr>
        <w:snapToGrid w:val="0"/>
        <w:spacing w:line="360" w:lineRule="auto"/>
        <w:ind w:firstLine="482" w:firstLineChars="200"/>
        <w:jc w:val="left"/>
        <w:rPr>
          <w:rFonts w:hint="default"/>
          <w:color w:val="auto"/>
          <w:highlight w:val="none"/>
          <w:lang w:val="en-US"/>
        </w:rPr>
      </w:pPr>
      <w:r>
        <w:rPr>
          <w:rFonts w:hint="default" w:ascii="宋体" w:hAnsi="宋体" w:cs="宋体"/>
          <w:b/>
          <w:bCs/>
          <w:color w:val="auto"/>
          <w:kern w:val="0"/>
          <w:sz w:val="24"/>
          <w:highlight w:val="none"/>
          <w:lang w:val="en-US"/>
        </w:rPr>
        <w:t>4</w:t>
      </w:r>
      <w:r>
        <w:rPr>
          <w:rFonts w:hint="eastAsia" w:ascii="宋体" w:hAnsi="宋体" w:cs="宋体"/>
          <w:b/>
          <w:bCs/>
          <w:color w:val="auto"/>
          <w:kern w:val="0"/>
          <w:sz w:val="24"/>
          <w:highlight w:val="none"/>
          <w:lang w:val="zh-CN"/>
        </w:rPr>
        <w:t>、特别提示：采购机构将对项目名称和项目编号，中标供应商名称、地址和中标金额</w:t>
      </w:r>
      <w:bookmarkStart w:id="530" w:name="OLE_LINK37"/>
      <w:r>
        <w:rPr>
          <w:rFonts w:hint="eastAsia" w:ascii="宋体" w:hAnsi="宋体" w:cs="宋体"/>
          <w:b/>
          <w:bCs/>
          <w:color w:val="auto"/>
          <w:kern w:val="0"/>
          <w:sz w:val="24"/>
          <w:highlight w:val="none"/>
          <w:lang w:val="zh-CN"/>
        </w:rPr>
        <w:t>，主要中标标的名称、服务范围、服务要求、服务时间、服务标准等予以公示。</w:t>
      </w:r>
      <w:bookmarkEnd w:id="530"/>
    </w:p>
    <w:p w14:paraId="64869021">
      <w:pPr>
        <w:snapToGrid w:val="0"/>
        <w:spacing w:line="360" w:lineRule="auto"/>
        <w:ind w:firstLine="480" w:firstLineChars="200"/>
        <w:jc w:val="left"/>
        <w:rPr>
          <w:rFonts w:ascii="宋体" w:hAnsi="宋体" w:cs="宋体"/>
          <w:color w:val="auto"/>
          <w:kern w:val="0"/>
          <w:sz w:val="24"/>
          <w:highlight w:val="none"/>
          <w:lang w:val="zh-CN"/>
        </w:rPr>
      </w:pPr>
      <w:r>
        <w:rPr>
          <w:rFonts w:hint="default" w:ascii="宋体" w:hAnsi="宋体" w:cs="宋体"/>
          <w:color w:val="auto"/>
          <w:kern w:val="0"/>
          <w:sz w:val="24"/>
          <w:szCs w:val="22"/>
          <w:highlight w:val="none"/>
          <w:lang w:val="en-US"/>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F70270">
      <w:pPr>
        <w:snapToGrid w:val="0"/>
        <w:spacing w:line="360" w:lineRule="auto"/>
        <w:ind w:firstLine="480" w:firstLineChars="200"/>
        <w:jc w:val="left"/>
        <w:rPr>
          <w:rFonts w:cs="宋体" w:asciiTheme="minorEastAsia" w:hAnsiTheme="minorEastAsia" w:eastAsiaTheme="minorEastAsia"/>
          <w:kern w:val="0"/>
          <w:sz w:val="24"/>
          <w:highlight w:val="none"/>
          <w:lang w:val="zh-CN"/>
        </w:rPr>
      </w:pPr>
    </w:p>
    <w:p w14:paraId="798A4625">
      <w:pPr>
        <w:autoSpaceDE w:val="0"/>
        <w:autoSpaceDN w:val="0"/>
        <w:spacing w:line="360" w:lineRule="auto"/>
        <w:ind w:left="2" w:leftChars="1" w:right="1120" w:firstLine="6480" w:firstLineChars="27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4BD8515">
      <w:pPr>
        <w:spacing w:line="360" w:lineRule="auto"/>
        <w:ind w:left="4620" w:leftChars="2200" w:firstLine="1920" w:firstLineChars="800"/>
        <w:rPr>
          <w:rFonts w:hint="eastAsia" w:ascii="宋体" w:hAnsi="宋体" w:eastAsia="宋体" w:cs="宋体"/>
          <w:color w:val="auto"/>
          <w:kern w:val="0"/>
          <w:sz w:val="24"/>
          <w:highlight w:val="none"/>
          <w:lang w:val="en-US" w:eastAsia="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w:t>
      </w:r>
      <w:r>
        <w:rPr>
          <w:rFonts w:hint="default" w:ascii="宋体" w:hAnsi="宋体" w:cs="宋体"/>
          <w:color w:val="auto"/>
          <w:kern w:val="0"/>
          <w:sz w:val="24"/>
          <w:highlight w:val="none"/>
          <w:lang w:val="en-US"/>
        </w:rPr>
        <w:t xml:space="preserve">  </w:t>
      </w:r>
      <w:r>
        <w:rPr>
          <w:rFonts w:hint="eastAsia" w:ascii="宋体" w:hAnsi="宋体" w:cs="宋体"/>
          <w:color w:val="auto"/>
          <w:kern w:val="0"/>
          <w:sz w:val="24"/>
          <w:highlight w:val="none"/>
          <w:lang w:val="en-US" w:eastAsia="zh-CN"/>
        </w:rPr>
        <w:t>日</w:t>
      </w:r>
    </w:p>
    <w:p w14:paraId="290F3CAA">
      <w:pPr>
        <w:spacing w:line="360" w:lineRule="auto"/>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附件1：</w:t>
      </w:r>
    </w:p>
    <w:p w14:paraId="03ED3573">
      <w:pPr>
        <w:spacing w:line="360" w:lineRule="auto"/>
        <w:jc w:val="center"/>
        <w:rPr>
          <w:rFonts w:cs="宋体" w:asciiTheme="minorEastAsia" w:hAnsiTheme="minorEastAsia" w:eastAsiaTheme="minorEastAsia"/>
          <w:b/>
          <w:spacing w:val="6"/>
          <w:sz w:val="32"/>
          <w:szCs w:val="32"/>
          <w:highlight w:val="none"/>
        </w:rPr>
      </w:pPr>
      <w:bookmarkStart w:id="531" w:name="OLE_LINK13"/>
      <w:bookmarkStart w:id="532" w:name="OLE_LINK14"/>
      <w:r>
        <w:rPr>
          <w:rFonts w:hint="eastAsia" w:cs="宋体" w:asciiTheme="minorEastAsia" w:hAnsiTheme="minorEastAsia" w:eastAsiaTheme="minorEastAsia"/>
          <w:b/>
          <w:spacing w:val="6"/>
          <w:sz w:val="32"/>
          <w:szCs w:val="32"/>
          <w:highlight w:val="none"/>
        </w:rPr>
        <w:t>残疾人福利性单位声明函</w:t>
      </w:r>
    </w:p>
    <w:bookmarkEnd w:id="531"/>
    <w:bookmarkEnd w:id="532"/>
    <w:p w14:paraId="64EDEF2B">
      <w:pPr>
        <w:spacing w:line="360" w:lineRule="auto"/>
        <w:rPr>
          <w:rFonts w:cs="宋体" w:asciiTheme="minorEastAsia" w:hAnsiTheme="minorEastAsia" w:eastAsiaTheme="minorEastAsia"/>
          <w:b/>
          <w:spacing w:val="6"/>
          <w:sz w:val="30"/>
          <w:szCs w:val="30"/>
          <w:highlight w:val="none"/>
        </w:rPr>
      </w:pPr>
    </w:p>
    <w:p w14:paraId="53BF928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rPr>
        <w:t>_单位的_</w:t>
      </w:r>
      <w:r>
        <w:rPr>
          <w:rFonts w:hint="eastAsia" w:cs="宋体" w:asciiTheme="minorEastAsia" w:hAnsiTheme="minorEastAsia" w:eastAsiaTheme="minorEastAsia"/>
          <w:sz w:val="24"/>
          <w:highlight w:val="none"/>
          <w:u w:val="single"/>
          <w:lang w:eastAsia="zh-CN"/>
        </w:rPr>
        <w:t>杭州市公安局西湖区分局看守所智能行为分析系统项目的</w:t>
      </w:r>
      <w:r>
        <w:rPr>
          <w:rFonts w:hint="eastAsia" w:cs="宋体"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614F1F8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本单位对上述声明的真实性负责。如有虚假，将依法承担相应责任。</w:t>
      </w:r>
    </w:p>
    <w:p w14:paraId="065C1B65">
      <w:pPr>
        <w:spacing w:line="360" w:lineRule="auto"/>
        <w:ind w:firstLine="480" w:firstLineChars="200"/>
        <w:rPr>
          <w:rFonts w:cs="宋体" w:asciiTheme="minorEastAsia" w:hAnsiTheme="minorEastAsia" w:eastAsiaTheme="minorEastAsia"/>
          <w:sz w:val="24"/>
          <w:highlight w:val="none"/>
        </w:rPr>
      </w:pPr>
    </w:p>
    <w:p w14:paraId="79CFA74C">
      <w:pPr>
        <w:spacing w:line="360" w:lineRule="auto"/>
        <w:ind w:firstLine="480" w:firstLineChars="200"/>
        <w:rPr>
          <w:rFonts w:cs="宋体" w:asciiTheme="minorEastAsia" w:hAnsiTheme="minorEastAsia" w:eastAsiaTheme="minorEastAsia"/>
          <w:sz w:val="24"/>
          <w:highlight w:val="none"/>
        </w:rPr>
      </w:pPr>
    </w:p>
    <w:p w14:paraId="220930BB">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kern w:val="0"/>
          <w:sz w:val="24"/>
          <w:highlight w:val="none"/>
          <w:lang w:val="zh-CN"/>
        </w:rPr>
        <w:t>投标人名称（电子签名）</w:t>
      </w:r>
      <w:r>
        <w:rPr>
          <w:rFonts w:hint="eastAsia" w:cs="宋体" w:asciiTheme="minorEastAsia" w:hAnsiTheme="minorEastAsia" w:eastAsiaTheme="minorEastAsia"/>
          <w:sz w:val="24"/>
          <w:highlight w:val="none"/>
        </w:rPr>
        <w:t>：</w:t>
      </w:r>
    </w:p>
    <w:p w14:paraId="4F08B106">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  期：</w:t>
      </w:r>
    </w:p>
    <w:p w14:paraId="05AB0A7C">
      <w:pPr>
        <w:spacing w:line="360" w:lineRule="auto"/>
        <w:ind w:firstLine="480" w:firstLineChars="200"/>
        <w:rPr>
          <w:rFonts w:cs="宋体" w:asciiTheme="minorEastAsia" w:hAnsiTheme="minorEastAsia" w:eastAsiaTheme="minorEastAsia"/>
          <w:sz w:val="24"/>
          <w:highlight w:val="none"/>
        </w:rPr>
      </w:pPr>
    </w:p>
    <w:p w14:paraId="38567B89">
      <w:pPr>
        <w:spacing w:line="360" w:lineRule="auto"/>
        <w:ind w:firstLine="420" w:firstLineChars="200"/>
        <w:rPr>
          <w:rFonts w:cs="宋体" w:asciiTheme="minorEastAsia" w:hAnsiTheme="minorEastAsia" w:eastAsiaTheme="minorEastAsia"/>
          <w:highlight w:val="none"/>
        </w:rPr>
      </w:pPr>
    </w:p>
    <w:p w14:paraId="1C7A03D0">
      <w:pPr>
        <w:spacing w:line="360" w:lineRule="auto"/>
        <w:ind w:firstLine="420" w:firstLineChars="200"/>
        <w:rPr>
          <w:rFonts w:cs="宋体" w:asciiTheme="minorEastAsia" w:hAnsiTheme="minorEastAsia" w:eastAsiaTheme="minorEastAsia"/>
          <w:highlight w:val="none"/>
        </w:rPr>
      </w:pPr>
    </w:p>
    <w:p w14:paraId="0BAAD505">
      <w:pPr>
        <w:spacing w:line="360" w:lineRule="auto"/>
        <w:ind w:firstLine="420" w:firstLineChars="200"/>
        <w:rPr>
          <w:rFonts w:cs="宋体" w:asciiTheme="minorEastAsia" w:hAnsiTheme="minorEastAsia" w:eastAsiaTheme="minorEastAsia"/>
          <w:highlight w:val="none"/>
        </w:rPr>
      </w:pPr>
    </w:p>
    <w:p w14:paraId="0B809727">
      <w:pPr>
        <w:spacing w:line="360" w:lineRule="auto"/>
        <w:ind w:firstLine="420" w:firstLineChars="200"/>
        <w:rPr>
          <w:rFonts w:cs="宋体" w:asciiTheme="minorEastAsia" w:hAnsiTheme="minorEastAsia" w:eastAsiaTheme="minorEastAsia"/>
          <w:highlight w:val="none"/>
        </w:rPr>
      </w:pPr>
    </w:p>
    <w:p w14:paraId="1A0D13CD">
      <w:pPr>
        <w:spacing w:line="360" w:lineRule="auto"/>
        <w:rPr>
          <w:rFonts w:cs="宋体" w:asciiTheme="minorEastAsia" w:hAnsiTheme="minorEastAsia" w:eastAsiaTheme="minorEastAsia"/>
          <w:b/>
          <w:sz w:val="24"/>
          <w:highlight w:val="none"/>
        </w:rPr>
      </w:pPr>
    </w:p>
    <w:p w14:paraId="4E3B8F2A">
      <w:pPr>
        <w:spacing w:line="360" w:lineRule="auto"/>
        <w:rPr>
          <w:rFonts w:cs="宋体" w:asciiTheme="minorEastAsia" w:hAnsiTheme="minorEastAsia" w:eastAsiaTheme="minorEastAsia"/>
          <w:b/>
          <w:sz w:val="24"/>
          <w:highlight w:val="none"/>
        </w:rPr>
      </w:pPr>
    </w:p>
    <w:p w14:paraId="68D67A87">
      <w:pPr>
        <w:spacing w:line="360" w:lineRule="auto"/>
        <w:rPr>
          <w:rFonts w:cs="宋体" w:asciiTheme="minorEastAsia" w:hAnsiTheme="minorEastAsia" w:eastAsiaTheme="minorEastAsia"/>
          <w:b/>
          <w:sz w:val="24"/>
          <w:highlight w:val="none"/>
        </w:rPr>
      </w:pPr>
    </w:p>
    <w:p w14:paraId="7D2A08E9">
      <w:pPr>
        <w:spacing w:line="360" w:lineRule="auto"/>
        <w:rPr>
          <w:rFonts w:cs="宋体" w:asciiTheme="minorEastAsia" w:hAnsiTheme="minorEastAsia" w:eastAsiaTheme="minorEastAsia"/>
          <w:b/>
          <w:sz w:val="24"/>
          <w:highlight w:val="none"/>
        </w:rPr>
      </w:pPr>
    </w:p>
    <w:p w14:paraId="43FC6CB7">
      <w:pPr>
        <w:spacing w:line="360" w:lineRule="auto"/>
        <w:rPr>
          <w:rFonts w:cs="宋体" w:asciiTheme="minorEastAsia" w:hAnsiTheme="minorEastAsia" w:eastAsiaTheme="minorEastAsia"/>
          <w:b/>
          <w:sz w:val="24"/>
          <w:highlight w:val="none"/>
        </w:rPr>
      </w:pPr>
    </w:p>
    <w:p w14:paraId="022EDA61">
      <w:pPr>
        <w:spacing w:line="360" w:lineRule="auto"/>
        <w:rPr>
          <w:rFonts w:cs="宋体" w:asciiTheme="minorEastAsia" w:hAnsiTheme="minorEastAsia" w:eastAsiaTheme="minorEastAsia"/>
          <w:b/>
          <w:sz w:val="24"/>
          <w:highlight w:val="none"/>
        </w:rPr>
      </w:pPr>
    </w:p>
    <w:p w14:paraId="785CA419">
      <w:pPr>
        <w:spacing w:line="360" w:lineRule="auto"/>
        <w:rPr>
          <w:rFonts w:cs="宋体" w:asciiTheme="minorEastAsia" w:hAnsiTheme="minorEastAsia" w:eastAsiaTheme="minorEastAsia"/>
          <w:b/>
          <w:sz w:val="24"/>
          <w:highlight w:val="none"/>
        </w:rPr>
      </w:pPr>
    </w:p>
    <w:p w14:paraId="596A7CA4">
      <w:pPr>
        <w:spacing w:line="360" w:lineRule="auto"/>
        <w:rPr>
          <w:rFonts w:cs="宋体" w:asciiTheme="minorEastAsia" w:hAnsiTheme="minorEastAsia" w:eastAsiaTheme="minorEastAsia"/>
          <w:b/>
          <w:sz w:val="24"/>
          <w:highlight w:val="none"/>
        </w:rPr>
      </w:pPr>
    </w:p>
    <w:p w14:paraId="5360B7EC">
      <w:pPr>
        <w:spacing w:line="360" w:lineRule="auto"/>
        <w:rPr>
          <w:rFonts w:cs="宋体" w:asciiTheme="minorEastAsia" w:hAnsiTheme="minorEastAsia" w:eastAsiaTheme="minorEastAsia"/>
          <w:b/>
          <w:sz w:val="24"/>
          <w:highlight w:val="none"/>
        </w:rPr>
      </w:pPr>
    </w:p>
    <w:p w14:paraId="770310A3">
      <w:pPr>
        <w:spacing w:line="360" w:lineRule="auto"/>
        <w:rPr>
          <w:rFonts w:cs="宋体" w:asciiTheme="minorEastAsia" w:hAnsiTheme="minorEastAsia" w:eastAsiaTheme="minorEastAsia"/>
          <w:b/>
          <w:sz w:val="24"/>
          <w:highlight w:val="none"/>
        </w:rPr>
      </w:pPr>
    </w:p>
    <w:p w14:paraId="6A0F59E9">
      <w:pPr>
        <w:spacing w:line="360" w:lineRule="auto"/>
        <w:rPr>
          <w:rFonts w:cs="宋体" w:asciiTheme="minorEastAsia" w:hAnsiTheme="minorEastAsia" w:eastAsiaTheme="minorEastAsia"/>
          <w:b/>
          <w:sz w:val="24"/>
          <w:highlight w:val="none"/>
        </w:rPr>
      </w:pPr>
    </w:p>
    <w:p w14:paraId="227B68B2">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附件2：质疑函范本及制作说明</w:t>
      </w:r>
    </w:p>
    <w:p w14:paraId="6EFB6E79">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质疑函范本</w:t>
      </w:r>
    </w:p>
    <w:p w14:paraId="01E00524">
      <w:pPr>
        <w:snapToGrid w:val="0"/>
        <w:spacing w:before="240" w:beforeLines="100"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一、质疑供应商基本信息</w:t>
      </w:r>
    </w:p>
    <w:p w14:paraId="480E92DD">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质疑供应商：</w:t>
      </w:r>
      <w:r>
        <w:rPr>
          <w:rFonts w:hint="eastAsia" w:cs="宋体" w:asciiTheme="minorEastAsia" w:hAnsiTheme="minorEastAsia" w:eastAsiaTheme="minorEastAsia"/>
          <w:sz w:val="24"/>
          <w:highlight w:val="none"/>
          <w:u w:val="dotted"/>
        </w:rPr>
        <w:t xml:space="preserve">                                        </w:t>
      </w:r>
    </w:p>
    <w:p w14:paraId="529E69C2">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14:paraId="778C9494">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4FA7119C">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p>
    <w:p w14:paraId="7DD65CBD">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140F1B4D">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地址： </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14:paraId="0BB98C33">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二、质疑项目基本情况</w:t>
      </w:r>
    </w:p>
    <w:p w14:paraId="5148992C">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质疑项目的名称：</w:t>
      </w:r>
      <w:r>
        <w:rPr>
          <w:rFonts w:hint="eastAsia" w:cs="宋体" w:asciiTheme="minorEastAsia" w:hAnsiTheme="minorEastAsia" w:eastAsiaTheme="minorEastAsia"/>
          <w:sz w:val="24"/>
          <w:highlight w:val="none"/>
          <w:u w:val="dotted"/>
        </w:rPr>
        <w:t xml:space="preserve">                                      </w:t>
      </w:r>
    </w:p>
    <w:p w14:paraId="675D1663">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14:paraId="481630B9">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p>
    <w:p w14:paraId="74AFED9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采购文件获取日期：</w:t>
      </w:r>
      <w:r>
        <w:rPr>
          <w:rFonts w:hint="eastAsia" w:cs="宋体" w:asciiTheme="minorEastAsia" w:hAnsiTheme="minorEastAsia" w:eastAsiaTheme="minorEastAsia"/>
          <w:sz w:val="24"/>
          <w:highlight w:val="none"/>
          <w:u w:val="dotted"/>
        </w:rPr>
        <w:t xml:space="preserve">                                           </w:t>
      </w:r>
    </w:p>
    <w:p w14:paraId="30AFAFD0">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三、质疑事项具体内容</w:t>
      </w:r>
    </w:p>
    <w:p w14:paraId="6525D5D8">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质疑事项1：</w:t>
      </w:r>
      <w:r>
        <w:rPr>
          <w:rFonts w:hint="eastAsia" w:cs="宋体" w:asciiTheme="minorEastAsia" w:hAnsiTheme="minorEastAsia" w:eastAsiaTheme="minorEastAsia"/>
          <w:sz w:val="24"/>
          <w:highlight w:val="none"/>
          <w:u w:val="dotted"/>
        </w:rPr>
        <w:t xml:space="preserve">                                         </w:t>
      </w:r>
    </w:p>
    <w:p w14:paraId="60E8EF2D">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14:paraId="3E9E5479">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 xml:space="preserve">                                                       </w:t>
      </w:r>
    </w:p>
    <w:p w14:paraId="063C5783">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14:paraId="37D3980D">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23D20EB9">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质疑事项2</w:t>
      </w:r>
    </w:p>
    <w:p w14:paraId="7B4D607B">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241253FE">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四、与质疑事项相关的质疑请求</w:t>
      </w:r>
    </w:p>
    <w:p w14:paraId="49D994D4">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p>
    <w:p w14:paraId="16D4ACC2">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13748D5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6547570F">
      <w:pPr>
        <w:spacing w:line="360" w:lineRule="auto"/>
        <w:jc w:val="center"/>
        <w:rPr>
          <w:rFonts w:cs="宋体" w:asciiTheme="minorEastAsia" w:hAnsiTheme="minorEastAsia" w:eastAsiaTheme="minorEastAsia"/>
          <w:b/>
          <w:bCs/>
          <w:sz w:val="24"/>
          <w:highlight w:val="none"/>
        </w:rPr>
      </w:pPr>
    </w:p>
    <w:p w14:paraId="566EB832">
      <w:pPr>
        <w:spacing w:line="360" w:lineRule="auto"/>
        <w:rPr>
          <w:rFonts w:cs="宋体" w:asciiTheme="minorEastAsia" w:hAnsiTheme="minorEastAsia" w:eastAsiaTheme="minorEastAsia"/>
          <w:b/>
          <w:sz w:val="24"/>
          <w:highlight w:val="none"/>
        </w:rPr>
      </w:pPr>
    </w:p>
    <w:p w14:paraId="291A72DF">
      <w:pPr>
        <w:spacing w:line="360" w:lineRule="auto"/>
        <w:rPr>
          <w:rFonts w:cs="宋体" w:asciiTheme="minorEastAsia" w:hAnsiTheme="minorEastAsia" w:eastAsiaTheme="minorEastAsia"/>
          <w:b/>
          <w:sz w:val="24"/>
          <w:highlight w:val="none"/>
        </w:rPr>
      </w:pPr>
    </w:p>
    <w:p w14:paraId="5EA30A84">
      <w:pPr>
        <w:spacing w:line="360" w:lineRule="auto"/>
        <w:rPr>
          <w:rFonts w:cs="宋体" w:asciiTheme="minorEastAsia" w:hAnsiTheme="minorEastAsia" w:eastAsiaTheme="minorEastAsia"/>
          <w:b/>
          <w:sz w:val="24"/>
          <w:highlight w:val="none"/>
        </w:rPr>
      </w:pPr>
    </w:p>
    <w:p w14:paraId="2D04DB0E">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质疑函制作说明：</w:t>
      </w:r>
    </w:p>
    <w:p w14:paraId="2892E235">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1.供应商提出质疑时，应提交质疑函和必要的证明材料。</w:t>
      </w:r>
    </w:p>
    <w:p w14:paraId="05042B5C">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7FC27ED8">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3.质疑供应商若对项目的某一分包进行质疑，质疑函中应列明具体分包号。</w:t>
      </w:r>
    </w:p>
    <w:p w14:paraId="05FFAAA7">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4.质疑函的质疑事项应具体、明确，并有必要的事实依据和法律依据。</w:t>
      </w:r>
    </w:p>
    <w:p w14:paraId="4355C6AB">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5.质疑函的质疑请求应与质疑事项相关。</w:t>
      </w:r>
    </w:p>
    <w:p w14:paraId="2523C2C7">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4B144C3B">
      <w:pPr>
        <w:widowControl/>
        <w:spacing w:line="360" w:lineRule="auto"/>
        <w:ind w:firstLine="600" w:firstLineChars="200"/>
        <w:jc w:val="left"/>
        <w:rPr>
          <w:rFonts w:cs="宋体" w:asciiTheme="minorEastAsia" w:hAnsiTheme="minorEastAsia" w:eastAsiaTheme="minorEastAsia"/>
          <w:sz w:val="30"/>
          <w:szCs w:val="30"/>
          <w:highlight w:val="none"/>
        </w:rPr>
      </w:pPr>
    </w:p>
    <w:p w14:paraId="708F5BB6">
      <w:pPr>
        <w:spacing w:line="360" w:lineRule="auto"/>
        <w:jc w:val="center"/>
        <w:rPr>
          <w:rFonts w:cs="宋体" w:asciiTheme="minorEastAsia" w:hAnsiTheme="minorEastAsia" w:eastAsiaTheme="minorEastAsia"/>
          <w:b/>
          <w:spacing w:val="6"/>
          <w:sz w:val="32"/>
          <w:szCs w:val="32"/>
          <w:highlight w:val="none"/>
        </w:rPr>
      </w:pPr>
    </w:p>
    <w:p w14:paraId="48C4B9EB">
      <w:pPr>
        <w:spacing w:line="360" w:lineRule="auto"/>
        <w:jc w:val="center"/>
        <w:rPr>
          <w:rFonts w:cs="宋体" w:asciiTheme="minorEastAsia" w:hAnsiTheme="minorEastAsia" w:eastAsiaTheme="minorEastAsia"/>
          <w:b/>
          <w:spacing w:val="6"/>
          <w:sz w:val="32"/>
          <w:szCs w:val="32"/>
          <w:highlight w:val="none"/>
        </w:rPr>
      </w:pPr>
    </w:p>
    <w:p w14:paraId="17A1B819">
      <w:pPr>
        <w:spacing w:line="360" w:lineRule="auto"/>
        <w:jc w:val="center"/>
        <w:rPr>
          <w:rFonts w:cs="宋体" w:asciiTheme="minorEastAsia" w:hAnsiTheme="minorEastAsia" w:eastAsiaTheme="minorEastAsia"/>
          <w:b/>
          <w:spacing w:val="6"/>
          <w:sz w:val="32"/>
          <w:szCs w:val="32"/>
          <w:highlight w:val="none"/>
        </w:rPr>
      </w:pPr>
    </w:p>
    <w:p w14:paraId="0E498E09">
      <w:pPr>
        <w:spacing w:line="360" w:lineRule="auto"/>
        <w:jc w:val="center"/>
        <w:rPr>
          <w:rFonts w:cs="宋体" w:asciiTheme="minorEastAsia" w:hAnsiTheme="minorEastAsia" w:eastAsiaTheme="minorEastAsia"/>
          <w:b/>
          <w:spacing w:val="6"/>
          <w:sz w:val="32"/>
          <w:szCs w:val="32"/>
          <w:highlight w:val="none"/>
        </w:rPr>
      </w:pPr>
    </w:p>
    <w:p w14:paraId="37F19D94">
      <w:pPr>
        <w:spacing w:line="360" w:lineRule="auto"/>
        <w:jc w:val="center"/>
        <w:rPr>
          <w:rFonts w:cs="宋体" w:asciiTheme="minorEastAsia" w:hAnsiTheme="minorEastAsia" w:eastAsiaTheme="minorEastAsia"/>
          <w:b/>
          <w:spacing w:val="6"/>
          <w:sz w:val="32"/>
          <w:szCs w:val="32"/>
          <w:highlight w:val="none"/>
        </w:rPr>
      </w:pPr>
    </w:p>
    <w:p w14:paraId="5C729F95">
      <w:pPr>
        <w:spacing w:line="360" w:lineRule="auto"/>
        <w:jc w:val="center"/>
        <w:rPr>
          <w:rFonts w:cs="宋体" w:asciiTheme="minorEastAsia" w:hAnsiTheme="minorEastAsia" w:eastAsiaTheme="minorEastAsia"/>
          <w:b/>
          <w:spacing w:val="6"/>
          <w:sz w:val="32"/>
          <w:szCs w:val="32"/>
          <w:highlight w:val="none"/>
        </w:rPr>
      </w:pPr>
    </w:p>
    <w:p w14:paraId="4DB396CC">
      <w:pPr>
        <w:spacing w:line="360" w:lineRule="auto"/>
        <w:jc w:val="center"/>
        <w:rPr>
          <w:rFonts w:cs="宋体" w:asciiTheme="minorEastAsia" w:hAnsiTheme="minorEastAsia" w:eastAsiaTheme="minorEastAsia"/>
          <w:b/>
          <w:spacing w:val="6"/>
          <w:sz w:val="32"/>
          <w:szCs w:val="32"/>
          <w:highlight w:val="none"/>
        </w:rPr>
      </w:pPr>
    </w:p>
    <w:p w14:paraId="7AFC36DB">
      <w:pPr>
        <w:spacing w:line="360" w:lineRule="auto"/>
        <w:jc w:val="center"/>
        <w:rPr>
          <w:rFonts w:cs="宋体" w:asciiTheme="minorEastAsia" w:hAnsiTheme="minorEastAsia" w:eastAsiaTheme="minorEastAsia"/>
          <w:b/>
          <w:spacing w:val="6"/>
          <w:sz w:val="32"/>
          <w:szCs w:val="32"/>
          <w:highlight w:val="none"/>
        </w:rPr>
      </w:pPr>
    </w:p>
    <w:p w14:paraId="054BFDC6">
      <w:pPr>
        <w:spacing w:line="360" w:lineRule="auto"/>
        <w:jc w:val="center"/>
        <w:rPr>
          <w:rFonts w:cs="宋体" w:asciiTheme="minorEastAsia" w:hAnsiTheme="minorEastAsia" w:eastAsiaTheme="minorEastAsia"/>
          <w:b/>
          <w:spacing w:val="6"/>
          <w:sz w:val="32"/>
          <w:szCs w:val="32"/>
          <w:highlight w:val="none"/>
        </w:rPr>
      </w:pPr>
    </w:p>
    <w:p w14:paraId="0A8DD604">
      <w:pPr>
        <w:spacing w:line="360" w:lineRule="auto"/>
        <w:jc w:val="center"/>
        <w:rPr>
          <w:rFonts w:cs="宋体" w:asciiTheme="minorEastAsia" w:hAnsiTheme="minorEastAsia" w:eastAsiaTheme="minorEastAsia"/>
          <w:b/>
          <w:spacing w:val="6"/>
          <w:sz w:val="32"/>
          <w:szCs w:val="32"/>
          <w:highlight w:val="none"/>
        </w:rPr>
      </w:pPr>
    </w:p>
    <w:p w14:paraId="3EA59BB3">
      <w:pPr>
        <w:spacing w:line="360" w:lineRule="auto"/>
        <w:jc w:val="center"/>
        <w:rPr>
          <w:rFonts w:cs="宋体" w:asciiTheme="minorEastAsia" w:hAnsiTheme="minorEastAsia" w:eastAsiaTheme="minorEastAsia"/>
          <w:b/>
          <w:spacing w:val="6"/>
          <w:sz w:val="32"/>
          <w:szCs w:val="32"/>
          <w:highlight w:val="none"/>
        </w:rPr>
      </w:pPr>
    </w:p>
    <w:p w14:paraId="2BFD0B7E">
      <w:pPr>
        <w:spacing w:line="360" w:lineRule="auto"/>
        <w:jc w:val="center"/>
        <w:rPr>
          <w:rFonts w:cs="宋体" w:asciiTheme="minorEastAsia" w:hAnsiTheme="minorEastAsia" w:eastAsiaTheme="minorEastAsia"/>
          <w:b/>
          <w:spacing w:val="6"/>
          <w:sz w:val="32"/>
          <w:szCs w:val="32"/>
          <w:highlight w:val="none"/>
        </w:rPr>
      </w:pPr>
    </w:p>
    <w:p w14:paraId="516E8A1A">
      <w:pPr>
        <w:spacing w:line="360" w:lineRule="auto"/>
        <w:jc w:val="left"/>
        <w:rPr>
          <w:rFonts w:cs="宋体" w:asciiTheme="minorEastAsia" w:hAnsiTheme="minorEastAsia" w:eastAsiaTheme="minorEastAsia"/>
          <w:b/>
          <w:spacing w:val="6"/>
          <w:sz w:val="32"/>
          <w:szCs w:val="32"/>
          <w:highlight w:val="none"/>
        </w:rPr>
      </w:pPr>
    </w:p>
    <w:p w14:paraId="3D5A6E81">
      <w:pPr>
        <w:spacing w:line="360" w:lineRule="auto"/>
        <w:jc w:val="left"/>
        <w:rPr>
          <w:rFonts w:cs="宋体" w:asciiTheme="minorEastAsia" w:hAnsiTheme="minorEastAsia" w:eastAsiaTheme="minorEastAsia"/>
          <w:b/>
          <w:spacing w:val="6"/>
          <w:sz w:val="32"/>
          <w:szCs w:val="32"/>
          <w:highlight w:val="none"/>
        </w:rPr>
      </w:pPr>
    </w:p>
    <w:p w14:paraId="3AF3B522">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附件3：投诉书范本及制作说明</w:t>
      </w:r>
    </w:p>
    <w:p w14:paraId="4A26E114">
      <w:pPr>
        <w:spacing w:line="360" w:lineRule="auto"/>
        <w:jc w:val="center"/>
        <w:rPr>
          <w:rFonts w:cs="宋体" w:asciiTheme="minorEastAsia" w:hAnsiTheme="minorEastAsia" w:eastAsiaTheme="minorEastAsia"/>
          <w:b/>
          <w:sz w:val="24"/>
          <w:highlight w:val="none"/>
        </w:rPr>
      </w:pPr>
    </w:p>
    <w:p w14:paraId="4179D4D2">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投诉书范本</w:t>
      </w:r>
    </w:p>
    <w:p w14:paraId="5B3AC18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一、投诉相关主体基本情况</w:t>
      </w:r>
    </w:p>
    <w:p w14:paraId="40F42DC4">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w:t>
      </w:r>
      <w:r>
        <w:rPr>
          <w:rFonts w:hint="eastAsia" w:cs="宋体" w:asciiTheme="minorEastAsia" w:hAnsiTheme="minorEastAsia" w:eastAsiaTheme="minorEastAsia"/>
          <w:sz w:val="24"/>
          <w:highlight w:val="none"/>
          <w:u w:val="dotted"/>
        </w:rPr>
        <w:t xml:space="preserve">                                               </w:t>
      </w:r>
    </w:p>
    <w:p w14:paraId="1DB0D88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6F773718">
      <w:pPr>
        <w:tabs>
          <w:tab w:val="left" w:pos="6510"/>
        </w:tabs>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法定代表人/主要负责人：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62F6A7D0">
      <w:pPr>
        <w:tabs>
          <w:tab w:val="left" w:pos="6510"/>
        </w:tabs>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7546D957">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137EB332">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dotted"/>
        </w:rPr>
        <w:t xml:space="preserve">                   </w:t>
      </w:r>
    </w:p>
    <w:p w14:paraId="2AC06E3B">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被投诉人1：</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20CC9C28">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5F6D4D91">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16C9102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被投诉人2</w:t>
      </w:r>
    </w:p>
    <w:p w14:paraId="129B8A9D">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40040980">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相关供应商：</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7BD0E8D7">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7EA2DF6C">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6AEC013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二、投诉项目基本情况</w:t>
      </w:r>
    </w:p>
    <w:p w14:paraId="40848A8A">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采购项目名称：</w:t>
      </w:r>
      <w:r>
        <w:rPr>
          <w:rFonts w:hint="eastAsia" w:cs="宋体" w:asciiTheme="minorEastAsia" w:hAnsiTheme="minorEastAsia" w:eastAsiaTheme="minorEastAsia"/>
          <w:sz w:val="24"/>
          <w:highlight w:val="none"/>
          <w:u w:val="dotted"/>
        </w:rPr>
        <w:t xml:space="preserve">                                        </w:t>
      </w:r>
    </w:p>
    <w:p w14:paraId="04232AB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采购项目编号：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14:paraId="3F82FFB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632D9E4A">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代理机构名称：</w:t>
      </w:r>
      <w:r>
        <w:rPr>
          <w:rFonts w:hint="eastAsia" w:cs="宋体" w:asciiTheme="minorEastAsia" w:hAnsiTheme="minorEastAsia" w:eastAsiaTheme="minorEastAsia"/>
          <w:sz w:val="24"/>
          <w:highlight w:val="none"/>
          <w:u w:val="dotted"/>
        </w:rPr>
        <w:t xml:space="preserve">                                         </w:t>
      </w:r>
    </w:p>
    <w:p w14:paraId="1BA2C4DC">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采购文件公告: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14:paraId="23A507D6">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采购结果公告: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14:paraId="04D3C732">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三、质疑基本情况</w:t>
      </w:r>
    </w:p>
    <w:p w14:paraId="0BFCEAD7">
      <w:pPr>
        <w:spacing w:line="360" w:lineRule="auto"/>
        <w:ind w:firstLine="480" w:firstLineChars="200"/>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日,向</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提出质疑，质疑事项为：</w:t>
      </w:r>
      <w:r>
        <w:rPr>
          <w:rFonts w:hint="eastAsia" w:cs="宋体" w:asciiTheme="minorEastAsia" w:hAnsiTheme="minorEastAsia" w:eastAsiaTheme="minorEastAsia"/>
          <w:sz w:val="24"/>
          <w:highlight w:val="none"/>
          <w:u w:val="dotted"/>
        </w:rPr>
        <w:t xml:space="preserve">                                </w:t>
      </w:r>
    </w:p>
    <w:p w14:paraId="5C8756CE">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1B8D6240">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采购人/代理机构</w:t>
      </w:r>
      <w:r>
        <w:rPr>
          <w:rFonts w:hint="eastAsia" w:cs="宋体" w:asciiTheme="minorEastAsia" w:hAnsiTheme="minorEastAsia" w:eastAsiaTheme="minorEastAsia"/>
          <w:sz w:val="24"/>
          <w:highlight w:val="none"/>
        </w:rPr>
        <w:t>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日,就质疑事项作出了答复/没有在法定期限内作出答复。</w:t>
      </w:r>
    </w:p>
    <w:p w14:paraId="694CE23F">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四、投诉事项具体内容</w:t>
      </w:r>
    </w:p>
    <w:p w14:paraId="1FCCEE56">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投诉事项 1：</w:t>
      </w:r>
      <w:r>
        <w:rPr>
          <w:rFonts w:hint="eastAsia" w:cs="宋体" w:asciiTheme="minorEastAsia" w:hAnsiTheme="minorEastAsia" w:eastAsiaTheme="minorEastAsia"/>
          <w:sz w:val="24"/>
          <w:highlight w:val="none"/>
          <w:u w:val="dotted"/>
        </w:rPr>
        <w:t xml:space="preserve">                                       </w:t>
      </w:r>
    </w:p>
    <w:p w14:paraId="75FE472B">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14:paraId="300D01CD">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70A2822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14:paraId="3B18528A">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184544F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投诉事项2</w:t>
      </w:r>
    </w:p>
    <w:p w14:paraId="2DC249DB">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2F61877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五、与投诉事项相关的投诉请求</w:t>
      </w:r>
    </w:p>
    <w:p w14:paraId="1E5BA7D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62A9FF5A">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 xml:space="preserve">                                                                                                    </w:t>
      </w:r>
    </w:p>
    <w:p w14:paraId="0D845A1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7E3DC0A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1CB01E7D">
      <w:pPr>
        <w:spacing w:line="360" w:lineRule="auto"/>
        <w:rPr>
          <w:rFonts w:cs="宋体" w:asciiTheme="minorEastAsia" w:hAnsiTheme="minorEastAsia" w:eastAsiaTheme="minorEastAsia"/>
          <w:b/>
          <w:sz w:val="24"/>
          <w:highlight w:val="none"/>
        </w:rPr>
      </w:pPr>
    </w:p>
    <w:p w14:paraId="7EE7CED5">
      <w:pPr>
        <w:spacing w:line="360" w:lineRule="auto"/>
        <w:rPr>
          <w:rFonts w:cs="宋体" w:asciiTheme="minorEastAsia" w:hAnsiTheme="minorEastAsia" w:eastAsiaTheme="minorEastAsia"/>
          <w:b/>
          <w:sz w:val="24"/>
          <w:highlight w:val="none"/>
        </w:rPr>
      </w:pPr>
    </w:p>
    <w:p w14:paraId="5A0D0B6B">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投诉书制作说明：</w:t>
      </w:r>
    </w:p>
    <w:p w14:paraId="04BA862D">
      <w:pPr>
        <w:widowControl/>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59128A40">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6BFCEDA6">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3.投诉人若对项目的某一分包进行投诉，投诉书应列明具体分包号。</w:t>
      </w:r>
    </w:p>
    <w:p w14:paraId="6614E89F">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4.投诉书应简要列明质疑事项，质疑函、质疑答复等作为附件材料提供。</w:t>
      </w:r>
    </w:p>
    <w:p w14:paraId="4FA8D9C6">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5.投诉书的投诉事项应具体、明确，并有必要的事实依据和法律依据。</w:t>
      </w:r>
    </w:p>
    <w:p w14:paraId="337B456B">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6.投诉书的投诉请求应与投诉事项相关。</w:t>
      </w:r>
    </w:p>
    <w:p w14:paraId="5925B1D9">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233B0C88">
      <w:pPr>
        <w:spacing w:line="360" w:lineRule="auto"/>
        <w:rPr>
          <w:rFonts w:cs="宋体" w:asciiTheme="minorEastAsia" w:hAnsiTheme="minorEastAsia" w:eastAsiaTheme="minorEastAsia"/>
          <w:b/>
          <w:sz w:val="24"/>
          <w:highlight w:val="none"/>
        </w:rPr>
      </w:pPr>
    </w:p>
    <w:p w14:paraId="4E7C963C">
      <w:pPr>
        <w:autoSpaceDE w:val="0"/>
        <w:autoSpaceDN w:val="0"/>
        <w:jc w:val="center"/>
        <w:rPr>
          <w:rFonts w:cs="宋体" w:asciiTheme="minorEastAsia" w:hAnsiTheme="minorEastAsia" w:eastAsiaTheme="minorEastAsia"/>
          <w:b/>
          <w:spacing w:val="6"/>
          <w:sz w:val="32"/>
          <w:szCs w:val="32"/>
          <w:highlight w:val="none"/>
        </w:rPr>
      </w:pPr>
    </w:p>
    <w:p w14:paraId="4AC8F578">
      <w:pPr>
        <w:autoSpaceDE w:val="0"/>
        <w:autoSpaceDN w:val="0"/>
        <w:jc w:val="center"/>
        <w:rPr>
          <w:rFonts w:cs="宋体" w:asciiTheme="minorEastAsia" w:hAnsiTheme="minorEastAsia" w:eastAsiaTheme="minorEastAsia"/>
          <w:b/>
          <w:spacing w:val="6"/>
          <w:sz w:val="32"/>
          <w:szCs w:val="32"/>
          <w:highlight w:val="none"/>
        </w:rPr>
      </w:pPr>
    </w:p>
    <w:p w14:paraId="02688753">
      <w:pPr>
        <w:pStyle w:val="37"/>
        <w:rPr>
          <w:rFonts w:cs="宋体" w:asciiTheme="minorEastAsia" w:hAnsiTheme="minorEastAsia" w:eastAsiaTheme="minorEastAsia"/>
          <w:b/>
          <w:spacing w:val="6"/>
          <w:sz w:val="32"/>
          <w:szCs w:val="32"/>
          <w:highlight w:val="none"/>
        </w:rPr>
      </w:pPr>
    </w:p>
    <w:p w14:paraId="7E5B4DB2">
      <w:pPr>
        <w:pStyle w:val="37"/>
        <w:rPr>
          <w:rFonts w:cs="宋体" w:asciiTheme="minorEastAsia" w:hAnsiTheme="minorEastAsia" w:eastAsiaTheme="minorEastAsia"/>
          <w:b/>
          <w:spacing w:val="6"/>
          <w:sz w:val="32"/>
          <w:szCs w:val="32"/>
          <w:highlight w:val="none"/>
        </w:rPr>
      </w:pPr>
    </w:p>
    <w:p w14:paraId="2440E4A4">
      <w:pPr>
        <w:autoSpaceDE w:val="0"/>
        <w:autoSpaceDN w:val="0"/>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spacing w:val="6"/>
          <w:sz w:val="32"/>
          <w:szCs w:val="32"/>
          <w:highlight w:val="none"/>
        </w:rPr>
        <w:t>附件4：</w:t>
      </w:r>
      <w:r>
        <w:rPr>
          <w:rFonts w:hint="eastAsia" w:cs="宋体" w:asciiTheme="minorEastAsia" w:hAnsiTheme="minorEastAsia" w:eastAsiaTheme="minorEastAsia"/>
          <w:b/>
          <w:bCs/>
          <w:sz w:val="32"/>
          <w:szCs w:val="32"/>
          <w:highlight w:val="none"/>
        </w:rPr>
        <w:t>业务专用章使用说明函</w:t>
      </w:r>
    </w:p>
    <w:p w14:paraId="51503515">
      <w:pPr>
        <w:spacing w:line="360" w:lineRule="auto"/>
        <w:rPr>
          <w:rFonts w:cs="宋体" w:asciiTheme="minorEastAsia" w:hAnsiTheme="minorEastAsia" w:eastAsiaTheme="minorEastAsia"/>
          <w:sz w:val="24"/>
          <w:highlight w:val="none"/>
          <w:u w:val="single"/>
        </w:rPr>
      </w:pPr>
    </w:p>
    <w:p w14:paraId="4A17D57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u w:val="single"/>
          <w:lang w:eastAsia="zh-CN"/>
        </w:rPr>
        <w:t>杭州市西湖区政府采购中心</w:t>
      </w:r>
      <w:r>
        <w:rPr>
          <w:rFonts w:hint="eastAsia" w:cs="宋体" w:asciiTheme="minorEastAsia" w:hAnsiTheme="minorEastAsia" w:eastAsiaTheme="minorEastAsia"/>
          <w:sz w:val="24"/>
          <w:highlight w:val="none"/>
          <w:u w:val="single"/>
        </w:rPr>
        <w:t>：</w:t>
      </w:r>
    </w:p>
    <w:p w14:paraId="4D25BEC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我方</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sz w:val="24"/>
          <w:highlight w:val="none"/>
        </w:rPr>
        <w:t>(投标人全称)是中华人民共和国依法登记注册的合法企业，</w:t>
      </w:r>
      <w:r>
        <w:rPr>
          <w:rFonts w:hint="eastAsia" w:cs="宋体" w:asciiTheme="minorEastAsia" w:hAnsiTheme="minorEastAsia" w:eastAsiaTheme="minorEastAsia"/>
          <w:bCs/>
          <w:sz w:val="24"/>
          <w:highlight w:val="none"/>
        </w:rPr>
        <w:t>在参加</w:t>
      </w:r>
      <w:r>
        <w:rPr>
          <w:rFonts w:hint="eastAsia" w:cs="宋体" w:asciiTheme="minorEastAsia" w:hAnsiTheme="minorEastAsia" w:eastAsiaTheme="minorEastAsia"/>
          <w:sz w:val="24"/>
          <w:highlight w:val="none"/>
        </w:rPr>
        <w:t>你方组织的</w:t>
      </w:r>
      <w:r>
        <w:rPr>
          <w:rFonts w:hint="eastAsia" w:cs="宋体" w:asciiTheme="minorEastAsia" w:hAnsiTheme="minorEastAsia" w:eastAsiaTheme="minorEastAsia"/>
          <w:sz w:val="24"/>
          <w:highlight w:val="none"/>
          <w:lang w:eastAsia="zh-CN"/>
        </w:rPr>
        <w:t>杭州市公安局西湖区分局看守所智能行为分析系统项目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XHZFCG-2025-G-09</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投标活动中作如下说明：</w:t>
      </w:r>
      <w:r>
        <w:rPr>
          <w:rFonts w:hint="eastAsia" w:cs="宋体" w:asciiTheme="minorEastAsia" w:hAnsiTheme="minorEastAsia" w:eastAsiaTheme="minorEastAsia"/>
          <w:sz w:val="24"/>
          <w:highlight w:val="none"/>
        </w:rPr>
        <w:t xml:space="preserve">我方所使用的“XX专用章”与法定名称章具有同等的法律效力，对使用“XX专用章”的行为予以完全承认，并愿意承担相应责任。   </w:t>
      </w:r>
    </w:p>
    <w:p w14:paraId="7EFC3EB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1A40F1EE">
      <w:pPr>
        <w:spacing w:line="360" w:lineRule="auto"/>
        <w:ind w:firstLine="494"/>
        <w:rPr>
          <w:rFonts w:cs="宋体" w:asciiTheme="minorEastAsia" w:hAnsiTheme="minorEastAsia" w:eastAsiaTheme="minorEastAsia"/>
          <w:sz w:val="24"/>
          <w:highlight w:val="none"/>
        </w:rPr>
      </w:pPr>
    </w:p>
    <w:p w14:paraId="1D64981A">
      <w:pPr>
        <w:spacing w:line="360" w:lineRule="auto"/>
        <w:ind w:firstLine="494"/>
        <w:rPr>
          <w:rFonts w:cs="宋体" w:asciiTheme="minorEastAsia" w:hAnsiTheme="minorEastAsia" w:eastAsiaTheme="minorEastAsia"/>
          <w:sz w:val="24"/>
          <w:highlight w:val="none"/>
        </w:rPr>
      </w:pPr>
    </w:p>
    <w:p w14:paraId="041ADA09">
      <w:pPr>
        <w:spacing w:line="360" w:lineRule="auto"/>
        <w:ind w:firstLine="494"/>
        <w:rPr>
          <w:rFonts w:cs="宋体" w:asciiTheme="minorEastAsia" w:hAnsiTheme="minorEastAsia" w:eastAsiaTheme="minorEastAsia"/>
          <w:sz w:val="24"/>
          <w:highlight w:val="none"/>
        </w:rPr>
      </w:pPr>
    </w:p>
    <w:p w14:paraId="5F52EE34">
      <w:pPr>
        <w:spacing w:line="360" w:lineRule="auto"/>
        <w:ind w:firstLine="494"/>
        <w:rPr>
          <w:rFonts w:cs="宋体" w:asciiTheme="minorEastAsia" w:hAnsiTheme="minorEastAsia" w:eastAsiaTheme="minorEastAsia"/>
          <w:sz w:val="24"/>
          <w:highlight w:val="none"/>
        </w:rPr>
      </w:pPr>
    </w:p>
    <w:p w14:paraId="06C49E32">
      <w:pPr>
        <w:spacing w:line="360" w:lineRule="auto"/>
        <w:ind w:right="480"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投标单位（法定名称章）：</w:t>
      </w:r>
    </w:p>
    <w:p w14:paraId="221DD1C4">
      <w:pPr>
        <w:ind w:right="1440" w:firstLine="494"/>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390D2926">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7B4234B5">
      <w:pPr>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投标单位法定名称章（印模）                投标单位“XX专用章”（印模）</w:t>
      </w:r>
    </w:p>
    <w:p w14:paraId="0876F117">
      <w:pPr>
        <w:autoSpaceDE w:val="0"/>
        <w:autoSpaceDN w:val="0"/>
        <w:jc w:val="center"/>
        <w:rPr>
          <w:rFonts w:cs="宋体" w:asciiTheme="minorEastAsia" w:hAnsiTheme="minorEastAsia" w:eastAsiaTheme="minorEastAsia"/>
          <w:b/>
          <w:spacing w:val="6"/>
          <w:sz w:val="32"/>
          <w:szCs w:val="32"/>
          <w:highlight w:val="none"/>
        </w:rPr>
      </w:pPr>
    </w:p>
    <w:p w14:paraId="6CC81113">
      <w:pPr>
        <w:autoSpaceDE w:val="0"/>
        <w:autoSpaceDN w:val="0"/>
        <w:jc w:val="center"/>
        <w:rPr>
          <w:rFonts w:cs="宋体" w:asciiTheme="minorEastAsia" w:hAnsiTheme="minorEastAsia" w:eastAsiaTheme="minorEastAsia"/>
          <w:b/>
          <w:spacing w:val="6"/>
          <w:sz w:val="32"/>
          <w:szCs w:val="32"/>
          <w:highlight w:val="none"/>
        </w:rPr>
      </w:pPr>
    </w:p>
    <w:p w14:paraId="1ACF0391">
      <w:pPr>
        <w:autoSpaceDE w:val="0"/>
        <w:autoSpaceDN w:val="0"/>
        <w:jc w:val="center"/>
        <w:rPr>
          <w:rFonts w:cs="宋体" w:asciiTheme="minorEastAsia" w:hAnsiTheme="minorEastAsia" w:eastAsiaTheme="minorEastAsia"/>
          <w:b/>
          <w:spacing w:val="6"/>
          <w:sz w:val="32"/>
          <w:szCs w:val="32"/>
          <w:highlight w:val="none"/>
        </w:rPr>
      </w:pPr>
    </w:p>
    <w:p w14:paraId="456FC429">
      <w:pPr>
        <w:autoSpaceDE w:val="0"/>
        <w:autoSpaceDN w:val="0"/>
        <w:jc w:val="center"/>
        <w:rPr>
          <w:rFonts w:cs="宋体" w:asciiTheme="minorEastAsia" w:hAnsiTheme="minorEastAsia" w:eastAsiaTheme="minorEastAsia"/>
          <w:b/>
          <w:spacing w:val="6"/>
          <w:sz w:val="32"/>
          <w:szCs w:val="32"/>
          <w:highlight w:val="none"/>
        </w:rPr>
      </w:pPr>
    </w:p>
    <w:p w14:paraId="552F8DA0">
      <w:pPr>
        <w:autoSpaceDE w:val="0"/>
        <w:autoSpaceDN w:val="0"/>
        <w:jc w:val="center"/>
        <w:rPr>
          <w:rFonts w:cs="宋体" w:asciiTheme="minorEastAsia" w:hAnsiTheme="minorEastAsia" w:eastAsiaTheme="minorEastAsia"/>
          <w:b/>
          <w:spacing w:val="6"/>
          <w:sz w:val="32"/>
          <w:szCs w:val="32"/>
          <w:highlight w:val="none"/>
        </w:rPr>
      </w:pPr>
    </w:p>
    <w:p w14:paraId="4E5CDB43">
      <w:pPr>
        <w:autoSpaceDE w:val="0"/>
        <w:autoSpaceDN w:val="0"/>
        <w:jc w:val="center"/>
        <w:rPr>
          <w:rFonts w:cs="宋体" w:asciiTheme="minorEastAsia" w:hAnsiTheme="minorEastAsia" w:eastAsiaTheme="minorEastAsia"/>
          <w:b/>
          <w:spacing w:val="6"/>
          <w:sz w:val="32"/>
          <w:szCs w:val="32"/>
          <w:highlight w:val="none"/>
        </w:rPr>
      </w:pPr>
    </w:p>
    <w:p w14:paraId="11A175BF">
      <w:pPr>
        <w:autoSpaceDE w:val="0"/>
        <w:autoSpaceDN w:val="0"/>
        <w:jc w:val="center"/>
        <w:rPr>
          <w:rFonts w:cs="宋体" w:asciiTheme="minorEastAsia" w:hAnsiTheme="minorEastAsia" w:eastAsiaTheme="minorEastAsia"/>
          <w:b/>
          <w:spacing w:val="6"/>
          <w:sz w:val="32"/>
          <w:szCs w:val="32"/>
          <w:highlight w:val="none"/>
        </w:rPr>
      </w:pPr>
    </w:p>
    <w:p w14:paraId="1C877D8A">
      <w:pPr>
        <w:autoSpaceDE w:val="0"/>
        <w:autoSpaceDN w:val="0"/>
        <w:jc w:val="center"/>
        <w:rPr>
          <w:rFonts w:cs="宋体" w:asciiTheme="minorEastAsia" w:hAnsiTheme="minorEastAsia" w:eastAsiaTheme="minorEastAsia"/>
          <w:b/>
          <w:spacing w:val="6"/>
          <w:sz w:val="32"/>
          <w:szCs w:val="32"/>
          <w:highlight w:val="none"/>
        </w:rPr>
      </w:pPr>
    </w:p>
    <w:p w14:paraId="4EFF6152">
      <w:pPr>
        <w:autoSpaceDE w:val="0"/>
        <w:autoSpaceDN w:val="0"/>
        <w:jc w:val="center"/>
        <w:rPr>
          <w:rFonts w:cs="宋体" w:asciiTheme="minorEastAsia" w:hAnsiTheme="minorEastAsia" w:eastAsiaTheme="minorEastAsia"/>
          <w:b/>
          <w:spacing w:val="6"/>
          <w:sz w:val="32"/>
          <w:szCs w:val="32"/>
          <w:highlight w:val="none"/>
        </w:rPr>
      </w:pPr>
    </w:p>
    <w:p w14:paraId="173DE02C">
      <w:pPr>
        <w:autoSpaceDE w:val="0"/>
        <w:autoSpaceDN w:val="0"/>
        <w:jc w:val="center"/>
        <w:rPr>
          <w:rFonts w:cs="宋体" w:asciiTheme="minorEastAsia" w:hAnsiTheme="minorEastAsia" w:eastAsiaTheme="minorEastAsia"/>
          <w:b/>
          <w:spacing w:val="6"/>
          <w:sz w:val="32"/>
          <w:szCs w:val="32"/>
          <w:highlight w:val="none"/>
        </w:rPr>
      </w:pPr>
    </w:p>
    <w:p w14:paraId="185FE7CB">
      <w:pPr>
        <w:autoSpaceDE w:val="0"/>
        <w:autoSpaceDN w:val="0"/>
        <w:jc w:val="center"/>
        <w:rPr>
          <w:rFonts w:cs="宋体" w:asciiTheme="minorEastAsia" w:hAnsiTheme="minorEastAsia" w:eastAsiaTheme="minorEastAsia"/>
          <w:b/>
          <w:spacing w:val="6"/>
          <w:sz w:val="32"/>
          <w:szCs w:val="32"/>
          <w:highlight w:val="none"/>
        </w:rPr>
      </w:pPr>
    </w:p>
    <w:p w14:paraId="7446FB0F">
      <w:pPr>
        <w:autoSpaceDE w:val="0"/>
        <w:autoSpaceDN w:val="0"/>
        <w:jc w:val="center"/>
        <w:rPr>
          <w:rFonts w:cs="宋体" w:asciiTheme="minorEastAsia" w:hAnsiTheme="minorEastAsia" w:eastAsiaTheme="minorEastAsia"/>
          <w:b/>
          <w:spacing w:val="6"/>
          <w:sz w:val="32"/>
          <w:szCs w:val="32"/>
          <w:highlight w:val="none"/>
        </w:rPr>
      </w:pPr>
    </w:p>
    <w:p w14:paraId="6CD4BF08">
      <w:pPr>
        <w:autoSpaceDE w:val="0"/>
        <w:autoSpaceDN w:val="0"/>
        <w:jc w:val="center"/>
        <w:rPr>
          <w:rFonts w:cs="宋体" w:asciiTheme="minorEastAsia" w:hAnsiTheme="minorEastAsia" w:eastAsiaTheme="minorEastAsia"/>
          <w:b/>
          <w:spacing w:val="6"/>
          <w:sz w:val="32"/>
          <w:szCs w:val="32"/>
          <w:highlight w:val="none"/>
        </w:rPr>
      </w:pPr>
    </w:p>
    <w:p w14:paraId="083F3DA7">
      <w:pPr>
        <w:autoSpaceDE w:val="0"/>
        <w:autoSpaceDN w:val="0"/>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5</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lang w:val="zh-CN"/>
        </w:rPr>
        <w:t>联合协议</w:t>
      </w:r>
    </w:p>
    <w:p w14:paraId="1101CFEB">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（以联合体形式投标的，提供联合协议；本项目不接受联合体投标或者投标人不以联合体形式投标的，则不需要提供）</w:t>
      </w:r>
    </w:p>
    <w:p w14:paraId="7148E8B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组成一个联合体，以一个投标人的身份</w:t>
      </w:r>
      <w:r>
        <w:rPr>
          <w:rFonts w:hint="eastAsia" w:cs="宋体" w:asciiTheme="minorEastAsia" w:hAnsiTheme="minorEastAsia" w:eastAsiaTheme="minorEastAsia"/>
          <w:kern w:val="0"/>
          <w:sz w:val="24"/>
          <w:highlight w:val="none"/>
        </w:rPr>
        <w:t>参加</w:t>
      </w:r>
      <w:r>
        <w:rPr>
          <w:rFonts w:hint="eastAsia" w:cs="宋体" w:asciiTheme="minorEastAsia" w:hAnsiTheme="minorEastAsia" w:eastAsiaTheme="minorEastAsia"/>
          <w:sz w:val="24"/>
          <w:highlight w:val="none"/>
          <w:lang w:eastAsia="zh-CN"/>
        </w:rPr>
        <w:t>杭州市公安局西湖区分局看守所智能行为分析系统项目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XHZFCG-2025-G-09</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投标。 </w:t>
      </w:r>
    </w:p>
    <w:p w14:paraId="7C7DCE3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，代表所有联合体成员负责投标和合同实施阶段的主办、协调工作</w:t>
      </w:r>
      <w:r>
        <w:rPr>
          <w:rFonts w:hint="eastAsia" w:cs="宋体" w:asciiTheme="minorEastAsia" w:hAnsiTheme="minorEastAsia" w:eastAsiaTheme="minorEastAsia"/>
          <w:kern w:val="0"/>
          <w:sz w:val="24"/>
          <w:highlight w:val="none"/>
          <w:lang w:val="zh-CN"/>
        </w:rPr>
        <w:t>。</w:t>
      </w:r>
    </w:p>
    <w:p w14:paraId="28DD5DF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授权代表根据招标文件规定及投标内容而对采购人、采购机构所作的任何合法承诺，包括书面澄清及相应等均对联合投标各方产生约束力。</w:t>
      </w:r>
    </w:p>
    <w:p w14:paraId="5D89EAA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三、本次联合投标中，分工如下：</w:t>
      </w:r>
    </w:p>
    <w:p w14:paraId="7A3C9A2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2F42A8A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0494ABC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051AD5A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w:t>
      </w:r>
    </w:p>
    <w:p w14:paraId="2D90DF75">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533"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533"/>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534" w:name="_Hlk101133598"/>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bookmarkEnd w:id="534"/>
      <w:r>
        <w:rPr>
          <w:rFonts w:hint="eastAsia" w:cs="宋体" w:asciiTheme="minorEastAsia" w:hAnsiTheme="minorEastAsia" w:eastAsiaTheme="minorEastAsia"/>
          <w:b/>
          <w:kern w:val="0"/>
          <w:sz w:val="24"/>
          <w:highlight w:val="none"/>
          <w:lang w:val="zh-CN"/>
        </w:rPr>
        <w:t>）</w:t>
      </w:r>
    </w:p>
    <w:p w14:paraId="46B50279">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535"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535"/>
    </w:p>
    <w:p w14:paraId="221FEA3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五、如果中标，</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1F40CFB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六、有关本次联合投标的其他事宜：</w:t>
      </w:r>
    </w:p>
    <w:p w14:paraId="37D02FB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14:paraId="46D5811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5F0E0D7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7C1656AC">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049326C">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6BE63B0">
      <w:pPr>
        <w:snapToGrid w:val="0"/>
        <w:spacing w:line="360" w:lineRule="auto"/>
        <w:ind w:right="960"/>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14:paraId="4CC56A38">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73BE2936">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0F74BD47">
      <w:pPr>
        <w:autoSpaceDE w:val="0"/>
        <w:autoSpaceDN w:val="0"/>
        <w:jc w:val="center"/>
        <w:rPr>
          <w:rFonts w:cs="宋体" w:asciiTheme="minorEastAsia" w:hAnsiTheme="minorEastAsia" w:eastAsiaTheme="minorEastAsia"/>
          <w:b/>
          <w:spacing w:val="6"/>
          <w:sz w:val="32"/>
          <w:szCs w:val="32"/>
          <w:highlight w:val="none"/>
        </w:rPr>
      </w:pPr>
    </w:p>
    <w:p w14:paraId="45665F2D">
      <w:pPr>
        <w:autoSpaceDE w:val="0"/>
        <w:autoSpaceDN w:val="0"/>
        <w:jc w:val="center"/>
        <w:rPr>
          <w:rFonts w:cs="宋体" w:asciiTheme="minorEastAsia" w:hAnsiTheme="minorEastAsia" w:eastAsiaTheme="minorEastAsia"/>
          <w:b/>
          <w:spacing w:val="6"/>
          <w:sz w:val="32"/>
          <w:szCs w:val="32"/>
          <w:highlight w:val="none"/>
        </w:rPr>
      </w:pPr>
    </w:p>
    <w:p w14:paraId="4574B294">
      <w:pPr>
        <w:autoSpaceDE w:val="0"/>
        <w:autoSpaceDN w:val="0"/>
        <w:jc w:val="center"/>
        <w:rPr>
          <w:rFonts w:cs="宋体" w:asciiTheme="minorEastAsia" w:hAnsiTheme="minorEastAsia" w:eastAsiaTheme="minorEastAsia"/>
          <w:b/>
          <w:spacing w:val="6"/>
          <w:sz w:val="32"/>
          <w:szCs w:val="32"/>
          <w:highlight w:val="none"/>
        </w:rPr>
      </w:pPr>
    </w:p>
    <w:p w14:paraId="45600073">
      <w:pPr>
        <w:autoSpaceDE w:val="0"/>
        <w:autoSpaceDN w:val="0"/>
        <w:jc w:val="center"/>
        <w:rPr>
          <w:rFonts w:cs="宋体" w:asciiTheme="minorEastAsia" w:hAnsiTheme="minorEastAsia" w:eastAsiaTheme="minorEastAsia"/>
          <w:b/>
          <w:spacing w:val="6"/>
          <w:sz w:val="32"/>
          <w:szCs w:val="32"/>
          <w:highlight w:val="none"/>
        </w:rPr>
      </w:pPr>
    </w:p>
    <w:p w14:paraId="4560C62B">
      <w:pPr>
        <w:autoSpaceDE w:val="0"/>
        <w:autoSpaceDN w:val="0"/>
        <w:jc w:val="center"/>
        <w:rPr>
          <w:rFonts w:cs="宋体" w:asciiTheme="minorEastAsia" w:hAnsiTheme="minorEastAsia" w:eastAsiaTheme="minorEastAsia"/>
          <w:b/>
          <w:spacing w:val="6"/>
          <w:sz w:val="32"/>
          <w:szCs w:val="32"/>
          <w:highlight w:val="none"/>
        </w:rPr>
      </w:pPr>
    </w:p>
    <w:p w14:paraId="3093ABD5">
      <w:pPr>
        <w:autoSpaceDE w:val="0"/>
        <w:autoSpaceDN w:val="0"/>
        <w:jc w:val="center"/>
        <w:rPr>
          <w:rFonts w:cs="宋体" w:asciiTheme="minorEastAsia" w:hAnsiTheme="minorEastAsia" w:eastAsiaTheme="minorEastAsia"/>
          <w:b/>
          <w:spacing w:val="6"/>
          <w:sz w:val="32"/>
          <w:szCs w:val="32"/>
          <w:highlight w:val="none"/>
        </w:rPr>
      </w:pPr>
    </w:p>
    <w:p w14:paraId="09BE3D69">
      <w:pPr>
        <w:autoSpaceDE w:val="0"/>
        <w:autoSpaceDN w:val="0"/>
        <w:jc w:val="center"/>
        <w:rPr>
          <w:rFonts w:cs="宋体" w:asciiTheme="minorEastAsia" w:hAnsiTheme="minorEastAsia" w:eastAsiaTheme="minorEastAsia"/>
          <w:b/>
          <w:spacing w:val="6"/>
          <w:sz w:val="32"/>
          <w:szCs w:val="32"/>
          <w:highlight w:val="none"/>
        </w:rPr>
      </w:pPr>
    </w:p>
    <w:p w14:paraId="2346B018">
      <w:pPr>
        <w:autoSpaceDE w:val="0"/>
        <w:autoSpaceDN w:val="0"/>
        <w:jc w:val="center"/>
        <w:rPr>
          <w:rFonts w:cs="宋体" w:asciiTheme="minorEastAsia" w:hAnsiTheme="minorEastAsia" w:eastAsiaTheme="minorEastAsia"/>
          <w:b/>
          <w:spacing w:val="6"/>
          <w:sz w:val="32"/>
          <w:szCs w:val="32"/>
          <w:highlight w:val="none"/>
        </w:rPr>
      </w:pPr>
    </w:p>
    <w:p w14:paraId="3AC532BD">
      <w:pPr>
        <w:autoSpaceDE w:val="0"/>
        <w:autoSpaceDN w:val="0"/>
        <w:jc w:val="center"/>
        <w:rPr>
          <w:rFonts w:cs="宋体" w:asciiTheme="minorEastAsia" w:hAnsiTheme="minorEastAsia" w:eastAsiaTheme="minorEastAsia"/>
          <w:b/>
          <w:spacing w:val="6"/>
          <w:sz w:val="32"/>
          <w:szCs w:val="32"/>
          <w:highlight w:val="none"/>
        </w:rPr>
      </w:pPr>
    </w:p>
    <w:p w14:paraId="595D8F4D">
      <w:pPr>
        <w:autoSpaceDE w:val="0"/>
        <w:autoSpaceDN w:val="0"/>
        <w:jc w:val="center"/>
        <w:rPr>
          <w:rFonts w:cs="宋体" w:asciiTheme="minorEastAsia" w:hAnsiTheme="minorEastAsia" w:eastAsiaTheme="minorEastAsia"/>
          <w:b/>
          <w:spacing w:val="6"/>
          <w:sz w:val="32"/>
          <w:szCs w:val="32"/>
          <w:highlight w:val="none"/>
        </w:rPr>
      </w:pPr>
    </w:p>
    <w:p w14:paraId="0CD8AA22">
      <w:pPr>
        <w:autoSpaceDE w:val="0"/>
        <w:autoSpaceDN w:val="0"/>
        <w:jc w:val="center"/>
        <w:rPr>
          <w:rFonts w:cs="宋体" w:asciiTheme="minorEastAsia" w:hAnsiTheme="minorEastAsia" w:eastAsiaTheme="minorEastAsia"/>
          <w:b/>
          <w:spacing w:val="6"/>
          <w:sz w:val="32"/>
          <w:szCs w:val="32"/>
          <w:highlight w:val="none"/>
        </w:rPr>
      </w:pPr>
    </w:p>
    <w:p w14:paraId="2E3772E1">
      <w:pPr>
        <w:autoSpaceDE w:val="0"/>
        <w:autoSpaceDN w:val="0"/>
        <w:jc w:val="center"/>
        <w:rPr>
          <w:rFonts w:cs="宋体" w:asciiTheme="minorEastAsia" w:hAnsiTheme="minorEastAsia" w:eastAsiaTheme="minorEastAsia"/>
          <w:b/>
          <w:spacing w:val="6"/>
          <w:sz w:val="32"/>
          <w:szCs w:val="32"/>
          <w:highlight w:val="none"/>
        </w:rPr>
      </w:pPr>
    </w:p>
    <w:p w14:paraId="372FE448">
      <w:pPr>
        <w:autoSpaceDE w:val="0"/>
        <w:autoSpaceDN w:val="0"/>
        <w:jc w:val="center"/>
        <w:rPr>
          <w:rFonts w:cs="宋体" w:asciiTheme="minorEastAsia" w:hAnsiTheme="minorEastAsia" w:eastAsiaTheme="minorEastAsia"/>
          <w:b/>
          <w:spacing w:val="6"/>
          <w:sz w:val="32"/>
          <w:szCs w:val="32"/>
          <w:highlight w:val="none"/>
        </w:rPr>
      </w:pPr>
    </w:p>
    <w:p w14:paraId="2BE78966">
      <w:pPr>
        <w:autoSpaceDE w:val="0"/>
        <w:autoSpaceDN w:val="0"/>
        <w:jc w:val="center"/>
        <w:rPr>
          <w:rFonts w:cs="宋体" w:asciiTheme="minorEastAsia" w:hAnsiTheme="minorEastAsia" w:eastAsiaTheme="minorEastAsia"/>
          <w:b/>
          <w:spacing w:val="6"/>
          <w:sz w:val="32"/>
          <w:szCs w:val="32"/>
          <w:highlight w:val="none"/>
        </w:rPr>
      </w:pPr>
    </w:p>
    <w:p w14:paraId="76D088AE">
      <w:pPr>
        <w:autoSpaceDE w:val="0"/>
        <w:autoSpaceDN w:val="0"/>
        <w:jc w:val="center"/>
        <w:rPr>
          <w:rFonts w:cs="宋体" w:asciiTheme="minorEastAsia" w:hAnsiTheme="minorEastAsia" w:eastAsiaTheme="minorEastAsia"/>
          <w:b/>
          <w:spacing w:val="6"/>
          <w:sz w:val="32"/>
          <w:szCs w:val="32"/>
          <w:highlight w:val="none"/>
        </w:rPr>
      </w:pPr>
    </w:p>
    <w:p w14:paraId="358821E4">
      <w:pPr>
        <w:autoSpaceDE w:val="0"/>
        <w:autoSpaceDN w:val="0"/>
        <w:jc w:val="center"/>
        <w:rPr>
          <w:rFonts w:cs="宋体" w:asciiTheme="minorEastAsia" w:hAnsiTheme="minorEastAsia" w:eastAsiaTheme="minorEastAsia"/>
          <w:b/>
          <w:spacing w:val="6"/>
          <w:sz w:val="32"/>
          <w:szCs w:val="32"/>
          <w:highlight w:val="none"/>
        </w:rPr>
      </w:pPr>
    </w:p>
    <w:p w14:paraId="50C0F2D3">
      <w:pPr>
        <w:autoSpaceDE w:val="0"/>
        <w:autoSpaceDN w:val="0"/>
        <w:jc w:val="center"/>
        <w:rPr>
          <w:rFonts w:cs="宋体" w:asciiTheme="minorEastAsia" w:hAnsiTheme="minorEastAsia" w:eastAsiaTheme="minorEastAsia"/>
          <w:b/>
          <w:spacing w:val="6"/>
          <w:sz w:val="32"/>
          <w:szCs w:val="32"/>
          <w:highlight w:val="none"/>
        </w:rPr>
      </w:pPr>
    </w:p>
    <w:p w14:paraId="699ADD43">
      <w:pPr>
        <w:autoSpaceDE w:val="0"/>
        <w:autoSpaceDN w:val="0"/>
        <w:jc w:val="center"/>
        <w:rPr>
          <w:rFonts w:cs="宋体" w:asciiTheme="minorEastAsia" w:hAnsiTheme="minorEastAsia" w:eastAsiaTheme="minorEastAsia"/>
          <w:b/>
          <w:spacing w:val="6"/>
          <w:sz w:val="32"/>
          <w:szCs w:val="32"/>
          <w:highlight w:val="none"/>
        </w:rPr>
      </w:pPr>
    </w:p>
    <w:p w14:paraId="4F3686D1">
      <w:pPr>
        <w:autoSpaceDE w:val="0"/>
        <w:autoSpaceDN w:val="0"/>
        <w:jc w:val="center"/>
        <w:rPr>
          <w:rFonts w:cs="宋体" w:asciiTheme="minorEastAsia" w:hAnsiTheme="minorEastAsia" w:eastAsiaTheme="minorEastAsia"/>
          <w:b/>
          <w:spacing w:val="6"/>
          <w:sz w:val="32"/>
          <w:szCs w:val="32"/>
          <w:highlight w:val="none"/>
        </w:rPr>
      </w:pPr>
    </w:p>
    <w:p w14:paraId="35D80AF2">
      <w:pPr>
        <w:autoSpaceDE w:val="0"/>
        <w:autoSpaceDN w:val="0"/>
        <w:jc w:val="center"/>
        <w:rPr>
          <w:rFonts w:cs="宋体" w:asciiTheme="minorEastAsia" w:hAnsiTheme="minorEastAsia" w:eastAsiaTheme="minorEastAsia"/>
          <w:b/>
          <w:spacing w:val="6"/>
          <w:sz w:val="32"/>
          <w:szCs w:val="32"/>
          <w:highlight w:val="none"/>
        </w:rPr>
      </w:pPr>
    </w:p>
    <w:p w14:paraId="3F951592">
      <w:pPr>
        <w:autoSpaceDE w:val="0"/>
        <w:autoSpaceDN w:val="0"/>
        <w:jc w:val="center"/>
        <w:rPr>
          <w:rFonts w:cs="宋体" w:asciiTheme="minorEastAsia" w:hAnsiTheme="minorEastAsia" w:eastAsiaTheme="minorEastAsia"/>
          <w:b/>
          <w:spacing w:val="6"/>
          <w:sz w:val="32"/>
          <w:szCs w:val="32"/>
          <w:highlight w:val="none"/>
        </w:rPr>
      </w:pPr>
    </w:p>
    <w:p w14:paraId="66CF68FC">
      <w:pPr>
        <w:autoSpaceDE w:val="0"/>
        <w:autoSpaceDN w:val="0"/>
        <w:jc w:val="center"/>
        <w:rPr>
          <w:rFonts w:cs="宋体" w:asciiTheme="minorEastAsia" w:hAnsiTheme="minorEastAsia" w:eastAsiaTheme="minorEastAsia"/>
          <w:b/>
          <w:spacing w:val="6"/>
          <w:sz w:val="32"/>
          <w:szCs w:val="32"/>
          <w:highlight w:val="none"/>
        </w:rPr>
      </w:pPr>
    </w:p>
    <w:p w14:paraId="3E511464">
      <w:pPr>
        <w:autoSpaceDE w:val="0"/>
        <w:autoSpaceDN w:val="0"/>
        <w:jc w:val="center"/>
        <w:rPr>
          <w:rFonts w:cs="宋体" w:asciiTheme="minorEastAsia" w:hAnsiTheme="minorEastAsia" w:eastAsiaTheme="minorEastAsia"/>
          <w:b/>
          <w:spacing w:val="6"/>
          <w:sz w:val="32"/>
          <w:szCs w:val="32"/>
          <w:highlight w:val="none"/>
        </w:rPr>
      </w:pPr>
    </w:p>
    <w:p w14:paraId="003F4C68">
      <w:pPr>
        <w:snapToGrid w:val="0"/>
        <w:spacing w:line="360" w:lineRule="auto"/>
        <w:ind w:firstLine="3666" w:firstLineChars="1100"/>
        <w:rPr>
          <w:rFonts w:cs="宋体" w:asciiTheme="minorEastAsia" w:hAnsiTheme="minorEastAsia" w:eastAsiaTheme="minorEastAsia"/>
          <w:b/>
          <w:spacing w:val="6"/>
          <w:sz w:val="32"/>
          <w:szCs w:val="32"/>
          <w:highlight w:val="none"/>
        </w:rPr>
      </w:pPr>
    </w:p>
    <w:p w14:paraId="112D5552">
      <w:pPr>
        <w:widowControl/>
        <w:adjustRightInd/>
        <w:jc w:val="left"/>
        <w:rPr>
          <w:rFonts w:cs="宋体" w:asciiTheme="minorEastAsia" w:hAnsiTheme="minorEastAsia" w:eastAsiaTheme="minorEastAsia"/>
          <w:b/>
          <w:spacing w:val="6"/>
          <w:sz w:val="32"/>
          <w:szCs w:val="32"/>
          <w:highlight w:val="none"/>
        </w:rPr>
      </w:pPr>
      <w:r>
        <w:rPr>
          <w:rFonts w:cs="宋体" w:asciiTheme="minorEastAsia" w:hAnsiTheme="minorEastAsia" w:eastAsiaTheme="minorEastAsia"/>
          <w:b/>
          <w:spacing w:val="6"/>
          <w:sz w:val="32"/>
          <w:szCs w:val="32"/>
          <w:highlight w:val="none"/>
        </w:rPr>
        <w:br w:type="page"/>
      </w:r>
    </w:p>
    <w:p w14:paraId="548A637C">
      <w:pPr>
        <w:snapToGrid w:val="0"/>
        <w:spacing w:line="360" w:lineRule="auto"/>
        <w:ind w:firstLine="3666"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6</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rPr>
        <w:t>分包意向协议</w:t>
      </w:r>
    </w:p>
    <w:p w14:paraId="41FD83A5">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highlight w:val="none"/>
        </w:rPr>
        <w:t>）</w:t>
      </w:r>
    </w:p>
    <w:p w14:paraId="4DB4EC6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杭州市公安局西湖区分局看守所智能行为分析系统项目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XHZFCG-2025-G-09</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的中标供应商，将依法采取分包方式履行合同。</w:t>
      </w: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520C19F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672B816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0EDABC2E">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0B0A1710">
      <w:pPr>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6EF0C76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w:t>
      </w:r>
    </w:p>
    <w:p w14:paraId="148E0708">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1F1DAAA">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69821BA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0DF9B69A">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5834D4E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506EC76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B97FE7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0FC9514B">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37BF07A6">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2E0B460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F5641B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1F2B693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27C6368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7CE11C1D">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投标人名称(电子签名)：</w:t>
      </w:r>
    </w:p>
    <w:p w14:paraId="77204882">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73484307">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5EF605F8">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79B78732">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0E568FD3">
      <w:pPr>
        <w:autoSpaceDE w:val="0"/>
        <w:autoSpaceDN w:val="0"/>
        <w:jc w:val="center"/>
        <w:rPr>
          <w:rFonts w:cs="宋体" w:asciiTheme="minorEastAsia" w:hAnsiTheme="minorEastAsia" w:eastAsiaTheme="minorEastAsia"/>
          <w:b/>
          <w:spacing w:val="6"/>
          <w:sz w:val="32"/>
          <w:szCs w:val="32"/>
          <w:highlight w:val="none"/>
        </w:rPr>
      </w:pPr>
    </w:p>
    <w:p w14:paraId="3D385598">
      <w:pPr>
        <w:autoSpaceDE w:val="0"/>
        <w:autoSpaceDN w:val="0"/>
        <w:jc w:val="center"/>
        <w:rPr>
          <w:rFonts w:cs="宋体" w:asciiTheme="minorEastAsia" w:hAnsiTheme="minorEastAsia" w:eastAsiaTheme="minorEastAsia"/>
          <w:b/>
          <w:spacing w:val="6"/>
          <w:sz w:val="32"/>
          <w:szCs w:val="32"/>
          <w:highlight w:val="none"/>
        </w:rPr>
      </w:pPr>
    </w:p>
    <w:p w14:paraId="492DF432">
      <w:pPr>
        <w:autoSpaceDE w:val="0"/>
        <w:autoSpaceDN w:val="0"/>
        <w:jc w:val="center"/>
        <w:rPr>
          <w:rFonts w:cs="宋体" w:asciiTheme="minorEastAsia" w:hAnsiTheme="minorEastAsia" w:eastAsiaTheme="minorEastAsia"/>
          <w:b/>
          <w:spacing w:val="6"/>
          <w:sz w:val="32"/>
          <w:szCs w:val="32"/>
          <w:highlight w:val="none"/>
        </w:rPr>
      </w:pPr>
    </w:p>
    <w:p w14:paraId="5A4C8BA5">
      <w:pPr>
        <w:autoSpaceDE w:val="0"/>
        <w:autoSpaceDN w:val="0"/>
        <w:jc w:val="center"/>
        <w:rPr>
          <w:rFonts w:cs="宋体" w:asciiTheme="minorEastAsia" w:hAnsiTheme="minorEastAsia" w:eastAsiaTheme="minorEastAsia"/>
          <w:b/>
          <w:spacing w:val="6"/>
          <w:sz w:val="32"/>
          <w:szCs w:val="32"/>
          <w:highlight w:val="none"/>
        </w:rPr>
      </w:pPr>
    </w:p>
    <w:p w14:paraId="470B2A56">
      <w:pPr>
        <w:autoSpaceDE w:val="0"/>
        <w:autoSpaceDN w:val="0"/>
        <w:jc w:val="center"/>
        <w:rPr>
          <w:rFonts w:cs="宋体" w:asciiTheme="minorEastAsia" w:hAnsiTheme="minorEastAsia" w:eastAsiaTheme="minorEastAsia"/>
          <w:b/>
          <w:spacing w:val="6"/>
          <w:sz w:val="32"/>
          <w:szCs w:val="32"/>
          <w:highlight w:val="none"/>
        </w:rPr>
      </w:pPr>
    </w:p>
    <w:p w14:paraId="55E09AFA">
      <w:pPr>
        <w:autoSpaceDE w:val="0"/>
        <w:autoSpaceDN w:val="0"/>
        <w:jc w:val="center"/>
        <w:rPr>
          <w:rFonts w:cs="宋体" w:asciiTheme="minorEastAsia" w:hAnsiTheme="minorEastAsia" w:eastAsiaTheme="minorEastAsia"/>
          <w:b/>
          <w:spacing w:val="6"/>
          <w:sz w:val="32"/>
          <w:szCs w:val="32"/>
          <w:highlight w:val="none"/>
        </w:rPr>
      </w:pPr>
    </w:p>
    <w:p w14:paraId="077D3FB7">
      <w:pPr>
        <w:autoSpaceDE w:val="0"/>
        <w:autoSpaceDN w:val="0"/>
        <w:jc w:val="center"/>
        <w:rPr>
          <w:rFonts w:cs="宋体" w:asciiTheme="minorEastAsia" w:hAnsiTheme="minorEastAsia" w:eastAsiaTheme="minorEastAsia"/>
          <w:b/>
          <w:spacing w:val="6"/>
          <w:sz w:val="32"/>
          <w:szCs w:val="32"/>
          <w:highlight w:val="none"/>
        </w:rPr>
      </w:pPr>
    </w:p>
    <w:p w14:paraId="700D9A9A">
      <w:pPr>
        <w:autoSpaceDE w:val="0"/>
        <w:autoSpaceDN w:val="0"/>
        <w:jc w:val="center"/>
        <w:rPr>
          <w:rFonts w:cs="宋体" w:asciiTheme="minorEastAsia" w:hAnsiTheme="minorEastAsia" w:eastAsiaTheme="minorEastAsia"/>
          <w:b/>
          <w:spacing w:val="6"/>
          <w:sz w:val="32"/>
          <w:szCs w:val="32"/>
          <w:highlight w:val="none"/>
        </w:rPr>
      </w:pPr>
    </w:p>
    <w:p w14:paraId="27C543C6">
      <w:pPr>
        <w:autoSpaceDE w:val="0"/>
        <w:autoSpaceDN w:val="0"/>
        <w:jc w:val="center"/>
        <w:rPr>
          <w:rFonts w:cs="宋体" w:asciiTheme="minorEastAsia" w:hAnsiTheme="minorEastAsia" w:eastAsiaTheme="minorEastAsia"/>
          <w:b/>
          <w:spacing w:val="6"/>
          <w:sz w:val="32"/>
          <w:szCs w:val="32"/>
          <w:highlight w:val="none"/>
        </w:rPr>
      </w:pPr>
    </w:p>
    <w:p w14:paraId="1DF978AE">
      <w:pPr>
        <w:autoSpaceDE w:val="0"/>
        <w:autoSpaceDN w:val="0"/>
        <w:jc w:val="center"/>
        <w:rPr>
          <w:rFonts w:cs="宋体" w:asciiTheme="minorEastAsia" w:hAnsiTheme="minorEastAsia" w:eastAsiaTheme="minorEastAsia"/>
          <w:b/>
          <w:spacing w:val="6"/>
          <w:sz w:val="32"/>
          <w:szCs w:val="32"/>
          <w:highlight w:val="none"/>
        </w:rPr>
      </w:pPr>
    </w:p>
    <w:p w14:paraId="082E87B7">
      <w:pPr>
        <w:autoSpaceDE w:val="0"/>
        <w:autoSpaceDN w:val="0"/>
        <w:jc w:val="center"/>
        <w:rPr>
          <w:rFonts w:cs="宋体" w:asciiTheme="minorEastAsia" w:hAnsiTheme="minorEastAsia" w:eastAsiaTheme="minorEastAsia"/>
          <w:b/>
          <w:spacing w:val="6"/>
          <w:sz w:val="32"/>
          <w:szCs w:val="32"/>
          <w:highlight w:val="none"/>
        </w:rPr>
      </w:pPr>
    </w:p>
    <w:p w14:paraId="22E574D9">
      <w:pPr>
        <w:autoSpaceDE w:val="0"/>
        <w:autoSpaceDN w:val="0"/>
        <w:jc w:val="center"/>
        <w:rPr>
          <w:rFonts w:cs="宋体" w:asciiTheme="minorEastAsia" w:hAnsiTheme="minorEastAsia" w:eastAsiaTheme="minorEastAsia"/>
          <w:b/>
          <w:spacing w:val="6"/>
          <w:sz w:val="32"/>
          <w:szCs w:val="32"/>
          <w:highlight w:val="none"/>
        </w:rPr>
      </w:pPr>
    </w:p>
    <w:p w14:paraId="7AD22644">
      <w:pPr>
        <w:autoSpaceDE w:val="0"/>
        <w:autoSpaceDN w:val="0"/>
        <w:jc w:val="center"/>
        <w:rPr>
          <w:rFonts w:cs="宋体" w:asciiTheme="minorEastAsia" w:hAnsiTheme="minorEastAsia" w:eastAsiaTheme="minorEastAsia"/>
          <w:b/>
          <w:spacing w:val="6"/>
          <w:sz w:val="32"/>
          <w:szCs w:val="32"/>
          <w:highlight w:val="none"/>
        </w:rPr>
      </w:pPr>
    </w:p>
    <w:p w14:paraId="4198DFCC">
      <w:pPr>
        <w:autoSpaceDE w:val="0"/>
        <w:autoSpaceDN w:val="0"/>
        <w:jc w:val="center"/>
        <w:rPr>
          <w:rFonts w:cs="宋体" w:asciiTheme="minorEastAsia" w:hAnsiTheme="minorEastAsia" w:eastAsiaTheme="minorEastAsia"/>
          <w:b/>
          <w:spacing w:val="6"/>
          <w:sz w:val="32"/>
          <w:szCs w:val="32"/>
          <w:highlight w:val="none"/>
        </w:rPr>
      </w:pPr>
    </w:p>
    <w:p w14:paraId="6F58DCAD">
      <w:pPr>
        <w:autoSpaceDE w:val="0"/>
        <w:autoSpaceDN w:val="0"/>
        <w:jc w:val="center"/>
        <w:rPr>
          <w:rFonts w:cs="宋体" w:asciiTheme="minorEastAsia" w:hAnsiTheme="minorEastAsia" w:eastAsiaTheme="minorEastAsia"/>
          <w:b/>
          <w:spacing w:val="6"/>
          <w:sz w:val="32"/>
          <w:szCs w:val="32"/>
          <w:highlight w:val="none"/>
        </w:rPr>
      </w:pPr>
    </w:p>
    <w:p w14:paraId="13ED44E1">
      <w:pPr>
        <w:autoSpaceDE w:val="0"/>
        <w:autoSpaceDN w:val="0"/>
        <w:jc w:val="center"/>
        <w:rPr>
          <w:rFonts w:cs="宋体" w:asciiTheme="minorEastAsia" w:hAnsiTheme="minorEastAsia" w:eastAsiaTheme="minorEastAsia"/>
          <w:b/>
          <w:spacing w:val="6"/>
          <w:sz w:val="32"/>
          <w:szCs w:val="32"/>
          <w:highlight w:val="none"/>
        </w:rPr>
      </w:pPr>
    </w:p>
    <w:p w14:paraId="03A6E66D">
      <w:pPr>
        <w:autoSpaceDE w:val="0"/>
        <w:autoSpaceDN w:val="0"/>
        <w:jc w:val="center"/>
        <w:rPr>
          <w:rFonts w:cs="宋体" w:asciiTheme="minorEastAsia" w:hAnsiTheme="minorEastAsia" w:eastAsiaTheme="minorEastAsia"/>
          <w:b/>
          <w:spacing w:val="6"/>
          <w:sz w:val="32"/>
          <w:szCs w:val="32"/>
          <w:highlight w:val="none"/>
        </w:rPr>
      </w:pPr>
    </w:p>
    <w:p w14:paraId="257C7CCA">
      <w:pPr>
        <w:autoSpaceDE w:val="0"/>
        <w:autoSpaceDN w:val="0"/>
        <w:jc w:val="center"/>
        <w:rPr>
          <w:rFonts w:cs="宋体" w:asciiTheme="minorEastAsia" w:hAnsiTheme="minorEastAsia" w:eastAsiaTheme="minorEastAsia"/>
          <w:b/>
          <w:spacing w:val="6"/>
          <w:sz w:val="32"/>
          <w:szCs w:val="32"/>
          <w:highlight w:val="none"/>
        </w:rPr>
      </w:pPr>
    </w:p>
    <w:p w14:paraId="3A5A3DBF">
      <w:pPr>
        <w:autoSpaceDE w:val="0"/>
        <w:autoSpaceDN w:val="0"/>
        <w:jc w:val="center"/>
        <w:rPr>
          <w:rFonts w:cs="宋体" w:asciiTheme="minorEastAsia" w:hAnsiTheme="minorEastAsia" w:eastAsiaTheme="minorEastAsia"/>
          <w:b/>
          <w:spacing w:val="6"/>
          <w:sz w:val="32"/>
          <w:szCs w:val="32"/>
          <w:highlight w:val="none"/>
        </w:rPr>
      </w:pPr>
    </w:p>
    <w:p w14:paraId="55EE11CC">
      <w:pPr>
        <w:autoSpaceDE w:val="0"/>
        <w:autoSpaceDN w:val="0"/>
        <w:jc w:val="center"/>
        <w:rPr>
          <w:rFonts w:cs="宋体" w:asciiTheme="minorEastAsia" w:hAnsiTheme="minorEastAsia" w:eastAsiaTheme="minorEastAsia"/>
          <w:b/>
          <w:spacing w:val="6"/>
          <w:sz w:val="32"/>
          <w:szCs w:val="32"/>
          <w:highlight w:val="none"/>
        </w:rPr>
      </w:pPr>
    </w:p>
    <w:p w14:paraId="2EDD7ED7">
      <w:pPr>
        <w:autoSpaceDE w:val="0"/>
        <w:autoSpaceDN w:val="0"/>
        <w:jc w:val="center"/>
        <w:rPr>
          <w:rFonts w:cs="宋体" w:asciiTheme="minorEastAsia" w:hAnsiTheme="minorEastAsia" w:eastAsiaTheme="minorEastAsia"/>
          <w:b/>
          <w:spacing w:val="6"/>
          <w:sz w:val="32"/>
          <w:szCs w:val="32"/>
          <w:highlight w:val="none"/>
        </w:rPr>
      </w:pPr>
    </w:p>
    <w:p w14:paraId="705C3C34">
      <w:pPr>
        <w:autoSpaceDE w:val="0"/>
        <w:autoSpaceDN w:val="0"/>
        <w:jc w:val="center"/>
        <w:rPr>
          <w:rFonts w:cs="宋体" w:asciiTheme="minorEastAsia" w:hAnsiTheme="minorEastAsia" w:eastAsiaTheme="minorEastAsia"/>
          <w:b/>
          <w:spacing w:val="6"/>
          <w:sz w:val="32"/>
          <w:szCs w:val="32"/>
          <w:highlight w:val="none"/>
        </w:rPr>
      </w:pPr>
    </w:p>
    <w:p w14:paraId="7393E35D">
      <w:pPr>
        <w:autoSpaceDE w:val="0"/>
        <w:autoSpaceDN w:val="0"/>
        <w:jc w:val="center"/>
        <w:rPr>
          <w:rFonts w:cs="宋体" w:asciiTheme="minorEastAsia" w:hAnsiTheme="minorEastAsia" w:eastAsiaTheme="minorEastAsia"/>
          <w:b/>
          <w:spacing w:val="6"/>
          <w:sz w:val="32"/>
          <w:szCs w:val="32"/>
          <w:highlight w:val="none"/>
        </w:rPr>
      </w:pPr>
    </w:p>
    <w:p w14:paraId="5B46AF7C">
      <w:pPr>
        <w:autoSpaceDE w:val="0"/>
        <w:autoSpaceDN w:val="0"/>
        <w:jc w:val="center"/>
        <w:rPr>
          <w:rFonts w:cs="宋体" w:asciiTheme="minorEastAsia" w:hAnsiTheme="minorEastAsia" w:eastAsiaTheme="minorEastAsia"/>
          <w:b/>
          <w:spacing w:val="6"/>
          <w:sz w:val="32"/>
          <w:szCs w:val="32"/>
          <w:highlight w:val="none"/>
        </w:rPr>
      </w:pPr>
    </w:p>
    <w:p w14:paraId="6373D5F7">
      <w:pPr>
        <w:autoSpaceDE w:val="0"/>
        <w:autoSpaceDN w:val="0"/>
        <w:jc w:val="center"/>
        <w:rPr>
          <w:rFonts w:cs="宋体" w:asciiTheme="minorEastAsia" w:hAnsiTheme="minorEastAsia" w:eastAsiaTheme="minorEastAsia"/>
          <w:b/>
          <w:spacing w:val="6"/>
          <w:sz w:val="32"/>
          <w:szCs w:val="32"/>
          <w:highlight w:val="none"/>
        </w:rPr>
      </w:pPr>
    </w:p>
    <w:p w14:paraId="7E23FF2C">
      <w:pPr>
        <w:autoSpaceDE w:val="0"/>
        <w:autoSpaceDN w:val="0"/>
        <w:jc w:val="center"/>
        <w:rPr>
          <w:rFonts w:cs="宋体" w:asciiTheme="minorEastAsia" w:hAnsiTheme="minorEastAsia" w:eastAsiaTheme="minorEastAsia"/>
          <w:b/>
          <w:spacing w:val="6"/>
          <w:sz w:val="32"/>
          <w:szCs w:val="32"/>
          <w:highlight w:val="none"/>
        </w:rPr>
      </w:pPr>
    </w:p>
    <w:p w14:paraId="5349A497">
      <w:pPr>
        <w:autoSpaceDE w:val="0"/>
        <w:autoSpaceDN w:val="0"/>
        <w:jc w:val="center"/>
        <w:rPr>
          <w:rFonts w:cs="宋体" w:asciiTheme="minorEastAsia" w:hAnsiTheme="minorEastAsia" w:eastAsiaTheme="minorEastAsia"/>
          <w:b/>
          <w:spacing w:val="6"/>
          <w:sz w:val="32"/>
          <w:szCs w:val="32"/>
          <w:highlight w:val="none"/>
        </w:rPr>
      </w:pPr>
    </w:p>
    <w:p w14:paraId="243D5A08">
      <w:pPr>
        <w:spacing w:line="360" w:lineRule="auto"/>
        <w:jc w:val="left"/>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附件</w:t>
      </w:r>
      <w:r>
        <w:rPr>
          <w:rFonts w:cs="宋体" w:asciiTheme="minorEastAsia" w:hAnsiTheme="minorEastAsia" w:eastAsiaTheme="minorEastAsia"/>
          <w:b/>
          <w:sz w:val="36"/>
          <w:szCs w:val="20"/>
          <w:highlight w:val="none"/>
        </w:rPr>
        <w:t>7</w:t>
      </w:r>
      <w:r>
        <w:rPr>
          <w:rFonts w:hint="eastAsia" w:cs="宋体" w:asciiTheme="minorEastAsia" w:hAnsiTheme="minorEastAsia" w:eastAsiaTheme="minorEastAsia"/>
          <w:b/>
          <w:sz w:val="36"/>
          <w:szCs w:val="20"/>
          <w:highlight w:val="none"/>
        </w:rPr>
        <w:t>：中小企业声明函</w:t>
      </w:r>
    </w:p>
    <w:p w14:paraId="6709E6C5">
      <w:pPr>
        <w:spacing w:line="360" w:lineRule="auto"/>
        <w:jc w:val="center"/>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sz w:val="32"/>
          <w:szCs w:val="32"/>
          <w:highlight w:val="none"/>
        </w:rPr>
        <w:t>中小企业声明函（服务）</w:t>
      </w:r>
    </w:p>
    <w:p w14:paraId="63C89294">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杭州市公安局西湖区分局看守所智能行为分析系统项目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采购活动，服务全部由符合政策要求的中小企业承接。相关企业（含联合体中的中小企业、签订分包意向协议的中小企业）的具体情况如下：</w:t>
      </w:r>
    </w:p>
    <w:p w14:paraId="2FFE25B6">
      <w:pPr>
        <w:numPr>
          <w:ilvl w:val="0"/>
          <w:numId w:val="6"/>
        </w:numPr>
        <w:spacing w:line="360" w:lineRule="auto"/>
        <w:ind w:firstLine="480" w:firstLineChars="200"/>
        <w:jc w:val="left"/>
        <w:rPr>
          <w:rFonts w:hint="eastAsia" w:cs="宋体" w:asciiTheme="minorEastAsia" w:hAnsiTheme="minorEastAsia" w:eastAsiaTheme="minorEastAsia"/>
          <w:sz w:val="24"/>
          <w:highlight w:val="none"/>
        </w:rPr>
      </w:pPr>
      <w:r>
        <w:rPr>
          <w:rFonts w:hint="eastAsia" w:ascii="宋体" w:hAnsi="宋体" w:cs="宋体"/>
          <w:sz w:val="24"/>
          <w:highlight w:val="none"/>
          <w:u w:val="single"/>
          <w:lang w:eastAsia="zh-CN"/>
        </w:rPr>
        <w:t>杭州市公安局西湖区分局看守所智能行为分析系统项目</w:t>
      </w:r>
      <w:r>
        <w:rPr>
          <w:rFonts w:hint="eastAsia" w:ascii="宋体" w:hAnsi="宋体" w:cs="宋体"/>
          <w:kern w:val="0"/>
          <w:sz w:val="24"/>
          <w:highlight w:val="none"/>
          <w:u w:val="single"/>
          <w:lang w:val="en-US" w:eastAsia="zh-CN"/>
        </w:rPr>
        <w:t xml:space="preserve"> </w:t>
      </w:r>
      <w:r>
        <w:rPr>
          <w:rFonts w:hint="eastAsia" w:cs="宋体" w:asciiTheme="minorEastAsia" w:hAnsiTheme="minorEastAsia" w:eastAsiaTheme="minorEastAsia"/>
          <w:sz w:val="24"/>
          <w:highlight w:val="none"/>
        </w:rPr>
        <w:t>，属于</w:t>
      </w:r>
      <w:r>
        <w:rPr>
          <w:rFonts w:hint="eastAsia" w:cs="宋体" w:asciiTheme="minorEastAsia" w:hAnsiTheme="minorEastAsia" w:eastAsiaTheme="minorEastAsia"/>
          <w:sz w:val="24"/>
          <w:highlight w:val="none"/>
          <w:u w:val="single"/>
        </w:rPr>
        <w:t xml:space="preserve"> </w:t>
      </w:r>
      <w:r>
        <w:rPr>
          <w:rFonts w:hint="eastAsia" w:ascii="宋体" w:hAnsi="宋体" w:cs="宋体"/>
          <w:kern w:val="0"/>
          <w:sz w:val="24"/>
          <w:u w:val="single"/>
        </w:rPr>
        <w:t>软件和信息技术服务业</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none"/>
          <w:lang w:val="en-US" w:eastAsia="zh-CN"/>
        </w:rPr>
        <w:t>行业</w:t>
      </w:r>
      <w:r>
        <w:rPr>
          <w:rFonts w:hint="eastAsia" w:cs="宋体" w:asciiTheme="minorEastAsia" w:hAnsiTheme="minorEastAsia" w:eastAsiaTheme="minorEastAsia"/>
          <w:sz w:val="24"/>
          <w:highlight w:val="none"/>
        </w:rPr>
        <w:t xml:space="preserve"> ；承接企业为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38C1EC57">
      <w:pPr>
        <w:rPr>
          <w:rFonts w:hint="default"/>
          <w:highlight w:val="none"/>
          <w:lang w:val="en-US"/>
        </w:rPr>
      </w:pPr>
    </w:p>
    <w:p w14:paraId="79471856">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003BDFE9">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49058B86">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投标人名称（电子签名）：</w:t>
      </w:r>
    </w:p>
    <w:p w14:paraId="558A7108">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569175E7">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699B1744">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78AF822F">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EDEAB8">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BC9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50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8DDE83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13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7AEC9919">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3248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75B67">
    <w:pPr>
      <w:pStyle w:val="40"/>
      <w:framePr w:wrap="around" w:vAnchor="text" w:hAnchor="margin" w:xAlign="right" w:y="1"/>
      <w:rPr>
        <w:rStyle w:val="73"/>
      </w:rPr>
    </w:pPr>
    <w:r>
      <w:fldChar w:fldCharType="begin"/>
    </w:r>
    <w:r>
      <w:rPr>
        <w:rStyle w:val="73"/>
      </w:rPr>
      <w:instrText xml:space="preserve">PAGE  </w:instrText>
    </w:r>
    <w:r>
      <w:fldChar w:fldCharType="end"/>
    </w:r>
  </w:p>
  <w:p w14:paraId="1F8F9259">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12B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536" w:name="_Toc131845147"/>
    <w:bookmarkStart w:id="537" w:name="_Toc36110187"/>
    <w:bookmarkStart w:id="538" w:name="_Toc91899912"/>
    <w:bookmarkStart w:id="539" w:name="_Toc164085800"/>
    <w:r>
      <w:rPr>
        <w:rFonts w:hint="eastAsia" w:ascii="仿宋_GB2312" w:eastAsia="仿宋_GB2312"/>
        <w:kern w:val="0"/>
        <w:szCs w:val="21"/>
      </w:rPr>
      <w:t xml:space="preserve"> 页</w:t>
    </w:r>
    <w:bookmarkEnd w:id="536"/>
    <w:bookmarkEnd w:id="537"/>
    <w:bookmarkEnd w:id="538"/>
    <w:bookmarkEnd w:id="5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DC0A">
    <w:pPr>
      <w:pStyle w:val="40"/>
      <w:framePr w:wrap="around" w:vAnchor="text" w:hAnchor="margin" w:xAlign="right" w:y="1"/>
      <w:rPr>
        <w:rStyle w:val="73"/>
      </w:rPr>
    </w:pPr>
    <w:r>
      <w:fldChar w:fldCharType="begin"/>
    </w:r>
    <w:r>
      <w:rPr>
        <w:rStyle w:val="73"/>
      </w:rPr>
      <w:instrText xml:space="preserve">PAGE  </w:instrText>
    </w:r>
    <w:r>
      <w:fldChar w:fldCharType="end"/>
    </w:r>
  </w:p>
  <w:p w14:paraId="5A03952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29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BF9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05995E0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34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53B8D72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FD3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1D18A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BA6B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4BD666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184F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31EF3E3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F862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FC908B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FCA4">
    <w:pPr>
      <w:pStyle w:val="41"/>
      <w:pBdr>
        <w:bottom w:val="none" w:color="auto" w:sz="0" w:space="4"/>
      </w:pBdr>
      <w:jc w:val="right"/>
      <w:rPr>
        <w:rFonts w:ascii="仿宋_GB2312" w:eastAsia="仿宋_GB2312"/>
        <w:b w:val="0"/>
        <w:i/>
        <w:sz w:val="18"/>
        <w:u w:val="single"/>
        <w:lang w:val="en-US"/>
      </w:rPr>
    </w:pPr>
    <w:r>
      <w:t></w:t>
    </w:r>
    <w:r>
      <w:rPr>
        <w:rFonts w:hint="eastAsia"/>
      </w:rPr>
      <w:t xml:space="preserve">             </w:t>
    </w:r>
    <w:r>
      <w:rPr>
        <w:rFonts w:hint="eastAsia"/>
        <w:sz w:val="18"/>
        <w:szCs w:val="18"/>
        <w:lang w:val="en-US" w:eastAsia="zh-CN"/>
      </w:rPr>
      <w:t>西湖区</w:t>
    </w:r>
    <w:r>
      <w:rPr>
        <w:sz w:val="18"/>
        <w:szCs w:val="18"/>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1C073">
    <w:pPr>
      <w:pStyle w:val="41"/>
      <w:jc w:val="right"/>
    </w:pPr>
    <w:r>
      <w:rPr>
        <w:rFonts w:hint="eastAsia"/>
      </w:rPr>
      <w:t xml:space="preserve">                                                                                                        </w:t>
    </w:r>
    <w:r>
      <w:rPr>
        <w:rFonts w:hint="eastAsia"/>
        <w:lang w:eastAsia="zh-CN"/>
      </w:rPr>
      <w:t>西湖区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04BF">
    <w:pPr>
      <w:pStyle w:val="41"/>
      <w:jc w:val="right"/>
      <w:rPr>
        <w:rFonts w:ascii="仿宋_GB2312" w:eastAsia="仿宋_GB2312"/>
        <w:b/>
        <w:i/>
        <w:iCs/>
        <w:u w:val="single"/>
      </w:rPr>
    </w:pPr>
    <w:r>
      <w:t></w:t>
    </w:r>
    <w:r>
      <w:rPr>
        <w:rFonts w:hint="eastAsia"/>
        <w:lang w:eastAsia="zh-CN"/>
      </w:rPr>
      <w:t>西湖区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EB325">
    <w:pPr>
      <w:pStyle w:val="41"/>
    </w:pPr>
    <w:r>
      <w:t></w:t>
    </w:r>
    <w:r>
      <w:rPr>
        <w:rFonts w:hint="eastAsia"/>
      </w:rPr>
      <w:t xml:space="preserve">                                             </w:t>
    </w:r>
    <w:r>
      <w:rPr>
        <w:rFonts w:hint="eastAsia"/>
        <w:lang w:eastAsia="zh-CN"/>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1CA5">
    <w:pPr>
      <w:pStyle w:val="41"/>
      <w:jc w:val="right"/>
      <w:rPr>
        <w:sz w:val="21"/>
        <w:szCs w:val="21"/>
      </w:rPr>
    </w:pPr>
    <w:r>
      <w:rPr>
        <w:rFonts w:hint="eastAsia" w:ascii="宋体" w:hAnsi="宋体" w:eastAsia="宋体" w:cs="宋体"/>
        <w:sz w:val="21"/>
        <w:szCs w:val="21"/>
        <w:lang w:val="en-US" w:eastAsia="zh-CN"/>
      </w:rPr>
      <w:t>西湖区</w:t>
    </w:r>
    <w:r>
      <w:rPr>
        <w:rFonts w:hint="eastAsia" w:ascii="宋体" w:hAnsi="宋体" w:eastAsia="宋体" w:cs="宋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9788">
    <w:pPr>
      <w:pStyle w:val="41"/>
      <w:rPr>
        <w:rFonts w:ascii="仿宋_GB2312" w:eastAsia="仿宋_GB2312"/>
        <w:b/>
        <w:i/>
        <w:u w:val="single"/>
      </w:rPr>
    </w:pPr>
    <w:r>
      <w:t></w:t>
    </w:r>
    <w:r>
      <w:rPr>
        <w:rFonts w:hint="eastAsia"/>
      </w:rPr>
      <w:t xml:space="preserve">                                                  </w:t>
    </w:r>
    <w:r>
      <w:t xml:space="preserve">             </w:t>
    </w:r>
    <w:r>
      <w:rPr>
        <w:rFonts w:hint="eastAsia"/>
        <w:lang w:eastAsia="zh-CN"/>
      </w:rPr>
      <w:t>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6F3D">
    <w:pPr>
      <w:pStyle w:val="41"/>
      <w:jc w:val="right"/>
    </w:pPr>
    <w:r>
      <w:t></w:t>
    </w:r>
    <w:r>
      <w:rPr>
        <w:rFonts w:hint="eastAsia"/>
      </w:rPr>
      <w:t xml:space="preserve">  </w:t>
    </w:r>
    <w:r>
      <w:rPr>
        <w:rFonts w:hint="eastAsia"/>
        <w:lang w:eastAsia="zh-CN"/>
      </w:rPr>
      <w:t>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8EC5">
    <w:pPr>
      <w:pStyle w:val="41"/>
      <w:jc w:val="right"/>
      <w:rPr>
        <w:rFonts w:ascii="仿宋_GB2312"/>
        <w:b/>
        <w:i/>
        <w:u w:val="single"/>
      </w:rPr>
    </w:pPr>
    <w:r>
      <w:t></w:t>
    </w:r>
    <w:r>
      <w:rPr>
        <w:rFonts w:hint="eastAsia"/>
      </w:rPr>
      <w:t xml:space="preserve">                                               西湖区政府采购公开招标文件</w:t>
    </w:r>
  </w:p>
  <w:p w14:paraId="713C1EF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77E9">
    <w:pPr>
      <w:pStyle w:val="41"/>
      <w:jc w:val="both"/>
    </w:pPr>
    <w:r>
      <w:rPr>
        <w:rFonts w:hint="eastAsia"/>
      </w:rPr>
      <w:t xml:space="preserve">       </w:t>
    </w:r>
  </w:p>
  <w:p w14:paraId="0BED5145">
    <w:pPr>
      <w:pStyle w:val="41"/>
    </w:pPr>
    <w:r>
      <w:rPr>
        <w:rFonts w:hint="eastAsia"/>
      </w:rPr>
      <w:t xml:space="preserve">                                                                  西湖区政府采购公开招标文件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6CFE">
    <w:pPr>
      <w:pStyle w:val="41"/>
      <w:rPr>
        <w:rFonts w:ascii="仿宋_GB2312" w:eastAsia="仿宋_GB2312"/>
        <w:b/>
        <w:i/>
        <w:u w:val="single"/>
      </w:rPr>
    </w:pPr>
    <w:r>
      <w:t></w:t>
    </w:r>
    <w:r>
      <w:rPr>
        <w:rFonts w:hint="eastAsia"/>
      </w:rPr>
      <w:t xml:space="preserve">                                                  </w:t>
    </w:r>
    <w:r>
      <w:rPr>
        <w:rFonts w:hint="eastAsia"/>
        <w:lang w:eastAsia="zh-CN"/>
      </w:rPr>
      <w:t>西湖区</w:t>
    </w:r>
    <w:r>
      <w:t>政府采购公开招标文件</w:t>
    </w:r>
  </w:p>
  <w:p w14:paraId="3B985BC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68BD">
    <w:pPr>
      <w:pStyle w:val="41"/>
      <w:jc w:val="right"/>
    </w:pPr>
    <w:r>
      <w:t></w:t>
    </w:r>
    <w:r>
      <w:rPr>
        <w:rFonts w:hint="eastAsia"/>
      </w:rPr>
      <w:t xml:space="preserve">                 </w:t>
    </w:r>
    <w:r>
      <w:t xml:space="preserve">                                </w:t>
    </w:r>
    <w:r>
      <w:rPr>
        <w:rFonts w:hint="eastAsia"/>
      </w:rPr>
      <w:t xml:space="preserve">         </w:t>
    </w:r>
    <w:r>
      <w:rPr>
        <w:rFonts w:hint="eastAsia"/>
        <w:lang w:eastAsia="zh-CN"/>
      </w:rPr>
      <w:t>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6B23">
    <w:pPr>
      <w:pStyle w:val="41"/>
      <w:jc w:val="right"/>
      <w:rPr>
        <w:rFonts w:ascii="仿宋_GB2312" w:eastAsia="仿宋_GB2312"/>
        <w:b/>
        <w:i/>
        <w:u w:val="single"/>
      </w:rPr>
    </w:pPr>
    <w:r>
      <w:rPr>
        <w:rFonts w:hint="eastAsia"/>
      </w:rPr>
      <w:t xml:space="preserve">                                  </w:t>
    </w:r>
    <w:r>
      <w:rPr>
        <w:rFonts w:hint="eastAsia"/>
        <w:lang w:eastAsia="zh-CN"/>
      </w:rPr>
      <w:t>西湖区</w:t>
    </w:r>
    <w:r>
      <w:t>政府采购公开招标文件</w:t>
    </w:r>
  </w:p>
  <w:p w14:paraId="19542107">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63177"/>
    <w:multiLevelType w:val="singleLevel"/>
    <w:tmpl w:val="80D63177"/>
    <w:lvl w:ilvl="0" w:tentative="0">
      <w:start w:val="4"/>
      <w:numFmt w:val="decimal"/>
      <w:lvlText w:val="%1."/>
      <w:lvlJc w:val="left"/>
      <w:pPr>
        <w:tabs>
          <w:tab w:val="left" w:pos="312"/>
        </w:tabs>
      </w:pPr>
    </w:lvl>
  </w:abstractNum>
  <w:abstractNum w:abstractNumId="1">
    <w:nsid w:val="292A329A"/>
    <w:multiLevelType w:val="singleLevel"/>
    <w:tmpl w:val="292A329A"/>
    <w:lvl w:ilvl="0" w:tentative="0">
      <w:start w:val="1"/>
      <w:numFmt w:val="decimal"/>
      <w:suff w:val="space"/>
      <w:lvlText w:val="%1."/>
      <w:lvlJc w:val="left"/>
    </w:lvl>
  </w:abstractNum>
  <w:abstractNum w:abstractNumId="2">
    <w:nsid w:val="3FD22A3B"/>
    <w:multiLevelType w:val="multilevel"/>
    <w:tmpl w:val="3FD22A3B"/>
    <w:lvl w:ilvl="0" w:tentative="0">
      <w:start w:val="1"/>
      <w:numFmt w:val="decimal"/>
      <w:lvlText w:val="%1."/>
      <w:lvlJc w:val="left"/>
      <w:pPr>
        <w:ind w:left="0" w:firstLine="0"/>
      </w:pPr>
      <w:rPr>
        <w:rFonts w:hint="eastAsia"/>
      </w:rPr>
    </w:lvl>
    <w:lvl w:ilvl="1" w:tentative="0">
      <w:start w:val="0"/>
      <w:numFmt w:val="bullet"/>
      <w:lvlText w:val="★"/>
      <w:lvlJc w:val="left"/>
      <w:pPr>
        <w:ind w:left="780" w:hanging="360"/>
      </w:pPr>
      <w:rPr>
        <w:rFonts w:hint="eastAsia" w:ascii="仿宋_GB2312" w:hAnsi="等线" w:eastAsia="仿宋_GB2312"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597E89"/>
    <w:multiLevelType w:val="multilevel"/>
    <w:tmpl w:val="43597E89"/>
    <w:lvl w:ilvl="0" w:tentative="0">
      <w:start w:val="1"/>
      <w:numFmt w:val="decimal"/>
      <w:lvlText w:val="%1."/>
      <w:lvlJc w:val="left"/>
      <w:pPr>
        <w:ind w:left="0" w:firstLine="0"/>
      </w:pPr>
      <w:rPr>
        <w:rFonts w:hint="eastAsia"/>
      </w:rPr>
    </w:lvl>
    <w:lvl w:ilvl="1" w:tentative="0">
      <w:start w:val="0"/>
      <w:numFmt w:val="bullet"/>
      <w:lvlText w:val="★"/>
      <w:lvlJc w:val="left"/>
      <w:pPr>
        <w:ind w:left="780" w:hanging="360"/>
      </w:pPr>
      <w:rPr>
        <w:rFonts w:hint="eastAsia" w:ascii="仿宋_GB2312" w:hAnsi="等线" w:eastAsia="仿宋_GB2312"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21684A"/>
    <w:multiLevelType w:val="multilevel"/>
    <w:tmpl w:val="5321684A"/>
    <w:lvl w:ilvl="0" w:tentative="0">
      <w:start w:val="1"/>
      <w:numFmt w:val="decimal"/>
      <w:lvlText w:val="%1."/>
      <w:lvlJc w:val="left"/>
      <w:pPr>
        <w:ind w:left="0" w:firstLine="0"/>
      </w:pPr>
      <w:rPr>
        <w:rFonts w:hint="eastAsia"/>
      </w:rPr>
    </w:lvl>
    <w:lvl w:ilvl="1" w:tentative="0">
      <w:start w:val="0"/>
      <w:numFmt w:val="bullet"/>
      <w:lvlText w:val="★"/>
      <w:lvlJc w:val="left"/>
      <w:pPr>
        <w:ind w:left="780" w:hanging="360"/>
      </w:pPr>
      <w:rPr>
        <w:rFonts w:hint="eastAsia" w:ascii="仿宋_GB2312" w:hAnsi="等线" w:eastAsia="仿宋_GB2312"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2E0191"/>
    <w:multiLevelType w:val="multilevel"/>
    <w:tmpl w:val="732E0191"/>
    <w:lvl w:ilvl="0" w:tentative="0">
      <w:start w:val="1"/>
      <w:numFmt w:val="decimal"/>
      <w:lvlText w:val="%1."/>
      <w:lvlJc w:val="left"/>
      <w:pPr>
        <w:ind w:left="0" w:firstLine="0"/>
      </w:pPr>
      <w:rPr>
        <w:rFonts w:hint="eastAsia"/>
      </w:rPr>
    </w:lvl>
    <w:lvl w:ilvl="1" w:tentative="0">
      <w:start w:val="0"/>
      <w:numFmt w:val="bullet"/>
      <w:lvlText w:val="★"/>
      <w:lvlJc w:val="left"/>
      <w:pPr>
        <w:ind w:left="780" w:hanging="360"/>
      </w:pPr>
      <w:rPr>
        <w:rFonts w:hint="eastAsia" w:ascii="仿宋_GB2312" w:hAnsi="等线" w:eastAsia="仿宋_GB2312"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4528"/>
    <w:rsid w:val="010651D9"/>
    <w:rsid w:val="011F6449"/>
    <w:rsid w:val="01236AFB"/>
    <w:rsid w:val="0143304E"/>
    <w:rsid w:val="015F20FB"/>
    <w:rsid w:val="019175FE"/>
    <w:rsid w:val="019F7441"/>
    <w:rsid w:val="01B37585"/>
    <w:rsid w:val="01D55165"/>
    <w:rsid w:val="01DF6BF8"/>
    <w:rsid w:val="01E55BFE"/>
    <w:rsid w:val="01EC2C57"/>
    <w:rsid w:val="020A6B1D"/>
    <w:rsid w:val="025F0711"/>
    <w:rsid w:val="026B2E25"/>
    <w:rsid w:val="02824D4D"/>
    <w:rsid w:val="02D47285"/>
    <w:rsid w:val="02DC4B10"/>
    <w:rsid w:val="02DD76CE"/>
    <w:rsid w:val="02F36323"/>
    <w:rsid w:val="02F5619C"/>
    <w:rsid w:val="0326446A"/>
    <w:rsid w:val="032D5555"/>
    <w:rsid w:val="03577865"/>
    <w:rsid w:val="036634D2"/>
    <w:rsid w:val="03666B18"/>
    <w:rsid w:val="03DD35E4"/>
    <w:rsid w:val="04076900"/>
    <w:rsid w:val="041A5A3B"/>
    <w:rsid w:val="04222EE7"/>
    <w:rsid w:val="042311BA"/>
    <w:rsid w:val="042B157A"/>
    <w:rsid w:val="048F763B"/>
    <w:rsid w:val="049F330E"/>
    <w:rsid w:val="04AA775C"/>
    <w:rsid w:val="04AF1889"/>
    <w:rsid w:val="04ED7DD8"/>
    <w:rsid w:val="04F66F48"/>
    <w:rsid w:val="0519699F"/>
    <w:rsid w:val="05251E14"/>
    <w:rsid w:val="053026F6"/>
    <w:rsid w:val="05540FE2"/>
    <w:rsid w:val="05A16594"/>
    <w:rsid w:val="05A7762D"/>
    <w:rsid w:val="05D27176"/>
    <w:rsid w:val="060E5941"/>
    <w:rsid w:val="06110FAF"/>
    <w:rsid w:val="06130AF1"/>
    <w:rsid w:val="06493CA7"/>
    <w:rsid w:val="065A6178"/>
    <w:rsid w:val="066F1CF3"/>
    <w:rsid w:val="06744DCB"/>
    <w:rsid w:val="06930BB8"/>
    <w:rsid w:val="06C13B3D"/>
    <w:rsid w:val="06D1527D"/>
    <w:rsid w:val="07245D42"/>
    <w:rsid w:val="07264C62"/>
    <w:rsid w:val="075E0091"/>
    <w:rsid w:val="0779354C"/>
    <w:rsid w:val="07AC736B"/>
    <w:rsid w:val="08061376"/>
    <w:rsid w:val="08452D77"/>
    <w:rsid w:val="08564ED7"/>
    <w:rsid w:val="086401F8"/>
    <w:rsid w:val="08751CAA"/>
    <w:rsid w:val="087E4C40"/>
    <w:rsid w:val="087F6512"/>
    <w:rsid w:val="08A871D0"/>
    <w:rsid w:val="08D66AD6"/>
    <w:rsid w:val="08DA33A3"/>
    <w:rsid w:val="08DB7EA3"/>
    <w:rsid w:val="08E80F13"/>
    <w:rsid w:val="093213F4"/>
    <w:rsid w:val="09335624"/>
    <w:rsid w:val="0944690F"/>
    <w:rsid w:val="09535675"/>
    <w:rsid w:val="095F057D"/>
    <w:rsid w:val="09642282"/>
    <w:rsid w:val="09733572"/>
    <w:rsid w:val="09772C16"/>
    <w:rsid w:val="098353B5"/>
    <w:rsid w:val="09A92330"/>
    <w:rsid w:val="09B06B87"/>
    <w:rsid w:val="09B9223F"/>
    <w:rsid w:val="09C13146"/>
    <w:rsid w:val="09E04166"/>
    <w:rsid w:val="0A1C0718"/>
    <w:rsid w:val="0A1F7E0D"/>
    <w:rsid w:val="0A3E7710"/>
    <w:rsid w:val="0A4505E1"/>
    <w:rsid w:val="0A4571FF"/>
    <w:rsid w:val="0A5B7E63"/>
    <w:rsid w:val="0A6509D8"/>
    <w:rsid w:val="0AA374A5"/>
    <w:rsid w:val="0AA81B54"/>
    <w:rsid w:val="0AAB7649"/>
    <w:rsid w:val="0ABC5606"/>
    <w:rsid w:val="0B30404E"/>
    <w:rsid w:val="0B4C6C14"/>
    <w:rsid w:val="0B547599"/>
    <w:rsid w:val="0B631A88"/>
    <w:rsid w:val="0B683D45"/>
    <w:rsid w:val="0B7F3F11"/>
    <w:rsid w:val="0B884417"/>
    <w:rsid w:val="0BCB0FBA"/>
    <w:rsid w:val="0BF6188C"/>
    <w:rsid w:val="0BF73C91"/>
    <w:rsid w:val="0C170175"/>
    <w:rsid w:val="0C571A41"/>
    <w:rsid w:val="0C5C1171"/>
    <w:rsid w:val="0C5E1CBC"/>
    <w:rsid w:val="0C615B50"/>
    <w:rsid w:val="0C736AE0"/>
    <w:rsid w:val="0C8445DA"/>
    <w:rsid w:val="0C87121B"/>
    <w:rsid w:val="0CC007F7"/>
    <w:rsid w:val="0CC617AC"/>
    <w:rsid w:val="0CD56644"/>
    <w:rsid w:val="0CE618DF"/>
    <w:rsid w:val="0CFE707A"/>
    <w:rsid w:val="0D063BDA"/>
    <w:rsid w:val="0D08375F"/>
    <w:rsid w:val="0D08595F"/>
    <w:rsid w:val="0D184CFB"/>
    <w:rsid w:val="0D4A7419"/>
    <w:rsid w:val="0D827401"/>
    <w:rsid w:val="0D84094E"/>
    <w:rsid w:val="0D8A00E9"/>
    <w:rsid w:val="0D8D589E"/>
    <w:rsid w:val="0DA01C73"/>
    <w:rsid w:val="0DD63300"/>
    <w:rsid w:val="0DF50604"/>
    <w:rsid w:val="0DF702FE"/>
    <w:rsid w:val="0E060E51"/>
    <w:rsid w:val="0E5604B2"/>
    <w:rsid w:val="0E5C2424"/>
    <w:rsid w:val="0E6D5D79"/>
    <w:rsid w:val="0E9D0089"/>
    <w:rsid w:val="0EAE3545"/>
    <w:rsid w:val="0EB803EE"/>
    <w:rsid w:val="0EBD11A5"/>
    <w:rsid w:val="0EF94D4B"/>
    <w:rsid w:val="0F4958DC"/>
    <w:rsid w:val="0F515DF7"/>
    <w:rsid w:val="0F596BA8"/>
    <w:rsid w:val="0F6248D2"/>
    <w:rsid w:val="0F693536"/>
    <w:rsid w:val="0F7B0511"/>
    <w:rsid w:val="0F7B76D9"/>
    <w:rsid w:val="0F816ACD"/>
    <w:rsid w:val="0F9832DB"/>
    <w:rsid w:val="0FBF3FD2"/>
    <w:rsid w:val="0FBF7FF3"/>
    <w:rsid w:val="105120CC"/>
    <w:rsid w:val="10646583"/>
    <w:rsid w:val="107D4B15"/>
    <w:rsid w:val="108A3C80"/>
    <w:rsid w:val="10C26171"/>
    <w:rsid w:val="10C659A7"/>
    <w:rsid w:val="10F33360"/>
    <w:rsid w:val="10FC16EA"/>
    <w:rsid w:val="110F1D40"/>
    <w:rsid w:val="11266F33"/>
    <w:rsid w:val="117D0473"/>
    <w:rsid w:val="118963A1"/>
    <w:rsid w:val="11917F2C"/>
    <w:rsid w:val="11B04EDA"/>
    <w:rsid w:val="11C6522A"/>
    <w:rsid w:val="11E104CC"/>
    <w:rsid w:val="11E20309"/>
    <w:rsid w:val="11EC3A38"/>
    <w:rsid w:val="12255233"/>
    <w:rsid w:val="12530213"/>
    <w:rsid w:val="12647A72"/>
    <w:rsid w:val="127723A9"/>
    <w:rsid w:val="12783358"/>
    <w:rsid w:val="12862074"/>
    <w:rsid w:val="12883966"/>
    <w:rsid w:val="129E45B4"/>
    <w:rsid w:val="12B0506E"/>
    <w:rsid w:val="12D81596"/>
    <w:rsid w:val="13072A44"/>
    <w:rsid w:val="1338504A"/>
    <w:rsid w:val="135F4BE2"/>
    <w:rsid w:val="139B1A0A"/>
    <w:rsid w:val="139D25C7"/>
    <w:rsid w:val="13BF3CE4"/>
    <w:rsid w:val="141008D8"/>
    <w:rsid w:val="14125FE6"/>
    <w:rsid w:val="146D271E"/>
    <w:rsid w:val="147541B9"/>
    <w:rsid w:val="14982588"/>
    <w:rsid w:val="149A5AD9"/>
    <w:rsid w:val="14A7619D"/>
    <w:rsid w:val="14D40EDF"/>
    <w:rsid w:val="150536C3"/>
    <w:rsid w:val="150C1963"/>
    <w:rsid w:val="151447A0"/>
    <w:rsid w:val="1542409B"/>
    <w:rsid w:val="154500D1"/>
    <w:rsid w:val="154A6454"/>
    <w:rsid w:val="15762120"/>
    <w:rsid w:val="15842387"/>
    <w:rsid w:val="15FF65ED"/>
    <w:rsid w:val="16A8729C"/>
    <w:rsid w:val="16B24B67"/>
    <w:rsid w:val="16B33777"/>
    <w:rsid w:val="16BC70A7"/>
    <w:rsid w:val="16C3681E"/>
    <w:rsid w:val="16C6339E"/>
    <w:rsid w:val="16F13FCB"/>
    <w:rsid w:val="171E77F9"/>
    <w:rsid w:val="172F2D79"/>
    <w:rsid w:val="17557BEF"/>
    <w:rsid w:val="17D349C1"/>
    <w:rsid w:val="18163ABC"/>
    <w:rsid w:val="1830729E"/>
    <w:rsid w:val="1870062C"/>
    <w:rsid w:val="18817102"/>
    <w:rsid w:val="18830A15"/>
    <w:rsid w:val="18852B28"/>
    <w:rsid w:val="188B5321"/>
    <w:rsid w:val="18A30B8F"/>
    <w:rsid w:val="18AD1223"/>
    <w:rsid w:val="18DC773F"/>
    <w:rsid w:val="191E4F54"/>
    <w:rsid w:val="196B7D23"/>
    <w:rsid w:val="197D2608"/>
    <w:rsid w:val="19932372"/>
    <w:rsid w:val="19960E59"/>
    <w:rsid w:val="19A20DD5"/>
    <w:rsid w:val="19AE03F1"/>
    <w:rsid w:val="19C05ED6"/>
    <w:rsid w:val="19FB6F0E"/>
    <w:rsid w:val="1A071A03"/>
    <w:rsid w:val="1A1F16AE"/>
    <w:rsid w:val="1A3B5C77"/>
    <w:rsid w:val="1A5B79AD"/>
    <w:rsid w:val="1A984BAD"/>
    <w:rsid w:val="1AA8465F"/>
    <w:rsid w:val="1AB8220E"/>
    <w:rsid w:val="1AC24A97"/>
    <w:rsid w:val="1AE257AE"/>
    <w:rsid w:val="1AE4166C"/>
    <w:rsid w:val="1AF06CFB"/>
    <w:rsid w:val="1AF11B8D"/>
    <w:rsid w:val="1B11359C"/>
    <w:rsid w:val="1B2A271F"/>
    <w:rsid w:val="1B530544"/>
    <w:rsid w:val="1B713184"/>
    <w:rsid w:val="1B7A731F"/>
    <w:rsid w:val="1BA209CF"/>
    <w:rsid w:val="1BB4777D"/>
    <w:rsid w:val="1BB75728"/>
    <w:rsid w:val="1BD75AB8"/>
    <w:rsid w:val="1C0459C2"/>
    <w:rsid w:val="1C1B3B4A"/>
    <w:rsid w:val="1C2245B4"/>
    <w:rsid w:val="1C346708"/>
    <w:rsid w:val="1C556DAA"/>
    <w:rsid w:val="1C88086E"/>
    <w:rsid w:val="1C9870A9"/>
    <w:rsid w:val="1D266CE1"/>
    <w:rsid w:val="1D2F273E"/>
    <w:rsid w:val="1D3963AF"/>
    <w:rsid w:val="1D6A673C"/>
    <w:rsid w:val="1D85546D"/>
    <w:rsid w:val="1D9247AE"/>
    <w:rsid w:val="1DB567EC"/>
    <w:rsid w:val="1DF51A98"/>
    <w:rsid w:val="1E0D5462"/>
    <w:rsid w:val="1E3D060F"/>
    <w:rsid w:val="1E3F7D2E"/>
    <w:rsid w:val="1E4134E4"/>
    <w:rsid w:val="1E5062B3"/>
    <w:rsid w:val="1E523514"/>
    <w:rsid w:val="1E714A66"/>
    <w:rsid w:val="1E7319D1"/>
    <w:rsid w:val="1E802593"/>
    <w:rsid w:val="1E8B6156"/>
    <w:rsid w:val="1E9B07CA"/>
    <w:rsid w:val="1EA703CC"/>
    <w:rsid w:val="1EB7330C"/>
    <w:rsid w:val="1F0A0FF3"/>
    <w:rsid w:val="1F17155B"/>
    <w:rsid w:val="1F2B4B73"/>
    <w:rsid w:val="1F32070F"/>
    <w:rsid w:val="1F364815"/>
    <w:rsid w:val="1F4537D4"/>
    <w:rsid w:val="1F4629DA"/>
    <w:rsid w:val="1F5771FF"/>
    <w:rsid w:val="1FE868A9"/>
    <w:rsid w:val="1FFB1397"/>
    <w:rsid w:val="20034907"/>
    <w:rsid w:val="20173E4B"/>
    <w:rsid w:val="204E48BC"/>
    <w:rsid w:val="205A2622"/>
    <w:rsid w:val="206162AC"/>
    <w:rsid w:val="208921B3"/>
    <w:rsid w:val="20973DEB"/>
    <w:rsid w:val="20B26522"/>
    <w:rsid w:val="20B44310"/>
    <w:rsid w:val="20C31B46"/>
    <w:rsid w:val="20CA3197"/>
    <w:rsid w:val="20F26836"/>
    <w:rsid w:val="211116EB"/>
    <w:rsid w:val="215A3C51"/>
    <w:rsid w:val="216133FC"/>
    <w:rsid w:val="21634B87"/>
    <w:rsid w:val="21D56769"/>
    <w:rsid w:val="21E52EF3"/>
    <w:rsid w:val="21F9431A"/>
    <w:rsid w:val="21FB5D7B"/>
    <w:rsid w:val="22015E94"/>
    <w:rsid w:val="220B1C3D"/>
    <w:rsid w:val="221D1D20"/>
    <w:rsid w:val="221D1F36"/>
    <w:rsid w:val="22334A87"/>
    <w:rsid w:val="22AB7CC8"/>
    <w:rsid w:val="22BE6801"/>
    <w:rsid w:val="23307C29"/>
    <w:rsid w:val="233500BF"/>
    <w:rsid w:val="23377FF7"/>
    <w:rsid w:val="235F2FFB"/>
    <w:rsid w:val="236B425F"/>
    <w:rsid w:val="23836192"/>
    <w:rsid w:val="23901F29"/>
    <w:rsid w:val="239C0061"/>
    <w:rsid w:val="23B908A4"/>
    <w:rsid w:val="23E02C1F"/>
    <w:rsid w:val="23E367B8"/>
    <w:rsid w:val="23E95BEF"/>
    <w:rsid w:val="23FD0064"/>
    <w:rsid w:val="24131E7D"/>
    <w:rsid w:val="245375B0"/>
    <w:rsid w:val="24642C0A"/>
    <w:rsid w:val="24A21ADF"/>
    <w:rsid w:val="24B22173"/>
    <w:rsid w:val="24B95AD9"/>
    <w:rsid w:val="24BC729A"/>
    <w:rsid w:val="24BE24DA"/>
    <w:rsid w:val="24CF5825"/>
    <w:rsid w:val="24D663E6"/>
    <w:rsid w:val="24D77F2B"/>
    <w:rsid w:val="25007ACF"/>
    <w:rsid w:val="258B00E2"/>
    <w:rsid w:val="259C397C"/>
    <w:rsid w:val="25A917A6"/>
    <w:rsid w:val="25B032A3"/>
    <w:rsid w:val="25BE27CC"/>
    <w:rsid w:val="25F74A5C"/>
    <w:rsid w:val="2628662C"/>
    <w:rsid w:val="262D45DE"/>
    <w:rsid w:val="264E1102"/>
    <w:rsid w:val="26871DC8"/>
    <w:rsid w:val="26A53EF9"/>
    <w:rsid w:val="26A94201"/>
    <w:rsid w:val="26AC274F"/>
    <w:rsid w:val="26C3139C"/>
    <w:rsid w:val="26C63310"/>
    <w:rsid w:val="26D76657"/>
    <w:rsid w:val="27044A29"/>
    <w:rsid w:val="271D34C8"/>
    <w:rsid w:val="272A5D90"/>
    <w:rsid w:val="276142BF"/>
    <w:rsid w:val="27783712"/>
    <w:rsid w:val="27871DE1"/>
    <w:rsid w:val="27907362"/>
    <w:rsid w:val="279347B2"/>
    <w:rsid w:val="28100029"/>
    <w:rsid w:val="28333E1D"/>
    <w:rsid w:val="28454BD6"/>
    <w:rsid w:val="28455253"/>
    <w:rsid w:val="28551971"/>
    <w:rsid w:val="285B1C53"/>
    <w:rsid w:val="287721E8"/>
    <w:rsid w:val="287B192C"/>
    <w:rsid w:val="288077D2"/>
    <w:rsid w:val="289F7086"/>
    <w:rsid w:val="28C32028"/>
    <w:rsid w:val="28CC490F"/>
    <w:rsid w:val="28DE40AA"/>
    <w:rsid w:val="29345E77"/>
    <w:rsid w:val="294C65AD"/>
    <w:rsid w:val="29641694"/>
    <w:rsid w:val="29806583"/>
    <w:rsid w:val="298B3C4C"/>
    <w:rsid w:val="29F26D24"/>
    <w:rsid w:val="2A15033F"/>
    <w:rsid w:val="2A1662C1"/>
    <w:rsid w:val="2A1C7367"/>
    <w:rsid w:val="2A2815FA"/>
    <w:rsid w:val="2A4E733E"/>
    <w:rsid w:val="2A6D6092"/>
    <w:rsid w:val="2A7D76B4"/>
    <w:rsid w:val="2AB54EB7"/>
    <w:rsid w:val="2B325DAE"/>
    <w:rsid w:val="2B437463"/>
    <w:rsid w:val="2B7807EE"/>
    <w:rsid w:val="2B960569"/>
    <w:rsid w:val="2BA47F56"/>
    <w:rsid w:val="2BA50BF7"/>
    <w:rsid w:val="2BB872A8"/>
    <w:rsid w:val="2BBF00EC"/>
    <w:rsid w:val="2BC171FE"/>
    <w:rsid w:val="2BC37CFD"/>
    <w:rsid w:val="2BD5237F"/>
    <w:rsid w:val="2BE536CE"/>
    <w:rsid w:val="2BE758D9"/>
    <w:rsid w:val="2C066CFF"/>
    <w:rsid w:val="2C09049E"/>
    <w:rsid w:val="2C0A653C"/>
    <w:rsid w:val="2C191F85"/>
    <w:rsid w:val="2C1F33CD"/>
    <w:rsid w:val="2C666469"/>
    <w:rsid w:val="2CAD5E46"/>
    <w:rsid w:val="2CE81574"/>
    <w:rsid w:val="2CE82D6F"/>
    <w:rsid w:val="2D343236"/>
    <w:rsid w:val="2DD15014"/>
    <w:rsid w:val="2DF72DE4"/>
    <w:rsid w:val="2E0220AF"/>
    <w:rsid w:val="2E4B082A"/>
    <w:rsid w:val="2E5D4E86"/>
    <w:rsid w:val="2E5D790B"/>
    <w:rsid w:val="2E951288"/>
    <w:rsid w:val="2E9A3C18"/>
    <w:rsid w:val="2EBB0FEE"/>
    <w:rsid w:val="2EC63002"/>
    <w:rsid w:val="2F0A6B38"/>
    <w:rsid w:val="2F0D332E"/>
    <w:rsid w:val="2F7F6ADC"/>
    <w:rsid w:val="2F946CCB"/>
    <w:rsid w:val="2FD25781"/>
    <w:rsid w:val="2FDC745C"/>
    <w:rsid w:val="2FFD7934"/>
    <w:rsid w:val="30244583"/>
    <w:rsid w:val="3054441E"/>
    <w:rsid w:val="30703D5A"/>
    <w:rsid w:val="30733ACD"/>
    <w:rsid w:val="30752C5C"/>
    <w:rsid w:val="308C3862"/>
    <w:rsid w:val="308C7030"/>
    <w:rsid w:val="309379D8"/>
    <w:rsid w:val="30A270F7"/>
    <w:rsid w:val="30DF1478"/>
    <w:rsid w:val="30EC586F"/>
    <w:rsid w:val="30F86454"/>
    <w:rsid w:val="319C6071"/>
    <w:rsid w:val="31AC537E"/>
    <w:rsid w:val="31E3679B"/>
    <w:rsid w:val="31E732FD"/>
    <w:rsid w:val="32002EBC"/>
    <w:rsid w:val="32300F6F"/>
    <w:rsid w:val="32517576"/>
    <w:rsid w:val="32530D4D"/>
    <w:rsid w:val="32902492"/>
    <w:rsid w:val="32BE5C2C"/>
    <w:rsid w:val="32D36A47"/>
    <w:rsid w:val="32FB6478"/>
    <w:rsid w:val="33093CCD"/>
    <w:rsid w:val="33263B3F"/>
    <w:rsid w:val="3334147D"/>
    <w:rsid w:val="336963EB"/>
    <w:rsid w:val="33816EEB"/>
    <w:rsid w:val="33CA1BD7"/>
    <w:rsid w:val="33E505BB"/>
    <w:rsid w:val="33E571B5"/>
    <w:rsid w:val="33EB55CD"/>
    <w:rsid w:val="33EC4C02"/>
    <w:rsid w:val="33EF042B"/>
    <w:rsid w:val="340D2360"/>
    <w:rsid w:val="3410665D"/>
    <w:rsid w:val="34211214"/>
    <w:rsid w:val="342E63AB"/>
    <w:rsid w:val="34312604"/>
    <w:rsid w:val="34950E68"/>
    <w:rsid w:val="34986E94"/>
    <w:rsid w:val="34AF62C9"/>
    <w:rsid w:val="34CB4388"/>
    <w:rsid w:val="34FA6E12"/>
    <w:rsid w:val="35096A2F"/>
    <w:rsid w:val="35422FA1"/>
    <w:rsid w:val="354D7158"/>
    <w:rsid w:val="358D5588"/>
    <w:rsid w:val="363A3B40"/>
    <w:rsid w:val="365302AE"/>
    <w:rsid w:val="36607A0A"/>
    <w:rsid w:val="366E227C"/>
    <w:rsid w:val="366F2E0D"/>
    <w:rsid w:val="367B6A5C"/>
    <w:rsid w:val="36A74ADA"/>
    <w:rsid w:val="36AD60D5"/>
    <w:rsid w:val="36B224F9"/>
    <w:rsid w:val="36E37343"/>
    <w:rsid w:val="36EC0CC9"/>
    <w:rsid w:val="37265173"/>
    <w:rsid w:val="373F410B"/>
    <w:rsid w:val="37441A9D"/>
    <w:rsid w:val="379225B7"/>
    <w:rsid w:val="37ED5AF6"/>
    <w:rsid w:val="37EE7094"/>
    <w:rsid w:val="381F79FE"/>
    <w:rsid w:val="38296C89"/>
    <w:rsid w:val="383002EB"/>
    <w:rsid w:val="38586797"/>
    <w:rsid w:val="38746E9D"/>
    <w:rsid w:val="38BC0149"/>
    <w:rsid w:val="38CF183A"/>
    <w:rsid w:val="38D87D1C"/>
    <w:rsid w:val="38E62A4F"/>
    <w:rsid w:val="39263A21"/>
    <w:rsid w:val="39636459"/>
    <w:rsid w:val="396B7F6C"/>
    <w:rsid w:val="39AB5E03"/>
    <w:rsid w:val="39B417A9"/>
    <w:rsid w:val="39C30864"/>
    <w:rsid w:val="39D1447A"/>
    <w:rsid w:val="39FC5695"/>
    <w:rsid w:val="3A006D8E"/>
    <w:rsid w:val="3A3651E5"/>
    <w:rsid w:val="3A740E5B"/>
    <w:rsid w:val="3A744481"/>
    <w:rsid w:val="3A8C7BEF"/>
    <w:rsid w:val="3A906246"/>
    <w:rsid w:val="3AD82C28"/>
    <w:rsid w:val="3B2349B7"/>
    <w:rsid w:val="3B616CFF"/>
    <w:rsid w:val="3B6259F6"/>
    <w:rsid w:val="3B8C414B"/>
    <w:rsid w:val="3B976654"/>
    <w:rsid w:val="3BC01EFC"/>
    <w:rsid w:val="3BC211E2"/>
    <w:rsid w:val="3BCA786A"/>
    <w:rsid w:val="3BD31E2F"/>
    <w:rsid w:val="3BF15831"/>
    <w:rsid w:val="3C105946"/>
    <w:rsid w:val="3C471448"/>
    <w:rsid w:val="3C5F759A"/>
    <w:rsid w:val="3C6C525A"/>
    <w:rsid w:val="3C8A7746"/>
    <w:rsid w:val="3CAF5805"/>
    <w:rsid w:val="3CCE23CB"/>
    <w:rsid w:val="3CD17D17"/>
    <w:rsid w:val="3D30107F"/>
    <w:rsid w:val="3D314871"/>
    <w:rsid w:val="3D3C7F39"/>
    <w:rsid w:val="3D440F09"/>
    <w:rsid w:val="3D4504A0"/>
    <w:rsid w:val="3D8734BB"/>
    <w:rsid w:val="3D9A11D4"/>
    <w:rsid w:val="3DA16D89"/>
    <w:rsid w:val="3DA364BE"/>
    <w:rsid w:val="3DE041CB"/>
    <w:rsid w:val="3E001957"/>
    <w:rsid w:val="3E0D48F6"/>
    <w:rsid w:val="3E173A67"/>
    <w:rsid w:val="3E1868B4"/>
    <w:rsid w:val="3E274DA6"/>
    <w:rsid w:val="3E377251"/>
    <w:rsid w:val="3E42664B"/>
    <w:rsid w:val="3E4548C1"/>
    <w:rsid w:val="3E560051"/>
    <w:rsid w:val="3E5A7334"/>
    <w:rsid w:val="3E7B5D6B"/>
    <w:rsid w:val="3E843E66"/>
    <w:rsid w:val="3E8F51FE"/>
    <w:rsid w:val="3E926F87"/>
    <w:rsid w:val="3E9A59DE"/>
    <w:rsid w:val="3EA03A5D"/>
    <w:rsid w:val="3EAF4836"/>
    <w:rsid w:val="3EC33DFA"/>
    <w:rsid w:val="3F060E16"/>
    <w:rsid w:val="3F1D1096"/>
    <w:rsid w:val="3F2F0234"/>
    <w:rsid w:val="3F6363FE"/>
    <w:rsid w:val="3F756B8F"/>
    <w:rsid w:val="3F95482B"/>
    <w:rsid w:val="3FF35E0E"/>
    <w:rsid w:val="4019356B"/>
    <w:rsid w:val="403703F1"/>
    <w:rsid w:val="40592157"/>
    <w:rsid w:val="406C50BA"/>
    <w:rsid w:val="406E1CAE"/>
    <w:rsid w:val="40A0133A"/>
    <w:rsid w:val="40C31A53"/>
    <w:rsid w:val="40F15913"/>
    <w:rsid w:val="40FF545D"/>
    <w:rsid w:val="410067C8"/>
    <w:rsid w:val="418F0D2A"/>
    <w:rsid w:val="41A87EF3"/>
    <w:rsid w:val="41AA30AC"/>
    <w:rsid w:val="41AA691B"/>
    <w:rsid w:val="41D01505"/>
    <w:rsid w:val="42210D36"/>
    <w:rsid w:val="42474939"/>
    <w:rsid w:val="424C3C57"/>
    <w:rsid w:val="42613FF3"/>
    <w:rsid w:val="42660D96"/>
    <w:rsid w:val="428667D2"/>
    <w:rsid w:val="42CD1CE0"/>
    <w:rsid w:val="42E1381E"/>
    <w:rsid w:val="42ED6459"/>
    <w:rsid w:val="42FE58DD"/>
    <w:rsid w:val="43174B3D"/>
    <w:rsid w:val="4337290D"/>
    <w:rsid w:val="434B790E"/>
    <w:rsid w:val="435F626A"/>
    <w:rsid w:val="4360274F"/>
    <w:rsid w:val="43977AB6"/>
    <w:rsid w:val="43A3342B"/>
    <w:rsid w:val="43C77C27"/>
    <w:rsid w:val="43CB76FE"/>
    <w:rsid w:val="43DE09EE"/>
    <w:rsid w:val="44002FAD"/>
    <w:rsid w:val="44134CD1"/>
    <w:rsid w:val="44501D0B"/>
    <w:rsid w:val="449101DD"/>
    <w:rsid w:val="44A65E6D"/>
    <w:rsid w:val="44B9224F"/>
    <w:rsid w:val="44DE1391"/>
    <w:rsid w:val="451B225C"/>
    <w:rsid w:val="452410C9"/>
    <w:rsid w:val="45317DFB"/>
    <w:rsid w:val="456D3CE4"/>
    <w:rsid w:val="4579042C"/>
    <w:rsid w:val="457F0571"/>
    <w:rsid w:val="45851176"/>
    <w:rsid w:val="45C63B94"/>
    <w:rsid w:val="45D5174C"/>
    <w:rsid w:val="45F10866"/>
    <w:rsid w:val="460E7DA5"/>
    <w:rsid w:val="46422483"/>
    <w:rsid w:val="46431858"/>
    <w:rsid w:val="4659254A"/>
    <w:rsid w:val="465B0637"/>
    <w:rsid w:val="465E3F0D"/>
    <w:rsid w:val="466A16E6"/>
    <w:rsid w:val="46893F2B"/>
    <w:rsid w:val="46903892"/>
    <w:rsid w:val="46C4686E"/>
    <w:rsid w:val="475A2C17"/>
    <w:rsid w:val="477B778F"/>
    <w:rsid w:val="478203EC"/>
    <w:rsid w:val="47B025FA"/>
    <w:rsid w:val="47E63584"/>
    <w:rsid w:val="4809698F"/>
    <w:rsid w:val="4811697D"/>
    <w:rsid w:val="48420A48"/>
    <w:rsid w:val="487A3E25"/>
    <w:rsid w:val="488B5503"/>
    <w:rsid w:val="48937E21"/>
    <w:rsid w:val="489A0361"/>
    <w:rsid w:val="48B94FF3"/>
    <w:rsid w:val="48E37AAB"/>
    <w:rsid w:val="48FD4B4C"/>
    <w:rsid w:val="49022B51"/>
    <w:rsid w:val="490A68E0"/>
    <w:rsid w:val="491055FE"/>
    <w:rsid w:val="495F5B3E"/>
    <w:rsid w:val="496F77D7"/>
    <w:rsid w:val="497654FD"/>
    <w:rsid w:val="49B64211"/>
    <w:rsid w:val="49F6167F"/>
    <w:rsid w:val="4A064FA0"/>
    <w:rsid w:val="4A16615C"/>
    <w:rsid w:val="4A4424D7"/>
    <w:rsid w:val="4A93291B"/>
    <w:rsid w:val="4AB82D0F"/>
    <w:rsid w:val="4ABA6703"/>
    <w:rsid w:val="4AEB7664"/>
    <w:rsid w:val="4AF65903"/>
    <w:rsid w:val="4AFD7C19"/>
    <w:rsid w:val="4B0567D1"/>
    <w:rsid w:val="4B236AAE"/>
    <w:rsid w:val="4B707271"/>
    <w:rsid w:val="4B9739F7"/>
    <w:rsid w:val="4BD74D40"/>
    <w:rsid w:val="4BE441DF"/>
    <w:rsid w:val="4BEE2503"/>
    <w:rsid w:val="4BF228BF"/>
    <w:rsid w:val="4C245A30"/>
    <w:rsid w:val="4C61212F"/>
    <w:rsid w:val="4CB6685F"/>
    <w:rsid w:val="4CC367FE"/>
    <w:rsid w:val="4CEB57C1"/>
    <w:rsid w:val="4D077F3C"/>
    <w:rsid w:val="4D123355"/>
    <w:rsid w:val="4D2A3B31"/>
    <w:rsid w:val="4D312C52"/>
    <w:rsid w:val="4D796C24"/>
    <w:rsid w:val="4D905305"/>
    <w:rsid w:val="4D964A72"/>
    <w:rsid w:val="4D9C1254"/>
    <w:rsid w:val="4E793892"/>
    <w:rsid w:val="4E800872"/>
    <w:rsid w:val="4E8D7161"/>
    <w:rsid w:val="4EC569ED"/>
    <w:rsid w:val="4ED50EA1"/>
    <w:rsid w:val="4EEC050C"/>
    <w:rsid w:val="4F104EC3"/>
    <w:rsid w:val="4F47354A"/>
    <w:rsid w:val="4F6E677A"/>
    <w:rsid w:val="4F911C54"/>
    <w:rsid w:val="4FE625E0"/>
    <w:rsid w:val="5021480F"/>
    <w:rsid w:val="508D243C"/>
    <w:rsid w:val="50962ECB"/>
    <w:rsid w:val="50A42E38"/>
    <w:rsid w:val="50A4577F"/>
    <w:rsid w:val="50B73D1F"/>
    <w:rsid w:val="50BD5BC9"/>
    <w:rsid w:val="50C11EEE"/>
    <w:rsid w:val="50C20F8E"/>
    <w:rsid w:val="50E97CFC"/>
    <w:rsid w:val="50FA4028"/>
    <w:rsid w:val="510119F8"/>
    <w:rsid w:val="510D65B7"/>
    <w:rsid w:val="511157AB"/>
    <w:rsid w:val="513714F7"/>
    <w:rsid w:val="5142540C"/>
    <w:rsid w:val="517F39A6"/>
    <w:rsid w:val="518832C8"/>
    <w:rsid w:val="51971C1E"/>
    <w:rsid w:val="51990788"/>
    <w:rsid w:val="519D3C50"/>
    <w:rsid w:val="51A0432A"/>
    <w:rsid w:val="51A86090"/>
    <w:rsid w:val="51B7396D"/>
    <w:rsid w:val="51BC5C5D"/>
    <w:rsid w:val="522E4CC3"/>
    <w:rsid w:val="5244713B"/>
    <w:rsid w:val="52615633"/>
    <w:rsid w:val="526F4DE4"/>
    <w:rsid w:val="52977FD4"/>
    <w:rsid w:val="52A25790"/>
    <w:rsid w:val="52A96B6F"/>
    <w:rsid w:val="52B45975"/>
    <w:rsid w:val="52D94AA4"/>
    <w:rsid w:val="52EA3A62"/>
    <w:rsid w:val="52F50BB8"/>
    <w:rsid w:val="53097272"/>
    <w:rsid w:val="53544462"/>
    <w:rsid w:val="538B6520"/>
    <w:rsid w:val="5397158E"/>
    <w:rsid w:val="54013861"/>
    <w:rsid w:val="541C372E"/>
    <w:rsid w:val="54487265"/>
    <w:rsid w:val="544D6070"/>
    <w:rsid w:val="54605E1E"/>
    <w:rsid w:val="546B2042"/>
    <w:rsid w:val="547D5954"/>
    <w:rsid w:val="54B3506A"/>
    <w:rsid w:val="54CA0D16"/>
    <w:rsid w:val="54DD4057"/>
    <w:rsid w:val="54E7490F"/>
    <w:rsid w:val="550764A4"/>
    <w:rsid w:val="550B2BF6"/>
    <w:rsid w:val="55214EB5"/>
    <w:rsid w:val="55364EFD"/>
    <w:rsid w:val="555D4828"/>
    <w:rsid w:val="556E3867"/>
    <w:rsid w:val="55721D26"/>
    <w:rsid w:val="557A4C8B"/>
    <w:rsid w:val="558931E1"/>
    <w:rsid w:val="55923347"/>
    <w:rsid w:val="55925180"/>
    <w:rsid w:val="55983B1B"/>
    <w:rsid w:val="55A8376B"/>
    <w:rsid w:val="55DC29B6"/>
    <w:rsid w:val="55DD4241"/>
    <w:rsid w:val="566B6D1E"/>
    <w:rsid w:val="56921A85"/>
    <w:rsid w:val="57032A2C"/>
    <w:rsid w:val="570F5219"/>
    <w:rsid w:val="57177031"/>
    <w:rsid w:val="575D12B5"/>
    <w:rsid w:val="57610A87"/>
    <w:rsid w:val="577B1140"/>
    <w:rsid w:val="577B7F21"/>
    <w:rsid w:val="577F181B"/>
    <w:rsid w:val="57903AA7"/>
    <w:rsid w:val="57921984"/>
    <w:rsid w:val="579737F0"/>
    <w:rsid w:val="57AB7B30"/>
    <w:rsid w:val="57AF5251"/>
    <w:rsid w:val="57B26373"/>
    <w:rsid w:val="57B63F04"/>
    <w:rsid w:val="57CD20C2"/>
    <w:rsid w:val="57D675AB"/>
    <w:rsid w:val="57D95FDD"/>
    <w:rsid w:val="58130B05"/>
    <w:rsid w:val="582B03E3"/>
    <w:rsid w:val="58917D2F"/>
    <w:rsid w:val="5894085C"/>
    <w:rsid w:val="58AE4F0C"/>
    <w:rsid w:val="58B52773"/>
    <w:rsid w:val="58B85899"/>
    <w:rsid w:val="58E363A9"/>
    <w:rsid w:val="595E1678"/>
    <w:rsid w:val="596D5BD4"/>
    <w:rsid w:val="597E3DD8"/>
    <w:rsid w:val="59E75EE1"/>
    <w:rsid w:val="59F80043"/>
    <w:rsid w:val="5A09252F"/>
    <w:rsid w:val="5A0B2778"/>
    <w:rsid w:val="5A2A7C7B"/>
    <w:rsid w:val="5A3E2560"/>
    <w:rsid w:val="5A5D3B6E"/>
    <w:rsid w:val="5A637A76"/>
    <w:rsid w:val="5A6D33BA"/>
    <w:rsid w:val="5A792B1F"/>
    <w:rsid w:val="5A874767"/>
    <w:rsid w:val="5AA85BE2"/>
    <w:rsid w:val="5AAD6F28"/>
    <w:rsid w:val="5AB41185"/>
    <w:rsid w:val="5AD63A24"/>
    <w:rsid w:val="5B2E1A1D"/>
    <w:rsid w:val="5B843A1C"/>
    <w:rsid w:val="5B873E3F"/>
    <w:rsid w:val="5BDB6621"/>
    <w:rsid w:val="5C02690E"/>
    <w:rsid w:val="5C196DA7"/>
    <w:rsid w:val="5C1D6DB7"/>
    <w:rsid w:val="5C2A048C"/>
    <w:rsid w:val="5C80234E"/>
    <w:rsid w:val="5C8A680C"/>
    <w:rsid w:val="5D0C4701"/>
    <w:rsid w:val="5D0F0395"/>
    <w:rsid w:val="5D1F7DEB"/>
    <w:rsid w:val="5D221076"/>
    <w:rsid w:val="5D397964"/>
    <w:rsid w:val="5D5A391C"/>
    <w:rsid w:val="5D5C0FB3"/>
    <w:rsid w:val="5D5F10C0"/>
    <w:rsid w:val="5D6972B8"/>
    <w:rsid w:val="5D891B7B"/>
    <w:rsid w:val="5D8D5986"/>
    <w:rsid w:val="5DAD38EE"/>
    <w:rsid w:val="5E006862"/>
    <w:rsid w:val="5E0207B9"/>
    <w:rsid w:val="5E1834A1"/>
    <w:rsid w:val="5E261785"/>
    <w:rsid w:val="5E443FAD"/>
    <w:rsid w:val="5E4A7017"/>
    <w:rsid w:val="5E552BBA"/>
    <w:rsid w:val="5E611C10"/>
    <w:rsid w:val="5E7A0F3F"/>
    <w:rsid w:val="5E8B5B9B"/>
    <w:rsid w:val="5EB904CA"/>
    <w:rsid w:val="5EDE6438"/>
    <w:rsid w:val="5EFC7377"/>
    <w:rsid w:val="5F06174D"/>
    <w:rsid w:val="5F3A3602"/>
    <w:rsid w:val="5F45733B"/>
    <w:rsid w:val="5F6277C6"/>
    <w:rsid w:val="5F6D0B1D"/>
    <w:rsid w:val="5F79358C"/>
    <w:rsid w:val="5F7D5FFF"/>
    <w:rsid w:val="5F8D0B82"/>
    <w:rsid w:val="5FCB6008"/>
    <w:rsid w:val="5FCC5339"/>
    <w:rsid w:val="5FE34A5B"/>
    <w:rsid w:val="5FFE1E36"/>
    <w:rsid w:val="60232584"/>
    <w:rsid w:val="607330CE"/>
    <w:rsid w:val="60825176"/>
    <w:rsid w:val="609014D8"/>
    <w:rsid w:val="609F2AC4"/>
    <w:rsid w:val="60FA2EE8"/>
    <w:rsid w:val="61054A27"/>
    <w:rsid w:val="610A52BC"/>
    <w:rsid w:val="61121C1F"/>
    <w:rsid w:val="611D2366"/>
    <w:rsid w:val="6135328B"/>
    <w:rsid w:val="61421856"/>
    <w:rsid w:val="615227C4"/>
    <w:rsid w:val="61654E3F"/>
    <w:rsid w:val="6182292A"/>
    <w:rsid w:val="619F7F92"/>
    <w:rsid w:val="61F94C26"/>
    <w:rsid w:val="62000E56"/>
    <w:rsid w:val="624F3E49"/>
    <w:rsid w:val="6250080D"/>
    <w:rsid w:val="62632286"/>
    <w:rsid w:val="62885958"/>
    <w:rsid w:val="62A44442"/>
    <w:rsid w:val="62F40B65"/>
    <w:rsid w:val="62FC2CFE"/>
    <w:rsid w:val="63024505"/>
    <w:rsid w:val="630B44AB"/>
    <w:rsid w:val="635600A5"/>
    <w:rsid w:val="635B1DB5"/>
    <w:rsid w:val="63711FED"/>
    <w:rsid w:val="63880DDC"/>
    <w:rsid w:val="638D750D"/>
    <w:rsid w:val="63AC6CC0"/>
    <w:rsid w:val="63D1390B"/>
    <w:rsid w:val="64055776"/>
    <w:rsid w:val="64240056"/>
    <w:rsid w:val="643E143A"/>
    <w:rsid w:val="64491666"/>
    <w:rsid w:val="646627A3"/>
    <w:rsid w:val="646E06AF"/>
    <w:rsid w:val="648B6EEF"/>
    <w:rsid w:val="64C158BF"/>
    <w:rsid w:val="64CE2EAA"/>
    <w:rsid w:val="65060BC9"/>
    <w:rsid w:val="653C3090"/>
    <w:rsid w:val="657F7DDE"/>
    <w:rsid w:val="65854376"/>
    <w:rsid w:val="658767BE"/>
    <w:rsid w:val="65892531"/>
    <w:rsid w:val="65DB39F2"/>
    <w:rsid w:val="661563F5"/>
    <w:rsid w:val="66195831"/>
    <w:rsid w:val="662E75B1"/>
    <w:rsid w:val="66342C2E"/>
    <w:rsid w:val="663E784C"/>
    <w:rsid w:val="668B6A45"/>
    <w:rsid w:val="67284557"/>
    <w:rsid w:val="672F3F24"/>
    <w:rsid w:val="673E055F"/>
    <w:rsid w:val="67544B35"/>
    <w:rsid w:val="67551CE3"/>
    <w:rsid w:val="675E13B5"/>
    <w:rsid w:val="67A22552"/>
    <w:rsid w:val="67B22DCC"/>
    <w:rsid w:val="67BE71AA"/>
    <w:rsid w:val="67D90273"/>
    <w:rsid w:val="67DE5875"/>
    <w:rsid w:val="67E55852"/>
    <w:rsid w:val="67EB1AB4"/>
    <w:rsid w:val="67FA1285"/>
    <w:rsid w:val="684A75E9"/>
    <w:rsid w:val="68551F4F"/>
    <w:rsid w:val="687C10C9"/>
    <w:rsid w:val="68840C16"/>
    <w:rsid w:val="68876EFB"/>
    <w:rsid w:val="68884654"/>
    <w:rsid w:val="689F444F"/>
    <w:rsid w:val="68B96DBB"/>
    <w:rsid w:val="68CA2805"/>
    <w:rsid w:val="68E937A3"/>
    <w:rsid w:val="68F14C3B"/>
    <w:rsid w:val="692F0345"/>
    <w:rsid w:val="693E15D3"/>
    <w:rsid w:val="694A760F"/>
    <w:rsid w:val="69627681"/>
    <w:rsid w:val="6977531D"/>
    <w:rsid w:val="69CC2BFF"/>
    <w:rsid w:val="69FD55B8"/>
    <w:rsid w:val="6A0B1C62"/>
    <w:rsid w:val="6A2406C8"/>
    <w:rsid w:val="6ADE0BD1"/>
    <w:rsid w:val="6AE96859"/>
    <w:rsid w:val="6B147746"/>
    <w:rsid w:val="6B1F4979"/>
    <w:rsid w:val="6B24787C"/>
    <w:rsid w:val="6B573233"/>
    <w:rsid w:val="6B5B6274"/>
    <w:rsid w:val="6B935D53"/>
    <w:rsid w:val="6C196F71"/>
    <w:rsid w:val="6C226FCB"/>
    <w:rsid w:val="6C31226F"/>
    <w:rsid w:val="6C343518"/>
    <w:rsid w:val="6C552F0B"/>
    <w:rsid w:val="6C8C67B7"/>
    <w:rsid w:val="6C8E2897"/>
    <w:rsid w:val="6C9D744C"/>
    <w:rsid w:val="6CDD254A"/>
    <w:rsid w:val="6D08749C"/>
    <w:rsid w:val="6D167928"/>
    <w:rsid w:val="6D26299B"/>
    <w:rsid w:val="6D4511BA"/>
    <w:rsid w:val="6D4772EC"/>
    <w:rsid w:val="6D5D358C"/>
    <w:rsid w:val="6D5F1819"/>
    <w:rsid w:val="6D9078AF"/>
    <w:rsid w:val="6DAA3FEF"/>
    <w:rsid w:val="6DC0172B"/>
    <w:rsid w:val="6DCB690C"/>
    <w:rsid w:val="6DD41A5B"/>
    <w:rsid w:val="6DF434EA"/>
    <w:rsid w:val="6DF43C2E"/>
    <w:rsid w:val="6DF51CA3"/>
    <w:rsid w:val="6E8335BD"/>
    <w:rsid w:val="6E8E12EF"/>
    <w:rsid w:val="6E972936"/>
    <w:rsid w:val="6E9A7FAF"/>
    <w:rsid w:val="6ED446C5"/>
    <w:rsid w:val="6F2A7D94"/>
    <w:rsid w:val="6F8331F1"/>
    <w:rsid w:val="6F885A6B"/>
    <w:rsid w:val="6FAE1A09"/>
    <w:rsid w:val="6FD75BF8"/>
    <w:rsid w:val="6FFE6FA9"/>
    <w:rsid w:val="705C7988"/>
    <w:rsid w:val="705D339C"/>
    <w:rsid w:val="707723D0"/>
    <w:rsid w:val="70B463CF"/>
    <w:rsid w:val="70CE3514"/>
    <w:rsid w:val="70F5661B"/>
    <w:rsid w:val="71103A6D"/>
    <w:rsid w:val="71153CBF"/>
    <w:rsid w:val="71360107"/>
    <w:rsid w:val="713B688E"/>
    <w:rsid w:val="71D43752"/>
    <w:rsid w:val="71F1796A"/>
    <w:rsid w:val="720415D3"/>
    <w:rsid w:val="72154626"/>
    <w:rsid w:val="72227D09"/>
    <w:rsid w:val="72262B5D"/>
    <w:rsid w:val="72283FF7"/>
    <w:rsid w:val="722E7212"/>
    <w:rsid w:val="723A0474"/>
    <w:rsid w:val="725923E4"/>
    <w:rsid w:val="72640322"/>
    <w:rsid w:val="72864BF7"/>
    <w:rsid w:val="729023FC"/>
    <w:rsid w:val="72A23199"/>
    <w:rsid w:val="733F26AF"/>
    <w:rsid w:val="73634D2E"/>
    <w:rsid w:val="738D348E"/>
    <w:rsid w:val="73AD7AA7"/>
    <w:rsid w:val="73C0646E"/>
    <w:rsid w:val="73FA770C"/>
    <w:rsid w:val="742222F5"/>
    <w:rsid w:val="742C4E6F"/>
    <w:rsid w:val="74476126"/>
    <w:rsid w:val="744E2745"/>
    <w:rsid w:val="74630832"/>
    <w:rsid w:val="74706664"/>
    <w:rsid w:val="747F3682"/>
    <w:rsid w:val="749C4185"/>
    <w:rsid w:val="74B17A6A"/>
    <w:rsid w:val="75067759"/>
    <w:rsid w:val="752E6DCD"/>
    <w:rsid w:val="7551380D"/>
    <w:rsid w:val="75600BE5"/>
    <w:rsid w:val="7564475C"/>
    <w:rsid w:val="7583797F"/>
    <w:rsid w:val="759C6025"/>
    <w:rsid w:val="75A47E64"/>
    <w:rsid w:val="75D20F1D"/>
    <w:rsid w:val="75DA2C18"/>
    <w:rsid w:val="75F54412"/>
    <w:rsid w:val="761D08E0"/>
    <w:rsid w:val="765D347C"/>
    <w:rsid w:val="76826699"/>
    <w:rsid w:val="76A70579"/>
    <w:rsid w:val="76C87133"/>
    <w:rsid w:val="76CD08D5"/>
    <w:rsid w:val="76DB4B92"/>
    <w:rsid w:val="76E7660B"/>
    <w:rsid w:val="77052AA4"/>
    <w:rsid w:val="77136511"/>
    <w:rsid w:val="77164FD3"/>
    <w:rsid w:val="77340A39"/>
    <w:rsid w:val="77351FD0"/>
    <w:rsid w:val="77472422"/>
    <w:rsid w:val="776035B6"/>
    <w:rsid w:val="777F31F2"/>
    <w:rsid w:val="77C17FBA"/>
    <w:rsid w:val="77D1700D"/>
    <w:rsid w:val="77DC4DFE"/>
    <w:rsid w:val="77EC04CC"/>
    <w:rsid w:val="78775729"/>
    <w:rsid w:val="78A42DB0"/>
    <w:rsid w:val="78A656AB"/>
    <w:rsid w:val="78B2245C"/>
    <w:rsid w:val="78E172CC"/>
    <w:rsid w:val="78EA1D1F"/>
    <w:rsid w:val="7904172F"/>
    <w:rsid w:val="790F7E27"/>
    <w:rsid w:val="79261D71"/>
    <w:rsid w:val="792A231A"/>
    <w:rsid w:val="79316829"/>
    <w:rsid w:val="7956383F"/>
    <w:rsid w:val="797E66A9"/>
    <w:rsid w:val="798518A4"/>
    <w:rsid w:val="79A36162"/>
    <w:rsid w:val="79A97383"/>
    <w:rsid w:val="79E27E8B"/>
    <w:rsid w:val="79F850CE"/>
    <w:rsid w:val="79FD443C"/>
    <w:rsid w:val="7A1D1975"/>
    <w:rsid w:val="7A281F9B"/>
    <w:rsid w:val="7A322ADF"/>
    <w:rsid w:val="7A3E5150"/>
    <w:rsid w:val="7A4670D6"/>
    <w:rsid w:val="7A534B63"/>
    <w:rsid w:val="7A615382"/>
    <w:rsid w:val="7A67303B"/>
    <w:rsid w:val="7AAB1D04"/>
    <w:rsid w:val="7AB3673E"/>
    <w:rsid w:val="7ABA4368"/>
    <w:rsid w:val="7AD05746"/>
    <w:rsid w:val="7B257FFD"/>
    <w:rsid w:val="7B343476"/>
    <w:rsid w:val="7B5A2978"/>
    <w:rsid w:val="7B5A7E4C"/>
    <w:rsid w:val="7B667AF9"/>
    <w:rsid w:val="7B7468F8"/>
    <w:rsid w:val="7B754DD7"/>
    <w:rsid w:val="7BEE0103"/>
    <w:rsid w:val="7C0A0FE4"/>
    <w:rsid w:val="7C254906"/>
    <w:rsid w:val="7C31692C"/>
    <w:rsid w:val="7C590818"/>
    <w:rsid w:val="7C7C10F6"/>
    <w:rsid w:val="7C853BEA"/>
    <w:rsid w:val="7C881368"/>
    <w:rsid w:val="7CE27788"/>
    <w:rsid w:val="7D0C32F1"/>
    <w:rsid w:val="7D0F408D"/>
    <w:rsid w:val="7D12583B"/>
    <w:rsid w:val="7D1868D9"/>
    <w:rsid w:val="7D491C6C"/>
    <w:rsid w:val="7D5429C0"/>
    <w:rsid w:val="7D6E6D43"/>
    <w:rsid w:val="7DB4654D"/>
    <w:rsid w:val="7DB57A34"/>
    <w:rsid w:val="7DE60973"/>
    <w:rsid w:val="7DEF0916"/>
    <w:rsid w:val="7E1E5218"/>
    <w:rsid w:val="7E2B263C"/>
    <w:rsid w:val="7E9A4E1F"/>
    <w:rsid w:val="7EA06A5B"/>
    <w:rsid w:val="7EA64701"/>
    <w:rsid w:val="7EA7723A"/>
    <w:rsid w:val="7EC34424"/>
    <w:rsid w:val="7EF56FBB"/>
    <w:rsid w:val="7F0768EB"/>
    <w:rsid w:val="7F143BEC"/>
    <w:rsid w:val="7F2A644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toa heading"/>
    <w:basedOn w:val="1"/>
    <w:next w:val="1"/>
    <w:semiHidden/>
    <w:qFormat/>
    <w:uiPriority w:val="0"/>
    <w:pPr>
      <w:spacing w:before="120"/>
    </w:pPr>
    <w:rPr>
      <w:rFonts w:ascii="Arial" w:hAnsi="Arial"/>
      <w:b/>
      <w:bCs/>
    </w:r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next w:val="1"/>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0"/>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qFormat/>
    <w:uiPriority w:val="0"/>
    <w:rPr>
      <w:rFonts w:ascii="宋体" w:hAnsi="宋体" w:eastAsia="宋体" w:cs="Times New Roman"/>
      <w:sz w:val="24"/>
      <w:szCs w:val="22"/>
      <w:lang w:val="zh-CN"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A_正文_注释"/>
    <w:basedOn w:val="1"/>
    <w:qFormat/>
    <w:uiPriority w:val="0"/>
    <w:pPr>
      <w:tabs>
        <w:tab w:val="left" w:pos="1547"/>
      </w:tabs>
      <w:ind w:firstLine="600"/>
    </w:pPr>
    <w:rPr>
      <w:rFonts w:ascii="Times New Roman" w:hAnsi="Times New Roman" w:eastAsia="仿宋"/>
      <w:color w:val="0070C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CAA66-CAB7-478F-A9A2-724D7B7DBAE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43167</Words>
  <Characters>45759</Characters>
  <Lines>460</Lines>
  <Paragraphs>129</Paragraphs>
  <TotalTime>45</TotalTime>
  <ScaleCrop>false</ScaleCrop>
  <LinksUpToDate>false</LinksUpToDate>
  <CharactersWithSpaces>51418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2023-02-09T06:36:00Z</dcterms:created>
  <dc:creator>玥</dc:creator>
  <cp:lastModifiedBy>蒋晓峥</cp:lastModifiedBy>
  <cp:lastPrinted>2025-01-27T02:28:00Z</cp:lastPrinted>
  <dcterms:modified xsi:type="dcterms:W3CDTF">2025-02-06T06:26:05Z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13477E7656274FCA941722B06E2178B8_13</vt:lpwstr>
  </property>
</Properties>
</file>