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2024年杭州市翠苑中学信息化设备（二期）改造项目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XHZFCG-2024-G-45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cs="宋体" w:asciiTheme="minorEastAsia" w:hAnsiTheme="minorEastAsia" w:eastAsiaTheme="minorEastAsia"/>
          <w:bCs/>
          <w:sz w:val="32"/>
          <w:szCs w:val="32"/>
          <w:highlight w:val="none"/>
          <w:lang w:val="en-US" w:eastAsia="zh-CN"/>
        </w:rPr>
      </w:pPr>
      <w:r>
        <w:rPr>
          <w:rFonts w:hint="eastAsia" w:cs="宋体" w:asciiTheme="minorEastAsia" w:hAnsiTheme="minorEastAsia" w:eastAsiaTheme="minorEastAsia"/>
          <w:bCs/>
          <w:sz w:val="32"/>
          <w:szCs w:val="32"/>
          <w:highlight w:val="none"/>
          <w:lang w:val="en-US" w:eastAsia="zh-CN"/>
        </w:rPr>
        <w:t>杭州市翠苑中学</w:t>
      </w:r>
    </w:p>
    <w:p>
      <w:pPr>
        <w:spacing w:line="360" w:lineRule="auto"/>
        <w:jc w:val="center"/>
      </w:pPr>
      <w:r>
        <w:rPr>
          <w:rFonts w:hint="eastAsia" w:cs="宋体" w:asciiTheme="minorEastAsia" w:hAnsiTheme="minorEastAsia" w:eastAsiaTheme="minorEastAsia"/>
          <w:bCs/>
          <w:sz w:val="32"/>
          <w:szCs w:val="32"/>
        </w:rPr>
        <w:t>杭州市西湖区政府采购中心</w:t>
      </w:r>
    </w:p>
    <w:p>
      <w:pPr>
        <w:spacing w:line="360" w:lineRule="auto"/>
        <w:jc w:val="center"/>
        <w:rPr>
          <w:rFonts w:hint="eastAsia"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四</w:t>
      </w:r>
      <w:r>
        <w:rPr>
          <w:rFonts w:hint="eastAsia" w:cs="宋体" w:asciiTheme="minorEastAsia" w:hAnsiTheme="minorEastAsia" w:eastAsiaTheme="minorEastAsia"/>
          <w:bCs/>
          <w:sz w:val="32"/>
          <w:szCs w:val="32"/>
          <w:highlight w:val="none"/>
        </w:rPr>
        <w:t>年</w:t>
      </w:r>
      <w:r>
        <w:rPr>
          <w:rFonts w:hint="eastAsia" w:cs="宋体" w:asciiTheme="minorEastAsia" w:hAnsiTheme="minorEastAsia" w:eastAsiaTheme="minorEastAsia"/>
          <w:bCs/>
          <w:sz w:val="32"/>
          <w:szCs w:val="32"/>
          <w:highlight w:val="none"/>
          <w:lang w:val="en-US" w:eastAsia="zh-CN"/>
        </w:rPr>
        <w:t>八</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val="en-US" w:eastAsia="zh-CN"/>
        </w:rPr>
        <w:t>五</w:t>
      </w:r>
      <w:r>
        <w:rPr>
          <w:rFonts w:hint="eastAsia" w:cs="宋体" w:asciiTheme="minorEastAsia" w:hAnsiTheme="minorEastAsia" w:eastAsiaTheme="minorEastAsia"/>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cs="仿宋_GB2312" w:asciiTheme="minorEastAsia" w:hAnsiTheme="minorEastAsia" w:eastAsiaTheme="minorEastAsia"/>
          <w:sz w:val="24"/>
          <w:u w:val="single"/>
          <w:lang w:eastAsia="zh-CN"/>
        </w:rPr>
        <w:t>2024年杭州市翠苑中学信息化设备（二期）改造项目</w:t>
      </w:r>
      <w:r>
        <w:rPr>
          <w:rFonts w:hint="eastAsia" w:asciiTheme="minorEastAsia" w:hAnsiTheme="minorEastAsia" w:eastAsiaTheme="minorEastAsia"/>
          <w:sz w:val="24"/>
        </w:rPr>
        <w:t>招标项目的潜在投标人应在政采云平台（</w:t>
      </w:r>
      <w:r>
        <w:rPr>
          <w:highlight w:val="none"/>
        </w:rPr>
        <w:fldChar w:fldCharType="begin"/>
      </w:r>
      <w:r>
        <w:rPr>
          <w:highlight w:val="none"/>
        </w:rPr>
        <w:instrText xml:space="preserve"> HYPERLINK "https://www.zcygov.cn/）获取（下载）招标文件，并于2023年%20月%20日%20点%20分00秒"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lang w:eastAsia="zh-CN"/>
        </w:rPr>
        <w:t>2024</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8</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26</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XHZFCG-2024-G-45</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2024年杭州市翠苑中学信息化设备（二期）改造项目</w:t>
      </w:r>
    </w:p>
    <w:p>
      <w:pPr>
        <w:spacing w:line="360" w:lineRule="auto"/>
        <w:rPr>
          <w:rFonts w:hint="default" w:ascii="宋体" w:hAnsi="宋体" w:cs="宋体"/>
          <w:sz w:val="24"/>
          <w:highlight w:val="none"/>
          <w:lang w:val="en-US"/>
        </w:rPr>
      </w:pPr>
      <w:r>
        <w:rPr>
          <w:rFonts w:hint="eastAsia" w:ascii="宋体" w:hAnsi="宋体" w:cs="宋体"/>
          <w:sz w:val="24"/>
          <w:highlight w:val="none"/>
        </w:rPr>
        <w:t xml:space="preserve"> </w:t>
      </w:r>
      <w:r>
        <w:rPr>
          <w:rFonts w:hint="eastAsia" w:ascii="宋体" w:hAnsi="宋体" w:cs="宋体"/>
          <w:b/>
          <w:bCs/>
          <w:sz w:val="24"/>
          <w:highlight w:val="none"/>
        </w:rPr>
        <w:t xml:space="preserve">   预算金额（元）：</w:t>
      </w:r>
      <w:r>
        <w:rPr>
          <w:rFonts w:hint="eastAsia" w:ascii="宋体" w:hAnsi="宋体" w:cs="宋体"/>
          <w:b/>
          <w:bCs/>
          <w:sz w:val="24"/>
          <w:highlight w:val="none"/>
          <w:lang w:val="en-US" w:eastAsia="zh-CN"/>
        </w:rPr>
        <w:t>800000.00</w:t>
      </w:r>
    </w:p>
    <w:p>
      <w:pPr>
        <w:spacing w:line="360" w:lineRule="auto"/>
        <w:ind w:firstLine="482" w:firstLineChars="200"/>
        <w:rPr>
          <w:highlight w:val="none"/>
          <w:lang w:val="en-US"/>
        </w:rPr>
      </w:pPr>
      <w:r>
        <w:rPr>
          <w:rFonts w:hint="eastAsia" w:ascii="宋体" w:hAnsi="宋体" w:cs="宋体"/>
          <w:b/>
          <w:sz w:val="24"/>
          <w:highlight w:val="none"/>
        </w:rPr>
        <w:t>最高限价（元）：</w:t>
      </w:r>
      <w:r>
        <w:rPr>
          <w:rFonts w:hint="eastAsia" w:ascii="宋体" w:hAnsi="宋体" w:cs="宋体"/>
          <w:b/>
          <w:bCs/>
          <w:sz w:val="24"/>
          <w:highlight w:val="none"/>
          <w:lang w:val="en-US" w:eastAsia="zh-CN"/>
        </w:rPr>
        <w:t>800000.00</w:t>
      </w:r>
      <w:r>
        <w:rPr>
          <w:rFonts w:ascii="宋体" w:hAnsi="宋体" w:cs="宋体"/>
          <w:sz w:val="24"/>
          <w:highlight w:val="none"/>
          <w:lang w:val="en-US"/>
        </w:rPr>
        <w:t xml:space="preserve">         </w:t>
      </w:r>
    </w:p>
    <w:p>
      <w:pPr>
        <w:pStyle w:val="17"/>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2024年杭州市翠苑中学信息化设备（二期）改造项目</w:t>
      </w:r>
      <w:r>
        <w:rPr>
          <w:rFonts w:hint="eastAsia" w:hAnsi="宋体" w:cs="宋体"/>
          <w:bCs/>
          <w:snapToGrid/>
          <w:color w:val="auto"/>
          <w:kern w:val="2"/>
          <w:sz w:val="24"/>
          <w:szCs w:val="24"/>
          <w:highlight w:val="none"/>
        </w:rPr>
        <w:t>，</w:t>
      </w:r>
      <w:r>
        <w:rPr>
          <w:rFonts w:hint="eastAsia" w:hAnsi="宋体"/>
          <w:sz w:val="24"/>
          <w:highlight w:val="none"/>
        </w:rPr>
        <w:t>主要内容包括</w:t>
      </w:r>
      <w:r>
        <w:rPr>
          <w:rFonts w:hint="eastAsia" w:hAnsi="宋体"/>
          <w:sz w:val="24"/>
          <w:highlight w:val="none"/>
          <w:lang w:eastAsia="zh-CN"/>
        </w:rPr>
        <w:t>：</w:t>
      </w:r>
      <w:r>
        <w:rPr>
          <w:rFonts w:hint="eastAsia" w:hAnsi="宋体" w:cs="宋体"/>
          <w:bCs/>
          <w:snapToGrid/>
          <w:color w:val="auto"/>
          <w:kern w:val="2"/>
          <w:sz w:val="24"/>
          <w:szCs w:val="24"/>
        </w:rPr>
        <w:t>防火墙、</w:t>
      </w:r>
      <w:r>
        <w:rPr>
          <w:rFonts w:hint="eastAsia" w:hAnsi="宋体" w:cs="宋体"/>
          <w:bCs/>
          <w:snapToGrid/>
          <w:color w:val="auto"/>
          <w:kern w:val="2"/>
          <w:sz w:val="24"/>
          <w:szCs w:val="24"/>
          <w:lang w:val="en-US" w:eastAsia="zh-CN"/>
        </w:rPr>
        <w:t>上网</w:t>
      </w:r>
      <w:r>
        <w:rPr>
          <w:rFonts w:hint="eastAsia" w:hAnsi="宋体" w:cs="宋体"/>
          <w:bCs/>
          <w:snapToGrid/>
          <w:color w:val="auto"/>
          <w:kern w:val="2"/>
          <w:sz w:val="24"/>
          <w:szCs w:val="24"/>
        </w:rPr>
        <w:t>行为管理的续保和升级服务、核心交换机1台，管理与认证准入1</w:t>
      </w:r>
      <w:r>
        <w:rPr>
          <w:rFonts w:hint="eastAsia" w:hAnsi="宋体" w:cs="宋体"/>
          <w:bCs/>
          <w:snapToGrid/>
          <w:color w:val="auto"/>
          <w:kern w:val="2"/>
          <w:sz w:val="24"/>
          <w:szCs w:val="24"/>
          <w:lang w:val="en-US" w:eastAsia="zh-CN"/>
        </w:rPr>
        <w:t>套</w:t>
      </w:r>
      <w:r>
        <w:rPr>
          <w:rFonts w:hint="eastAsia" w:hAnsi="宋体" w:cs="宋体"/>
          <w:bCs/>
          <w:snapToGrid/>
          <w:color w:val="auto"/>
          <w:kern w:val="2"/>
          <w:sz w:val="24"/>
          <w:szCs w:val="24"/>
        </w:rPr>
        <w:t>，无线管理授权1套，面板AP30台，放装AP100台，高密AP8台，室外</w:t>
      </w:r>
      <w:r>
        <w:rPr>
          <w:rFonts w:hint="eastAsia" w:hAnsi="宋体" w:cs="宋体"/>
          <w:bCs/>
          <w:snapToGrid/>
          <w:color w:val="auto"/>
          <w:kern w:val="2"/>
          <w:sz w:val="24"/>
          <w:szCs w:val="24"/>
          <w:lang w:val="en-US" w:eastAsia="zh-CN"/>
        </w:rPr>
        <w:t>定向</w:t>
      </w:r>
      <w:r>
        <w:rPr>
          <w:rFonts w:hint="eastAsia" w:hAnsi="宋体" w:cs="宋体"/>
          <w:bCs/>
          <w:snapToGrid/>
          <w:color w:val="auto"/>
          <w:kern w:val="2"/>
          <w:sz w:val="24"/>
          <w:szCs w:val="24"/>
        </w:rPr>
        <w:t>AP10台，24口万兆汇聚交换机1台，24口POE交换机（万兆上行）7台，48口交换机（万兆上行）1台，24口交换机（万兆上行）</w:t>
      </w:r>
      <w:r>
        <w:rPr>
          <w:rFonts w:hint="eastAsia" w:hAnsi="宋体" w:cs="宋体"/>
          <w:bCs/>
          <w:snapToGrid/>
          <w:color w:val="auto"/>
          <w:kern w:val="2"/>
          <w:sz w:val="24"/>
          <w:szCs w:val="24"/>
          <w:highlight w:val="none"/>
          <w:lang w:val="en-US" w:eastAsia="zh-CN"/>
        </w:rPr>
        <w:t>1</w:t>
      </w:r>
      <w:r>
        <w:rPr>
          <w:rFonts w:hint="eastAsia" w:hAnsi="宋体" w:cs="宋体"/>
          <w:bCs/>
          <w:snapToGrid/>
          <w:color w:val="auto"/>
          <w:kern w:val="2"/>
          <w:sz w:val="24"/>
          <w:szCs w:val="24"/>
        </w:rPr>
        <w:t>台，</w:t>
      </w:r>
      <w:r>
        <w:rPr>
          <w:rFonts w:hint="eastAsia" w:hAnsi="宋体" w:cs="宋体"/>
          <w:bCs/>
          <w:snapToGrid/>
          <w:color w:val="auto"/>
          <w:kern w:val="2"/>
          <w:sz w:val="24"/>
          <w:szCs w:val="24"/>
          <w:highlight w:val="none"/>
        </w:rPr>
        <w:t>8口POE交换机5台，</w:t>
      </w:r>
      <w:r>
        <w:rPr>
          <w:rFonts w:hint="eastAsia" w:hAnsi="宋体" w:cs="宋体"/>
          <w:bCs/>
          <w:snapToGrid/>
          <w:color w:val="auto"/>
          <w:kern w:val="2"/>
          <w:sz w:val="24"/>
          <w:szCs w:val="24"/>
        </w:rPr>
        <w:t>万兆单模光模块32个，无线运维1套，交换机管理图形化展示机1套，日志管理分析系统1套，新老机房故障无缝迁移系统1项，内网流量分析机1套，网络配置自动备份系统1</w:t>
      </w:r>
      <w:r>
        <w:rPr>
          <w:rFonts w:hint="eastAsia" w:hAnsi="宋体" w:cs="宋体"/>
          <w:bCs/>
          <w:snapToGrid/>
          <w:color w:val="auto"/>
          <w:kern w:val="2"/>
          <w:sz w:val="24"/>
          <w:szCs w:val="24"/>
          <w:lang w:val="en-US" w:eastAsia="zh-CN"/>
        </w:rPr>
        <w:t>套</w:t>
      </w:r>
      <w:r>
        <w:rPr>
          <w:rFonts w:hint="eastAsia" w:hAnsi="宋体" w:cs="宋体"/>
          <w:bCs/>
          <w:snapToGrid/>
          <w:color w:val="auto"/>
          <w:kern w:val="2"/>
          <w:sz w:val="24"/>
          <w:szCs w:val="24"/>
        </w:rPr>
        <w:t>，信息化安全漏洞扫描1套</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墙柜5台，标准机柜1台，加深机柜1台，UPS主机1台</w:t>
      </w:r>
      <w:r>
        <w:rPr>
          <w:rFonts w:hint="eastAsia" w:hAnsi="宋体" w:cs="宋体"/>
          <w:bCs/>
          <w:snapToGrid/>
          <w:color w:val="auto"/>
          <w:kern w:val="2"/>
          <w:sz w:val="24"/>
          <w:szCs w:val="24"/>
          <w:lang w:val="en-US" w:eastAsia="zh-CN"/>
        </w:rPr>
        <w:t>及配套辅材</w:t>
      </w:r>
      <w:r>
        <w:rPr>
          <w:rFonts w:hint="eastAsia" w:hAnsi="宋体" w:cs="宋体"/>
          <w:bCs/>
          <w:snapToGrid/>
          <w:color w:val="auto"/>
          <w:kern w:val="2"/>
          <w:sz w:val="24"/>
          <w:szCs w:val="24"/>
        </w:rPr>
        <w:t>等。</w:t>
      </w:r>
      <w:r>
        <w:rPr>
          <w:rFonts w:hAnsi="宋体" w:cs="宋体"/>
          <w:bCs/>
          <w:snapToGrid/>
          <w:color w:val="auto"/>
          <w:kern w:val="2"/>
          <w:sz w:val="24"/>
          <w:szCs w:val="24"/>
        </w:rPr>
        <w:t>具体包括设备供货、整体安装调试、集成、试运行、验收与相关的操作培训及不少于3年（含）7×24小时免费设备保修和售后现场技术服务等内容，质保期间每年提供定期巡检和重大活动保障服务。</w:t>
      </w:r>
      <w:r>
        <w:rPr>
          <w:rFonts w:hint="eastAsia" w:hAnsi="宋体" w:cs="宋体"/>
          <w:bCs/>
          <w:snapToGrid/>
          <w:color w:val="auto"/>
          <w:kern w:val="2"/>
          <w:sz w:val="24"/>
          <w:szCs w:val="24"/>
        </w:rPr>
        <w:t>具体以招标文件第三部分采购需求为准，供应商可</w:t>
      </w:r>
      <w:r>
        <w:rPr>
          <w:rFonts w:hint="eastAsia" w:asciiTheme="minorEastAsia" w:hAnsiTheme="minorEastAsia" w:eastAsiaTheme="minorEastAsia"/>
          <w:snapToGrid/>
          <w:color w:val="auto"/>
          <w:kern w:val="2"/>
          <w:sz w:val="24"/>
          <w:szCs w:val="24"/>
        </w:rPr>
        <w:t>点击本公告下方“浏览采购文件”查看采购需求。</w:t>
      </w:r>
    </w:p>
    <w:p>
      <w:pPr>
        <w:pStyle w:val="5"/>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 xml:space="preserve">标项名称： </w:t>
      </w:r>
      <w:r>
        <w:rPr>
          <w:rFonts w:hint="eastAsia" w:ascii="宋体" w:hAnsi="宋体" w:eastAsia="宋体" w:cs="宋体"/>
          <w:b w:val="0"/>
          <w:bCs w:val="0"/>
          <w:sz w:val="24"/>
          <w:lang w:eastAsia="zh-CN"/>
        </w:rPr>
        <w:t>2024年杭州市翠苑中学信息化设备（二期）改造项目</w:t>
      </w:r>
    </w:p>
    <w:p>
      <w:pPr>
        <w:pStyle w:val="5"/>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数量：1批</w:t>
      </w:r>
    </w:p>
    <w:p>
      <w:pPr>
        <w:pStyle w:val="5"/>
        <w:ind w:left="433" w:leftChars="202" w:hanging="9" w:hangingChars="4"/>
        <w:rPr>
          <w:rFonts w:hint="default" w:ascii="宋体" w:hAnsi="宋体" w:eastAsia="宋体" w:cs="宋体"/>
          <w:b w:val="0"/>
          <w:bCs w:val="0"/>
          <w:sz w:val="24"/>
          <w:highlight w:val="cyan"/>
          <w:lang w:val="en-US"/>
        </w:rPr>
      </w:pPr>
      <w:r>
        <w:rPr>
          <w:rFonts w:hint="eastAsia" w:ascii="宋体" w:hAnsi="宋体" w:eastAsia="宋体" w:cs="宋体"/>
          <w:b w:val="0"/>
          <w:bCs w:val="0"/>
          <w:sz w:val="24"/>
          <w:szCs w:val="24"/>
          <w:highlight w:val="none"/>
          <w:lang w:val="en-US"/>
        </w:rPr>
        <w:t>预算金额（元）：</w:t>
      </w:r>
      <w:r>
        <w:rPr>
          <w:rFonts w:hint="eastAsia" w:ascii="宋体" w:hAnsi="宋体" w:eastAsia="宋体" w:cs="宋体"/>
          <w:b w:val="0"/>
          <w:bCs w:val="0"/>
          <w:sz w:val="24"/>
          <w:szCs w:val="24"/>
          <w:highlight w:val="none"/>
          <w:lang w:val="en-US" w:eastAsia="zh-CN"/>
        </w:rPr>
        <w:t>800000.00</w:t>
      </w:r>
    </w:p>
    <w:p>
      <w:pPr>
        <w:pStyle w:val="17"/>
        <w:spacing w:line="360" w:lineRule="auto"/>
        <w:ind w:left="0" w:leftChars="0" w:firstLine="480" w:firstLineChars="20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rPr>
        <w:t>防火墙、</w:t>
      </w:r>
      <w:r>
        <w:rPr>
          <w:rFonts w:hint="eastAsia" w:hAnsi="宋体" w:cs="宋体"/>
          <w:bCs/>
          <w:snapToGrid/>
          <w:color w:val="auto"/>
          <w:kern w:val="2"/>
          <w:sz w:val="24"/>
          <w:szCs w:val="24"/>
          <w:lang w:val="en-US" w:eastAsia="zh-CN"/>
        </w:rPr>
        <w:t>上网</w:t>
      </w:r>
      <w:r>
        <w:rPr>
          <w:rFonts w:hint="eastAsia" w:hAnsi="宋体" w:cs="宋体"/>
          <w:bCs/>
          <w:snapToGrid/>
          <w:color w:val="auto"/>
          <w:kern w:val="2"/>
          <w:sz w:val="24"/>
          <w:szCs w:val="24"/>
        </w:rPr>
        <w:t>行为管理的续保和升级服务、核心交换机1台，管理与认证准入1</w:t>
      </w:r>
      <w:r>
        <w:rPr>
          <w:rFonts w:hint="eastAsia" w:hAnsi="宋体" w:cs="宋体"/>
          <w:bCs/>
          <w:snapToGrid/>
          <w:color w:val="auto"/>
          <w:kern w:val="2"/>
          <w:sz w:val="24"/>
          <w:szCs w:val="24"/>
          <w:lang w:val="en-US" w:eastAsia="zh-CN"/>
        </w:rPr>
        <w:t>套</w:t>
      </w:r>
      <w:r>
        <w:rPr>
          <w:rFonts w:hint="eastAsia" w:hAnsi="宋体" w:cs="宋体"/>
          <w:bCs/>
          <w:snapToGrid/>
          <w:color w:val="auto"/>
          <w:kern w:val="2"/>
          <w:sz w:val="24"/>
          <w:szCs w:val="24"/>
        </w:rPr>
        <w:t>，无线管理授权1套，面板AP30台，放装AP100台，高密AP8台，室外</w:t>
      </w:r>
      <w:r>
        <w:rPr>
          <w:rFonts w:hint="eastAsia" w:hAnsi="宋体" w:cs="宋体"/>
          <w:bCs/>
          <w:snapToGrid/>
          <w:color w:val="auto"/>
          <w:kern w:val="2"/>
          <w:sz w:val="24"/>
          <w:szCs w:val="24"/>
          <w:lang w:val="en-US" w:eastAsia="zh-CN"/>
        </w:rPr>
        <w:t>定向</w:t>
      </w:r>
      <w:r>
        <w:rPr>
          <w:rFonts w:hint="eastAsia" w:hAnsi="宋体" w:cs="宋体"/>
          <w:bCs/>
          <w:snapToGrid/>
          <w:color w:val="auto"/>
          <w:kern w:val="2"/>
          <w:sz w:val="24"/>
          <w:szCs w:val="24"/>
        </w:rPr>
        <w:t>AP10台，24口万兆汇聚交换机1台，24口POE交换机（万兆上行）7台，48口交换机（万兆上行）1台，24口交换机（万兆上行）</w:t>
      </w:r>
      <w:r>
        <w:rPr>
          <w:rFonts w:hint="eastAsia" w:hAnsi="宋体" w:cs="宋体"/>
          <w:bCs/>
          <w:snapToGrid/>
          <w:color w:val="auto"/>
          <w:kern w:val="2"/>
          <w:sz w:val="24"/>
          <w:szCs w:val="24"/>
          <w:highlight w:val="none"/>
          <w:lang w:val="en-US" w:eastAsia="zh-CN"/>
        </w:rPr>
        <w:t>1</w:t>
      </w:r>
      <w:r>
        <w:rPr>
          <w:rFonts w:hint="eastAsia" w:hAnsi="宋体" w:cs="宋体"/>
          <w:bCs/>
          <w:snapToGrid/>
          <w:color w:val="auto"/>
          <w:kern w:val="2"/>
          <w:sz w:val="24"/>
          <w:szCs w:val="24"/>
        </w:rPr>
        <w:t>台，</w:t>
      </w:r>
      <w:r>
        <w:rPr>
          <w:rFonts w:hint="eastAsia" w:hAnsi="宋体" w:cs="宋体"/>
          <w:bCs/>
          <w:snapToGrid/>
          <w:color w:val="auto"/>
          <w:kern w:val="2"/>
          <w:sz w:val="24"/>
          <w:szCs w:val="24"/>
          <w:highlight w:val="none"/>
        </w:rPr>
        <w:t>8口POE交换机5台，</w:t>
      </w:r>
      <w:r>
        <w:rPr>
          <w:rFonts w:hint="eastAsia" w:hAnsi="宋体" w:cs="宋体"/>
          <w:bCs/>
          <w:snapToGrid/>
          <w:color w:val="auto"/>
          <w:kern w:val="2"/>
          <w:sz w:val="24"/>
          <w:szCs w:val="24"/>
        </w:rPr>
        <w:t>万兆单模光模块32个，无线运维1套，交换机管理图形化展示机1套，日志管理分析系统1套，新老机房故障无缝迁移系统1项，内网流量分析机1套，网络配置自动备份系统1</w:t>
      </w:r>
      <w:r>
        <w:rPr>
          <w:rFonts w:hint="eastAsia" w:hAnsi="宋体" w:cs="宋体"/>
          <w:bCs/>
          <w:snapToGrid/>
          <w:color w:val="auto"/>
          <w:kern w:val="2"/>
          <w:sz w:val="24"/>
          <w:szCs w:val="24"/>
          <w:lang w:val="en-US" w:eastAsia="zh-CN"/>
        </w:rPr>
        <w:t>套</w:t>
      </w:r>
      <w:r>
        <w:rPr>
          <w:rFonts w:hint="eastAsia" w:hAnsi="宋体" w:cs="宋体"/>
          <w:bCs/>
          <w:snapToGrid/>
          <w:color w:val="auto"/>
          <w:kern w:val="2"/>
          <w:sz w:val="24"/>
          <w:szCs w:val="24"/>
        </w:rPr>
        <w:t>，信息化安全漏洞扫描1套</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墙柜5台，标准机柜1台，加深机柜1台，UPS主机1台</w:t>
      </w:r>
      <w:r>
        <w:rPr>
          <w:rFonts w:hint="eastAsia" w:hAnsi="宋体" w:cs="宋体"/>
          <w:bCs/>
          <w:snapToGrid/>
          <w:color w:val="auto"/>
          <w:kern w:val="2"/>
          <w:sz w:val="24"/>
          <w:szCs w:val="24"/>
          <w:lang w:val="en-US" w:eastAsia="zh-CN"/>
        </w:rPr>
        <w:t>及配套辅材</w:t>
      </w:r>
      <w:r>
        <w:rPr>
          <w:rFonts w:hint="eastAsia" w:hAnsi="宋体" w:cs="宋体"/>
          <w:bCs/>
          <w:snapToGrid/>
          <w:color w:val="auto"/>
          <w:kern w:val="2"/>
          <w:sz w:val="24"/>
          <w:szCs w:val="24"/>
        </w:rPr>
        <w:t>等。</w:t>
      </w:r>
      <w:r>
        <w:rPr>
          <w:rFonts w:hAnsi="宋体" w:cs="宋体"/>
          <w:bCs/>
          <w:snapToGrid/>
          <w:color w:val="auto"/>
          <w:kern w:val="2"/>
          <w:sz w:val="24"/>
          <w:szCs w:val="24"/>
        </w:rPr>
        <w:t>具体包括设备供货、整体安装调试、集成、试运行、验收与相关的操作培训及不少于3年（含）7×24小时免费设备保修和售后现场技术服务等内容，质保期间每年提供定期巡检和重大活动保障服务。</w:t>
      </w:r>
    </w:p>
    <w:p>
      <w:pPr>
        <w:spacing w:line="360" w:lineRule="auto"/>
        <w:ind w:left="239" w:leftChars="114" w:firstLine="241" w:firstLineChars="100"/>
        <w:rPr>
          <w:bCs/>
        </w:rPr>
      </w:pPr>
      <w:r>
        <w:rPr>
          <w:rFonts w:hint="eastAsia" w:ascii="宋体" w:hAnsi="宋体" w:cs="宋体"/>
          <w:b/>
          <w:snapToGrid w:val="0"/>
          <w:kern w:val="28"/>
          <w:sz w:val="24"/>
          <w:szCs w:val="20"/>
        </w:rPr>
        <w:t>合同履约期限：</w:t>
      </w:r>
      <w:r>
        <w:rPr>
          <w:rFonts w:hint="eastAsia" w:ascii="宋体" w:hAnsi="宋体" w:cs="宋体"/>
          <w:sz w:val="24"/>
        </w:rPr>
        <w:t>合同签订后30天内完成设备及材料供货、安装、调试、试运行、正式验收及交付使用，具体应与工程施工总进度计划同步。</w:t>
      </w:r>
    </w:p>
    <w:p>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无</w:t>
      </w:r>
    </w:p>
    <w:p>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yellow"/>
          <w:u w:val="single"/>
        </w:rPr>
      </w:pPr>
      <w:r>
        <w:rPr>
          <w:rFonts w:hint="eastAsia" w:ascii="宋体" w:hAnsi="宋体" w:cs="宋体"/>
          <w:b/>
          <w:sz w:val="24"/>
          <w:highlight w:val="none"/>
        </w:rPr>
        <w:t>开标时间：</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1.采购人信息</w:t>
      </w:r>
    </w:p>
    <w:p>
      <w:pPr>
        <w:spacing w:line="360" w:lineRule="auto"/>
        <w:ind w:firstLine="480"/>
        <w:rPr>
          <w:rFonts w:ascii="宋体" w:hAnsi="宋体" w:cs="宋体"/>
          <w:sz w:val="24"/>
        </w:rPr>
      </w:pPr>
      <w:r>
        <w:rPr>
          <w:rFonts w:hint="eastAsia" w:ascii="宋体" w:hAnsi="宋体" w:cs="宋体"/>
          <w:sz w:val="24"/>
        </w:rPr>
        <w:t>名    称：杭州市翠苑中学</w:t>
      </w:r>
    </w:p>
    <w:p>
      <w:pPr>
        <w:spacing w:line="360" w:lineRule="auto"/>
        <w:ind w:firstLine="480"/>
        <w:rPr>
          <w:rFonts w:ascii="宋体" w:hAnsi="宋体" w:cs="宋体"/>
          <w:sz w:val="24"/>
        </w:rPr>
      </w:pPr>
      <w:r>
        <w:rPr>
          <w:rFonts w:hint="eastAsia" w:ascii="宋体" w:hAnsi="宋体" w:cs="宋体"/>
          <w:sz w:val="24"/>
        </w:rPr>
        <w:t>地    址：杭州市西湖区翠苑二区</w:t>
      </w:r>
      <w:r>
        <w:rPr>
          <w:rFonts w:ascii="宋体" w:hAnsi="宋体" w:cs="宋体"/>
          <w:sz w:val="24"/>
        </w:rPr>
        <w:t>37</w:t>
      </w:r>
      <w:r>
        <w:rPr>
          <w:rFonts w:hint="eastAsia" w:ascii="宋体" w:hAnsi="宋体" w:cs="宋体"/>
          <w:sz w:val="24"/>
        </w:rPr>
        <w:t xml:space="preserve">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项目联系人（询问）：王迟 </w:t>
      </w:r>
    </w:p>
    <w:p>
      <w:pPr>
        <w:spacing w:line="360" w:lineRule="auto"/>
        <w:rPr>
          <w:rFonts w:ascii="宋体" w:hAnsi="宋体" w:cs="宋体"/>
          <w:sz w:val="24"/>
        </w:rPr>
      </w:pPr>
      <w:r>
        <w:rPr>
          <w:rFonts w:hint="eastAsia" w:ascii="宋体" w:hAnsi="宋体" w:cs="宋体"/>
          <w:sz w:val="24"/>
        </w:rPr>
        <w:t xml:space="preserve">    项目联系方式（询问）：13588130900</w:t>
      </w:r>
    </w:p>
    <w:p>
      <w:pPr>
        <w:spacing w:line="360" w:lineRule="auto"/>
        <w:rPr>
          <w:rFonts w:ascii="宋体" w:hAnsi="宋体" w:cs="宋体"/>
          <w:sz w:val="24"/>
        </w:rPr>
      </w:pPr>
      <w:r>
        <w:rPr>
          <w:rFonts w:hint="eastAsia" w:ascii="宋体" w:hAnsi="宋体" w:cs="宋体"/>
          <w:sz w:val="24"/>
        </w:rPr>
        <w:t xml:space="preserve">    质疑联系人：李绍富</w:t>
      </w:r>
    </w:p>
    <w:p>
      <w:pPr>
        <w:spacing w:line="360" w:lineRule="auto"/>
        <w:rPr>
          <w:rFonts w:hint="default" w:ascii="宋体" w:hAnsi="宋体" w:eastAsia="宋体" w:cs="宋体"/>
          <w:color w:val="auto"/>
          <w:sz w:val="24"/>
          <w:lang w:val="en-US" w:eastAsia="zh-CN"/>
        </w:rPr>
      </w:pPr>
      <w:r>
        <w:rPr>
          <w:rFonts w:hint="eastAsia" w:ascii="宋体" w:hAnsi="宋体" w:cs="宋体"/>
          <w:sz w:val="24"/>
        </w:rPr>
        <w:t xml:space="preserve">    质疑联系方式：15355093139</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称：杭州市西湖区政府采购中心</w:t>
      </w:r>
    </w:p>
    <w:p>
      <w:pPr>
        <w:spacing w:line="360" w:lineRule="auto"/>
        <w:ind w:firstLine="480"/>
        <w:rPr>
          <w:rFonts w:ascii="宋体" w:hAnsi="宋体" w:cs="宋体"/>
          <w:sz w:val="24"/>
        </w:rPr>
      </w:pPr>
      <w:r>
        <w:rPr>
          <w:rFonts w:hint="eastAsia" w:ascii="宋体" w:hAnsi="宋体" w:cs="宋体"/>
          <w:sz w:val="24"/>
        </w:rPr>
        <w:t>地    址：杭州市文一西路858号</w:t>
      </w:r>
    </w:p>
    <w:p>
      <w:pPr>
        <w:spacing w:line="360" w:lineRule="auto"/>
        <w:rPr>
          <w:rFonts w:ascii="宋体" w:hAnsi="宋体" w:cs="宋体"/>
          <w:sz w:val="24"/>
        </w:rPr>
      </w:pPr>
      <w:r>
        <w:rPr>
          <w:rFonts w:hint="eastAsia" w:ascii="宋体" w:hAnsi="宋体" w:cs="宋体"/>
          <w:sz w:val="24"/>
        </w:rPr>
        <w:t xml:space="preserve">    传    真： 0571-89511006</w:t>
      </w:r>
    </w:p>
    <w:p>
      <w:pPr>
        <w:spacing w:line="360" w:lineRule="auto"/>
        <w:rPr>
          <w:rFonts w:ascii="宋体" w:hAnsi="宋体" w:cs="宋体"/>
          <w:sz w:val="24"/>
        </w:rPr>
      </w:pPr>
      <w:r>
        <w:rPr>
          <w:rFonts w:hint="eastAsia" w:ascii="宋体" w:hAnsi="宋体" w:cs="宋体"/>
          <w:sz w:val="24"/>
        </w:rPr>
        <w:t xml:space="preserve">    项目联系人（询问）：蒋晓峥</w:t>
      </w:r>
    </w:p>
    <w:p>
      <w:pPr>
        <w:spacing w:line="360" w:lineRule="auto"/>
        <w:rPr>
          <w:rFonts w:ascii="宋体" w:hAnsi="宋体" w:cs="宋体"/>
          <w:sz w:val="24"/>
        </w:rPr>
      </w:pPr>
      <w:r>
        <w:rPr>
          <w:rFonts w:hint="eastAsia" w:ascii="宋体" w:hAnsi="宋体" w:cs="宋体"/>
          <w:sz w:val="24"/>
        </w:rPr>
        <w:t xml:space="preserve">    项目联系方式（询问）：0571-</w:t>
      </w:r>
      <w:r>
        <w:rPr>
          <w:rFonts w:ascii="宋体" w:hAnsi="宋体" w:cs="宋体"/>
          <w:sz w:val="24"/>
        </w:rPr>
        <w:t>89511448</w:t>
      </w:r>
    </w:p>
    <w:p>
      <w:pPr>
        <w:spacing w:line="360" w:lineRule="auto"/>
        <w:rPr>
          <w:rFonts w:ascii="宋体" w:hAnsi="宋体" w:cs="宋体"/>
          <w:sz w:val="24"/>
        </w:rPr>
      </w:pPr>
      <w:r>
        <w:rPr>
          <w:rFonts w:hint="eastAsia" w:ascii="宋体" w:hAnsi="宋体" w:cs="宋体"/>
          <w:sz w:val="24"/>
        </w:rPr>
        <w:t xml:space="preserve">    质疑联系人：缪新新</w:t>
      </w:r>
    </w:p>
    <w:p>
      <w:pPr>
        <w:spacing w:line="360" w:lineRule="auto"/>
        <w:rPr>
          <w:rFonts w:ascii="宋体" w:hAnsi="宋体" w:cs="宋体"/>
          <w:sz w:val="24"/>
        </w:rPr>
      </w:pPr>
      <w:r>
        <w:rPr>
          <w:rFonts w:hint="eastAsia" w:ascii="宋体" w:hAnsi="宋体" w:cs="宋体"/>
          <w:sz w:val="24"/>
        </w:rPr>
        <w:t xml:space="preserve">    质疑联系方式：0571-</w:t>
      </w:r>
      <w:r>
        <w:rPr>
          <w:rFonts w:ascii="宋体" w:hAnsi="宋体" w:cs="宋体"/>
          <w:sz w:val="24"/>
        </w:rPr>
        <w:t>89511561</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名 称：杭州市西湖区财政局、浙江省政府采购行政裁决服务中心（杭州）</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 xml:space="preserve">地 址：杭州市上城区四季青街道新业路市民之家G03办公室（快递仅限ems或顺丰）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传 真：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联系人 ：朱女士、王女士</w:t>
      </w:r>
    </w:p>
    <w:p>
      <w:pPr>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 xml:space="preserve">监督投诉电话：0571-85252453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5"/>
        <w:rPr>
          <w:rFonts w:ascii="宋体" w:hAnsi="宋体" w:cs="宋体"/>
          <w:b/>
          <w:sz w:val="36"/>
          <w:szCs w:val="20"/>
        </w:rPr>
      </w:pPr>
      <w:r>
        <w:rPr>
          <w:rFonts w:hint="eastAsia" w:hAnsi="宋体" w:cs="宋体"/>
          <w:sz w:val="24"/>
        </w:rPr>
        <w:t xml:space="preserve">                        </w:t>
      </w:r>
      <w:r>
        <w:rPr>
          <w:rFonts w:hAnsi="宋体" w:cs="宋体"/>
          <w:b/>
          <w:sz w:val="36"/>
          <w:szCs w:val="20"/>
        </w:rPr>
        <w:t xml:space="preserve"> </w:t>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904"/>
        <w:gridCol w:w="6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p>
            <w:pPr>
              <w:spacing w:line="360" w:lineRule="auto"/>
              <w:rPr>
                <w:rFonts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eastAsia="宋体" w:cs="宋体"/>
                <w:sz w:val="24"/>
                <w:u w:val="single"/>
              </w:rPr>
              <w:t xml:space="preserve"> </w:t>
            </w:r>
            <w:r>
              <w:rPr>
                <w:rFonts w:hint="eastAsia" w:ascii="宋体" w:hAnsi="宋体" w:cs="宋体"/>
                <w:sz w:val="24"/>
                <w:u w:val="single"/>
              </w:rPr>
              <w:t>核心交换机</w:t>
            </w:r>
            <w:r>
              <w:rPr>
                <w:rFonts w:hint="eastAsia" w:ascii="宋体" w:hAnsi="宋体" w:eastAsia="宋体" w:cs="宋体"/>
                <w:sz w:val="24"/>
                <w:u w:val="single"/>
                <w:lang w:val="en-US" w:eastAsia="zh-CN"/>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lang w:val="en-US" w:eastAsia="zh-CN"/>
              </w:rPr>
            </w:pPr>
            <w:r>
              <w:rPr>
                <w:rFonts w:hint="eastAsia" w:ascii="宋体" w:hAnsi="宋体" w:eastAsia="宋体" w:cs="宋体"/>
                <w:sz w:val="24"/>
                <w:u w:val="none"/>
                <w:lang w:val="en-US" w:eastAsia="zh-CN"/>
              </w:rPr>
              <w:t>标的：</w:t>
            </w:r>
            <w:r>
              <w:rPr>
                <w:rFonts w:hint="eastAsia" w:ascii="宋体" w:hAnsi="宋体" w:eastAsia="宋体" w:cs="宋体"/>
                <w:sz w:val="24"/>
                <w:u w:val="single"/>
                <w:lang w:val="en-US" w:eastAsia="zh-CN"/>
              </w:rPr>
              <w:t>核心交换机，</w:t>
            </w:r>
            <w:r>
              <w:rPr>
                <w:rFonts w:hint="eastAsia" w:hAnsi="宋体" w:cs="宋体"/>
                <w:bCs/>
                <w:snapToGrid/>
                <w:color w:val="auto"/>
                <w:kern w:val="2"/>
                <w:sz w:val="24"/>
                <w:szCs w:val="24"/>
                <w:u w:val="single"/>
              </w:rPr>
              <w:t>管理与认证准入，无线管理授权，面板AP，放装AP，高密AP，室外</w:t>
            </w:r>
            <w:r>
              <w:rPr>
                <w:rFonts w:hint="eastAsia" w:hAnsi="宋体" w:cs="宋体"/>
                <w:bCs/>
                <w:snapToGrid/>
                <w:color w:val="auto"/>
                <w:kern w:val="2"/>
                <w:sz w:val="24"/>
                <w:szCs w:val="24"/>
                <w:u w:val="single"/>
                <w:lang w:val="en-US" w:eastAsia="zh-CN"/>
              </w:rPr>
              <w:t>定向</w:t>
            </w:r>
            <w:r>
              <w:rPr>
                <w:rFonts w:hint="eastAsia" w:hAnsi="宋体" w:cs="宋体"/>
                <w:bCs/>
                <w:snapToGrid/>
                <w:color w:val="auto"/>
                <w:kern w:val="2"/>
                <w:sz w:val="24"/>
                <w:szCs w:val="24"/>
                <w:u w:val="single"/>
              </w:rPr>
              <w:t>AP，24口万兆汇聚交换机，24口POE交换机（万兆上行），48口交换机（万兆上行），24口交换机（万兆上行），</w:t>
            </w:r>
            <w:r>
              <w:rPr>
                <w:rFonts w:hint="eastAsia" w:hAnsi="宋体" w:cs="宋体"/>
                <w:bCs/>
                <w:snapToGrid/>
                <w:color w:val="auto"/>
                <w:kern w:val="2"/>
                <w:sz w:val="24"/>
                <w:szCs w:val="24"/>
                <w:highlight w:val="none"/>
                <w:u w:val="single"/>
              </w:rPr>
              <w:t>8口POE交换机，</w:t>
            </w:r>
            <w:r>
              <w:rPr>
                <w:rFonts w:hint="eastAsia" w:hAnsi="宋体" w:cs="宋体"/>
                <w:bCs/>
                <w:snapToGrid/>
                <w:color w:val="auto"/>
                <w:kern w:val="2"/>
                <w:sz w:val="24"/>
                <w:szCs w:val="24"/>
                <w:u w:val="single"/>
              </w:rPr>
              <w:t>万兆单模光模</w:t>
            </w:r>
            <w:r>
              <w:rPr>
                <w:rFonts w:hint="eastAsia" w:hAnsi="宋体" w:cs="宋体"/>
                <w:bCs/>
                <w:snapToGrid/>
                <w:color w:val="auto"/>
                <w:kern w:val="2"/>
                <w:sz w:val="24"/>
                <w:szCs w:val="24"/>
                <w:highlight w:val="none"/>
                <w:u w:val="single"/>
              </w:rPr>
              <w:t>块，无线运维，交换机管理图形化展示机，日志管理分析系统，新老机房故障无缝迁移系统，内网流量分析机，网络配置自动备份系统，信</w:t>
            </w:r>
            <w:r>
              <w:rPr>
                <w:rFonts w:hint="eastAsia" w:hAnsi="宋体" w:cs="宋体"/>
                <w:bCs/>
                <w:snapToGrid/>
                <w:color w:val="auto"/>
                <w:kern w:val="2"/>
                <w:sz w:val="24"/>
                <w:szCs w:val="24"/>
                <w:u w:val="single"/>
              </w:rPr>
              <w:t>息化安全漏洞扫描</w:t>
            </w:r>
            <w:r>
              <w:rPr>
                <w:rFonts w:hint="eastAsia" w:hAnsi="宋体" w:cs="宋体"/>
                <w:bCs/>
                <w:snapToGrid/>
                <w:color w:val="auto"/>
                <w:kern w:val="2"/>
                <w:sz w:val="24"/>
                <w:szCs w:val="24"/>
                <w:u w:val="single"/>
                <w:lang w:eastAsia="zh-CN"/>
              </w:rPr>
              <w:t>，</w:t>
            </w:r>
            <w:r>
              <w:rPr>
                <w:rFonts w:hint="eastAsia" w:hAnsi="宋体" w:cs="宋体"/>
                <w:bCs/>
                <w:snapToGrid/>
                <w:color w:val="auto"/>
                <w:kern w:val="2"/>
                <w:sz w:val="24"/>
                <w:szCs w:val="24"/>
                <w:u w:val="single"/>
              </w:rPr>
              <w:t>墙柜，标准机柜，加深机柜，UPS主机</w:t>
            </w:r>
            <w:r>
              <w:rPr>
                <w:rFonts w:hint="eastAsia" w:hAnsi="宋体" w:cs="宋体"/>
                <w:bCs/>
                <w:snapToGrid/>
                <w:color w:val="auto"/>
                <w:kern w:val="2"/>
                <w:sz w:val="24"/>
                <w:szCs w:val="24"/>
                <w:u w:val="single"/>
                <w:lang w:eastAsia="zh-CN"/>
              </w:rPr>
              <w:t>，</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工业</w:t>
            </w:r>
            <w:r>
              <w:rPr>
                <w:rFonts w:hint="eastAsia" w:ascii="宋体" w:hAnsi="宋体" w:eastAsia="宋体" w:cs="宋体"/>
                <w:sz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运输</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r>
              <w:rPr>
                <w:rFonts w:hint="eastAsia" w:ascii="宋体" w:hAnsi="宋体" w:cs="宋体"/>
                <w:b/>
                <w:bCs/>
                <w:kern w:val="0"/>
                <w:sz w:val="24"/>
              </w:rPr>
              <w:t>未提供样品或提供样品不满足采购需求实质性条件的供应商，投标无效</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kern w:val="0"/>
                <w:sz w:val="24"/>
                <w:highlight w:val="none"/>
              </w:rPr>
              <w:t>；</w:t>
            </w:r>
            <w:r>
              <w:rPr>
                <w:rFonts w:ascii="宋体" w:hAnsi="宋体" w:cs="宋体"/>
                <w:kern w:val="0"/>
                <w:sz w:val="24"/>
                <w:highlight w:val="none"/>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ascii="宋体" w:hAnsi="宋体" w:cs="宋体"/>
                <w:sz w:val="24"/>
              </w:rPr>
            </w:pPr>
            <w:sdt>
              <w:sdtPr>
                <w:rPr>
                  <w:rFonts w:hint="eastAsia" w:ascii="宋体" w:hAnsi="宋体" w:cs="宋体"/>
                  <w:kern w:val="0"/>
                  <w:sz w:val="24"/>
                </w:rPr>
                <w:id w:val="-13500922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w:t>
            </w: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 </w:t>
            </w:r>
            <w:r>
              <w:rPr>
                <w:rFonts w:hint="eastAsia" w:ascii="宋体" w:hAnsi="宋体" w:cs="宋体"/>
                <w:b/>
                <w:bCs/>
                <w:kern w:val="0"/>
                <w:sz w:val="24"/>
                <w:highlight w:val="none"/>
              </w:rPr>
              <w:t>；联系人：</w:t>
            </w:r>
            <w:r>
              <w:rPr>
                <w:rFonts w:hint="eastAsia" w:ascii="宋体" w:hAnsi="宋体" w:cs="宋体"/>
                <w:b/>
                <w:bCs/>
                <w:sz w:val="24"/>
                <w:szCs w:val="24"/>
                <w:highlight w:val="none"/>
                <w:u w:val="single"/>
                <w:lang w:val="en-US" w:eastAsia="zh-CN"/>
              </w:rPr>
              <w:t xml:space="preserve">   </w:t>
            </w:r>
            <w:r>
              <w:rPr>
                <w:rFonts w:hint="eastAsia" w:ascii="宋体" w:hAnsi="宋体" w:cs="宋体"/>
                <w:b/>
                <w:bCs/>
                <w:kern w:val="0"/>
                <w:sz w:val="24"/>
                <w:highlight w:val="none"/>
              </w:rPr>
              <w:t>，联系电话：</w:t>
            </w:r>
            <w:r>
              <w:rPr>
                <w:rFonts w:hint="eastAsia" w:ascii="宋体" w:hAnsi="宋体" w:cs="宋体"/>
                <w:b/>
                <w:bCs/>
                <w:kern w:val="0"/>
                <w:sz w:val="24"/>
                <w:highlight w:val="none"/>
                <w:u w:val="single"/>
                <w:lang w:val="en-US" w:eastAsia="zh-CN"/>
              </w:rPr>
              <w:t xml:space="preserve">       </w:t>
            </w:r>
            <w:r>
              <w:rPr>
                <w:rFonts w:hint="eastAsia" w:ascii="宋体" w:hAnsi="宋体" w:cs="宋体"/>
                <w:b/>
                <w:bCs/>
                <w:kern w:val="0"/>
                <w:sz w:val="24"/>
                <w:highlight w:val="non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产品演示注意事项：</w:t>
            </w:r>
          </w:p>
          <w:p>
            <w:pPr>
              <w:snapToGrid w:val="0"/>
              <w:spacing w:line="360" w:lineRule="auto"/>
              <w:rPr>
                <w:rFonts w:ascii="宋体" w:hAnsi="宋体" w:cs="宋体"/>
                <w:kern w:val="0"/>
                <w:sz w:val="24"/>
              </w:rPr>
            </w:pPr>
            <w:r>
              <w:rPr>
                <w:rFonts w:hint="eastAsia" w:ascii="宋体" w:hAnsi="宋体" w:cs="宋体"/>
                <w:kern w:val="0"/>
                <w:sz w:val="24"/>
              </w:rPr>
              <w:t>演示产品为</w:t>
            </w:r>
            <w:r>
              <w:rPr>
                <w:rFonts w:hint="eastAsia" w:ascii="宋体" w:hAnsi="宋体" w:cs="宋体"/>
                <w:kern w:val="0"/>
                <w:sz w:val="24"/>
                <w:u w:val="single"/>
                <w:lang w:val="en-US" w:eastAsia="zh-CN"/>
              </w:rPr>
              <w:t xml:space="preserve">  / </w:t>
            </w:r>
            <w:r>
              <w:rPr>
                <w:rFonts w:hint="eastAsia" w:ascii="宋体" w:hAnsi="宋体" w:cs="宋体"/>
                <w:kern w:val="0"/>
                <w:sz w:val="24"/>
                <w:highlight w:val="none"/>
              </w:rPr>
              <w:t>。</w:t>
            </w:r>
          </w:p>
          <w:p>
            <w:pPr>
              <w:snapToGrid w:val="0"/>
              <w:spacing w:line="360" w:lineRule="auto"/>
              <w:rPr>
                <w:rFonts w:ascii="宋体" w:hAnsi="宋体" w:cs="宋体"/>
                <w:kern w:val="0"/>
                <w:sz w:val="24"/>
              </w:rPr>
            </w:pP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pPr>
              <w:snapToGrid w:val="0"/>
              <w:spacing w:line="360" w:lineRule="auto"/>
              <w:rPr>
                <w:rFonts w:ascii="宋体" w:hAnsi="宋体" w:cs="宋体"/>
                <w:kern w:val="0"/>
                <w:sz w:val="24"/>
              </w:rPr>
            </w:pPr>
            <w:r>
              <w:rPr>
                <w:rFonts w:hint="eastAsia" w:ascii="宋体" w:hAnsi="宋体" w:cs="宋体"/>
                <w:kern w:val="0"/>
                <w:sz w:val="24"/>
              </w:rPr>
              <w:t>2）演示顺序按投标文件解密先后次序进行，投标单位于开标当天按演示顺序进行产品演示，演示内容须根据评标标准顺序逐一演示，总时间不超过</w:t>
            </w:r>
            <w:r>
              <w:rPr>
                <w:rFonts w:hint="default" w:ascii="宋体" w:hAnsi="宋体" w:cs="宋体"/>
                <w:kern w:val="0"/>
                <w:sz w:val="24"/>
                <w:lang w:val="en-US"/>
              </w:rPr>
              <w:t>20</w:t>
            </w:r>
            <w:r>
              <w:rPr>
                <w:rFonts w:hint="eastAsia" w:ascii="宋体" w:hAnsi="宋体" w:cs="宋体"/>
                <w:kern w:val="0"/>
                <w:sz w:val="24"/>
              </w:rPr>
              <w:t>分钟，演示参与人员不超过3人。</w:t>
            </w:r>
          </w:p>
          <w:p>
            <w:pPr>
              <w:snapToGrid w:val="0"/>
              <w:spacing w:line="360" w:lineRule="auto"/>
              <w:rPr>
                <w:rFonts w:ascii="宋体" w:hAnsi="宋体" w:cs="宋体"/>
                <w:kern w:val="0"/>
                <w:sz w:val="24"/>
              </w:rPr>
            </w:pPr>
            <w:r>
              <w:rPr>
                <w:rFonts w:hint="eastAsia" w:ascii="宋体" w:hAnsi="宋体" w:cs="宋体"/>
                <w:kern w:val="0"/>
                <w:sz w:val="24"/>
              </w:rPr>
              <w:t>3）投标人未提供产品演示的或提供演示的产品不全的，所有演示分得0分。</w:t>
            </w:r>
          </w:p>
          <w:p>
            <w:pPr>
              <w:snapToGrid w:val="0"/>
              <w:spacing w:line="360" w:lineRule="auto"/>
              <w:rPr>
                <w:rFonts w:ascii="宋体" w:hAnsi="宋体" w:cs="宋体"/>
                <w:kern w:val="0"/>
                <w:sz w:val="24"/>
              </w:rPr>
            </w:pPr>
            <w:r>
              <w:rPr>
                <w:rFonts w:hint="eastAsia" w:ascii="宋体" w:hAnsi="宋体" w:cs="宋体"/>
                <w:kern w:val="0"/>
                <w:sz w:val="24"/>
              </w:rPr>
              <w:t>4）演示前专家将核对所演示产品与投标文件所投产品品牌型号是否一致，不一致的所有演示分得0分。</w:t>
            </w:r>
          </w:p>
          <w:p>
            <w:pPr>
              <w:snapToGrid w:val="0"/>
              <w:spacing w:line="360" w:lineRule="auto"/>
              <w:rPr>
                <w:rFonts w:ascii="宋体" w:hAnsi="宋体" w:cs="宋体"/>
                <w:b w:val="0"/>
                <w:bCs w:val="0"/>
                <w:kern w:val="0"/>
                <w:sz w:val="24"/>
                <w:highlight w:val="yellow"/>
              </w:rPr>
            </w:pPr>
            <w:r>
              <w:rPr>
                <w:rFonts w:hint="eastAsia" w:ascii="宋体" w:hAnsi="宋体" w:cs="宋体"/>
                <w:kern w:val="0"/>
                <w:sz w:val="24"/>
              </w:rPr>
              <w:t>5</w:t>
            </w:r>
            <w:r>
              <w:rPr>
                <w:rFonts w:hint="eastAsia" w:ascii="宋体" w:hAnsi="宋体" w:cs="宋体"/>
                <w:b w:val="0"/>
                <w:bCs w:val="0"/>
                <w:kern w:val="0"/>
                <w:sz w:val="24"/>
              </w:rPr>
              <w:t>)演示产品请于</w:t>
            </w:r>
            <w:r>
              <w:rPr>
                <w:rFonts w:hint="eastAsia" w:ascii="宋体" w:hAnsi="宋体" w:cs="宋体"/>
                <w:b w:val="0"/>
                <w:bCs w:val="0"/>
                <w:sz w:val="24"/>
                <w:highlight w:val="none"/>
                <w:u w:val="single"/>
                <w:lang w:val="en-US" w:eastAsia="zh-CN"/>
              </w:rPr>
              <w:t xml:space="preserve">  </w:t>
            </w:r>
            <w:r>
              <w:rPr>
                <w:rFonts w:hint="eastAsia" w:ascii="宋体" w:hAnsi="宋体" w:cs="宋体"/>
                <w:b w:val="0"/>
                <w:bCs w:val="0"/>
                <w:sz w:val="24"/>
                <w:highlight w:val="none"/>
                <w:u w:val="single"/>
              </w:rPr>
              <w:t>年</w:t>
            </w:r>
            <w:r>
              <w:rPr>
                <w:rFonts w:hint="eastAsia" w:ascii="宋体" w:hAnsi="宋体" w:cs="宋体"/>
                <w:b w:val="0"/>
                <w:bCs w:val="0"/>
                <w:sz w:val="24"/>
                <w:highlight w:val="none"/>
                <w:u w:val="single"/>
                <w:lang w:val="en-US" w:eastAsia="zh-CN"/>
              </w:rPr>
              <w:t xml:space="preserve"> </w:t>
            </w:r>
            <w:r>
              <w:rPr>
                <w:rFonts w:hint="eastAsia" w:ascii="宋体" w:hAnsi="宋体" w:cs="宋体"/>
                <w:b w:val="0"/>
                <w:bCs w:val="0"/>
                <w:sz w:val="24"/>
                <w:highlight w:val="none"/>
                <w:u w:val="single"/>
              </w:rPr>
              <w:t>月</w:t>
            </w:r>
            <w:r>
              <w:rPr>
                <w:rFonts w:hint="eastAsia" w:ascii="宋体" w:hAnsi="宋体" w:cs="宋体"/>
                <w:b w:val="0"/>
                <w:bCs w:val="0"/>
                <w:sz w:val="24"/>
                <w:highlight w:val="none"/>
                <w:u w:val="single"/>
                <w:lang w:val="en-US" w:eastAsia="zh-CN"/>
              </w:rPr>
              <w:t xml:space="preserve"> </w:t>
            </w:r>
            <w:r>
              <w:rPr>
                <w:rFonts w:hint="eastAsia" w:ascii="宋体" w:hAnsi="宋体" w:cs="宋体"/>
                <w:b w:val="0"/>
                <w:bCs w:val="0"/>
                <w:sz w:val="24"/>
                <w:highlight w:val="none"/>
                <w:u w:val="single"/>
              </w:rPr>
              <w:t>日</w:t>
            </w:r>
            <w:r>
              <w:rPr>
                <w:rFonts w:hint="eastAsia" w:ascii="宋体" w:hAnsi="宋体" w:cs="宋体"/>
                <w:b w:val="0"/>
                <w:bCs w:val="0"/>
                <w:sz w:val="24"/>
                <w:highlight w:val="none"/>
                <w:u w:val="single"/>
                <w:lang w:val="en-US" w:eastAsia="zh-CN"/>
              </w:rPr>
              <w:t xml:space="preserve"> </w:t>
            </w:r>
            <w:r>
              <w:rPr>
                <w:rFonts w:hint="eastAsia" w:ascii="宋体" w:hAnsi="宋体" w:cs="宋体"/>
                <w:b w:val="0"/>
                <w:bCs w:val="0"/>
                <w:kern w:val="0"/>
                <w:sz w:val="24"/>
                <w:highlight w:val="none"/>
              </w:rPr>
              <w:t>；地点：</w:t>
            </w:r>
            <w:r>
              <w:rPr>
                <w:rFonts w:hint="eastAsia" w:ascii="宋体" w:hAnsi="宋体" w:cs="宋体"/>
                <w:b w:val="0"/>
                <w:bCs w:val="0"/>
                <w:kern w:val="0"/>
                <w:sz w:val="24"/>
                <w:highlight w:val="none"/>
                <w:u w:val="single"/>
                <w:lang w:val="en-US" w:eastAsia="zh-CN"/>
              </w:rPr>
              <w:t xml:space="preserve">  </w:t>
            </w:r>
            <w:r>
              <w:rPr>
                <w:rFonts w:hint="eastAsia" w:ascii="宋体" w:hAnsi="宋体" w:cs="宋体"/>
                <w:b w:val="0"/>
                <w:bCs w:val="0"/>
                <w:kern w:val="0"/>
                <w:sz w:val="24"/>
                <w:highlight w:val="none"/>
              </w:rPr>
              <w:t>；联系人：</w:t>
            </w:r>
            <w:r>
              <w:rPr>
                <w:rFonts w:hint="eastAsia" w:ascii="宋体" w:hAnsi="宋体" w:cs="宋体"/>
                <w:b w:val="0"/>
                <w:bCs w:val="0"/>
                <w:sz w:val="24"/>
                <w:szCs w:val="24"/>
                <w:highlight w:val="none"/>
                <w:u w:val="single"/>
                <w:lang w:val="en-US" w:eastAsia="zh-CN"/>
              </w:rPr>
              <w:t xml:space="preserve">  </w:t>
            </w:r>
            <w:r>
              <w:rPr>
                <w:rFonts w:hint="eastAsia"/>
                <w:b w:val="0"/>
                <w:bCs w:val="0"/>
                <w:u w:val="single"/>
                <w:lang w:val="en-US" w:eastAsia="zh-CN"/>
              </w:rPr>
              <w:t xml:space="preserve"> </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kern w:val="0"/>
                <w:sz w:val="24"/>
                <w:highlight w:val="none"/>
              </w:rPr>
              <w:t>，联系电话：</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sz w:val="24"/>
                <w:u w:val="single"/>
                <w:lang w:val="en-US" w:eastAsia="zh-CN"/>
              </w:rPr>
              <w:t xml:space="preserve"> </w:t>
            </w:r>
            <w:r>
              <w:rPr>
                <w:rFonts w:hint="eastAsia" w:ascii="宋体" w:hAnsi="宋体" w:cs="宋体"/>
                <w:b w:val="0"/>
                <w:bCs w:val="0"/>
                <w:sz w:val="24"/>
                <w:u w:val="single"/>
              </w:rPr>
              <w:t xml:space="preserve"> </w:t>
            </w:r>
            <w:r>
              <w:rPr>
                <w:rFonts w:hint="eastAsia" w:ascii="宋体" w:hAnsi="宋体" w:cs="宋体"/>
                <w:b w:val="0"/>
                <w:bCs w:val="0"/>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val="0"/>
                <w:bCs w:val="0"/>
                <w:kern w:val="0"/>
                <w:sz w:val="24"/>
              </w:rPr>
              <w:t>并自行调制至可演示状态</w:t>
            </w:r>
            <w:r>
              <w:rPr>
                <w:rFonts w:hint="eastAsia" w:ascii="宋体" w:hAnsi="宋体" w:cs="宋体"/>
                <w:b w:val="0"/>
                <w:bCs w:val="0"/>
                <w:sz w:val="24"/>
              </w:rPr>
              <w:t>。超过截止时间的，采购人将不予接收。</w:t>
            </w:r>
            <w:r>
              <w:rPr>
                <w:rFonts w:hint="eastAsia" w:ascii="宋体" w:hAnsi="宋体" w:cs="宋体"/>
                <w:b w:val="0"/>
                <w:bCs w:val="0"/>
                <w:kern w:val="0"/>
                <w:sz w:val="24"/>
              </w:rPr>
              <w:t>现场讲解演示所用设备（包含电脑、插线板、无线网络接入等）由投标人自备，演示所需环境由投标人自行搭建，采购人只提供电源接口。</w:t>
            </w:r>
          </w:p>
          <w:p>
            <w:pPr>
              <w:snapToGrid w:val="0"/>
              <w:spacing w:line="360" w:lineRule="auto"/>
              <w:rPr>
                <w:rFonts w:ascii="宋体" w:hAnsi="宋体" w:cs="宋体"/>
                <w:b/>
                <w:sz w:val="24"/>
              </w:rPr>
            </w:pPr>
            <w:r>
              <w:rPr>
                <w:rFonts w:hint="eastAsia" w:ascii="宋体" w:hAnsi="宋体" w:cs="宋体"/>
                <w:b w:val="0"/>
                <w:bCs w:val="0"/>
                <w:kern w:val="0"/>
                <w:sz w:val="24"/>
              </w:rPr>
              <w:t>现场讲解演示人员进场时提供讲解人员名单（加盖公章或授权代表签名）及身份证明，否则不得讲解演示。</w:t>
            </w:r>
          </w:p>
          <w:p>
            <w:pPr>
              <w:spacing w:line="360" w:lineRule="auto"/>
              <w:rPr>
                <w:rFonts w:ascii="宋体" w:hAnsi="宋体" w:cs="宋体"/>
                <w:sz w:val="24"/>
              </w:rPr>
            </w:pPr>
            <w:r>
              <w:rPr>
                <w:rFonts w:hint="eastAsia" w:ascii="宋体" w:hAnsi="宋体" w:cs="宋体"/>
                <w:sz w:val="24"/>
              </w:rPr>
              <w:t>6)现场演示的产</w:t>
            </w:r>
            <w:r>
              <w:rPr>
                <w:rFonts w:hint="eastAsia" w:ascii="宋体" w:hAnsi="宋体" w:cs="宋体"/>
                <w:sz w:val="24"/>
                <w:highlight w:val="none"/>
              </w:rPr>
              <w:t>品,</w:t>
            </w:r>
            <w:r>
              <w:rPr>
                <w:rFonts w:hint="eastAsia" w:ascii="宋体" w:hAnsi="宋体" w:cs="宋体"/>
                <w:sz w:val="24"/>
                <w:highlight w:val="none"/>
                <w:lang w:val="en-US" w:eastAsia="zh-CN"/>
              </w:rPr>
              <w:t>/</w:t>
            </w:r>
            <w:r>
              <w:rPr>
                <w:rFonts w:hint="eastAsia" w:ascii="宋体" w:hAnsi="宋体" w:cs="宋体"/>
                <w:sz w:val="24"/>
                <w:highlight w:val="none"/>
              </w:rPr>
              <w:t>。评</w:t>
            </w:r>
            <w:r>
              <w:rPr>
                <w:rFonts w:hint="eastAsia" w:ascii="宋体" w:hAnsi="宋体" w:cs="宋体"/>
                <w:sz w:val="24"/>
              </w:rPr>
              <w:t>审完成后中标单位的产品封存于采购人处。其他演示产品评审完成后当天自行领回，逾期采购人将不予保管。</w:t>
            </w:r>
          </w:p>
          <w:p>
            <w:pPr>
              <w:spacing w:line="360" w:lineRule="auto"/>
              <w:rPr>
                <w:rFonts w:ascii="宋体" w:hAnsi="宋体" w:cs="宋体"/>
                <w:b/>
                <w:kern w:val="0"/>
                <w:sz w:val="24"/>
                <w:lang w:val="zh-CN"/>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90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u w:val="single"/>
                <w:lang w:val="en-US" w:eastAsia="zh-CN"/>
              </w:rPr>
              <w:t xml:space="preserve"> </w:t>
            </w:r>
            <w:r>
              <w:rPr>
                <w:rFonts w:hint="eastAsia" w:ascii="宋体" w:hAnsi="宋体" w:cs="宋体"/>
                <w:b w:val="0"/>
                <w:bCs w:val="0"/>
                <w:color w:val="auto"/>
                <w:sz w:val="24"/>
                <w:u w:val="single"/>
                <w:lang w:val="en-US" w:eastAsia="zh-CN"/>
              </w:rPr>
              <w:t>/</w:t>
            </w:r>
            <w:r>
              <w:rPr>
                <w:rFonts w:hint="eastAsia" w:ascii="宋体" w:hAnsi="宋体" w:cs="宋体"/>
                <w:b/>
                <w:bCs/>
                <w:color w:val="auto"/>
                <w:sz w:val="24"/>
                <w:u w:val="single"/>
                <w:lang w:val="en-US" w:eastAsia="zh-CN"/>
              </w:rPr>
              <w:t xml:space="preserve"> </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u w:val="single"/>
                <w:lang w:val="en-US" w:eastAsia="zh-CN"/>
              </w:rPr>
              <w:t xml:space="preserve"> </w:t>
            </w:r>
            <w:r>
              <w:rPr>
                <w:rFonts w:hint="eastAsia" w:ascii="宋体" w:hAnsi="宋体" w:cs="宋体"/>
                <w:b w:val="0"/>
                <w:bCs w:val="0"/>
                <w:color w:val="auto"/>
                <w:sz w:val="24"/>
                <w:u w:val="single"/>
                <w:lang w:val="en-US" w:eastAsia="zh-CN"/>
              </w:rPr>
              <w:t>/</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904"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34"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kern w:val="28"/>
                <w:sz w:val="24"/>
                <w:szCs w:val="24"/>
              </w:rPr>
              <w:t>；备份投标文件签收人员联系电话：</w:t>
            </w:r>
            <w:r>
              <w:rPr>
                <w:rFonts w:hint="eastAsia" w:hAnsi="宋体" w:cs="宋体"/>
                <w:sz w:val="24"/>
                <w:u w:val="single"/>
              </w:rPr>
              <w:t xml:space="preserve"> 0571-</w:t>
            </w:r>
            <w:r>
              <w:rPr>
                <w:rFonts w:hAnsi="宋体" w:cs="宋体"/>
                <w:sz w:val="24"/>
                <w:u w:val="single"/>
              </w:rPr>
              <w:t>89511448</w:t>
            </w:r>
            <w:r>
              <w:rPr>
                <w:rFonts w:hint="eastAsia" w:hAnsi="宋体" w:cs="宋体"/>
                <w:sz w:val="24"/>
                <w:u w:val="single"/>
                <w:lang w:val="en-US" w:eastAsia="zh-CN"/>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90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 xml:space="preserve">3.2.2 </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优先采购绿色包装产品、绿色物流配送服务以及循环利用产品</w:t>
      </w:r>
      <w:bookmarkEnd w:id="15"/>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w:t>
      </w:r>
      <w:r>
        <w:rPr>
          <w:rFonts w:hint="eastAsia" w:ascii="宋体" w:hAnsi="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color w:val="auto"/>
          <w:highlight w:val="none"/>
        </w:rPr>
        <w:t>浙江省本级、杭州市本级、拱墅区、</w:t>
      </w:r>
      <w:r>
        <w:rPr>
          <w:rFonts w:hint="eastAsia"/>
          <w:color w:val="auto"/>
          <w:highlight w:val="none"/>
          <w:lang w:val="en-US" w:eastAsia="zh-CN"/>
        </w:rPr>
        <w:t>西湖区、</w:t>
      </w:r>
      <w:r>
        <w:rPr>
          <w:rFonts w:hint="eastAsia"/>
          <w:color w:val="auto"/>
          <w:highlight w:val="none"/>
        </w:rPr>
        <w:t>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pPr>
        <w:pStyle w:val="887"/>
        <w:shd w:val="clear" w:color="auto" w:fill="FFFFFF"/>
        <w:snapToGrid w:val="0"/>
        <w:spacing w:after="240" w:afterAutospacing="0" w:line="360" w:lineRule="auto"/>
        <w:ind w:firstLine="400"/>
        <w:contextualSpacing/>
        <w:rPr>
          <w:rFonts w:hint="eastAsia"/>
        </w:rPr>
      </w:pPr>
    </w:p>
    <w:p>
      <w:pPr>
        <w:pStyle w:val="887"/>
        <w:shd w:val="clear" w:color="auto" w:fill="FFFFFF"/>
        <w:snapToGrid w:val="0"/>
        <w:spacing w:after="240" w:afterAutospacing="0" w:line="360" w:lineRule="auto"/>
        <w:ind w:firstLine="400"/>
        <w:contextualSpacing/>
        <w:rPr>
          <w:rFonts w:hint="eastAsia"/>
        </w:rPr>
      </w:pP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2"/>
        <w:ind w:firstLine="960" w:firstLineChars="400"/>
      </w:pPr>
      <w:r>
        <w:rPr>
          <w:rFonts w:hint="eastAsia" w:ascii="宋体" w:hAnsi="宋体" w:cs="宋体"/>
          <w:sz w:val="24"/>
        </w:rPr>
        <w:t>11.3.</w:t>
      </w:r>
      <w:r>
        <w:rPr>
          <w:rFonts w:hint="eastAsia" w:ascii="宋体" w:hAnsi="宋体" w:cs="宋体"/>
          <w:sz w:val="24"/>
          <w:lang w:val="en-US" w:eastAsia="zh-CN"/>
        </w:rPr>
        <w:t>2中小企业声明函（如果有）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rPr>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rPr>
        <w:t>4.2规定</w:t>
      </w:r>
      <w:r>
        <w:rPr>
          <w:rFonts w:hint="eastAsia" w:cs="宋体"/>
          <w:szCs w:val="21"/>
        </w:rPr>
        <w:t>的情形之一的，投标无效</w:t>
      </w:r>
      <w:r>
        <w:rPr>
          <w:rFonts w:hint="eastAsia" w:cs="宋体"/>
          <w:szCs w:val="21"/>
          <w:lang w:eastAsia="zh-CN"/>
        </w:rPr>
        <w:t>。</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eastAsia="zh-CN"/>
        </w:rPr>
        <w:t>、</w:t>
      </w:r>
      <w:r>
        <w:rPr>
          <w:rFonts w:hint="eastAsia" w:ascii="宋体" w:hAnsi="宋体" w:cs="宋体"/>
          <w:b/>
          <w:sz w:val="24"/>
          <w:szCs w:val="24"/>
        </w:rPr>
        <w:t>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9"/>
        <w:spacing w:before="0"/>
        <w:ind w:firstLine="480"/>
        <w:rPr>
          <w:rFonts w:hint="eastAsia" w:ascii="宋体" w:hAnsi="宋体" w:cs="宋体"/>
        </w:rPr>
      </w:pP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cs="Times New Roman"/>
          <w:b/>
          <w:bCs/>
          <w:color w:val="auto"/>
          <w:kern w:val="2"/>
          <w:sz w:val="24"/>
          <w:szCs w:val="32"/>
          <w:highlight w:val="none"/>
          <w:lang w:val="en-US"/>
        </w:rPr>
        <w:t>27.预付款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kern w:val="28"/>
          <w:sz w:val="24"/>
          <w:szCs w:val="32"/>
          <w:lang w:val="en-US" w:eastAsia="zh-CN" w:bidi="ar-SA"/>
        </w:rPr>
      </w:pPr>
      <w:r>
        <w:rPr>
          <w:rFonts w:hint="eastAsia" w:ascii="宋体" w:hAnsi="宋体" w:eastAsia="宋体" w:cs="宋体"/>
          <w:b w:val="0"/>
          <w:bCs w:val="0"/>
          <w:snapToGrid w:val="0"/>
          <w:kern w:val="28"/>
          <w:sz w:val="24"/>
          <w:szCs w:val="32"/>
          <w:lang w:val="zh-CN"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lang w:val="en-US" w:eastAsia="zh-CN"/>
        </w:rPr>
        <w:t>30</w:t>
      </w:r>
      <w:r>
        <w:rPr>
          <w:rFonts w:hint="eastAsia" w:cs="宋体"/>
          <w:b/>
        </w:rPr>
        <w:t>.验收</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pStyle w:val="962"/>
        <w:keepNext w:val="0"/>
        <w:keepLines w:val="0"/>
        <w:pageBreakBefore w:val="0"/>
        <w:widowControl w:val="0"/>
        <w:kinsoku/>
        <w:wordWrap/>
        <w:overflowPunct/>
        <w:topLinePunct w:val="0"/>
        <w:autoSpaceDE/>
        <w:autoSpaceDN/>
        <w:bidi w:val="0"/>
        <w:spacing w:line="360" w:lineRule="auto"/>
        <w:textAlignment w:val="auto"/>
        <w:rPr>
          <w:color w:val="auto"/>
          <w:highlight w:val="none"/>
        </w:rPr>
      </w:pPr>
      <w:bookmarkStart w:id="18" w:name="_Hlt75236011"/>
      <w:bookmarkEnd w:id="18"/>
      <w:bookmarkStart w:id="19" w:name="_Hlt74730295"/>
      <w:bookmarkEnd w:id="19"/>
      <w:bookmarkStart w:id="20" w:name="_Hlt68057669"/>
      <w:bookmarkEnd w:id="20"/>
      <w:bookmarkStart w:id="21" w:name="_Hlt68072990"/>
      <w:bookmarkEnd w:id="21"/>
      <w:bookmarkStart w:id="22" w:name="_Hlt75236101"/>
      <w:bookmarkEnd w:id="22"/>
      <w:bookmarkStart w:id="23" w:name="_Hlt75236290"/>
      <w:bookmarkEnd w:id="23"/>
      <w:bookmarkStart w:id="24" w:name="_Hlt68403820"/>
      <w:bookmarkEnd w:id="24"/>
      <w:bookmarkStart w:id="25" w:name="_Hlt74714665"/>
      <w:bookmarkEnd w:id="25"/>
      <w:bookmarkStart w:id="26" w:name="_Hlt68073093"/>
      <w:bookmarkEnd w:id="26"/>
      <w:bookmarkStart w:id="27" w:name="_Hlt74707468"/>
      <w:bookmarkEnd w:id="27"/>
      <w:bookmarkStart w:id="28" w:name="_Hlt68072998"/>
      <w:bookmarkEnd w:id="28"/>
      <w:bookmarkStart w:id="29" w:name="_Hlt74729768"/>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pPr>
        <w:adjustRightInd/>
        <w:spacing w:before="120" w:beforeLines="50" w:after="120" w:afterLines="50" w:line="360" w:lineRule="auto"/>
        <w:jc w:val="center"/>
        <w:outlineLvl w:val="1"/>
        <w:rPr>
          <w:rFonts w:asciiTheme="minorEastAsia" w:hAnsiTheme="minorEastAsia" w:eastAsiaTheme="minorEastAsia"/>
          <w:b/>
          <w:bCs/>
          <w:sz w:val="24"/>
        </w:rPr>
      </w:pPr>
      <w:r>
        <w:rPr>
          <w:rFonts w:hint="eastAsia" w:asciiTheme="minorEastAsia" w:hAnsiTheme="minorEastAsia" w:eastAsiaTheme="minorEastAsia"/>
          <w:b/>
          <w:bCs/>
          <w:sz w:val="24"/>
        </w:rPr>
        <w:t>属于实质性要求条款的，已用符号“▲”标明，否则属于非实质性要求。</w:t>
      </w:r>
    </w:p>
    <w:p>
      <w:pPr>
        <w:pStyle w:val="5"/>
        <w:keepNext w:val="0"/>
        <w:rPr>
          <w:rFonts w:ascii="宋体" w:hAnsi="宋体" w:eastAsia="宋体" w:cs="宋体"/>
          <w:szCs w:val="28"/>
        </w:rPr>
      </w:pPr>
      <w:r>
        <w:rPr>
          <w:rFonts w:hint="eastAsia" w:ascii="宋体" w:hAnsi="宋体" w:eastAsia="宋体" w:cs="宋体"/>
          <w:szCs w:val="28"/>
        </w:rPr>
        <w:t>一、项目概况</w:t>
      </w:r>
    </w:p>
    <w:p>
      <w:pPr>
        <w:pStyle w:val="5"/>
        <w:keepNext w:val="0"/>
        <w:ind w:left="433" w:leftChars="202" w:hanging="9" w:hangingChars="4"/>
        <w:rPr>
          <w:rFonts w:ascii="宋体" w:hAnsi="宋体" w:eastAsia="宋体" w:cs="宋体"/>
          <w:b w:val="0"/>
          <w:bCs w:val="0"/>
          <w:sz w:val="24"/>
          <w:szCs w:val="24"/>
        </w:rPr>
      </w:pPr>
      <w:r>
        <w:rPr>
          <w:rFonts w:hint="eastAsia" w:ascii="宋体" w:hAnsi="宋体" w:eastAsia="宋体" w:cs="宋体"/>
          <w:b w:val="0"/>
          <w:bCs w:val="0"/>
          <w:sz w:val="24"/>
          <w:szCs w:val="24"/>
        </w:rPr>
        <w:t>1、项目名称：杭州市翠苑中学信息化（二期）改造项目；</w:t>
      </w:r>
    </w:p>
    <w:p>
      <w:pPr>
        <w:pStyle w:val="5"/>
        <w:keepNext w:val="0"/>
        <w:ind w:left="433" w:leftChars="202" w:hanging="9" w:hangingChars="4"/>
        <w:rPr>
          <w:rFonts w:ascii="宋体" w:hAnsi="宋体" w:eastAsia="宋体" w:cs="宋体"/>
          <w:b w:val="0"/>
          <w:bCs w:val="0"/>
          <w:kern w:val="0"/>
          <w:sz w:val="24"/>
          <w:szCs w:val="24"/>
        </w:rPr>
      </w:pPr>
      <w:r>
        <w:rPr>
          <w:rFonts w:hint="eastAsia" w:ascii="宋体" w:hAnsi="宋体" w:eastAsia="宋体" w:cs="宋体"/>
          <w:b w:val="0"/>
          <w:bCs w:val="0"/>
          <w:kern w:val="0"/>
          <w:sz w:val="24"/>
          <w:szCs w:val="24"/>
        </w:rPr>
        <w:t>2、预算金额：</w:t>
      </w:r>
      <w:r>
        <w:rPr>
          <w:rFonts w:hint="eastAsia" w:ascii="宋体" w:hAnsi="宋体" w:eastAsia="宋体" w:cs="宋体"/>
          <w:b w:val="0"/>
          <w:bCs w:val="0"/>
          <w:kern w:val="0"/>
          <w:sz w:val="24"/>
          <w:szCs w:val="24"/>
          <w:lang w:val="en-US" w:eastAsia="zh-CN"/>
        </w:rPr>
        <w:t>80</w:t>
      </w:r>
      <w:r>
        <w:rPr>
          <w:rFonts w:hint="eastAsia" w:ascii="宋体" w:hAnsi="宋体" w:eastAsia="宋体" w:cs="宋体"/>
          <w:b w:val="0"/>
          <w:bCs w:val="0"/>
          <w:kern w:val="0"/>
          <w:sz w:val="24"/>
          <w:szCs w:val="24"/>
        </w:rPr>
        <w:t>万元；</w:t>
      </w:r>
    </w:p>
    <w:p>
      <w:pPr>
        <w:spacing w:line="360" w:lineRule="auto"/>
        <w:ind w:firstLine="480" w:firstLineChars="200"/>
        <w:rPr>
          <w:rFonts w:hAnsi="宋体" w:cs="宋体"/>
          <w:bCs/>
          <w:snapToGrid/>
          <w:color w:val="auto"/>
          <w:kern w:val="2"/>
          <w:sz w:val="24"/>
          <w:szCs w:val="24"/>
        </w:rPr>
      </w:pPr>
      <w:r>
        <w:rPr>
          <w:rFonts w:hint="eastAsia" w:ascii="宋体" w:hAnsi="宋体" w:cs="宋体"/>
          <w:sz w:val="24"/>
        </w:rPr>
        <w:t>3、项目内容：</w:t>
      </w:r>
      <w:r>
        <w:rPr>
          <w:rFonts w:hint="eastAsia" w:hAnsi="宋体" w:cs="宋体"/>
          <w:bCs/>
          <w:snapToGrid/>
          <w:color w:val="auto"/>
          <w:kern w:val="2"/>
          <w:sz w:val="24"/>
          <w:szCs w:val="24"/>
          <w:highlight w:val="none"/>
          <w:lang w:eastAsia="zh-CN"/>
        </w:rPr>
        <w:t>2024年杭州市翠苑中学信息化设备（二期）改造项目</w:t>
      </w:r>
      <w:r>
        <w:rPr>
          <w:rFonts w:hint="eastAsia" w:hAnsi="宋体" w:cs="宋体"/>
          <w:bCs/>
          <w:snapToGrid/>
          <w:color w:val="auto"/>
          <w:kern w:val="2"/>
          <w:sz w:val="24"/>
          <w:szCs w:val="24"/>
          <w:highlight w:val="none"/>
        </w:rPr>
        <w:t>，</w:t>
      </w:r>
      <w:r>
        <w:rPr>
          <w:rFonts w:hint="eastAsia" w:hAnsi="宋体"/>
          <w:sz w:val="24"/>
          <w:highlight w:val="none"/>
        </w:rPr>
        <w:t>主要内容包括</w:t>
      </w:r>
      <w:r>
        <w:rPr>
          <w:rFonts w:hint="eastAsia" w:hAnsi="宋体"/>
          <w:sz w:val="24"/>
          <w:highlight w:val="none"/>
          <w:lang w:eastAsia="zh-CN"/>
        </w:rPr>
        <w:t>：</w:t>
      </w:r>
      <w:r>
        <w:rPr>
          <w:rFonts w:hint="eastAsia" w:hAnsi="宋体" w:cs="宋体"/>
          <w:bCs/>
          <w:snapToGrid/>
          <w:color w:val="auto"/>
          <w:kern w:val="2"/>
          <w:sz w:val="24"/>
          <w:szCs w:val="24"/>
        </w:rPr>
        <w:t>防火墙、</w:t>
      </w:r>
      <w:r>
        <w:rPr>
          <w:rFonts w:hint="eastAsia" w:hAnsi="宋体" w:cs="宋体"/>
          <w:bCs/>
          <w:snapToGrid/>
          <w:color w:val="auto"/>
          <w:kern w:val="2"/>
          <w:sz w:val="24"/>
          <w:szCs w:val="24"/>
          <w:lang w:val="en-US" w:eastAsia="zh-CN"/>
        </w:rPr>
        <w:t>上网</w:t>
      </w:r>
      <w:r>
        <w:rPr>
          <w:rFonts w:hint="eastAsia" w:hAnsi="宋体" w:cs="宋体"/>
          <w:bCs/>
          <w:snapToGrid/>
          <w:color w:val="auto"/>
          <w:kern w:val="2"/>
          <w:sz w:val="24"/>
          <w:szCs w:val="24"/>
        </w:rPr>
        <w:t>行为管理的续保和升级服务、核心交换机1台，管理与认证准入1</w:t>
      </w:r>
      <w:r>
        <w:rPr>
          <w:rFonts w:hint="eastAsia" w:hAnsi="宋体" w:cs="宋体"/>
          <w:bCs/>
          <w:snapToGrid/>
          <w:color w:val="auto"/>
          <w:kern w:val="2"/>
          <w:sz w:val="24"/>
          <w:szCs w:val="24"/>
          <w:lang w:val="en-US" w:eastAsia="zh-CN"/>
        </w:rPr>
        <w:t>套</w:t>
      </w:r>
      <w:r>
        <w:rPr>
          <w:rFonts w:hint="eastAsia" w:hAnsi="宋体" w:cs="宋体"/>
          <w:bCs/>
          <w:snapToGrid/>
          <w:color w:val="auto"/>
          <w:kern w:val="2"/>
          <w:sz w:val="24"/>
          <w:szCs w:val="24"/>
        </w:rPr>
        <w:t>，无线管理授权1套，面板AP30台，放装AP100台，高密AP8台，室外</w:t>
      </w:r>
      <w:r>
        <w:rPr>
          <w:rFonts w:hint="eastAsia" w:hAnsi="宋体" w:cs="宋体"/>
          <w:bCs/>
          <w:snapToGrid/>
          <w:color w:val="auto"/>
          <w:kern w:val="2"/>
          <w:sz w:val="24"/>
          <w:szCs w:val="24"/>
          <w:lang w:val="en-US" w:eastAsia="zh-CN"/>
        </w:rPr>
        <w:t>定向</w:t>
      </w:r>
      <w:r>
        <w:rPr>
          <w:rFonts w:hint="eastAsia" w:hAnsi="宋体" w:cs="宋体"/>
          <w:bCs/>
          <w:snapToGrid/>
          <w:color w:val="auto"/>
          <w:kern w:val="2"/>
          <w:sz w:val="24"/>
          <w:szCs w:val="24"/>
        </w:rPr>
        <w:t>AP10台，24口万兆汇聚交换机1台，24口POE交换机（万兆上行）7台，48口交换机（万兆上行）1台，24口交换机（万兆上行）</w:t>
      </w:r>
      <w:r>
        <w:rPr>
          <w:rFonts w:hint="eastAsia" w:hAnsi="宋体" w:cs="宋体"/>
          <w:bCs/>
          <w:snapToGrid/>
          <w:color w:val="auto"/>
          <w:kern w:val="2"/>
          <w:sz w:val="24"/>
          <w:szCs w:val="24"/>
          <w:highlight w:val="none"/>
          <w:lang w:val="en-US" w:eastAsia="zh-CN"/>
        </w:rPr>
        <w:t>1</w:t>
      </w:r>
      <w:r>
        <w:rPr>
          <w:rFonts w:hint="eastAsia" w:hAnsi="宋体" w:cs="宋体"/>
          <w:bCs/>
          <w:snapToGrid/>
          <w:color w:val="auto"/>
          <w:kern w:val="2"/>
          <w:sz w:val="24"/>
          <w:szCs w:val="24"/>
        </w:rPr>
        <w:t>台，</w:t>
      </w:r>
      <w:r>
        <w:rPr>
          <w:rFonts w:hint="eastAsia" w:hAnsi="宋体" w:cs="宋体"/>
          <w:bCs/>
          <w:snapToGrid/>
          <w:color w:val="auto"/>
          <w:kern w:val="2"/>
          <w:sz w:val="24"/>
          <w:szCs w:val="24"/>
          <w:highlight w:val="none"/>
        </w:rPr>
        <w:t>8口POE交换机5台，</w:t>
      </w:r>
      <w:r>
        <w:rPr>
          <w:rFonts w:hint="eastAsia" w:hAnsi="宋体" w:cs="宋体"/>
          <w:bCs/>
          <w:snapToGrid/>
          <w:color w:val="auto"/>
          <w:kern w:val="2"/>
          <w:sz w:val="24"/>
          <w:szCs w:val="24"/>
        </w:rPr>
        <w:t>万兆单模光模块32个，无线运维1套，交换机管理图形化展示机1套，日志管理分析系统1套，新老机房故障无缝迁移系统1项，内网流量分析机1套，网络配置自动备份系统1</w:t>
      </w:r>
      <w:r>
        <w:rPr>
          <w:rFonts w:hint="eastAsia" w:hAnsi="宋体" w:cs="宋体"/>
          <w:bCs/>
          <w:snapToGrid/>
          <w:color w:val="auto"/>
          <w:kern w:val="2"/>
          <w:sz w:val="24"/>
          <w:szCs w:val="24"/>
          <w:lang w:val="en-US" w:eastAsia="zh-CN"/>
        </w:rPr>
        <w:t>套</w:t>
      </w:r>
      <w:r>
        <w:rPr>
          <w:rFonts w:hint="eastAsia" w:hAnsi="宋体" w:cs="宋体"/>
          <w:bCs/>
          <w:snapToGrid/>
          <w:color w:val="auto"/>
          <w:kern w:val="2"/>
          <w:sz w:val="24"/>
          <w:szCs w:val="24"/>
        </w:rPr>
        <w:t>，信息化安全漏洞扫描1套</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墙柜5台，标准机柜1台，加深机柜1台，UPS主机1台</w:t>
      </w:r>
      <w:r>
        <w:rPr>
          <w:rFonts w:hint="eastAsia" w:hAnsi="宋体" w:cs="宋体"/>
          <w:bCs/>
          <w:snapToGrid/>
          <w:color w:val="auto"/>
          <w:kern w:val="2"/>
          <w:sz w:val="24"/>
          <w:szCs w:val="24"/>
          <w:lang w:val="en-US" w:eastAsia="zh-CN"/>
        </w:rPr>
        <w:t>及配套辅材</w:t>
      </w:r>
      <w:r>
        <w:rPr>
          <w:rFonts w:hint="eastAsia" w:hAnsi="宋体" w:cs="宋体"/>
          <w:bCs/>
          <w:snapToGrid/>
          <w:color w:val="auto"/>
          <w:kern w:val="2"/>
          <w:sz w:val="24"/>
          <w:szCs w:val="24"/>
        </w:rPr>
        <w:t>等设备。</w:t>
      </w:r>
      <w:r>
        <w:rPr>
          <w:rFonts w:hAnsi="宋体" w:cs="宋体"/>
          <w:bCs/>
          <w:snapToGrid/>
          <w:color w:val="auto"/>
          <w:kern w:val="2"/>
          <w:sz w:val="24"/>
          <w:szCs w:val="24"/>
        </w:rPr>
        <w:t>具体包括设备供货、整体安装调试、集成、试运行、验收与相关的操作培训及不少于3年（含）7×24小时免费设备保修和售后现场技术服务等内容，质保期间每年提供定期巡检和重大活动保障服务。</w:t>
      </w:r>
    </w:p>
    <w:p>
      <w:pPr>
        <w:spacing w:line="360" w:lineRule="auto"/>
        <w:ind w:firstLine="480" w:firstLineChars="200"/>
        <w:rPr>
          <w:rFonts w:ascii="宋体" w:hAnsi="宋体" w:cs="宋体"/>
          <w:sz w:val="24"/>
        </w:rPr>
      </w:pPr>
      <w:r>
        <w:rPr>
          <w:rFonts w:hint="eastAsia" w:ascii="宋体" w:hAnsi="宋体" w:cs="宋体"/>
          <w:sz w:val="24"/>
        </w:rPr>
        <w:t>4、工期：合同签订后30天内完成设备及材料供货、安装、调试、试运行、正式验收及交付使用，具体应与工程施工总进度计划同步。</w:t>
      </w:r>
    </w:p>
    <w:p>
      <w:pPr>
        <w:pStyle w:val="5"/>
        <w:keepNext w:val="0"/>
        <w:rPr>
          <w:rFonts w:ascii="宋体" w:hAnsi="宋体" w:eastAsia="宋体" w:cs="宋体"/>
          <w:szCs w:val="28"/>
        </w:rPr>
      </w:pPr>
      <w:r>
        <w:rPr>
          <w:rFonts w:hint="eastAsia" w:ascii="宋体" w:hAnsi="宋体" w:eastAsia="宋体" w:cs="宋体"/>
          <w:szCs w:val="28"/>
        </w:rPr>
        <w:t>二、技术标准和规范：</w:t>
      </w:r>
    </w:p>
    <w:p>
      <w:pPr>
        <w:pStyle w:val="5"/>
        <w:keepNext w:val="0"/>
        <w:ind w:left="433" w:leftChars="202" w:hanging="9" w:hangingChars="4"/>
        <w:rPr>
          <w:rFonts w:ascii="宋体" w:hAnsi="宋体" w:eastAsia="宋体" w:cs="宋体"/>
          <w:b w:val="0"/>
          <w:bCs w:val="0"/>
          <w:sz w:val="24"/>
        </w:rPr>
      </w:pPr>
      <w:r>
        <w:rPr>
          <w:rFonts w:hint="eastAsia" w:ascii="宋体" w:hAnsi="宋体" w:eastAsia="宋体" w:cs="宋体"/>
          <w:b w:val="0"/>
          <w:bCs w:val="0"/>
          <w:sz w:val="24"/>
          <w:szCs w:val="24"/>
          <w:lang w:val="en-US"/>
        </w:rPr>
        <w:t>1、</w:t>
      </w:r>
      <w:r>
        <w:rPr>
          <w:rFonts w:hint="eastAsia" w:ascii="宋体" w:hAnsi="宋体" w:eastAsia="宋体" w:cs="宋体"/>
          <w:b w:val="0"/>
          <w:bCs w:val="0"/>
          <w:sz w:val="24"/>
          <w:szCs w:val="24"/>
        </w:rPr>
        <w:t>所有施工和材料所涉及的设计标准规范（如产品标准/规范、项目标准/规范</w:t>
      </w:r>
      <w:r>
        <w:rPr>
          <w:rFonts w:hint="eastAsia" w:ascii="宋体" w:hAnsi="宋体" w:eastAsia="宋体" w:cs="宋体"/>
          <w:b w:val="0"/>
          <w:bCs w:val="0"/>
          <w:sz w:val="24"/>
        </w:rPr>
        <w:t>、验收标准/规范等）必须完全符合所有中华人民共和国的标准及规范。</w:t>
      </w:r>
    </w:p>
    <w:p>
      <w:pPr>
        <w:tabs>
          <w:tab w:val="left" w:pos="1050"/>
        </w:tabs>
        <w:spacing w:line="360" w:lineRule="auto"/>
        <w:ind w:firstLine="420" w:firstLineChars="175"/>
        <w:rPr>
          <w:rFonts w:ascii="宋体" w:hAnsi="宋体" w:cs="宋体"/>
          <w:sz w:val="24"/>
        </w:rPr>
      </w:pPr>
      <w:r>
        <w:rPr>
          <w:rFonts w:hint="eastAsia" w:ascii="宋体" w:hAnsi="宋体" w:cs="宋体"/>
          <w:sz w:val="24"/>
        </w:rPr>
        <w:t>2、投标人采用其它标准和规范时，应在投标文件中注明是采用何种标准，并应保证设备达到或优于国家规定的现行相关标准。</w:t>
      </w:r>
    </w:p>
    <w:p>
      <w:pPr>
        <w:tabs>
          <w:tab w:val="left" w:pos="1050"/>
        </w:tabs>
        <w:spacing w:line="360" w:lineRule="auto"/>
        <w:ind w:firstLine="420" w:firstLineChars="175"/>
        <w:rPr>
          <w:rFonts w:ascii="宋体" w:hAnsi="宋体" w:cs="宋体"/>
          <w:sz w:val="24"/>
        </w:rPr>
      </w:pPr>
      <w:r>
        <w:rPr>
          <w:rFonts w:hint="eastAsia" w:ascii="宋体" w:hAnsi="宋体" w:cs="宋体"/>
          <w:sz w:val="24"/>
        </w:rPr>
        <w:t>3、对国家规定有强制性规范或条例或认证要求的设备或材料，投标人提供的设备或材料应符合该类要求。</w:t>
      </w:r>
    </w:p>
    <w:p>
      <w:pPr>
        <w:tabs>
          <w:tab w:val="left" w:pos="1050"/>
        </w:tabs>
        <w:spacing w:line="360" w:lineRule="auto"/>
        <w:ind w:firstLine="420" w:firstLineChars="175"/>
        <w:rPr>
          <w:rFonts w:ascii="宋体" w:hAnsi="宋体" w:cs="宋体"/>
          <w:sz w:val="24"/>
        </w:rPr>
      </w:pPr>
      <w:r>
        <w:rPr>
          <w:rFonts w:hint="eastAsia" w:ascii="宋体" w:hAnsi="宋体" w:cs="宋体"/>
          <w:sz w:val="24"/>
        </w:rPr>
        <w:t>4、产品必须性能可靠、系统配合度高、能长期稳定运行；产品要和现有设备兼容。</w:t>
      </w:r>
    </w:p>
    <w:p/>
    <w:p>
      <w:pPr>
        <w:tabs>
          <w:tab w:val="left" w:pos="0"/>
        </w:tabs>
        <w:spacing w:line="360" w:lineRule="auto"/>
        <w:ind w:firstLine="480"/>
        <w:rPr>
          <w:rFonts w:ascii="宋体" w:hAnsi="宋体" w:cs="宋体"/>
          <w:sz w:val="18"/>
          <w:szCs w:val="18"/>
        </w:rPr>
      </w:pPr>
    </w:p>
    <w:p>
      <w:pPr>
        <w:tabs>
          <w:tab w:val="left" w:pos="0"/>
        </w:tabs>
        <w:spacing w:line="360" w:lineRule="auto"/>
        <w:ind w:firstLine="480"/>
        <w:rPr>
          <w:rFonts w:ascii="宋体" w:hAnsi="宋体" w:cs="宋体"/>
          <w:kern w:val="0"/>
          <w:sz w:val="24"/>
        </w:rPr>
        <w:sectPr>
          <w:headerReference r:id="rId9" w:type="first"/>
          <w:footerReference r:id="rId12" w:type="first"/>
          <w:headerReference r:id="rId8" w:type="default"/>
          <w:footerReference r:id="rId10" w:type="default"/>
          <w:footerReference r:id="rId11" w:type="even"/>
          <w:pgSz w:w="11906" w:h="16838"/>
          <w:pgMar w:top="680" w:right="1418" w:bottom="468" w:left="1418" w:header="851" w:footer="992" w:gutter="0"/>
          <w:cols w:space="720" w:num="1"/>
          <w:titlePg/>
          <w:docGrid w:linePitch="312" w:charSpace="0"/>
        </w:sectPr>
      </w:pPr>
    </w:p>
    <w:p>
      <w:pPr>
        <w:pStyle w:val="4"/>
        <w:keepNext w:val="0"/>
        <w:numPr>
          <w:ilvl w:val="0"/>
          <w:numId w:val="1"/>
        </w:numPr>
        <w:spacing w:line="360" w:lineRule="auto"/>
        <w:ind w:left="0" w:leftChars="0" w:firstLineChars="0"/>
        <w:jc w:val="left"/>
        <w:rPr>
          <w:rFonts w:ascii="宋体" w:hAnsi="宋体" w:cs="宋体"/>
          <w:sz w:val="28"/>
          <w:szCs w:val="28"/>
        </w:rPr>
      </w:pPr>
      <w:r>
        <w:rPr>
          <w:rFonts w:hint="eastAsia" w:ascii="宋体" w:hAnsi="宋体" w:cs="宋体"/>
          <w:sz w:val="28"/>
          <w:szCs w:val="28"/>
        </w:rPr>
        <w:t>项目建设清单及技术要求</w:t>
      </w:r>
    </w:p>
    <w:tbl>
      <w:tblPr>
        <w:tblStyle w:val="62"/>
        <w:tblW w:w="8945" w:type="dxa"/>
        <w:tblInd w:w="-612" w:type="dxa"/>
        <w:tblLayout w:type="autofit"/>
        <w:tblCellMar>
          <w:top w:w="0" w:type="dxa"/>
          <w:left w:w="108" w:type="dxa"/>
          <w:bottom w:w="0" w:type="dxa"/>
          <w:right w:w="108" w:type="dxa"/>
        </w:tblCellMar>
      </w:tblPr>
      <w:tblGrid>
        <w:gridCol w:w="625"/>
        <w:gridCol w:w="1380"/>
        <w:gridCol w:w="5132"/>
        <w:gridCol w:w="816"/>
        <w:gridCol w:w="992"/>
      </w:tblGrid>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名称</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参数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r>
      <w:tr>
        <w:tblPrEx>
          <w:tblCellMar>
            <w:top w:w="0" w:type="dxa"/>
            <w:left w:w="108" w:type="dxa"/>
            <w:bottom w:w="0" w:type="dxa"/>
            <w:right w:w="108" w:type="dxa"/>
          </w:tblCellMar>
        </w:tblPrEx>
        <w:trPr>
          <w:trHeight w:val="94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防火墙三年续保升级</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spacing w:line="24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提供现有防火墙产品网神    NSG3000-TE45P-Q 的三年硬件质保；</w:t>
            </w:r>
          </w:p>
          <w:p>
            <w:pPr>
              <w:widowControl/>
              <w:numPr>
                <w:ilvl w:val="0"/>
                <w:numId w:val="2"/>
              </w:numPr>
              <w:spacing w:line="24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三年软件升级；</w:t>
            </w:r>
          </w:p>
          <w:p>
            <w:pPr>
              <w:widowControl/>
              <w:numPr>
                <w:ilvl w:val="0"/>
                <w:numId w:val="2"/>
              </w:numPr>
              <w:spacing w:line="24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三年漏洞修复；</w:t>
            </w:r>
          </w:p>
          <w:p>
            <w:pPr>
              <w:widowControl/>
              <w:spacing w:line="240" w:lineRule="auto"/>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、三年内技术支持服务</w:t>
            </w:r>
            <w:r>
              <w:rPr>
                <w:rFonts w:hint="eastAsia" w:ascii="宋体" w:hAnsi="宋体" w:cs="宋体"/>
                <w:color w:val="000000"/>
                <w:sz w:val="24"/>
                <w:szCs w:val="24"/>
                <w:lang w:eastAsia="zh-CN"/>
              </w:rPr>
              <w:t>；</w:t>
            </w:r>
          </w:p>
          <w:p>
            <w:pPr>
              <w:widowControl/>
              <w:spacing w:line="240" w:lineRule="auto"/>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、三年内巡查服务</w:t>
            </w:r>
            <w:r>
              <w:rPr>
                <w:rFonts w:hint="eastAsia" w:ascii="宋体" w:hAnsi="宋体" w:cs="宋体"/>
                <w:color w:val="000000"/>
                <w:sz w:val="24"/>
                <w:szCs w:val="24"/>
                <w:lang w:eastAsia="zh-CN"/>
              </w:rPr>
              <w:t>；</w:t>
            </w:r>
          </w:p>
          <w:p>
            <w:pPr>
              <w:pStyle w:val="2"/>
              <w:spacing w:line="240" w:lineRule="auto"/>
              <w:rPr>
                <w:rFonts w:hint="eastAsia" w:eastAsia="宋体"/>
                <w:b/>
                <w:bCs/>
                <w:lang w:val="en-US" w:eastAsia="zh-CN"/>
              </w:rPr>
            </w:pP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投标时提供</w:t>
            </w:r>
            <w:r>
              <w:rPr>
                <w:rFonts w:hint="eastAsia" w:ascii="宋体" w:hAnsi="宋体" w:eastAsia="宋体" w:cs="宋体"/>
                <w:b/>
                <w:bCs/>
                <w:color w:val="000000"/>
                <w:sz w:val="24"/>
                <w:szCs w:val="24"/>
                <w:lang w:val="en-US" w:eastAsia="zh-CN"/>
              </w:rPr>
              <w:t>三年</w:t>
            </w:r>
            <w:r>
              <w:rPr>
                <w:rFonts w:hint="eastAsia" w:ascii="宋体" w:hAnsi="宋体" w:eastAsia="宋体" w:cs="宋体"/>
                <w:b/>
                <w:bCs/>
                <w:color w:val="000000"/>
                <w:sz w:val="24"/>
                <w:szCs w:val="24"/>
              </w:rPr>
              <w:t>质保服务承诺函</w:t>
            </w:r>
            <w:r>
              <w:rPr>
                <w:rFonts w:hint="eastAsia" w:hAnsi="宋体" w:cs="宋体"/>
                <w:b/>
                <w:bCs/>
                <w:color w:val="000000"/>
                <w:sz w:val="24"/>
                <w:szCs w:val="24"/>
                <w:lang w:eastAsia="zh-CN"/>
              </w:rPr>
              <w:t>；</w:t>
            </w:r>
          </w:p>
          <w:p>
            <w:pPr>
              <w:pStyle w:val="2"/>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三年应用控制、URL过滤、病毒防护、入侵防御、威胁情报检测等特征库升级</w:t>
            </w:r>
            <w:r>
              <w:rPr>
                <w:rFonts w:hint="eastAsia" w:ascii="宋体" w:hAnsi="宋体" w:eastAsia="宋体" w:cs="宋体"/>
                <w:color w:val="000000"/>
                <w:sz w:val="24"/>
                <w:szCs w:val="24"/>
                <w:lang w:eastAsia="zh-CN"/>
              </w:rPr>
              <w:t>，</w:t>
            </w:r>
          </w:p>
          <w:p>
            <w:pPr>
              <w:pStyle w:val="2"/>
              <w:spacing w:line="240" w:lineRule="auto"/>
              <w:rPr>
                <w:rFonts w:hint="eastAsia" w:ascii="宋体" w:hAnsi="宋体" w:eastAsia="宋体" w:cs="宋体"/>
                <w:color w:val="000000"/>
                <w:sz w:val="24"/>
                <w:szCs w:val="24"/>
                <w:lang w:eastAsia="zh-CN"/>
              </w:rPr>
            </w:pPr>
          </w:p>
          <w:p>
            <w:pPr>
              <w:pStyle w:val="2"/>
              <w:spacing w:line="24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升级后参数详见下列详细阐述：</w:t>
            </w:r>
          </w:p>
          <w:p>
            <w:pPr>
              <w:pStyle w:val="2"/>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（若供应商无法证明对该防火墙的有续保升级服务能力。则提供不低于下列升级后参数产品应标）：</w:t>
            </w:r>
          </w:p>
          <w:p>
            <w:pPr>
              <w:rPr>
                <w:rFonts w:hint="eastAsia" w:ascii="宋体" w:hAnsi="宋体" w:eastAsia="宋体" w:cs="宋体"/>
                <w:b/>
                <w:bCs/>
                <w:color w:val="000000"/>
                <w:kern w:val="0"/>
                <w:sz w:val="24"/>
                <w:szCs w:val="24"/>
                <w:lang w:eastAsia="zh-CN"/>
              </w:rPr>
            </w:pPr>
            <w:r>
              <w:rPr>
                <w:rFonts w:hint="eastAsia" w:ascii="宋体" w:hAnsi="宋体" w:eastAsia="宋体" w:cs="宋体"/>
                <w:b w:val="0"/>
                <w:bCs w:val="0"/>
                <w:color w:val="000000"/>
                <w:kern w:val="0"/>
                <w:sz w:val="24"/>
                <w:szCs w:val="24"/>
              </w:rPr>
              <w:t xml:space="preserve">1、1U机箱，冗余电源，12个10/100/1000M自适应电口、6个SFP千兆光接口和2个万兆光接口,1个Console口，支持扩展存储硬盘；网络处理能力10Gbps，并发连接≥180万，每秒新建连接10万/秒，含三年硬件维保服务 </w:t>
            </w:r>
            <w:r>
              <w:rPr>
                <w:rFonts w:hint="eastAsia" w:ascii="宋体" w:hAnsi="宋体" w:eastAsia="宋体" w:cs="宋体"/>
                <w:b/>
                <w:bCs/>
                <w:color w:val="000000"/>
                <w:kern w:val="0"/>
                <w:sz w:val="24"/>
                <w:szCs w:val="24"/>
              </w:rPr>
              <w:t>（提供硬件设备面板照片实图）</w:t>
            </w:r>
            <w:r>
              <w:rPr>
                <w:rFonts w:hint="eastAsia" w:ascii="宋体" w:hAnsi="宋体" w:cs="宋体"/>
                <w:b/>
                <w:bCs/>
                <w:color w:val="000000"/>
                <w:kern w:val="0"/>
                <w:sz w:val="24"/>
                <w:szCs w:val="24"/>
                <w:lang w:eastAsia="zh-CN"/>
              </w:rPr>
              <w:t>；</w:t>
            </w:r>
          </w:p>
          <w:p>
            <w:pPr>
              <w:pStyle w:val="965"/>
              <w:spacing w:before="48" w:after="48"/>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2、包含访问控制、地址转换、静态路由、动态路由、策略路由、流量控制、VPN等基础功能，多核AMP+架构； </w:t>
            </w:r>
          </w:p>
          <w:p>
            <w:pPr>
              <w:pStyle w:val="965"/>
              <w:spacing w:before="48" w:after="48"/>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3、支持路由、透明、交换以及混合模式接入，满足复杂应用环境的接入需求。支持旁路模式；</w:t>
            </w:r>
          </w:p>
          <w:p>
            <w:pPr>
              <w:pStyle w:val="965"/>
              <w:spacing w:before="48" w:after="48"/>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4、支持静态路由、策略路由及动态路由。策略路由支持用户自定义其优先级，动态路由应至少支持RIP v1/v2/ng， OSPFv2/v3，BGP4/4+协议</w:t>
            </w:r>
            <w:r>
              <w:rPr>
                <w:rFonts w:hint="eastAsia" w:ascii="宋体" w:hAnsi="宋体" w:cs="宋体"/>
                <w:color w:val="000000"/>
                <w:sz w:val="24"/>
                <w:szCs w:val="24"/>
                <w:lang w:eastAsia="zh-CN"/>
              </w:rPr>
              <w:t>；</w:t>
            </w:r>
          </w:p>
          <w:p>
            <w:pPr>
              <w:pStyle w:val="965"/>
              <w:spacing w:before="48" w:after="48"/>
              <w:ind w:firstLine="0" w:firstLineChars="0"/>
              <w:rPr>
                <w:rFonts w:hint="eastAsia" w:ascii="宋体" w:hAnsi="宋体" w:eastAsia="宋体" w:cs="宋体"/>
                <w:b/>
                <w:bCs/>
                <w:color w:val="000000"/>
                <w:sz w:val="24"/>
                <w:szCs w:val="24"/>
                <w:highlight w:val="none"/>
              </w:rPr>
            </w:pPr>
            <w:r>
              <w:rPr>
                <w:rFonts w:hint="eastAsia" w:ascii="宋体" w:hAnsi="宋体" w:eastAsia="宋体" w:cs="宋体"/>
                <w:b w:val="0"/>
                <w:bCs w:val="0"/>
                <w:color w:val="000000"/>
                <w:sz w:val="24"/>
                <w:szCs w:val="24"/>
                <w:highlight w:val="none"/>
              </w:rPr>
              <w:t>5、必须支持与</w:t>
            </w:r>
            <w:r>
              <w:rPr>
                <w:rFonts w:hint="eastAsia" w:ascii="宋体" w:hAnsi="宋体" w:eastAsia="宋体" w:cs="宋体"/>
                <w:b w:val="0"/>
                <w:bCs w:val="0"/>
                <w:color w:val="000000"/>
                <w:sz w:val="24"/>
                <w:szCs w:val="24"/>
                <w:highlight w:val="none"/>
                <w:lang w:val="en-US" w:eastAsia="zh-CN"/>
              </w:rPr>
              <w:t>学校现有</w:t>
            </w:r>
            <w:r>
              <w:rPr>
                <w:rFonts w:hint="eastAsia" w:ascii="宋体" w:hAnsi="宋体" w:eastAsia="宋体" w:cs="宋体"/>
                <w:b w:val="0"/>
                <w:bCs w:val="0"/>
                <w:color w:val="000000"/>
                <w:sz w:val="24"/>
                <w:szCs w:val="24"/>
                <w:highlight w:val="none"/>
              </w:rPr>
              <w:t>桌面杀毒或终端管理软件</w:t>
            </w:r>
            <w:r>
              <w:rPr>
                <w:rFonts w:hint="eastAsia" w:ascii="宋体" w:hAnsi="宋体" w:cs="宋体"/>
                <w:b w:val="0"/>
                <w:bCs w:val="0"/>
                <w:color w:val="000000"/>
                <w:sz w:val="24"/>
                <w:szCs w:val="24"/>
                <w:highlight w:val="none"/>
                <w:lang w:eastAsia="zh-CN"/>
              </w:rPr>
              <w:t>（天擎终端安全管理系统V10.0）</w:t>
            </w:r>
            <w:r>
              <w:rPr>
                <w:rFonts w:hint="eastAsia" w:ascii="宋体" w:hAnsi="宋体" w:eastAsia="宋体" w:cs="宋体"/>
                <w:b w:val="0"/>
                <w:bCs w:val="0"/>
                <w:color w:val="000000"/>
                <w:sz w:val="24"/>
                <w:szCs w:val="24"/>
                <w:highlight w:val="none"/>
              </w:rPr>
              <w:t>联动，实现基于终端健康状态的访问控制；并支持阻断“高风险”终端网络活动的同时，提示被阻断原因及重定向自定义网址。</w:t>
            </w:r>
            <w:r>
              <w:rPr>
                <w:rFonts w:hint="eastAsia" w:ascii="宋体" w:hAnsi="宋体" w:eastAsia="宋体" w:cs="宋体"/>
                <w:b/>
                <w:bCs/>
                <w:color w:val="000000"/>
                <w:sz w:val="24"/>
                <w:szCs w:val="24"/>
                <w:highlight w:val="none"/>
              </w:rPr>
              <w:t>（投标文件需要提供能够体现上述功能及配置选项的截图</w:t>
            </w:r>
            <w:r>
              <w:rPr>
                <w:rFonts w:hint="eastAsia" w:ascii="宋体" w:hAnsi="宋体" w:cs="宋体"/>
                <w:b/>
                <w:bCs/>
                <w:color w:val="000000"/>
                <w:sz w:val="24"/>
                <w:szCs w:val="24"/>
                <w:highlight w:val="none"/>
                <w:lang w:val="en-US" w:eastAsia="zh-CN"/>
              </w:rPr>
              <w:t>并出具联动证明函</w:t>
            </w:r>
            <w:r>
              <w:rPr>
                <w:rFonts w:hint="eastAsia" w:ascii="宋体" w:hAnsi="宋体" w:eastAsia="宋体" w:cs="宋体"/>
                <w:b/>
                <w:bCs/>
                <w:color w:val="000000"/>
                <w:sz w:val="24"/>
                <w:szCs w:val="24"/>
                <w:highlight w:val="none"/>
              </w:rPr>
              <w:t>）；</w:t>
            </w:r>
          </w:p>
          <w:p>
            <w:pPr>
              <w:pStyle w:val="965"/>
              <w:spacing w:before="48" w:after="48"/>
              <w:ind w:firstLine="0" w:firstLineChars="0"/>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rPr>
              <w:t>6、所投产品支持ISP路由负载均衡，最大可支持8条链路负载，支持自定义负载权重，支持基于优先级的ISP路由链路备份；支持基于IPv4或IPv6的TCP、HTTP、DNS、ICMP等方式的链路探测，同时TCP与HTTP可使用自定义目标端口进行测试</w:t>
            </w:r>
            <w:r>
              <w:rPr>
                <w:rFonts w:hint="eastAsia" w:ascii="宋体" w:hAnsi="宋体" w:eastAsia="宋体" w:cs="宋体"/>
                <w:b/>
                <w:bCs/>
                <w:color w:val="000000"/>
                <w:sz w:val="24"/>
                <w:szCs w:val="24"/>
              </w:rPr>
              <w:t>（需要提供能够体现上述功能及配置选项的截图）</w:t>
            </w:r>
            <w:r>
              <w:rPr>
                <w:rFonts w:hint="eastAsia" w:ascii="宋体" w:hAnsi="宋体" w:cs="宋体"/>
                <w:b/>
                <w:bCs/>
                <w:color w:val="000000"/>
                <w:sz w:val="24"/>
                <w:szCs w:val="24"/>
                <w:lang w:eastAsia="zh-CN"/>
              </w:rPr>
              <w:t>；</w:t>
            </w:r>
          </w:p>
          <w:p>
            <w:pPr>
              <w:pStyle w:val="965"/>
              <w:spacing w:before="48" w:after="48"/>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7、所投产品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w:t>
            </w:r>
          </w:p>
          <w:p>
            <w:pPr>
              <w:pStyle w:val="965"/>
              <w:spacing w:before="48" w:after="48"/>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8、所投产品支持应用识别，应用特征库包含的应用数量（非应用协议的规则总数）大于2800种，可深度识别每种应用的属性，为每种应用提供预定义的风险系数，并将应用基于类型、使用场景、数据传输、风险等级等特征分类</w:t>
            </w:r>
            <w:r>
              <w:rPr>
                <w:rFonts w:hint="eastAsia" w:ascii="宋体" w:hAnsi="宋体" w:eastAsia="宋体" w:cs="宋体"/>
                <w:b/>
                <w:bCs/>
                <w:color w:val="000000"/>
                <w:sz w:val="24"/>
                <w:szCs w:val="24"/>
              </w:rPr>
              <w:t>（需要提供能够体现上述功能及配置选项的截图）</w:t>
            </w:r>
            <w:r>
              <w:rPr>
                <w:rFonts w:hint="eastAsia" w:ascii="宋体" w:hAnsi="宋体" w:eastAsia="宋体" w:cs="宋体"/>
                <w:color w:val="000000"/>
                <w:sz w:val="24"/>
                <w:szCs w:val="24"/>
              </w:rPr>
              <w:t>为每种应用提供预定义的风险系数，并将应用基于类型、使用场景、数据传输、风险等级等特征分类。</w:t>
            </w:r>
          </w:p>
          <w:p>
            <w:pPr>
              <w:pStyle w:val="965"/>
              <w:spacing w:before="48" w:after="48"/>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9、所投产品必须支持基于用户的访问控制，可与LDAP/Radius/证书/Active Directory/TACACS+/POP3等用户认证系统联动。</w:t>
            </w:r>
          </w:p>
          <w:p>
            <w:pPr>
              <w:widowControl/>
              <w:spacing w:line="276" w:lineRule="auto"/>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rPr>
              <w:t>10、所投产品必须支持802.1x认证，要求支持基于端口和MAC两种接入控制方式；所投产品支持管理用户、VPN用户、WebAuth用户的双因素认证；</w:t>
            </w:r>
            <w:r>
              <w:rPr>
                <w:rFonts w:hint="eastAsia" w:ascii="宋体" w:hAnsi="宋体" w:eastAsia="宋体" w:cs="宋体"/>
                <w:color w:val="000000"/>
                <w:sz w:val="24"/>
                <w:szCs w:val="24"/>
              </w:rPr>
              <w:t>支持二层MAC地址IP地址绑定；支持跨三层MAC地址IP地址绑定</w:t>
            </w:r>
            <w:r>
              <w:rPr>
                <w:rFonts w:hint="eastAsia" w:ascii="宋体" w:hAnsi="宋体" w:cs="宋体"/>
                <w:color w:val="000000"/>
                <w:sz w:val="24"/>
                <w:szCs w:val="24"/>
                <w:lang w:eastAsia="zh-CN"/>
              </w:rPr>
              <w:t>；</w:t>
            </w:r>
          </w:p>
          <w:p>
            <w:pPr>
              <w:pStyle w:val="965"/>
              <w:spacing w:before="48" w:after="48"/>
              <w:ind w:firstLine="0" w:firstLineChars="0"/>
              <w:rPr>
                <w:rFonts w:hint="eastAsia" w:ascii="宋体" w:hAnsi="宋体" w:eastAsia="宋体" w:cs="宋体"/>
                <w:b/>
                <w:bCs/>
                <w:color w:val="000000"/>
                <w:sz w:val="24"/>
                <w:szCs w:val="24"/>
                <w:lang w:eastAsia="zh-CN"/>
              </w:rPr>
            </w:pPr>
            <w:r>
              <w:rPr>
                <w:rFonts w:hint="eastAsia" w:ascii="宋体" w:hAnsi="宋体" w:eastAsia="宋体" w:cs="宋体"/>
                <w:b w:val="0"/>
                <w:bCs w:val="0"/>
                <w:color w:val="000000"/>
                <w:sz w:val="24"/>
                <w:szCs w:val="24"/>
              </w:rPr>
              <w:t>11、所投产品支持对应用的文件传输行为进行上传、下载、双向的文件类型过滤，应用至少包含即时通讯、常用协议、文件共享、论坛、博客、网页邮件五种分类</w:t>
            </w:r>
            <w:r>
              <w:rPr>
                <w:rFonts w:hint="eastAsia" w:ascii="宋体" w:hAnsi="宋体" w:eastAsia="宋体" w:cs="宋体"/>
                <w:b/>
                <w:bCs/>
                <w:color w:val="000000"/>
                <w:sz w:val="24"/>
                <w:szCs w:val="24"/>
              </w:rPr>
              <w:t>（需提供支持的应用分类和对应的设备配置截图）</w:t>
            </w:r>
            <w:r>
              <w:rPr>
                <w:rFonts w:hint="eastAsia" w:ascii="宋体" w:hAnsi="宋体" w:cs="宋体"/>
                <w:b/>
                <w:bCs/>
                <w:color w:val="000000"/>
                <w:sz w:val="24"/>
                <w:szCs w:val="24"/>
                <w:lang w:eastAsia="zh-CN"/>
              </w:rPr>
              <w:t>；</w:t>
            </w:r>
          </w:p>
          <w:p>
            <w:pPr>
              <w:pStyle w:val="965"/>
              <w:spacing w:before="48" w:after="48"/>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12、所投产品必须支持上传、下载、双向的文件内容过滤；内容过滤支持手工及文件批量导入两种方式进行敏感信息定义；内容过滤至少支持html、doc、docx、xls、xlsx、ppt、pptx、chm、7z等30种常见文件类型；文件类型识别基于文件特征而非扩展名，更改文件扩展名后仍可有效识别</w:t>
            </w:r>
            <w:r>
              <w:rPr>
                <w:rFonts w:hint="eastAsia" w:ascii="宋体" w:hAnsi="宋体" w:cs="宋体"/>
                <w:color w:val="000000"/>
                <w:sz w:val="24"/>
                <w:szCs w:val="24"/>
                <w:lang w:eastAsia="zh-CN"/>
              </w:rPr>
              <w:t>；</w:t>
            </w:r>
          </w:p>
          <w:p>
            <w:pPr>
              <w:pStyle w:val="965"/>
              <w:spacing w:before="48" w:after="48"/>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13、所投产品必须支持多调度类相互嵌套最大5级的带宽管理设置。支持设置每IP最大或最小带宽，支持对每IP进行带宽配额管理，可通过优先级实现多应用的差分服务，并支持对剩余带宽进行基于优先级的动态分配</w:t>
            </w:r>
            <w:r>
              <w:rPr>
                <w:rFonts w:hint="eastAsia" w:ascii="宋体" w:hAnsi="宋体" w:cs="宋体"/>
                <w:color w:val="000000"/>
                <w:sz w:val="24"/>
                <w:szCs w:val="24"/>
                <w:lang w:eastAsia="zh-CN"/>
              </w:rPr>
              <w:t>；</w:t>
            </w:r>
          </w:p>
          <w:p>
            <w:pPr>
              <w:widowControl/>
              <w:spacing w:line="276" w:lineRule="auto"/>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rPr>
              <w:t>14、所投产品必须能够对HTTP/FTP/POP3/SMTP/IMAP/SMB六种协议进行病毒查杀</w:t>
            </w:r>
            <w:r>
              <w:rPr>
                <w:rFonts w:hint="eastAsia" w:ascii="宋体" w:hAnsi="宋体" w:eastAsia="宋体" w:cs="宋体"/>
                <w:b/>
                <w:bCs/>
                <w:color w:val="000000"/>
                <w:kern w:val="0"/>
                <w:sz w:val="24"/>
                <w:szCs w:val="24"/>
              </w:rPr>
              <w:t>（需提供支持的应用分类和对应的设备配置截图）；</w:t>
            </w:r>
          </w:p>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本地病毒库规模大于3000万；支持对最多6级的压缩文件进行解压查杀</w:t>
            </w:r>
            <w:r>
              <w:rPr>
                <w:rFonts w:hint="eastAsia" w:ascii="宋体" w:hAnsi="宋体" w:cs="宋体"/>
                <w:color w:val="000000"/>
                <w:kern w:val="0"/>
                <w:sz w:val="24"/>
                <w:szCs w:val="24"/>
                <w:lang w:eastAsia="zh-CN"/>
              </w:rPr>
              <w:t>；</w:t>
            </w:r>
          </w:p>
          <w:p>
            <w:pPr>
              <w:pStyle w:val="965"/>
              <w:spacing w:before="48" w:after="48"/>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支持基于MD5的自定义病毒签名；支持设置例外特征，对特定的病毒特征不进行查杀</w:t>
            </w:r>
            <w:r>
              <w:rPr>
                <w:rFonts w:hint="eastAsia" w:ascii="宋体" w:hAnsi="宋体" w:cs="宋体"/>
                <w:color w:val="000000"/>
                <w:sz w:val="24"/>
                <w:szCs w:val="24"/>
                <w:lang w:eastAsia="zh-CN"/>
              </w:rPr>
              <w:t>；</w:t>
            </w:r>
          </w:p>
          <w:p>
            <w:pPr>
              <w:pStyle w:val="965"/>
              <w:spacing w:before="48" w:after="48"/>
              <w:ind w:firstLine="0" w:firstLineChars="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rPr>
              <w:t>★15、所投产品必须支持共享上网检测功能，支持共享接入检测和共享接入管控功能，可以通过设置管控地址和例外地址优化管控功能，同时支持阻断或告警动作（投标文件需要提供能够体现上述功能及配置选项的截图）</w:t>
            </w:r>
            <w:r>
              <w:rPr>
                <w:rFonts w:hint="eastAsia" w:ascii="宋体" w:hAnsi="宋体" w:cs="宋体"/>
                <w:b/>
                <w:bCs/>
                <w:color w:val="000000"/>
                <w:sz w:val="24"/>
                <w:szCs w:val="24"/>
                <w:lang w:eastAsia="zh-CN"/>
              </w:rPr>
              <w:t>；</w:t>
            </w:r>
          </w:p>
          <w:p>
            <w:pPr>
              <w:pStyle w:val="965"/>
              <w:spacing w:before="48" w:after="48"/>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16、所投产品必须支持业务接口下Netflow功能，能够通过Netflow实现对网络进行监控，对接口流量进行抓包，并在可将Netflow抓包文件数据外发</w:t>
            </w:r>
            <w:r>
              <w:rPr>
                <w:rFonts w:hint="eastAsia" w:ascii="宋体" w:hAnsi="宋体" w:eastAsia="宋体" w:cs="宋体"/>
                <w:b/>
                <w:bCs/>
                <w:color w:val="000000"/>
                <w:sz w:val="24"/>
                <w:szCs w:val="24"/>
              </w:rPr>
              <w:t>（投标文件需提供能够体现上述功能及配置选项截图）</w:t>
            </w:r>
            <w:r>
              <w:rPr>
                <w:rFonts w:hint="eastAsia" w:ascii="宋体" w:hAnsi="宋体" w:cs="宋体"/>
                <w:b/>
                <w:bCs/>
                <w:color w:val="000000"/>
                <w:sz w:val="24"/>
                <w:szCs w:val="24"/>
                <w:lang w:eastAsia="zh-CN"/>
              </w:rPr>
              <w:t>；</w:t>
            </w:r>
          </w:p>
          <w:p>
            <w:pPr>
              <w:pStyle w:val="965"/>
              <w:spacing w:before="48" w:after="48"/>
              <w:ind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★17、所投产品必须支持VTEP（VxLan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Identifier）、远程VTEP，手动管理VxLan网络；支持MAC、VNI、VTEP静态绑定（投标文件需要提供能够体现上述功能的截图）；</w:t>
            </w:r>
          </w:p>
          <w:p>
            <w:pPr>
              <w:pStyle w:val="965"/>
              <w:spacing w:before="48" w:after="48"/>
              <w:ind w:firstLine="0" w:firstLineChars="0"/>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rPr>
              <w:t xml:space="preserve">18、所投产品必须支持MTU≥9000byte的巨型帧Jumbo Frame </w:t>
            </w:r>
            <w:r>
              <w:rPr>
                <w:rFonts w:hint="eastAsia" w:ascii="宋体" w:hAnsi="宋体" w:eastAsia="宋体" w:cs="宋体"/>
                <w:b/>
                <w:bCs/>
                <w:color w:val="000000"/>
                <w:sz w:val="24"/>
                <w:szCs w:val="24"/>
              </w:rPr>
              <w:t>（投标文件需提供能够体现上述组合方式的配置选项截图）</w:t>
            </w:r>
          </w:p>
          <w:p>
            <w:pPr>
              <w:pStyle w:val="965"/>
              <w:spacing w:before="48" w:after="48"/>
              <w:ind w:firstLine="0" w:firstLineChars="0"/>
              <w:rPr>
                <w:rFonts w:hint="eastAsia" w:ascii="宋体" w:hAnsi="宋体" w:eastAsia="宋体" w:cs="宋体"/>
                <w:color w:val="000000"/>
                <w:sz w:val="24"/>
                <w:szCs w:val="24"/>
                <w:lang w:eastAsia="zh-CN"/>
              </w:rPr>
            </w:pPr>
            <w:r>
              <w:rPr>
                <w:rFonts w:hint="eastAsia" w:ascii="宋体" w:hAnsi="宋体" w:eastAsia="宋体" w:cs="宋体"/>
                <w:b w:val="0"/>
                <w:bCs w:val="0"/>
                <w:color w:val="000000"/>
                <w:sz w:val="24"/>
                <w:szCs w:val="24"/>
              </w:rPr>
              <w:t>19、所投产品必须支持资产管理，能够通过设置资产监控、VPN、源安全域来控制资产识别范围，支持scanner或onvif类型的扫描方式和网段，实现自动或手动资产扫描；支持通过设置IP地址、MAC地址、资产类型、生效市场、厂商、位置等信息来制定黑/白名单，方便日常资产管理，支持通过设置IP地址、MAC地址、资产类型、操作系统、应用、开放的端口和访问的端口等信息来制定资产指纹库</w:t>
            </w:r>
            <w:r>
              <w:rPr>
                <w:rFonts w:hint="eastAsia" w:ascii="宋体" w:hAnsi="宋体" w:eastAsia="宋体" w:cs="宋体"/>
                <w:b/>
                <w:bCs/>
                <w:color w:val="000000"/>
                <w:sz w:val="24"/>
                <w:szCs w:val="24"/>
              </w:rPr>
              <w:t>（投标文件需提供能够体现上述功能及配置选项截图）</w:t>
            </w:r>
            <w:r>
              <w:rPr>
                <w:rFonts w:hint="eastAsia" w:ascii="宋体" w:hAnsi="宋体" w:cs="宋体"/>
                <w:b/>
                <w:bCs/>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上网行为管理三年续保升级</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提供现有上网行为管理网康NI3300-50三年硬件质保；</w:t>
            </w:r>
          </w:p>
          <w:p>
            <w:pPr>
              <w:widowControl/>
              <w:numPr>
                <w:ilvl w:val="0"/>
                <w:numId w:val="3"/>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三年软件升级；</w:t>
            </w:r>
          </w:p>
          <w:p>
            <w:pPr>
              <w:widowControl/>
              <w:numPr>
                <w:ilvl w:val="0"/>
                <w:numId w:val="3"/>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三年URL库和应用特征库升级；</w:t>
            </w:r>
          </w:p>
          <w:p>
            <w:pPr>
              <w:widowControl/>
              <w:numPr>
                <w:ilvl w:val="0"/>
                <w:numId w:val="3"/>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三年漏洞修复；</w:t>
            </w:r>
          </w:p>
          <w:p>
            <w:pPr>
              <w:widowControl/>
              <w:numPr>
                <w:ilvl w:val="0"/>
                <w:numId w:val="3"/>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三年内技术支持工作</w:t>
            </w:r>
            <w:r>
              <w:rPr>
                <w:rFonts w:hint="eastAsia" w:ascii="宋体" w:hAnsi="宋体" w:cs="宋体"/>
                <w:color w:val="000000"/>
                <w:sz w:val="24"/>
                <w:szCs w:val="24"/>
                <w:lang w:eastAsia="zh-CN"/>
              </w:rPr>
              <w:t>；</w:t>
            </w:r>
          </w:p>
          <w:p>
            <w:pPr>
              <w:widowControl/>
              <w:numPr>
                <w:ilvl w:val="0"/>
                <w:numId w:val="3"/>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三年内巡查服务</w:t>
            </w:r>
            <w:r>
              <w:rPr>
                <w:rFonts w:hint="eastAsia" w:ascii="宋体" w:hAnsi="宋体" w:cs="宋体"/>
                <w:color w:val="000000"/>
                <w:sz w:val="24"/>
                <w:szCs w:val="24"/>
                <w:lang w:eastAsia="zh-CN"/>
              </w:rPr>
              <w:t>；</w:t>
            </w:r>
          </w:p>
          <w:p>
            <w:pPr>
              <w:widowControl/>
              <w:numPr>
                <w:ilvl w:val="0"/>
                <w:numId w:val="3"/>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投标时提供</w:t>
            </w:r>
            <w:r>
              <w:rPr>
                <w:rFonts w:hint="eastAsia" w:ascii="宋体" w:hAnsi="宋体" w:eastAsia="宋体" w:cs="宋体"/>
                <w:color w:val="000000"/>
                <w:sz w:val="24"/>
                <w:szCs w:val="24"/>
                <w:lang w:val="en-US" w:eastAsia="zh-CN"/>
              </w:rPr>
              <w:t>三年</w:t>
            </w:r>
            <w:r>
              <w:rPr>
                <w:rFonts w:hint="eastAsia" w:ascii="宋体" w:hAnsi="宋体" w:eastAsia="宋体" w:cs="宋体"/>
                <w:color w:val="000000"/>
                <w:sz w:val="24"/>
                <w:szCs w:val="24"/>
              </w:rPr>
              <w:t>质保服务承诺函</w:t>
            </w:r>
            <w:r>
              <w:rPr>
                <w:rFonts w:hint="eastAsia" w:ascii="宋体" w:hAnsi="宋体" w:cs="宋体"/>
                <w:color w:val="000000"/>
                <w:sz w:val="24"/>
                <w:szCs w:val="24"/>
                <w:lang w:eastAsia="zh-CN"/>
              </w:rPr>
              <w:t>。</w:t>
            </w:r>
          </w:p>
          <w:p>
            <w:pPr>
              <w:pStyle w:val="2"/>
              <w:rPr>
                <w:rFonts w:hint="eastAsia" w:ascii="宋体" w:hAnsi="宋体" w:eastAsia="宋体" w:cs="宋体"/>
                <w:color w:val="000000"/>
                <w:sz w:val="24"/>
                <w:szCs w:val="24"/>
                <w:lang w:val="en-US" w:eastAsia="zh-CN"/>
              </w:rPr>
            </w:pPr>
          </w:p>
          <w:p>
            <w:pPr>
              <w:pStyle w:val="2"/>
              <w:spacing w:line="240" w:lineRule="auto"/>
              <w:rPr>
                <w:rFonts w:hint="eastAsia"/>
                <w:b/>
                <w:bCs/>
              </w:rPr>
            </w:pPr>
            <w:r>
              <w:rPr>
                <w:rFonts w:hint="eastAsia" w:ascii="宋体" w:hAnsi="宋体" w:eastAsia="宋体" w:cs="宋体"/>
                <w:b/>
                <w:bCs/>
                <w:color w:val="000000"/>
                <w:sz w:val="24"/>
                <w:szCs w:val="24"/>
                <w:lang w:val="en-US" w:eastAsia="zh-CN"/>
              </w:rPr>
              <w:t>升级后参数详见下列详细阐述：</w:t>
            </w:r>
          </w:p>
          <w:p>
            <w:pPr>
              <w:pStyle w:val="2"/>
              <w:spacing w:line="24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若供应商无法证明对该上网行为管理的有续保升级服务能力。则提供不低于下列参数产品应标：</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en-US" w:eastAsia="zh-CN"/>
              </w:rPr>
              <w:t>1</w:t>
            </w:r>
            <w:r>
              <w:rPr>
                <w:rFonts w:hint="eastAsia" w:ascii="宋体" w:hAnsi="宋体" w:eastAsia="宋体" w:cs="宋体"/>
                <w:color w:val="000000"/>
                <w:kern w:val="0"/>
                <w:sz w:val="24"/>
                <w:szCs w:val="24"/>
                <w:lang w:val="en-US" w:eastAsia="zh-CN" w:bidi="ar-SA"/>
              </w:rPr>
              <w:t>、500M带宽/4500人以下网络环境使用；最大并发连接数为100万</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最大新建连接数为35000个/秒；1U硬件</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标配6个千兆电接口（其中含1个管理接口和1个HA接口）</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提供2个扩展插槽</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1T硬盘</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xml:space="preserve">单交流电源。 </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2、设备必须提供物理硬件bypass按钮，便于设备巡检、设备故障时管理员无需重启、关机、断电即可恢复网络通畅。</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3、设备可部署在网络中提供路由转发和NAT功能，可连接ADSL线路和专线。</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4、设备可连接一条或多条镜像线路，获取网络信息，进行行为分析和审计。</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5、设备在部署时支持模式选择，可设置为Portal模式，实现Portal服务器功能</w:t>
            </w:r>
            <w:r>
              <w:rPr>
                <w:rFonts w:hint="eastAsia" w:ascii="宋体" w:hAnsi="宋体" w:eastAsia="宋体" w:cs="宋体"/>
                <w:b/>
                <w:bCs/>
                <w:color w:val="000000"/>
                <w:kern w:val="0"/>
                <w:sz w:val="24"/>
                <w:szCs w:val="24"/>
                <w:lang w:val="en-US" w:eastAsia="zh-CN" w:bidi="ar-SA"/>
              </w:rPr>
              <w:t>（提供配置界面截图）</w:t>
            </w:r>
            <w:r>
              <w:rPr>
                <w:rFonts w:hint="eastAsia" w:ascii="宋体" w:hAnsi="宋体" w:eastAsia="宋体" w:cs="宋体"/>
                <w:color w:val="000000"/>
                <w:kern w:val="0"/>
                <w:sz w:val="24"/>
                <w:szCs w:val="24"/>
                <w:lang w:val="en-US" w:eastAsia="zh-CN" w:bidi="ar-SA"/>
              </w:rPr>
              <w:t>。</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集中呈现上网行为风险等级和状态。行为风险等级包括安全等级、效率等级、合规等级和管控等级。行为状态包括管控效果、运行状态、安全状态、泄密风险状态、合规状态和应用使用状态。点击页面数值可直接跳转查询详情。</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7、能够实时提供产品CPU、内存、磁盘使用率、网口状态、授权状态、系统情况等信息。</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8、能够实时提供在线用户趋势、设备流速趋势、用户流量排名、应用流量排名、用户实时流量和应用实时流量等信息。</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lang w:val="en-US" w:eastAsia="zh-CN" w:bidi="ar-SA"/>
              </w:rPr>
              <w:t>9、支持与学校原有云端杀毒平台联动，对网络中传输的文件进行特征比对，以便减少对本地计算资源的消耗（提供能够体现上述功能及配置选项的截图）。</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10、至少应支持对以下几类网络应用传输的文件进行病毒云查杀：HTTP/FTP/IMAP/SMTP/POP3"。</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11、支持通过恶意软件特征检测方式识别失陷主机并记录日志</w:t>
            </w:r>
            <w:r>
              <w:rPr>
                <w:rFonts w:hint="eastAsia" w:ascii="宋体" w:hAnsi="宋体" w:eastAsia="宋体" w:cs="宋体"/>
                <w:b/>
                <w:bCs/>
                <w:color w:val="000000"/>
                <w:kern w:val="0"/>
                <w:sz w:val="24"/>
                <w:szCs w:val="24"/>
                <w:lang w:val="en-US" w:eastAsia="zh-CN" w:bidi="ar-SA"/>
              </w:rPr>
              <w:t>（提供能够体现上述功能及配置选项的截图）</w:t>
            </w:r>
            <w:r>
              <w:rPr>
                <w:rFonts w:hint="eastAsia" w:ascii="宋体" w:hAnsi="宋体" w:eastAsia="宋体" w:cs="宋体"/>
                <w:color w:val="000000"/>
                <w:kern w:val="0"/>
                <w:sz w:val="24"/>
                <w:szCs w:val="24"/>
                <w:lang w:val="en-US" w:eastAsia="zh-CN" w:bidi="ar-SA"/>
              </w:rPr>
              <w:t>。</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12、支持基于云端大数据安全平台，对恶意URL访问进行封堵和记录日志。</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13、应用协议库包含的应用数量不低于7100种，应用规则总数不低于30000种。</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可以对下载工具、视频播放、网络游戏、金融理财、即时消息、移动应用有独立的分类进行识别控制。为覆盖工作无关应用，移动应用不少于1000种，即时消息应不低于150种，虚拟货币交易平台不低于40种；为规避外发类风险，论坛发帖应不低于3000种，网络存储不低于100种，代理隧道不低于100种。</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15、设备内置常用应用标签，分类至少包含内容外发风险、期货行业合规、证券行业合规、高安全风险、影响工作效率、消耗带宽6大类。</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16、可以记录应用行为，并对于阻断的应用可以触发告警，并支持邮件告警。</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17、当用户的网页访问被网页浏览策略封堵时，用户如果发现分类错误能够在页面中向管理员进行反馈；管理员可查看用户反馈的分类错误，并可以选择向服务器反馈</w:t>
            </w:r>
            <w:r>
              <w:rPr>
                <w:rFonts w:hint="eastAsia" w:ascii="宋体" w:hAnsi="宋体" w:eastAsia="宋体" w:cs="宋体"/>
                <w:b/>
                <w:bCs/>
                <w:color w:val="000000"/>
                <w:kern w:val="0"/>
                <w:sz w:val="24"/>
                <w:szCs w:val="24"/>
                <w:lang w:val="en-US" w:eastAsia="zh-CN" w:bidi="ar-SA"/>
              </w:rPr>
              <w:t>（提供能够体现上述功能及配置选项的截图）</w:t>
            </w:r>
            <w:r>
              <w:rPr>
                <w:rFonts w:hint="eastAsia" w:ascii="宋体" w:hAnsi="宋体" w:eastAsia="宋体" w:cs="宋体"/>
                <w:color w:val="000000"/>
                <w:kern w:val="0"/>
                <w:sz w:val="24"/>
                <w:szCs w:val="24"/>
                <w:lang w:val="en-US" w:eastAsia="zh-CN" w:bidi="ar-SA"/>
              </w:rPr>
              <w:t>。</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18、根据URL库及URL关键字进行网址访问管理，一条策略实现阻断、记录、告警，方便维护。</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19、可根据网页内容关键字进行审计与过滤，一条策略实现阻断、记录、告警；每个关键字对象要求可至少录入500个关键字。</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20、不同网页被阻塞后会跳转不同的阻塞页面；支持用户完全自定义</w:t>
            </w:r>
            <w:r>
              <w:rPr>
                <w:rFonts w:hint="eastAsia" w:ascii="宋体" w:hAnsi="宋体" w:eastAsia="宋体" w:cs="宋体"/>
                <w:b/>
                <w:bCs/>
                <w:color w:val="000000"/>
                <w:kern w:val="0"/>
                <w:sz w:val="24"/>
                <w:szCs w:val="24"/>
                <w:lang w:val="en-US" w:eastAsia="zh-CN" w:bidi="ar-SA"/>
              </w:rPr>
              <w:t>（提供能够体现上述功能及配置选项的截图）</w:t>
            </w:r>
            <w:r>
              <w:rPr>
                <w:rFonts w:hint="eastAsia" w:ascii="宋体" w:hAnsi="宋体" w:eastAsia="宋体" w:cs="宋体"/>
                <w:color w:val="000000"/>
                <w:kern w:val="0"/>
                <w:sz w:val="24"/>
                <w:szCs w:val="24"/>
                <w:lang w:val="en-US" w:eastAsia="zh-CN" w:bidi="ar-SA"/>
              </w:rPr>
              <w:t>。</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可针对QQ账号制定策略，对聊天、登录及登出的行为进行记录与控制；能够对QQ文件传输行为进行审计，并且能够对传输的文件进行备份留存；支持对QQ聊天内容进行审计。可制定多条QQ审计控制策略，实现针对不同的用户匹配不同审计策略。</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22、支持Skype账号、聊天内容、行为审计与控制。支持skype外发文件内容的审计。</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23、支持对微信windows版客户端进行聊天内容审计</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支持对微信Windows版客户端的外发文件进行文件内容审计</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支持记录发送/接收文件的路径/名称/大小</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支持基于用户/位置/账号等元素对审计日志进行统计。</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24、可审计、控制Oracle, MySql, SqlServer, PostgreSQL等数据库的访问与操作，包括添加、删除、修改、查询等</w:t>
            </w:r>
            <w:r>
              <w:rPr>
                <w:rFonts w:hint="eastAsia" w:ascii="宋体" w:hAnsi="宋体" w:eastAsia="宋体" w:cs="宋体"/>
                <w:b/>
                <w:bCs/>
                <w:color w:val="000000"/>
                <w:kern w:val="0"/>
                <w:sz w:val="24"/>
                <w:szCs w:val="24"/>
                <w:lang w:val="en-US" w:eastAsia="zh-CN" w:bidi="ar-SA"/>
              </w:rPr>
              <w:t>（提供能够体现上述功能及配置选项的截图）</w:t>
            </w:r>
            <w:r>
              <w:rPr>
                <w:rFonts w:hint="eastAsia" w:ascii="宋体" w:hAnsi="宋体" w:eastAsia="宋体" w:cs="宋体"/>
                <w:color w:val="000000"/>
                <w:kern w:val="0"/>
                <w:sz w:val="24"/>
                <w:szCs w:val="24"/>
                <w:lang w:val="en-US" w:eastAsia="zh-CN" w:bidi="ar-SA"/>
              </w:rPr>
              <w:t>。</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25、支持基于用户、时间、应用、源IP、目的IP和服务创建流量控制策略</w:t>
            </w:r>
            <w:r>
              <w:rPr>
                <w:rFonts w:hint="eastAsia" w:ascii="宋体" w:hAnsi="宋体" w:eastAsia="宋体" w:cs="宋体"/>
                <w:b/>
                <w:bCs/>
                <w:color w:val="000000"/>
                <w:kern w:val="0"/>
                <w:sz w:val="24"/>
                <w:szCs w:val="24"/>
                <w:lang w:val="en-US" w:eastAsia="zh-CN" w:bidi="ar-SA"/>
              </w:rPr>
              <w:t>（提供能够体现上述功能及配置选项的截图）。</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26、支持在设置流量策略后，可根据整体线路空闲情况，允许流量通道内的流量突破策略上限，以提升带宽的高使用率；空闲值可自定义。</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27、可以限制P2P、视频等大流量应用的最大带宽上限，减少带宽的浪费。</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28、支持配置禁用PC热点开启功能。禁用时PC仍可以使用网络，但是无法通过随身wifi或笔记本自带功能创建热点</w:t>
            </w:r>
            <w:r>
              <w:rPr>
                <w:rFonts w:hint="eastAsia" w:ascii="宋体" w:hAnsi="宋体" w:eastAsia="宋体" w:cs="宋体"/>
                <w:b/>
                <w:bCs/>
                <w:color w:val="000000"/>
                <w:kern w:val="0"/>
                <w:sz w:val="24"/>
                <w:szCs w:val="24"/>
                <w:lang w:val="en-US" w:eastAsia="zh-CN" w:bidi="ar-SA"/>
              </w:rPr>
              <w:t>（提供能够体现上述功能及配置选项的截图）。</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29、可基于源IP、用户、位置、终端台数、PC台数、移动台数、阻塞时间和动作，配置多条共享接入策略</w:t>
            </w:r>
            <w:r>
              <w:rPr>
                <w:rFonts w:hint="eastAsia" w:ascii="宋体" w:hAnsi="宋体" w:eastAsia="宋体" w:cs="宋体"/>
                <w:b/>
                <w:bCs/>
                <w:color w:val="000000"/>
                <w:kern w:val="0"/>
                <w:sz w:val="24"/>
                <w:szCs w:val="24"/>
                <w:lang w:val="en-US" w:eastAsia="zh-CN" w:bidi="ar-SA"/>
              </w:rPr>
              <w:t>（提供能够体现上述功能及配置选项的截图）。</w:t>
            </w:r>
          </w:p>
          <w:p>
            <w:pPr>
              <w:bidi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30、根据信息安全的需求，投标人对上网行为管理产品联动</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能与现有终端管理系统联动</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1、无客户端部署场景下的IM聊天内容审计；2、自动堵塞未部署终端管理系统的终端，并支持自定义阻塞提示界面，要求安装终端管理系统</w:t>
            </w:r>
            <w:r>
              <w:rPr>
                <w:rFonts w:hint="eastAsia" w:ascii="宋体" w:hAnsi="宋体" w:eastAsia="宋体" w:cs="宋体"/>
                <w:b/>
                <w:bCs/>
                <w:color w:val="000000"/>
                <w:sz w:val="24"/>
                <w:szCs w:val="24"/>
                <w:lang w:val="en-US" w:eastAsia="zh-CN"/>
              </w:rPr>
              <w:t>（要求提供联动方案</w:t>
            </w:r>
            <w:r>
              <w:rPr>
                <w:rFonts w:hint="eastAsia" w:ascii="宋体" w:hAnsi="宋体" w:cs="宋体"/>
                <w:b/>
                <w:bCs/>
                <w:color w:val="000000"/>
                <w:sz w:val="24"/>
                <w:szCs w:val="24"/>
                <w:lang w:val="en-US" w:eastAsia="zh-CN"/>
              </w:rPr>
              <w:t>及证明材料</w:t>
            </w:r>
            <w:r>
              <w:rPr>
                <w:rFonts w:hint="eastAsia" w:ascii="宋体" w:hAnsi="宋体" w:eastAsia="宋体" w:cs="宋体"/>
                <w:b/>
                <w:bCs/>
                <w:color w:val="000000"/>
                <w:sz w:val="24"/>
                <w:szCs w:val="24"/>
                <w:lang w:val="en-US" w:eastAsia="zh-CN"/>
              </w:rPr>
              <w:t>）</w:t>
            </w:r>
            <w:r>
              <w:rPr>
                <w:rFonts w:hint="eastAsia" w:ascii="宋体" w:hAnsi="宋体" w:eastAsia="宋体" w:cs="宋体"/>
                <w:color w:val="000000"/>
                <w:sz w:val="24"/>
                <w:szCs w:val="24"/>
                <w:lang w:val="en-US" w:eastAsia="zh-CN"/>
              </w:rPr>
              <w:t>。</w:t>
            </w:r>
          </w:p>
          <w:p>
            <w:pPr>
              <w:widowControl/>
              <w:snapToGrid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32、中国信息安全测评中心颁发的《国家信息安全测评信息技术产品安全测评证书》，</w:t>
            </w:r>
            <w:r>
              <w:rPr>
                <w:rFonts w:hint="eastAsia" w:ascii="宋体" w:hAnsi="宋体" w:eastAsia="宋体" w:cs="宋体"/>
                <w:b/>
                <w:bCs/>
                <w:color w:val="000000"/>
                <w:kern w:val="0"/>
                <w:sz w:val="24"/>
                <w:szCs w:val="24"/>
                <w:lang w:val="en-US" w:eastAsia="zh-CN" w:bidi="ar-SA"/>
              </w:rPr>
              <w:t>投标文件提需供证书复印件。</w:t>
            </w:r>
          </w:p>
          <w:p>
            <w:pPr>
              <w:widowControl/>
              <w:numPr>
                <w:ilvl w:val="0"/>
                <w:numId w:val="0"/>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33、提供三年质保服务承诺函</w:t>
            </w:r>
            <w:r>
              <w:rPr>
                <w:rFonts w:hint="eastAsia" w:ascii="宋体" w:hAnsi="宋体" w:eastAsia="宋体" w:cs="宋体"/>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核心交换机（核心产品）</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 交换容量≥86Tbps，包转发率≥ 57600Mpps，</w:t>
            </w:r>
            <w:r>
              <w:rPr>
                <w:rFonts w:hint="eastAsia" w:ascii="宋体" w:hAnsi="宋体" w:eastAsia="宋体" w:cs="宋体"/>
                <w:b/>
                <w:bCs/>
                <w:color w:val="000000"/>
                <w:kern w:val="0"/>
                <w:sz w:val="24"/>
                <w:szCs w:val="24"/>
                <w:lang w:bidi="ar"/>
              </w:rPr>
              <w:t>以官网最小值为准，提供官网截图和链接</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2、主控引擎与业务板卡完全物理分离, 采用全分布式转发处理架构，独立主控引擎插槽≥2个，独立业务插槽数≥6个；主控引擎故障情况下，不能影响整机转发能力</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bidi="ar"/>
              </w:rPr>
              <w:t>3、符合业界主流机柜的尺寸规范要求，设备高度≤10U，设备深度≤600mm；</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4、支持1+1冗余的硬件监控系统，可以集中监控板卡、风扇、电源、环境等状态参数，</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5、设备支持硬件健康状态可视化，可以对风扇状态、电源、温度、板载电压进行监控，尤其是在日常巡查中发现电压异常前兆，可及时处理，避免出现电压异常宕机。</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color w:val="000000"/>
                <w:kern w:val="0"/>
                <w:sz w:val="24"/>
                <w:szCs w:val="24"/>
                <w:lang w:bidi="ar"/>
              </w:rPr>
              <w:t>6、风扇框冗余设计， 且为保证设备散热效果和可靠性，要求设备支持模块化风扇框，可热插拔，当单个风扇框发生故障时，有其他风扇正常运行，保证设备散热，要求独立风扇框个数≥2个</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color w:val="000000"/>
                <w:kern w:val="0"/>
                <w:sz w:val="24"/>
                <w:szCs w:val="24"/>
                <w:lang w:bidi="ar"/>
              </w:rPr>
              <w:t>7、为了适应机柜并排部署，机箱业务板卡区采用后出风风道设计；</w:t>
            </w:r>
            <w:r>
              <w:rPr>
                <w:rFonts w:hint="eastAsia" w:ascii="宋体" w:hAnsi="宋体" w:eastAsia="宋体" w:cs="宋体"/>
                <w:b/>
                <w:bCs/>
                <w:color w:val="000000"/>
                <w:kern w:val="0"/>
                <w:sz w:val="24"/>
                <w:szCs w:val="24"/>
                <w:lang w:bidi="ar"/>
              </w:rPr>
              <w:t>提供设备散热气流流向截图</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color w:val="000000"/>
                <w:kern w:val="0"/>
                <w:sz w:val="24"/>
                <w:szCs w:val="24"/>
                <w:lang w:bidi="ar"/>
              </w:rPr>
              <w:t>8、为提高设备面板空间利用率，要求采用高密度端口设计，所投产品单张业务卡最大可用物理端口≥52个，整机转发业务物理端口≥312个；</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9、实配交换引擎模块≥2，电源模块≥2，万兆光口≥8；千兆电口≥24，千兆光口≥24</w:t>
            </w:r>
            <w:r>
              <w:rPr>
                <w:rFonts w:hint="eastAsia" w:ascii="宋体" w:hAnsi="宋体" w:cs="宋体"/>
                <w:color w:val="000000"/>
                <w:kern w:val="0"/>
                <w:sz w:val="24"/>
                <w:szCs w:val="24"/>
                <w:lang w:eastAsia="zh-CN" w:bidi="ar"/>
              </w:rPr>
              <w:t>；</w:t>
            </w:r>
          </w:p>
          <w:p>
            <w:pPr>
              <w:pStyle w:val="2"/>
              <w:rPr>
                <w:rFonts w:hint="eastAsia" w:eastAsia="宋体"/>
                <w:lang w:eastAsia="zh-CN"/>
              </w:rPr>
            </w:pPr>
            <w:r>
              <w:rPr>
                <w:rFonts w:hint="eastAsia" w:ascii="宋体" w:hAnsi="宋体" w:eastAsia="宋体" w:cs="宋体"/>
                <w:b/>
                <w:bCs/>
                <w:color w:val="000000"/>
                <w:kern w:val="0"/>
                <w:sz w:val="24"/>
                <w:szCs w:val="24"/>
                <w:lang w:val="en-US" w:eastAsia="zh-CN" w:bidi="ar"/>
              </w:rPr>
              <w:t>10、</w:t>
            </w:r>
            <w:r>
              <w:rPr>
                <w:rFonts w:hint="eastAsia" w:ascii="宋体" w:hAnsi="宋体" w:eastAsia="宋体" w:cs="宋体"/>
                <w:b/>
                <w:bCs/>
                <w:color w:val="000000"/>
                <w:sz w:val="24"/>
                <w:szCs w:val="24"/>
              </w:rPr>
              <w:t>投标时提供</w:t>
            </w:r>
            <w:r>
              <w:rPr>
                <w:rFonts w:hint="eastAsia" w:ascii="宋体" w:hAnsi="宋体" w:eastAsia="宋体" w:cs="宋体"/>
                <w:b/>
                <w:bCs/>
                <w:color w:val="000000"/>
                <w:sz w:val="24"/>
                <w:szCs w:val="24"/>
                <w:lang w:val="en-US" w:eastAsia="zh-CN"/>
              </w:rPr>
              <w:t>三年</w:t>
            </w:r>
            <w:r>
              <w:rPr>
                <w:rFonts w:hint="eastAsia" w:ascii="宋体" w:hAnsi="宋体" w:eastAsia="宋体" w:cs="宋体"/>
                <w:b/>
                <w:bCs/>
                <w:color w:val="000000"/>
                <w:sz w:val="24"/>
                <w:szCs w:val="24"/>
              </w:rPr>
              <w:t>质保服务承诺函</w:t>
            </w:r>
            <w:r>
              <w:rPr>
                <w:rFonts w:hint="eastAsia" w:hAnsi="宋体" w:cs="宋体"/>
                <w:b/>
                <w:bCs/>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管理与认证准入</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1.1U高度硬件化产品</w:t>
            </w:r>
            <w:r>
              <w:rPr>
                <w:rFonts w:hint="eastAsia" w:ascii="宋体" w:hAnsi="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2.6个GE电口，1个RJ-45配置口，USB口≥2个，</w:t>
            </w:r>
            <w:r>
              <w:rPr>
                <w:rFonts w:hint="eastAsia" w:ascii="宋体" w:hAnsi="宋体" w:eastAsia="宋体" w:cs="宋体"/>
                <w:b/>
                <w:bCs/>
                <w:color w:val="000000"/>
                <w:sz w:val="24"/>
                <w:szCs w:val="24"/>
              </w:rPr>
              <w:t>要求提供产品图片，未提供视为负偏离</w:t>
            </w:r>
            <w:r>
              <w:rPr>
                <w:rFonts w:hint="eastAsia" w:ascii="宋体" w:hAnsi="宋体" w:eastAsia="宋体" w:cs="宋体"/>
                <w:b/>
                <w:bCs/>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3.硬盘≥1T，DDR2内存≥2G，支持Linux操作平台，支持PostgreSQL数据库</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4.为满足多种应用场景，准入方式应支持有线的用户名密码认证（EAP-MD5）、无线的用户名密码认证 （PEAP-MSCHAPV2） 和USB-KEY CA证书认证（EAP-TLS）</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5.支持已认证的用户使用自己的智能手机为访客终端扫描二维码进行访客入网接入认证授权，支持只有授权指定的用户组才能为访客做二维码授权，且在认证系统后台有访客与授权访客开户的用户账号绑定</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6.访客二维码名片/公共二维码注册</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7.闲置时间间隔超过 x [1，1000] 天的用户将会被暂停或者销户</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8.认证页面合并：普通用户、短信、二维码、微信web认证合并</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9.支持使用用户名密码+手机号及短信获取的6位数随机校验码作为认证要素进行双因子认证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10.支持与第三方Radius联动，将认证信息转发给第三方Radius服务器进行认证，即实现统一身份源</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11.首次登陆账号激活，并强制修改密码。首次进行认证时，强制要求用户设置密保：手机号、邮箱账号、私密问答作为密保凭据任选其一</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12.配置≥1000并发在线数的授权许可</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rPr>
              <w:t>13.考虑设备兼</w:t>
            </w:r>
            <w:r>
              <w:rPr>
                <w:rFonts w:hint="eastAsia" w:ascii="宋体" w:hAnsi="宋体" w:eastAsia="宋体" w:cs="宋体"/>
                <w:color w:val="000000" w:themeColor="text1"/>
                <w:sz w:val="24"/>
                <w:szCs w:val="24"/>
                <w14:textFill>
                  <w14:solidFill>
                    <w14:schemeClr w14:val="tx1"/>
                  </w14:solidFill>
                </w14:textFill>
              </w:rPr>
              <w:t>容性及系统稳定性、</w:t>
            </w:r>
            <w:r>
              <w:rPr>
                <w:rFonts w:hint="eastAsia" w:ascii="宋体" w:hAnsi="宋体" w:eastAsia="宋体" w:cs="宋体"/>
                <w:color w:val="000000"/>
                <w:sz w:val="24"/>
                <w:szCs w:val="24"/>
              </w:rPr>
              <w:t>项目实施、交付及售后服务，</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rPr>
              <w:t>与核心交换机同一品牌</w:t>
            </w:r>
            <w:r>
              <w:rPr>
                <w:rFonts w:hint="eastAsia" w:ascii="宋体" w:hAnsi="宋体" w:cs="宋体"/>
                <w:b/>
                <w:bCs/>
                <w:color w:val="000000"/>
                <w:sz w:val="24"/>
                <w:szCs w:val="24"/>
                <w:highlight w:val="none"/>
                <w:lang w:eastAsia="zh-CN"/>
              </w:rPr>
              <w:t>；</w:t>
            </w:r>
          </w:p>
          <w:p>
            <w:pPr>
              <w:pStyle w:val="2"/>
              <w:rPr>
                <w:rFonts w:hint="eastAsia" w:eastAsia="宋体"/>
                <w:lang w:val="en-US" w:eastAsia="zh-CN"/>
              </w:rPr>
            </w:pPr>
            <w:r>
              <w:rPr>
                <w:rFonts w:hint="eastAsia" w:ascii="宋体" w:hAnsi="宋体" w:eastAsia="宋体" w:cs="宋体"/>
                <w:color w:val="000000"/>
                <w:sz w:val="24"/>
                <w:szCs w:val="24"/>
                <w:lang w:val="en-US" w:eastAsia="zh-CN"/>
              </w:rPr>
              <w:t>14、</w:t>
            </w:r>
            <w:r>
              <w:rPr>
                <w:rFonts w:hint="eastAsia" w:ascii="宋体" w:hAnsi="宋体" w:eastAsia="宋体" w:cs="宋体"/>
                <w:b/>
                <w:bCs/>
                <w:color w:val="000000"/>
                <w:sz w:val="24"/>
                <w:szCs w:val="24"/>
              </w:rPr>
              <w:t>投标时提供</w:t>
            </w:r>
            <w:r>
              <w:rPr>
                <w:rFonts w:hint="eastAsia" w:ascii="宋体" w:hAnsi="宋体" w:eastAsia="宋体" w:cs="宋体"/>
                <w:b/>
                <w:bCs/>
                <w:color w:val="000000"/>
                <w:sz w:val="24"/>
                <w:szCs w:val="24"/>
                <w:lang w:val="en-US" w:eastAsia="zh-CN"/>
              </w:rPr>
              <w:t>三年</w:t>
            </w:r>
            <w:r>
              <w:rPr>
                <w:rFonts w:hint="eastAsia" w:ascii="宋体" w:hAnsi="宋体" w:eastAsia="宋体" w:cs="宋体"/>
                <w:b/>
                <w:bCs/>
                <w:color w:val="000000"/>
                <w:sz w:val="24"/>
                <w:szCs w:val="24"/>
              </w:rPr>
              <w:t>质保服务承诺函</w:t>
            </w:r>
            <w:r>
              <w:rPr>
                <w:rFonts w:hint="eastAsia" w:hAnsi="宋体" w:cs="宋体"/>
                <w:b/>
                <w:bCs/>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val="0"/>
                <w:bCs w:val="0"/>
                <w:color w:val="000000"/>
                <w:kern w:val="0"/>
                <w:sz w:val="24"/>
                <w:szCs w:val="24"/>
                <w:lang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无线管理授权</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为保护前期设备投入，避免重复建设，本次要求在学校</w:t>
            </w:r>
            <w:r>
              <w:rPr>
                <w:rFonts w:hint="eastAsia" w:ascii="宋体" w:hAnsi="宋体" w:eastAsia="宋体" w:cs="宋体"/>
                <w:color w:val="000000"/>
                <w:kern w:val="0"/>
                <w:sz w:val="24"/>
                <w:szCs w:val="24"/>
                <w:lang w:bidi="ar"/>
              </w:rPr>
              <w:t>现有无线控制器RG-WS7208-A</w:t>
            </w:r>
            <w:r>
              <w:rPr>
                <w:rFonts w:hint="eastAsia" w:ascii="宋体" w:hAnsi="宋体" w:eastAsia="宋体" w:cs="宋体"/>
                <w:color w:val="000000"/>
                <w:kern w:val="0"/>
                <w:sz w:val="24"/>
                <w:szCs w:val="24"/>
                <w:lang w:val="en-US" w:eastAsia="zh-CN" w:bidi="ar"/>
              </w:rPr>
              <w:t>上增加</w:t>
            </w:r>
            <w:r>
              <w:rPr>
                <w:rFonts w:hint="eastAsia" w:ascii="宋体" w:hAnsi="宋体" w:eastAsia="宋体" w:cs="宋体"/>
                <w:color w:val="000000"/>
                <w:kern w:val="0"/>
                <w:sz w:val="24"/>
                <w:szCs w:val="24"/>
                <w:lang w:bidi="ar"/>
              </w:rPr>
              <w:t>授权数量≥160个</w:t>
            </w:r>
            <w:r>
              <w:rPr>
                <w:rFonts w:hint="eastAsia" w:ascii="宋体" w:hAnsi="宋体" w:cs="宋体"/>
                <w:color w:val="000000"/>
                <w:kern w:val="0"/>
                <w:sz w:val="24"/>
                <w:szCs w:val="24"/>
                <w:lang w:eastAsia="zh-CN" w:bidi="ar"/>
              </w:rPr>
              <w:t>。</w:t>
            </w:r>
          </w:p>
          <w:p>
            <w:pPr>
              <w:widowControl/>
              <w:jc w:val="left"/>
              <w:textAlignment w:val="center"/>
              <w:rPr>
                <w:rFonts w:hint="eastAsia" w:ascii="宋体" w:hAnsi="宋体" w:eastAsia="宋体" w:cs="宋体"/>
                <w:color w:val="000000"/>
                <w:sz w:val="24"/>
                <w:szCs w:val="24"/>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要求本次招标的无线AP需无缝对接学校现有无线控制器平台，</w:t>
            </w:r>
            <w:r>
              <w:rPr>
                <w:rFonts w:hint="eastAsia" w:ascii="宋体" w:hAnsi="宋体" w:eastAsia="宋体" w:cs="宋体"/>
                <w:b/>
                <w:bCs/>
                <w:i w:val="0"/>
                <w:iCs w:val="0"/>
                <w:color w:val="000000"/>
                <w:kern w:val="0"/>
                <w:sz w:val="24"/>
                <w:szCs w:val="24"/>
                <w:u w:val="none"/>
                <w:lang w:val="en-US" w:eastAsia="zh-CN" w:bidi="ar"/>
              </w:rPr>
              <w:t>投标时提供无缝对接承诺</w:t>
            </w:r>
            <w:r>
              <w:rPr>
                <w:rFonts w:hint="eastAsia" w:ascii="宋体" w:hAnsi="宋体" w:cs="宋体"/>
                <w:b/>
                <w:bCs/>
                <w:i w:val="0"/>
                <w:iCs w:val="0"/>
                <w:color w:val="000000"/>
                <w:kern w:val="0"/>
                <w:sz w:val="24"/>
                <w:szCs w:val="24"/>
                <w:highlight w:val="none"/>
                <w:u w:val="none"/>
                <w:lang w:val="en-US" w:eastAsia="zh-CN" w:bidi="ar"/>
              </w:rPr>
              <w:t>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若所投授权无法在学校现有无线控制器上兼容使用，需对学校现有无线AP60个以及无线控制器全新替换，所涉及成本由投标人自行承担，投标时需出具详细说明。</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面板AP</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支持802.11ax标准，采用双射频频设计，整机空间流≥4条，整机最大接入速率≥2.975Gbps。</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b/>
                <w:bCs/>
                <w:color w:val="000000"/>
                <w:kern w:val="0"/>
                <w:sz w:val="24"/>
                <w:szCs w:val="24"/>
                <w:lang w:eastAsia="zh-CN" w:bidi="ar"/>
              </w:rPr>
              <w:t>；</w:t>
            </w:r>
          </w:p>
          <w:p>
            <w:pPr>
              <w:widowControl/>
              <w:numPr>
                <w:ilvl w:val="0"/>
                <w:numId w:val="4"/>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至少支持1个1G以太网口上联，1个1G以太网口下联</w:t>
            </w:r>
            <w:r>
              <w:rPr>
                <w:rFonts w:hint="eastAsia" w:ascii="宋体" w:hAnsi="宋体" w:eastAsia="宋体" w:cs="宋体"/>
                <w:color w:val="000000"/>
                <w:kern w:val="0"/>
                <w:sz w:val="24"/>
                <w:szCs w:val="24"/>
                <w:lang w:eastAsia="zh-CN" w:bidi="ar"/>
              </w:rPr>
              <w:t>；</w:t>
            </w:r>
          </w:p>
          <w:p>
            <w:pPr>
              <w:widowControl/>
              <w:numPr>
                <w:ilvl w:val="0"/>
                <w:numId w:val="4"/>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至少支持1对RJ45透传口</w:t>
            </w:r>
            <w:r>
              <w:rPr>
                <w:rFonts w:hint="eastAsia" w:ascii="宋体" w:hAnsi="宋体" w:eastAsia="宋体" w:cs="宋体"/>
                <w:color w:val="000000"/>
                <w:kern w:val="0"/>
                <w:sz w:val="24"/>
                <w:szCs w:val="24"/>
                <w:lang w:eastAsia="zh-CN" w:bidi="ar"/>
              </w:rPr>
              <w:t>；</w:t>
            </w:r>
          </w:p>
          <w:p>
            <w:pPr>
              <w:widowControl/>
              <w:numPr>
                <w:ilvl w:val="0"/>
                <w:numId w:val="4"/>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整机功耗≤8W</w:t>
            </w:r>
            <w:r>
              <w:rPr>
                <w:rFonts w:hint="eastAsia" w:ascii="宋体" w:hAnsi="宋体" w:eastAsia="宋体" w:cs="宋体"/>
                <w:color w:val="000000"/>
                <w:kern w:val="0"/>
                <w:sz w:val="24"/>
                <w:szCs w:val="24"/>
                <w:lang w:eastAsia="zh-CN" w:bidi="ar"/>
              </w:rPr>
              <w:t>；</w:t>
            </w:r>
          </w:p>
          <w:p>
            <w:pPr>
              <w:widowControl/>
              <w:numPr>
                <w:ilvl w:val="0"/>
                <w:numId w:val="4"/>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面板尺寸≤86mm×86mm，可嵌入86盒安装</w:t>
            </w:r>
            <w:r>
              <w:rPr>
                <w:rFonts w:hint="eastAsia" w:ascii="宋体" w:hAnsi="宋体" w:eastAsia="宋体" w:cs="宋体"/>
                <w:color w:val="000000"/>
                <w:kern w:val="0"/>
                <w:sz w:val="24"/>
                <w:szCs w:val="24"/>
                <w:lang w:eastAsia="zh-CN" w:bidi="ar"/>
              </w:rPr>
              <w:t>；</w:t>
            </w:r>
          </w:p>
          <w:p>
            <w:pPr>
              <w:numPr>
                <w:ilvl w:val="0"/>
                <w:numId w:val="4"/>
              </w:numPr>
              <w:ind w:left="0" w:leftChars="0" w:firstLine="0" w:firstLineChars="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兼容性要求：与核心交换机同一品牌</w:t>
            </w:r>
            <w:r>
              <w:rPr>
                <w:rFonts w:hint="eastAsia" w:ascii="宋体" w:hAnsi="宋体" w:cs="宋体"/>
                <w:b/>
                <w:bCs/>
                <w:color w:val="000000"/>
                <w:sz w:val="24"/>
                <w:szCs w:val="24"/>
                <w:lang w:eastAsia="zh-CN"/>
              </w:rPr>
              <w:t>；</w:t>
            </w:r>
          </w:p>
          <w:p>
            <w:pPr>
              <w:pStyle w:val="2"/>
              <w:numPr>
                <w:ilvl w:val="0"/>
                <w:numId w:val="4"/>
              </w:numPr>
              <w:ind w:left="0" w:leftChars="0" w:firstLine="0" w:firstLineChars="0"/>
              <w:rPr>
                <w:rFonts w:hint="eastAsia"/>
                <w:lang w:eastAsia="zh-CN"/>
              </w:rPr>
            </w:pPr>
            <w:r>
              <w:rPr>
                <w:rFonts w:hint="eastAsia" w:ascii="宋体" w:hAnsi="宋体" w:eastAsia="宋体" w:cs="宋体"/>
                <w:color w:val="000000"/>
                <w:sz w:val="24"/>
                <w:szCs w:val="24"/>
              </w:rPr>
              <w:t>投标时提供</w:t>
            </w:r>
            <w:r>
              <w:rPr>
                <w:rFonts w:hint="eastAsia" w:ascii="宋体" w:hAnsi="宋体" w:eastAsia="宋体" w:cs="宋体"/>
                <w:color w:val="000000"/>
                <w:sz w:val="24"/>
                <w:szCs w:val="24"/>
                <w:lang w:val="en-US" w:eastAsia="zh-CN"/>
              </w:rPr>
              <w:t>三年</w:t>
            </w:r>
            <w:r>
              <w:rPr>
                <w:rFonts w:hint="eastAsia" w:ascii="宋体" w:hAnsi="宋体" w:eastAsia="宋体" w:cs="宋体"/>
                <w:color w:val="000000"/>
                <w:sz w:val="24"/>
                <w:szCs w:val="24"/>
              </w:rPr>
              <w:t>质保服务承诺函</w:t>
            </w:r>
            <w:r>
              <w:rPr>
                <w:rFonts w:hint="eastAsia" w:hAnsi="宋体" w:cs="宋体"/>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放装AP</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支持802.11ax标准；采用双射频设计，一个2.4GHz射频卡，一个5GHz射频卡；整机空间流≥4条。</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color w:val="000000"/>
                <w:kern w:val="0"/>
                <w:sz w:val="24"/>
                <w:szCs w:val="24"/>
                <w:lang w:eastAsia="zh-CN" w:bidi="ar"/>
              </w:rPr>
              <w:t>；</w:t>
            </w:r>
          </w:p>
          <w:p>
            <w:pPr>
              <w:widowControl/>
              <w:numPr>
                <w:ilvl w:val="0"/>
                <w:numId w:val="5"/>
              </w:numPr>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整机最大无线速率≥2.97Gbps</w:t>
            </w:r>
            <w:r>
              <w:rPr>
                <w:rFonts w:hint="eastAsia" w:ascii="宋体" w:hAnsi="宋体" w:eastAsia="宋体" w:cs="宋体"/>
                <w:color w:val="000000"/>
                <w:kern w:val="0"/>
                <w:sz w:val="24"/>
                <w:szCs w:val="24"/>
                <w:lang w:eastAsia="zh-CN" w:bidi="ar"/>
              </w:rPr>
              <w:t>；</w:t>
            </w:r>
          </w:p>
          <w:p>
            <w:pPr>
              <w:widowControl/>
              <w:numPr>
                <w:ilvl w:val="0"/>
                <w:numId w:val="5"/>
              </w:numPr>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、支持防盗锁孔</w:t>
            </w:r>
            <w:r>
              <w:rPr>
                <w:rFonts w:hint="eastAsia" w:ascii="宋体" w:hAnsi="宋体" w:eastAsia="宋体" w:cs="宋体"/>
                <w:color w:val="000000"/>
                <w:kern w:val="0"/>
                <w:sz w:val="24"/>
                <w:szCs w:val="24"/>
                <w:lang w:eastAsia="zh-CN" w:bidi="ar"/>
              </w:rPr>
              <w:t>；</w:t>
            </w:r>
          </w:p>
          <w:p>
            <w:pPr>
              <w:widowControl/>
              <w:numPr>
                <w:ilvl w:val="0"/>
                <w:numId w:val="5"/>
              </w:numPr>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至少支持1个1G以太网接口、1个2.5G SFP光口。</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color w:val="000000"/>
                <w:kern w:val="0"/>
                <w:sz w:val="24"/>
                <w:szCs w:val="24"/>
                <w:lang w:eastAsia="zh-CN" w:bidi="ar"/>
              </w:rPr>
              <w:t>；</w:t>
            </w:r>
          </w:p>
          <w:p>
            <w:pPr>
              <w:widowControl/>
              <w:numPr>
                <w:ilvl w:val="0"/>
                <w:numId w:val="5"/>
              </w:numPr>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支持内置蓝牙5.1</w:t>
            </w:r>
            <w:r>
              <w:rPr>
                <w:rFonts w:hint="eastAsia" w:ascii="宋体" w:hAnsi="宋体" w:eastAsia="宋体" w:cs="宋体"/>
                <w:color w:val="000000"/>
                <w:kern w:val="0"/>
                <w:sz w:val="24"/>
                <w:szCs w:val="24"/>
                <w:lang w:eastAsia="zh-CN" w:bidi="ar"/>
              </w:rPr>
              <w:t>；</w:t>
            </w:r>
          </w:p>
          <w:p>
            <w:pPr>
              <w:widowControl/>
              <w:numPr>
                <w:ilvl w:val="0"/>
                <w:numId w:val="5"/>
              </w:numPr>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整机功耗≤12.95W</w:t>
            </w:r>
            <w:r>
              <w:rPr>
                <w:rFonts w:hint="eastAsia" w:ascii="宋体" w:hAnsi="宋体" w:eastAsia="宋体" w:cs="宋体"/>
                <w:color w:val="000000"/>
                <w:kern w:val="0"/>
                <w:sz w:val="24"/>
                <w:szCs w:val="24"/>
                <w:lang w:eastAsia="zh-CN" w:bidi="ar"/>
              </w:rPr>
              <w:t>；</w:t>
            </w:r>
          </w:p>
          <w:p>
            <w:pPr>
              <w:numPr>
                <w:ilvl w:val="0"/>
                <w:numId w:val="5"/>
              </w:numPr>
              <w:ind w:left="0" w:leftChars="0" w:firstLine="0" w:firstLineChars="0"/>
              <w:jc w:val="left"/>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兼容性要求：与核心交换机同一品牌</w:t>
            </w:r>
            <w:r>
              <w:rPr>
                <w:rFonts w:hint="eastAsia" w:ascii="宋体" w:hAnsi="宋体" w:cs="宋体"/>
                <w:b/>
                <w:bCs/>
                <w:color w:val="000000"/>
                <w:sz w:val="24"/>
                <w:szCs w:val="24"/>
                <w:lang w:eastAsia="zh-CN"/>
              </w:rPr>
              <w:t>；</w:t>
            </w:r>
          </w:p>
          <w:p>
            <w:pPr>
              <w:pStyle w:val="2"/>
              <w:numPr>
                <w:ilvl w:val="0"/>
                <w:numId w:val="5"/>
              </w:numPr>
              <w:ind w:left="0" w:leftChars="0" w:firstLine="0" w:firstLineChars="0"/>
              <w:rPr>
                <w:rFonts w:hint="eastAsia"/>
                <w:lang w:eastAsia="zh-CN"/>
              </w:rPr>
            </w:pPr>
            <w:r>
              <w:rPr>
                <w:rFonts w:hint="eastAsia" w:ascii="宋体" w:hAnsi="宋体" w:eastAsia="宋体" w:cs="宋体"/>
                <w:color w:val="000000"/>
                <w:sz w:val="24"/>
                <w:szCs w:val="24"/>
              </w:rPr>
              <w:t>投标时提供</w:t>
            </w:r>
            <w:r>
              <w:rPr>
                <w:rFonts w:hint="eastAsia" w:ascii="宋体" w:hAnsi="宋体" w:eastAsia="宋体" w:cs="宋体"/>
                <w:color w:val="000000"/>
                <w:sz w:val="24"/>
                <w:szCs w:val="24"/>
                <w:lang w:val="en-US" w:eastAsia="zh-CN"/>
              </w:rPr>
              <w:t>三年</w:t>
            </w:r>
            <w:r>
              <w:rPr>
                <w:rFonts w:hint="eastAsia" w:ascii="宋体" w:hAnsi="宋体" w:eastAsia="宋体" w:cs="宋体"/>
                <w:color w:val="000000"/>
                <w:sz w:val="24"/>
                <w:szCs w:val="24"/>
              </w:rPr>
              <w:t>质保服务承诺函</w:t>
            </w:r>
            <w:r>
              <w:rPr>
                <w:rFonts w:hint="eastAsia" w:hAnsi="宋体" w:cs="宋体"/>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高密AP</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供电方式：支持DC供电或PoE供电不降流；</w:t>
            </w:r>
          </w:p>
          <w:p>
            <w:pPr>
              <w:widowControl/>
              <w:numPr>
                <w:ilvl w:val="0"/>
                <w:numId w:val="6"/>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放装型AP，可吸顶安装；</w:t>
            </w:r>
          </w:p>
          <w:p>
            <w:pPr>
              <w:widowControl/>
              <w:numPr>
                <w:ilvl w:val="0"/>
                <w:numId w:val="6"/>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工作模式：支持802.11ax标准，支持2.4GHz/5GHz双频段同时工作，采用硬件独立的三射频设计，整机支持不低于6条空间流；支持ipv4和ipv6协议双栈；</w:t>
            </w:r>
          </w:p>
          <w:p>
            <w:pPr>
              <w:widowControl/>
              <w:numPr>
                <w:ilvl w:val="0"/>
                <w:numId w:val="6"/>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协商速率：整机协商速率≥3.2Gbps；</w:t>
            </w:r>
          </w:p>
          <w:p>
            <w:pPr>
              <w:widowControl/>
              <w:numPr>
                <w:ilvl w:val="0"/>
                <w:numId w:val="6"/>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接口要求：1G以太网口≥1个，2.5G光口≥1个，内置蓝牙5.0，</w:t>
            </w:r>
            <w:r>
              <w:rPr>
                <w:rFonts w:hint="eastAsia" w:ascii="宋体" w:hAnsi="宋体" w:eastAsia="宋体" w:cs="宋体"/>
                <w:b w:val="0"/>
                <w:bCs w:val="0"/>
                <w:color w:val="000000"/>
                <w:kern w:val="0"/>
                <w:sz w:val="24"/>
                <w:szCs w:val="24"/>
                <w:lang w:bidi="ar"/>
              </w:rPr>
              <w:t>提供官网截图和链接证明；</w:t>
            </w:r>
          </w:p>
          <w:p>
            <w:pPr>
              <w:widowControl/>
              <w:numPr>
                <w:ilvl w:val="0"/>
                <w:numId w:val="6"/>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认证支持：802.1X、Portal、MAC认证、无感知认证等；</w:t>
            </w:r>
          </w:p>
          <w:p>
            <w:pPr>
              <w:widowControl/>
              <w:numPr>
                <w:ilvl w:val="0"/>
                <w:numId w:val="6"/>
              </w:numPr>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要求能与学校原有无线使用同一帐号认证体系，即实现用西湖教育网OA帐号体系实现统一身份认证，相关认证对接费用、AP接入许可费用均包含于本次报价中</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rPr>
              <w:t>8</w:t>
            </w:r>
            <w:r>
              <w:rPr>
                <w:rFonts w:hint="eastAsia" w:ascii="宋体" w:hAnsi="宋体" w:eastAsia="宋体" w:cs="宋体"/>
                <w:b/>
                <w:bCs/>
                <w:color w:val="000000"/>
                <w:sz w:val="24"/>
                <w:szCs w:val="24"/>
              </w:rPr>
              <w:t>、</w:t>
            </w:r>
            <w:r>
              <w:rPr>
                <w:rFonts w:hint="eastAsia" w:ascii="宋体" w:hAnsi="宋体" w:eastAsia="宋体" w:cs="宋体"/>
                <w:b/>
                <w:bCs/>
                <w:color w:val="000000" w:themeColor="text1"/>
                <w:sz w:val="24"/>
                <w:szCs w:val="24"/>
                <w14:textFill>
                  <w14:solidFill>
                    <w14:schemeClr w14:val="tx1"/>
                  </w14:solidFill>
                </w14:textFill>
              </w:rPr>
              <w:t>可以无缝对接西湖区教育局的无线平台并继承西湖区教育局无线平台AP及无线业务配置</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提供对接方案</w:t>
            </w:r>
            <w:r>
              <w:rPr>
                <w:rFonts w:hint="eastAsia" w:ascii="宋体" w:hAnsi="宋体" w:eastAsia="宋体" w:cs="宋体"/>
                <w:b/>
                <w:bCs/>
                <w:color w:val="000000"/>
                <w:sz w:val="24"/>
                <w:szCs w:val="24"/>
                <w:lang w:eastAsia="zh-CN"/>
              </w:rPr>
              <w:t>；</w:t>
            </w:r>
          </w:p>
          <w:p>
            <w:pPr>
              <w:widowControl/>
              <w:jc w:val="left"/>
              <w:textAlignment w:val="center"/>
              <w:rPr>
                <w:rFonts w:hint="eastAsia" w:ascii="宋体" w:hAnsi="宋体" w:cs="宋体"/>
                <w:b/>
                <w:bCs/>
                <w:color w:val="000000"/>
                <w:sz w:val="24"/>
                <w:szCs w:val="24"/>
                <w:lang w:eastAsia="zh-CN"/>
              </w:rPr>
            </w:pPr>
            <w:r>
              <w:rPr>
                <w:rFonts w:hint="eastAsia" w:ascii="宋体" w:hAnsi="宋体" w:eastAsia="宋体" w:cs="宋体"/>
                <w:b/>
                <w:bCs/>
                <w:color w:val="000000"/>
                <w:sz w:val="24"/>
                <w:szCs w:val="24"/>
                <w:lang w:val="en-US" w:eastAsia="zh-CN"/>
              </w:rPr>
              <w:t>9、</w:t>
            </w:r>
            <w:r>
              <w:rPr>
                <w:rFonts w:hint="eastAsia" w:ascii="宋体" w:hAnsi="宋体" w:eastAsia="宋体" w:cs="宋体"/>
                <w:b/>
                <w:bCs/>
                <w:color w:val="000000"/>
                <w:sz w:val="24"/>
                <w:szCs w:val="24"/>
              </w:rPr>
              <w:t>兼容性要求：与核心交换机同一品牌</w:t>
            </w:r>
            <w:r>
              <w:rPr>
                <w:rFonts w:hint="eastAsia" w:ascii="宋体" w:hAnsi="宋体" w:cs="宋体"/>
                <w:b/>
                <w:bCs/>
                <w:color w:val="000000"/>
                <w:sz w:val="24"/>
                <w:szCs w:val="24"/>
                <w:lang w:eastAsia="zh-CN"/>
              </w:rPr>
              <w:t>；</w:t>
            </w:r>
          </w:p>
          <w:p>
            <w:pPr>
              <w:pStyle w:val="2"/>
              <w:rPr>
                <w:rFonts w:hint="eastAsia" w:eastAsia="宋体"/>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投标时提供</w:t>
            </w:r>
            <w:r>
              <w:rPr>
                <w:rFonts w:hint="eastAsia" w:ascii="宋体" w:hAnsi="宋体" w:eastAsia="宋体" w:cs="宋体"/>
                <w:color w:val="000000"/>
                <w:sz w:val="24"/>
                <w:szCs w:val="24"/>
                <w:lang w:val="en-US" w:eastAsia="zh-CN"/>
              </w:rPr>
              <w:t>三年</w:t>
            </w:r>
            <w:r>
              <w:rPr>
                <w:rFonts w:hint="eastAsia" w:ascii="宋体" w:hAnsi="宋体" w:eastAsia="宋体" w:cs="宋体"/>
                <w:color w:val="000000"/>
                <w:sz w:val="24"/>
                <w:szCs w:val="24"/>
              </w:rPr>
              <w:t>质保服务承诺函</w:t>
            </w:r>
            <w:r>
              <w:rPr>
                <w:rFonts w:hint="eastAsia" w:hAnsi="宋体" w:cs="宋体"/>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室外定向AP</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1、支持标准的802.11ax协议，采用双射频设计，整机空间流≥4条</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2、至少支持1个2.5G SFP光口；1个10/100/1000Base-T以太网接口</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3、整机最大无线接入速率≥2.975Gbps。</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4、防护等级至少达到IP68</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5、支持标准的802.3af/802.3at协议进行PoE供电，整机功耗≤12.95w</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sz w:val="24"/>
                <w:szCs w:val="24"/>
              </w:rPr>
              <w:t>兼容性要求：与核心交换机同一品牌</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sz w:val="24"/>
                <w:szCs w:val="24"/>
              </w:rPr>
              <w:t>★</w:t>
            </w:r>
            <w:r>
              <w:rPr>
                <w:rFonts w:hint="eastAsia" w:ascii="宋体" w:hAnsi="宋体" w:eastAsia="宋体" w:cs="宋体"/>
                <w:b/>
                <w:bCs/>
                <w:color w:val="000000" w:themeColor="text1"/>
                <w:sz w:val="24"/>
                <w:szCs w:val="24"/>
                <w14:textFill>
                  <w14:solidFill>
                    <w14:schemeClr w14:val="tx1"/>
                  </w14:solidFill>
                </w14:textFill>
              </w:rPr>
              <w:t>可以无缝对接西湖区教育局的无线平台并继承西湖区教育局无线平台AP及无线业务配置，提供无缝对接</w:t>
            </w:r>
            <w:r>
              <w:rPr>
                <w:rFonts w:hint="eastAsia" w:ascii="宋体" w:hAnsi="宋体" w:eastAsia="宋体" w:cs="宋体"/>
                <w:b/>
                <w:bCs/>
                <w:color w:val="000000"/>
                <w:sz w:val="24"/>
                <w:szCs w:val="24"/>
              </w:rPr>
              <w:t>承诺证明。</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415"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val="0"/>
                <w:bCs w:val="0"/>
                <w:color w:val="000000"/>
                <w:kern w:val="0"/>
                <w:sz w:val="24"/>
                <w:szCs w:val="24"/>
                <w:lang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24口万兆汇聚交换机</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1、支持并实配10G/1G SFP+接口数≥20个，25G/10G SFP28接口数量≥4个，40G QSFP+接口数≥2个，</w:t>
            </w:r>
            <w:r>
              <w:rPr>
                <w:rFonts w:hint="eastAsia" w:ascii="宋体" w:hAnsi="宋体" w:eastAsia="宋体" w:cs="宋体"/>
                <w:b/>
                <w:bCs/>
                <w:color w:val="000000"/>
                <w:kern w:val="0"/>
                <w:sz w:val="24"/>
                <w:szCs w:val="24"/>
                <w:lang w:bidi="ar"/>
              </w:rPr>
              <w:t>提供官网截图及链接证明</w:t>
            </w:r>
            <w:r>
              <w:rPr>
                <w:rFonts w:hint="eastAsia" w:ascii="宋体" w:hAnsi="宋体" w:eastAsia="宋体" w:cs="宋体"/>
                <w:color w:val="000000"/>
                <w:kern w:val="0"/>
                <w:sz w:val="24"/>
                <w:szCs w:val="24"/>
                <w:lang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2、支持可拔插双模块化电源，可拔插双模块化风扇，前后风道；</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3、交换容量≥2.56T；包转发率≥570Mpps；</w:t>
            </w:r>
            <w:r>
              <w:rPr>
                <w:rFonts w:hint="eastAsia" w:ascii="宋体" w:hAnsi="宋体" w:eastAsia="宋体" w:cs="宋体"/>
                <w:b/>
                <w:bCs/>
                <w:color w:val="000000"/>
                <w:kern w:val="0"/>
                <w:sz w:val="24"/>
                <w:szCs w:val="24"/>
                <w:lang w:bidi="ar"/>
              </w:rPr>
              <w:t>提供官网截图和链接证明</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4、支持硬件健康状态可视化，可以对风扇状态、电源、温度、板载电压进行监控，尤其是在日常巡查中发现电压异常前兆，可及时处理，避免出现电压异常宕机</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5、支持硬件层级双boot，采用两个FLASH芯片存储boot软件（系统引导程序），实现硬件级boot冗余备份，避免因FLASH芯片故障导致交换机无法启动；</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sz w:val="24"/>
                <w:szCs w:val="24"/>
              </w:rPr>
              <w:t>★</w:t>
            </w:r>
            <w:r>
              <w:rPr>
                <w:rFonts w:hint="eastAsia" w:ascii="宋体" w:hAnsi="宋体" w:eastAsia="宋体" w:cs="宋体"/>
                <w:b/>
                <w:bCs/>
                <w:color w:val="000000"/>
                <w:kern w:val="0"/>
                <w:sz w:val="24"/>
                <w:szCs w:val="24"/>
                <w:lang w:bidi="ar"/>
              </w:rPr>
              <w:t>6、设备支持故障隔离技术，用于监测光模块状态，一旦出现故障，可马上识别、并将故障模块隔离，确保不影响其它端口和整机的正常运行，更换模块后该端口也可马上恢复正常工作；提供官网截图和链接证明</w:t>
            </w:r>
            <w:r>
              <w:rPr>
                <w:rFonts w:hint="eastAsia" w:ascii="宋体" w:hAnsi="宋体" w:cs="宋体"/>
                <w:b/>
                <w:bCs/>
                <w:color w:val="000000"/>
                <w:kern w:val="0"/>
                <w:sz w:val="24"/>
                <w:szCs w:val="24"/>
                <w:lang w:eastAsia="zh-CN" w:bidi="ar"/>
              </w:rPr>
              <w:t>；</w:t>
            </w:r>
          </w:p>
          <w:p>
            <w:pPr>
              <w:widowControl/>
              <w:numPr>
                <w:ilvl w:val="0"/>
                <w:numId w:val="6"/>
              </w:numPr>
              <w:ind w:left="0" w:leftChars="0" w:firstLine="0" w:firstLineChars="0"/>
              <w:jc w:val="left"/>
              <w:textAlignment w:val="center"/>
              <w:rPr>
                <w:rFonts w:hint="eastAsia" w:ascii="宋体" w:hAnsi="宋体" w:cs="宋体"/>
                <w:b/>
                <w:bCs/>
                <w:color w:val="000000"/>
                <w:kern w:val="0"/>
                <w:sz w:val="24"/>
                <w:szCs w:val="24"/>
                <w:lang w:eastAsia="zh-CN" w:bidi="ar"/>
              </w:rPr>
            </w:pPr>
            <w:r>
              <w:rPr>
                <w:rFonts w:hint="eastAsia" w:ascii="宋体" w:hAnsi="宋体" w:eastAsia="宋体" w:cs="宋体"/>
                <w:b/>
                <w:bCs/>
                <w:color w:val="000000"/>
                <w:kern w:val="0"/>
                <w:sz w:val="24"/>
                <w:szCs w:val="24"/>
                <w:lang w:bidi="ar"/>
              </w:rPr>
              <w:t>考虑设备兼容性、项目实施、交付及售后服务，</w:t>
            </w:r>
            <w:r>
              <w:rPr>
                <w:rFonts w:hint="eastAsia" w:ascii="宋体" w:hAnsi="宋体" w:eastAsia="宋体" w:cs="宋体"/>
                <w:b/>
                <w:bCs/>
                <w:color w:val="000000"/>
                <w:kern w:val="0"/>
                <w:sz w:val="24"/>
                <w:szCs w:val="24"/>
                <w:highlight w:val="none"/>
                <w:lang w:val="en-US" w:eastAsia="zh-CN" w:bidi="ar"/>
              </w:rPr>
              <w:t>要求</w:t>
            </w:r>
            <w:r>
              <w:rPr>
                <w:rFonts w:hint="eastAsia" w:ascii="宋体" w:hAnsi="宋体" w:eastAsia="宋体" w:cs="宋体"/>
                <w:b/>
                <w:bCs/>
                <w:color w:val="000000"/>
                <w:kern w:val="0"/>
                <w:sz w:val="24"/>
                <w:szCs w:val="24"/>
                <w:lang w:bidi="ar"/>
              </w:rPr>
              <w:t>与核心交换机同一品牌</w:t>
            </w:r>
            <w:r>
              <w:rPr>
                <w:rFonts w:hint="eastAsia" w:ascii="宋体" w:hAnsi="宋体" w:cs="宋体"/>
                <w:b/>
                <w:bCs/>
                <w:color w:val="000000"/>
                <w:kern w:val="0"/>
                <w:sz w:val="24"/>
                <w:szCs w:val="24"/>
                <w:lang w:eastAsia="zh-CN" w:bidi="ar"/>
              </w:rPr>
              <w:t>；</w:t>
            </w:r>
          </w:p>
          <w:p>
            <w:pPr>
              <w:pStyle w:val="2"/>
              <w:numPr>
                <w:ilvl w:val="0"/>
                <w:numId w:val="6"/>
              </w:numPr>
              <w:ind w:left="0" w:leftChars="0" w:firstLine="0" w:firstLineChars="0"/>
              <w:rPr>
                <w:rFonts w:hint="eastAsia"/>
                <w:lang w:eastAsia="zh-CN"/>
              </w:rPr>
            </w:pPr>
            <w:r>
              <w:rPr>
                <w:rFonts w:hint="eastAsia" w:ascii="宋体" w:hAnsi="宋体" w:eastAsia="宋体" w:cs="宋体"/>
                <w:color w:val="000000"/>
                <w:sz w:val="24"/>
                <w:szCs w:val="24"/>
              </w:rPr>
              <w:t>投标时提供</w:t>
            </w:r>
            <w:r>
              <w:rPr>
                <w:rFonts w:hint="eastAsia" w:ascii="宋体" w:hAnsi="宋体" w:eastAsia="宋体" w:cs="宋体"/>
                <w:color w:val="000000"/>
                <w:sz w:val="24"/>
                <w:szCs w:val="24"/>
                <w:lang w:val="en-US" w:eastAsia="zh-CN"/>
              </w:rPr>
              <w:t>三年</w:t>
            </w:r>
            <w:r>
              <w:rPr>
                <w:rFonts w:hint="eastAsia" w:ascii="宋体" w:hAnsi="宋体" w:eastAsia="宋体" w:cs="宋体"/>
                <w:color w:val="000000"/>
                <w:sz w:val="24"/>
                <w:szCs w:val="24"/>
              </w:rPr>
              <w:t>质保服务承诺函</w:t>
            </w:r>
            <w:r>
              <w:rPr>
                <w:rFonts w:hint="eastAsia" w:hAnsi="宋体" w:cs="宋体"/>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24口POE交换机（万兆上行）</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 交换容量≥336G。包转发率≥108Mpps</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 固化10/100/1000M以太网端口≥24个，固化10G/1G SFP+光接口≥4个</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 支持POE和POE+,同时可POE供电端口≥24个，POE最大输出功率≥370W</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 为满足工作场所的耐高温要求，要求设备具备0~50°的宽温设计</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sz w:val="24"/>
                <w:szCs w:val="24"/>
              </w:rPr>
              <w:t>★</w:t>
            </w:r>
            <w:r>
              <w:rPr>
                <w:rFonts w:hint="eastAsia" w:ascii="宋体" w:hAnsi="宋体" w:eastAsia="宋体" w:cs="宋体"/>
                <w:b/>
                <w:bCs/>
                <w:color w:val="000000"/>
                <w:sz w:val="24"/>
                <w:szCs w:val="24"/>
              </w:rPr>
              <w:t>5. 为保证设备在受到外界机械碰撞时能够正常运行，要求所投交换机IK防护测试级别至少达到IK05，提供国家认可的检测机构出具的IK防护等级测试报告并加盖公章。</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 支持风扇调速及风扇故障告警功能，支持温度告警功能</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 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cs="宋体"/>
                <w:color w:val="000000"/>
                <w:sz w:val="24"/>
                <w:szCs w:val="24"/>
                <w:lang w:eastAsia="zh-CN"/>
              </w:rPr>
            </w:pPr>
            <w:r>
              <w:rPr>
                <w:rFonts w:hint="eastAsia" w:ascii="宋体" w:hAnsi="宋体" w:eastAsia="宋体" w:cs="宋体"/>
                <w:b/>
                <w:bCs/>
                <w:color w:val="000000"/>
                <w:sz w:val="24"/>
                <w:szCs w:val="24"/>
              </w:rPr>
              <w:t>8.考虑设备兼容性、项目实施、交付及售后服务，</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rPr>
              <w:t>与核心交换机同一品牌</w:t>
            </w:r>
            <w:r>
              <w:rPr>
                <w:rFonts w:hint="eastAsia" w:ascii="宋体" w:hAnsi="宋体" w:cs="宋体"/>
                <w:color w:val="000000"/>
                <w:sz w:val="24"/>
                <w:szCs w:val="24"/>
                <w:lang w:eastAsia="zh-CN"/>
              </w:rPr>
              <w:t>；</w:t>
            </w:r>
          </w:p>
          <w:p>
            <w:pPr>
              <w:pStyle w:val="2"/>
              <w:rPr>
                <w:rFonts w:hint="eastAsia" w:eastAsia="宋体"/>
                <w:lang w:eastAsia="zh-CN"/>
              </w:rPr>
            </w:pPr>
            <w:r>
              <w:rPr>
                <w:rFonts w:hint="eastAsia" w:ascii="宋体" w:hAnsi="宋体" w:eastAsia="宋体" w:cs="宋体"/>
                <w:b/>
                <w:bCs/>
                <w:color w:val="000000"/>
                <w:sz w:val="24"/>
                <w:szCs w:val="24"/>
                <w:lang w:val="en-US" w:eastAsia="zh-CN"/>
              </w:rPr>
              <w:t>9</w:t>
            </w:r>
            <w:r>
              <w:rPr>
                <w:rFonts w:hint="eastAsia" w:hAnsi="宋体" w:cs="宋体"/>
                <w:b/>
                <w:bCs/>
                <w:color w:val="000000"/>
                <w:sz w:val="24"/>
                <w:szCs w:val="24"/>
                <w:lang w:val="en-US" w:eastAsia="zh-CN"/>
              </w:rPr>
              <w:t>.</w:t>
            </w:r>
            <w:r>
              <w:rPr>
                <w:rFonts w:hint="eastAsia" w:ascii="宋体" w:hAnsi="宋体" w:eastAsia="宋体" w:cs="宋体"/>
                <w:b/>
                <w:bCs/>
                <w:color w:val="000000"/>
                <w:sz w:val="24"/>
                <w:szCs w:val="24"/>
              </w:rPr>
              <w:t>投标时提供</w:t>
            </w:r>
            <w:r>
              <w:rPr>
                <w:rFonts w:hint="eastAsia" w:ascii="宋体" w:hAnsi="宋体" w:eastAsia="宋体" w:cs="宋体"/>
                <w:b/>
                <w:bCs/>
                <w:color w:val="000000"/>
                <w:sz w:val="24"/>
                <w:szCs w:val="24"/>
                <w:lang w:val="en-US" w:eastAsia="zh-CN"/>
              </w:rPr>
              <w:t>三年</w:t>
            </w:r>
            <w:r>
              <w:rPr>
                <w:rFonts w:hint="eastAsia" w:ascii="宋体" w:hAnsi="宋体" w:eastAsia="宋体" w:cs="宋体"/>
                <w:b/>
                <w:bCs/>
                <w:color w:val="000000"/>
                <w:sz w:val="24"/>
                <w:szCs w:val="24"/>
              </w:rPr>
              <w:t>质保服务承诺函</w:t>
            </w:r>
            <w:r>
              <w:rPr>
                <w:rFonts w:hint="eastAsia" w:hAnsi="宋体" w:cs="宋体"/>
                <w:b/>
                <w:bCs/>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48口交换机（万兆上行）</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 交换容量≥432G</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包转发率≥144Mpps</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 固化10/100/1000M以太网端口≥48个，固化10G/1G SFP+光接口≥4个</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 为满足工作场所的耐高温要求，要求设备具备0~50°的宽温设计</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rPr>
              <w:t>4. 为保证设备在受到外界机械碰撞时能够正常运行，要求所投交换机IK防护测试级别至少达到IK05，</w:t>
            </w:r>
            <w:r>
              <w:rPr>
                <w:rFonts w:hint="eastAsia" w:ascii="宋体" w:hAnsi="宋体" w:eastAsia="宋体" w:cs="宋体"/>
                <w:b/>
                <w:bCs/>
                <w:color w:val="000000"/>
                <w:sz w:val="24"/>
                <w:szCs w:val="24"/>
              </w:rPr>
              <w:t>提供国家认可的检测机构出具的IK防护等级测试报告并加盖公章</w:t>
            </w:r>
            <w:r>
              <w:rPr>
                <w:rFonts w:hint="eastAsia" w:ascii="宋体" w:hAnsi="宋体" w:eastAsia="宋体" w:cs="宋体"/>
                <w:b/>
                <w:bCs/>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 支持风扇调速及风扇故障告警功能，支持温度告警功能</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 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cs="宋体"/>
                <w:b/>
                <w:bCs/>
                <w:color w:val="000000"/>
                <w:sz w:val="24"/>
                <w:szCs w:val="24"/>
                <w:lang w:eastAsia="zh-CN"/>
              </w:rPr>
            </w:pPr>
            <w:r>
              <w:rPr>
                <w:rFonts w:hint="eastAsia" w:ascii="宋体" w:hAnsi="宋体" w:eastAsia="宋体" w:cs="宋体"/>
                <w:b/>
                <w:bCs/>
                <w:color w:val="000000"/>
                <w:sz w:val="24"/>
                <w:szCs w:val="24"/>
              </w:rPr>
              <w:t>7.考虑设备兼容性、项目实施、交付及售后服务，</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rPr>
              <w:t>与核心交换机同一品牌</w:t>
            </w:r>
            <w:r>
              <w:rPr>
                <w:rFonts w:hint="eastAsia" w:ascii="宋体" w:hAnsi="宋体" w:cs="宋体"/>
                <w:b/>
                <w:bCs/>
                <w:color w:val="000000"/>
                <w:sz w:val="24"/>
                <w:szCs w:val="24"/>
                <w:lang w:eastAsia="zh-CN"/>
              </w:rPr>
              <w:t>；</w:t>
            </w:r>
          </w:p>
          <w:p>
            <w:pPr>
              <w:pStyle w:val="2"/>
              <w:rPr>
                <w:rFonts w:hint="eastAsia" w:eastAsia="宋体"/>
                <w:lang w:eastAsia="zh-CN"/>
              </w:rPr>
            </w:pPr>
            <w:r>
              <w:rPr>
                <w:rFonts w:hint="eastAsia" w:ascii="宋体" w:hAnsi="宋体" w:eastAsia="宋体" w:cs="宋体"/>
                <w:b/>
                <w:bCs/>
                <w:color w:val="000000"/>
                <w:sz w:val="24"/>
                <w:szCs w:val="24"/>
                <w:lang w:val="en-US" w:eastAsia="zh-CN"/>
              </w:rPr>
              <w:t>8</w:t>
            </w:r>
            <w:r>
              <w:rPr>
                <w:rFonts w:hint="eastAsia" w:hAnsi="宋体" w:cs="宋体"/>
                <w:b/>
                <w:bCs/>
                <w:color w:val="000000"/>
                <w:sz w:val="24"/>
                <w:szCs w:val="24"/>
                <w:lang w:val="en-US" w:eastAsia="zh-CN"/>
              </w:rPr>
              <w:t>.</w:t>
            </w:r>
            <w:r>
              <w:rPr>
                <w:rFonts w:hint="eastAsia" w:ascii="宋体" w:hAnsi="宋体" w:eastAsia="宋体" w:cs="宋体"/>
                <w:b/>
                <w:bCs/>
                <w:color w:val="000000"/>
                <w:sz w:val="24"/>
                <w:szCs w:val="24"/>
              </w:rPr>
              <w:t>投标时提供</w:t>
            </w:r>
            <w:r>
              <w:rPr>
                <w:rFonts w:hint="eastAsia" w:ascii="宋体" w:hAnsi="宋体" w:eastAsia="宋体" w:cs="宋体"/>
                <w:b/>
                <w:bCs/>
                <w:color w:val="000000"/>
                <w:sz w:val="24"/>
                <w:szCs w:val="24"/>
                <w:lang w:val="en-US" w:eastAsia="zh-CN"/>
              </w:rPr>
              <w:t>三年</w:t>
            </w:r>
            <w:r>
              <w:rPr>
                <w:rFonts w:hint="eastAsia" w:ascii="宋体" w:hAnsi="宋体" w:eastAsia="宋体" w:cs="宋体"/>
                <w:b/>
                <w:bCs/>
                <w:color w:val="000000"/>
                <w:sz w:val="24"/>
                <w:szCs w:val="24"/>
              </w:rPr>
              <w:t>质保服务承诺函</w:t>
            </w:r>
            <w:r>
              <w:rPr>
                <w:rFonts w:hint="eastAsia" w:hAnsi="宋体" w:cs="宋体"/>
                <w:b/>
                <w:bCs/>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24口交换机（万兆上行）</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 交换容量≥336G。包转发率≥108Mpps</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 固化10/100/1000M以太网端口≥24个，固化10G/1G SFP+光接口≥4个</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 为满足工作场所的耐高温要求，要求设备具备0~50°的宽温设计</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color w:val="000000"/>
                <w:sz w:val="24"/>
                <w:szCs w:val="24"/>
              </w:rPr>
              <w:t>4. 为保证设备在受到外界机械碰撞时能够正常运行，要求所投交换机IK防护测试级别至少达到IK05，</w:t>
            </w:r>
            <w:r>
              <w:rPr>
                <w:rFonts w:hint="eastAsia" w:ascii="宋体" w:hAnsi="宋体" w:eastAsia="宋体" w:cs="宋体"/>
                <w:b/>
                <w:bCs/>
                <w:color w:val="000000"/>
                <w:sz w:val="24"/>
                <w:szCs w:val="24"/>
              </w:rPr>
              <w:t>提供国家认可的检测机构出具的IK防护等级测试报告并加盖公章</w:t>
            </w:r>
            <w:r>
              <w:rPr>
                <w:rFonts w:hint="eastAsia" w:ascii="宋体" w:hAnsi="宋体" w:eastAsia="宋体" w:cs="宋体"/>
                <w:b/>
                <w:bCs/>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 支持风扇调速及风扇故障告警功能，支持温度告警功能</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 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cs="宋体"/>
                <w:b/>
                <w:bCs/>
                <w:color w:val="000000"/>
                <w:sz w:val="24"/>
                <w:szCs w:val="24"/>
                <w:lang w:eastAsia="zh-CN"/>
              </w:rPr>
            </w:pPr>
            <w:r>
              <w:rPr>
                <w:rFonts w:hint="eastAsia" w:ascii="宋体" w:hAnsi="宋体" w:eastAsia="宋体" w:cs="宋体"/>
                <w:b/>
                <w:bCs/>
                <w:color w:val="000000"/>
                <w:sz w:val="24"/>
                <w:szCs w:val="24"/>
              </w:rPr>
              <w:t>7.考虑设备兼容性、项目实施、交付及售后服务，</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rPr>
              <w:t>与核心交换机同一品牌</w:t>
            </w:r>
            <w:r>
              <w:rPr>
                <w:rFonts w:hint="eastAsia" w:ascii="宋体" w:hAnsi="宋体" w:cs="宋体"/>
                <w:b/>
                <w:bCs/>
                <w:color w:val="000000"/>
                <w:sz w:val="24"/>
                <w:szCs w:val="24"/>
                <w:lang w:eastAsia="zh-CN"/>
              </w:rPr>
              <w:t>；</w:t>
            </w:r>
          </w:p>
          <w:p>
            <w:pPr>
              <w:pStyle w:val="2"/>
              <w:rPr>
                <w:rFonts w:hint="eastAsia" w:eastAsia="宋体"/>
                <w:lang w:eastAsia="zh-CN"/>
              </w:rPr>
            </w:pPr>
            <w:r>
              <w:rPr>
                <w:rFonts w:hint="eastAsia" w:ascii="宋体" w:hAnsi="宋体" w:eastAsia="宋体" w:cs="宋体"/>
                <w:b/>
                <w:bCs/>
                <w:color w:val="000000"/>
                <w:sz w:val="24"/>
                <w:szCs w:val="24"/>
                <w:lang w:val="en-US" w:eastAsia="zh-CN"/>
              </w:rPr>
              <w:t>8</w:t>
            </w:r>
            <w:r>
              <w:rPr>
                <w:rFonts w:hint="eastAsia" w:hAnsi="宋体" w:cs="宋体"/>
                <w:b/>
                <w:bCs/>
                <w:color w:val="000000"/>
                <w:sz w:val="24"/>
                <w:szCs w:val="24"/>
                <w:lang w:val="en-US" w:eastAsia="zh-CN"/>
              </w:rPr>
              <w:t>.</w:t>
            </w:r>
            <w:r>
              <w:rPr>
                <w:rFonts w:hint="eastAsia" w:ascii="宋体" w:hAnsi="宋体" w:eastAsia="宋体" w:cs="宋体"/>
                <w:b/>
                <w:bCs/>
                <w:color w:val="000000"/>
                <w:sz w:val="24"/>
                <w:szCs w:val="24"/>
              </w:rPr>
              <w:t>投标时提供</w:t>
            </w:r>
            <w:r>
              <w:rPr>
                <w:rFonts w:hint="eastAsia" w:ascii="宋体" w:hAnsi="宋体" w:eastAsia="宋体" w:cs="宋体"/>
                <w:b/>
                <w:bCs/>
                <w:color w:val="000000"/>
                <w:sz w:val="24"/>
                <w:szCs w:val="24"/>
                <w:lang w:val="en-US" w:eastAsia="zh-CN"/>
              </w:rPr>
              <w:t>三年</w:t>
            </w:r>
            <w:r>
              <w:rPr>
                <w:rFonts w:hint="eastAsia" w:ascii="宋体" w:hAnsi="宋体" w:eastAsia="宋体" w:cs="宋体"/>
                <w:b/>
                <w:bCs/>
                <w:color w:val="000000"/>
                <w:sz w:val="24"/>
                <w:szCs w:val="24"/>
              </w:rPr>
              <w:t>质保服务承诺函</w:t>
            </w:r>
            <w:r>
              <w:rPr>
                <w:rFonts w:hint="eastAsia" w:hAnsi="宋体" w:cs="宋体"/>
                <w:b/>
                <w:bCs/>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8口POE交换机</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1.固化10/100/1000M以太网电口≥8个，1G/2.5G SFP光接口≥1个，支持POE和POE+远程供电，POE供电功率为125W；</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2.交换容量≥432Gbps，包转发率≥80Mpps（</w:t>
            </w:r>
            <w:r>
              <w:rPr>
                <w:rFonts w:hint="eastAsia" w:ascii="宋体" w:hAnsi="宋体" w:eastAsia="宋体" w:cs="宋体"/>
                <w:b/>
                <w:bCs/>
                <w:color w:val="000000"/>
                <w:sz w:val="24"/>
                <w:szCs w:val="24"/>
              </w:rPr>
              <w:t>以官网指标最小值为准）</w:t>
            </w:r>
            <w:r>
              <w:rPr>
                <w:rFonts w:hint="eastAsia" w:ascii="宋体" w:hAnsi="宋体" w:eastAsia="宋体" w:cs="宋体"/>
                <w:color w:val="000000"/>
                <w:sz w:val="24"/>
                <w:szCs w:val="24"/>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3.支持采用物理隔离的方式进行端口拓展，实现一机双网管理。支持最大4+2、8+2端口拓展</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4.要求设备采用静音设计，噪声值＜20dB；</w:t>
            </w:r>
            <w:r>
              <w:rPr>
                <w:rFonts w:hint="eastAsia" w:ascii="宋体" w:hAnsi="宋体" w:eastAsia="宋体" w:cs="宋体"/>
                <w:b/>
                <w:bCs/>
                <w:color w:val="000000"/>
                <w:sz w:val="24"/>
                <w:szCs w:val="24"/>
              </w:rPr>
              <w:t>提供具有CMA的第三方权威机构检验报告证明</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5.为保证设备在受到外接机械碰撞时能够正常运行，要求所投交换机IK防护测试级别至少达到IK05，</w:t>
            </w:r>
            <w:r>
              <w:rPr>
                <w:rFonts w:hint="eastAsia" w:ascii="宋体" w:hAnsi="宋体" w:eastAsia="宋体" w:cs="宋体"/>
                <w:b/>
                <w:bCs/>
                <w:color w:val="000000"/>
                <w:sz w:val="24"/>
                <w:szCs w:val="24"/>
              </w:rPr>
              <w:t>提供国家认可的检测机构出具的IK防护等级测试报告</w:t>
            </w:r>
            <w:r>
              <w:rPr>
                <w:rFonts w:hint="eastAsia" w:ascii="宋体" w:hAnsi="宋体" w:eastAsia="宋体" w:cs="宋体"/>
                <w:color w:val="000000"/>
                <w:sz w:val="24"/>
                <w:szCs w:val="24"/>
              </w:rPr>
              <w:t>；</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6.采用金属外壳和金属网口设计，支持端口浪涌抗扰度≥8KV（即具备8KV的防雷能力）；</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7.支持专门针对CPU的保护机制，能够针对发往CPU处理的各种报文进行流区分和优先级队列分级处理，保护交换机在各种环境下稳定工作,</w:t>
            </w:r>
            <w:r>
              <w:rPr>
                <w:rFonts w:hint="eastAsia" w:ascii="宋体" w:hAnsi="宋体" w:eastAsia="宋体" w:cs="宋体"/>
                <w:b/>
                <w:bCs/>
                <w:color w:val="000000"/>
                <w:sz w:val="24"/>
                <w:szCs w:val="24"/>
              </w:rPr>
              <w:t>提供官网截图及链接证明；</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8.支持零配置上线功能：根据不同区域的业务创建相应业务模板后，绑定设备区域位置信息，设备开箱上电后配置即可自动从软件下发，无需在接入设备端刷入配置，</w:t>
            </w:r>
            <w:r>
              <w:rPr>
                <w:rFonts w:hint="eastAsia" w:ascii="宋体" w:hAnsi="宋体" w:eastAsia="宋体" w:cs="宋体"/>
                <w:b/>
                <w:bCs/>
                <w:color w:val="000000"/>
                <w:sz w:val="24"/>
                <w:szCs w:val="24"/>
              </w:rPr>
              <w:t>提供具有CMA</w:t>
            </w:r>
            <w:r>
              <w:rPr>
                <w:rFonts w:hint="eastAsia" w:ascii="宋体" w:hAnsi="宋体" w:eastAsia="宋体" w:cs="宋体"/>
                <w:b/>
                <w:bCs/>
                <w:strike w:val="0"/>
                <w:dstrike w:val="0"/>
                <w:color w:val="auto"/>
                <w:sz w:val="24"/>
                <w:szCs w:val="24"/>
                <w:highlight w:val="none"/>
              </w:rPr>
              <w:t>的</w:t>
            </w:r>
            <w:r>
              <w:rPr>
                <w:rFonts w:hint="eastAsia" w:ascii="宋体" w:hAnsi="宋体" w:eastAsia="宋体" w:cs="宋体"/>
                <w:b/>
                <w:bCs/>
                <w:color w:val="000000"/>
                <w:sz w:val="24"/>
                <w:szCs w:val="24"/>
              </w:rPr>
              <w:t>第三方权威机构检验报告证明</w:t>
            </w:r>
            <w:r>
              <w:rPr>
                <w:rFonts w:hint="eastAsia" w:ascii="宋体" w:hAnsi="宋体" w:eastAsia="宋体" w:cs="宋体"/>
                <w:b/>
                <w:bCs/>
                <w:color w:val="000000"/>
                <w:sz w:val="24"/>
                <w:szCs w:val="24"/>
                <w:lang w:eastAsia="zh-CN"/>
              </w:rPr>
              <w:t>；</w:t>
            </w:r>
          </w:p>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9.支持故障设备零配置替换：当交换机出现故障，支持替换用的新设备的零配置替换，新设备上电后配置自动下发，无需手动配置，</w:t>
            </w:r>
            <w:r>
              <w:rPr>
                <w:rFonts w:hint="eastAsia" w:ascii="宋体" w:hAnsi="宋体" w:eastAsia="宋体" w:cs="宋体"/>
                <w:b/>
                <w:bCs/>
                <w:color w:val="000000"/>
                <w:sz w:val="24"/>
                <w:szCs w:val="24"/>
              </w:rPr>
              <w:t>提供具有CMA的第三方权威机构检验报告证明</w:t>
            </w:r>
            <w:r>
              <w:rPr>
                <w:rFonts w:hint="eastAsia" w:ascii="宋体" w:hAnsi="宋体" w:eastAsia="宋体" w:cs="宋体"/>
                <w:color w:val="000000"/>
                <w:sz w:val="24"/>
                <w:szCs w:val="24"/>
                <w:lang w:eastAsia="zh-CN"/>
              </w:rPr>
              <w:t>；</w:t>
            </w:r>
          </w:p>
          <w:p>
            <w:pPr>
              <w:widowControl/>
              <w:jc w:val="left"/>
              <w:textAlignment w:val="center"/>
              <w:rPr>
                <w:rFonts w:hint="eastAsia" w:ascii="宋体" w:hAnsi="宋体" w:cs="宋体"/>
                <w:b/>
                <w:bCs/>
                <w:color w:val="000000"/>
                <w:sz w:val="24"/>
                <w:szCs w:val="24"/>
                <w:lang w:eastAsia="zh-CN"/>
              </w:rPr>
            </w:pPr>
            <w:r>
              <w:rPr>
                <w:rFonts w:hint="eastAsia" w:ascii="宋体" w:hAnsi="宋体" w:eastAsia="宋体" w:cs="宋体"/>
                <w:b/>
                <w:bCs/>
                <w:color w:val="000000"/>
                <w:sz w:val="24"/>
                <w:szCs w:val="24"/>
              </w:rPr>
              <w:t>10.考虑设备兼容性、项目实施、交付及售后服务，采用与核心交换机同一品牌</w:t>
            </w:r>
            <w:r>
              <w:rPr>
                <w:rFonts w:hint="eastAsia" w:ascii="宋体" w:hAnsi="宋体" w:cs="宋体"/>
                <w:b/>
                <w:bCs/>
                <w:color w:val="000000"/>
                <w:sz w:val="24"/>
                <w:szCs w:val="24"/>
                <w:lang w:eastAsia="zh-CN"/>
              </w:rPr>
              <w:t>；</w:t>
            </w:r>
          </w:p>
          <w:p>
            <w:pPr>
              <w:pStyle w:val="2"/>
              <w:rPr>
                <w:rFonts w:hint="eastAsia" w:eastAsia="宋体"/>
                <w:lang w:eastAsia="zh-CN"/>
              </w:rPr>
            </w:pPr>
            <w:r>
              <w:rPr>
                <w:rFonts w:hint="eastAsia" w:ascii="宋体" w:hAnsi="宋体" w:eastAsia="宋体" w:cs="宋体"/>
                <w:b/>
                <w:bCs/>
                <w:color w:val="000000"/>
                <w:sz w:val="24"/>
                <w:szCs w:val="24"/>
                <w:lang w:val="en-US" w:eastAsia="zh-CN"/>
              </w:rPr>
              <w:t>11</w:t>
            </w:r>
            <w:r>
              <w:rPr>
                <w:rFonts w:hint="eastAsia" w:hAnsi="宋体" w:cs="宋体"/>
                <w:b/>
                <w:bCs/>
                <w:color w:val="000000"/>
                <w:sz w:val="24"/>
                <w:szCs w:val="24"/>
                <w:lang w:val="en-US" w:eastAsia="zh-CN"/>
              </w:rPr>
              <w:t>.</w:t>
            </w:r>
            <w:r>
              <w:rPr>
                <w:rFonts w:hint="eastAsia" w:ascii="宋体" w:hAnsi="宋体" w:eastAsia="宋体" w:cs="宋体"/>
                <w:b/>
                <w:bCs/>
                <w:color w:val="000000"/>
                <w:sz w:val="24"/>
                <w:szCs w:val="24"/>
              </w:rPr>
              <w:t>投标时提供</w:t>
            </w:r>
            <w:r>
              <w:rPr>
                <w:rFonts w:hint="eastAsia" w:ascii="宋体" w:hAnsi="宋体" w:eastAsia="宋体" w:cs="宋体"/>
                <w:b/>
                <w:bCs/>
                <w:color w:val="000000"/>
                <w:sz w:val="24"/>
                <w:szCs w:val="24"/>
                <w:lang w:val="en-US" w:eastAsia="zh-CN"/>
              </w:rPr>
              <w:t>三年</w:t>
            </w:r>
            <w:r>
              <w:rPr>
                <w:rFonts w:hint="eastAsia" w:ascii="宋体" w:hAnsi="宋体" w:eastAsia="宋体" w:cs="宋体"/>
                <w:b/>
                <w:bCs/>
                <w:color w:val="000000"/>
                <w:sz w:val="24"/>
                <w:szCs w:val="24"/>
              </w:rPr>
              <w:t>质保服务承诺函</w:t>
            </w:r>
            <w:r>
              <w:rPr>
                <w:rFonts w:hint="eastAsia" w:hAnsi="宋体" w:cs="宋体"/>
                <w:b/>
                <w:bCs/>
                <w:color w:val="000000"/>
                <w:sz w:val="24"/>
                <w:szCs w:val="24"/>
                <w:lang w:eastAsia="zh-CN"/>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万兆单模光模块</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SFP+ 万兆模块(1310nm,10km,LC)</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无线运维</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1.为保证无线网络运行稳定，需要提供分析网络运行情况，平台支持设备稳定度、信号覆盖度、关联稳定度、在线体验、网络饱和度、用户活跃度查询功能，</w:t>
            </w:r>
            <w:r>
              <w:rPr>
                <w:rFonts w:hint="eastAsia" w:ascii="宋体" w:hAnsi="宋体" w:eastAsia="宋体" w:cs="宋体"/>
                <w:b/>
                <w:bCs/>
                <w:color w:val="000000"/>
                <w:kern w:val="0"/>
                <w:sz w:val="24"/>
                <w:szCs w:val="24"/>
                <w:lang w:bidi="ar"/>
              </w:rPr>
              <w:t>提供产品功能截图</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2.支持统计不同AP的所有终端的上下线失败次数，平均信号强度、平均丢包率、平均时延参数，支持排序方便定位问题；</w:t>
            </w:r>
            <w:r>
              <w:rPr>
                <w:rFonts w:hint="eastAsia" w:ascii="宋体" w:hAnsi="宋体" w:eastAsia="宋体" w:cs="宋体"/>
                <w:b/>
                <w:bCs/>
                <w:color w:val="000000"/>
                <w:kern w:val="0"/>
                <w:sz w:val="24"/>
                <w:szCs w:val="24"/>
                <w:lang w:bidi="ar"/>
              </w:rPr>
              <w:t>提供产品功能截图</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bidi="ar"/>
              </w:rPr>
              <w:t>3.</w:t>
            </w:r>
            <w:r>
              <w:rPr>
                <w:rFonts w:hint="eastAsia" w:ascii="宋体" w:hAnsi="宋体" w:eastAsia="宋体" w:cs="宋体"/>
                <w:b/>
                <w:bCs/>
                <w:sz w:val="24"/>
                <w:szCs w:val="24"/>
              </w:rPr>
              <w:t>★</w:t>
            </w:r>
            <w:r>
              <w:rPr>
                <w:rFonts w:hint="eastAsia" w:ascii="宋体" w:hAnsi="宋体" w:eastAsia="宋体" w:cs="宋体"/>
                <w:b/>
                <w:bCs/>
                <w:color w:val="000000"/>
                <w:kern w:val="0"/>
                <w:sz w:val="24"/>
                <w:szCs w:val="24"/>
                <w:lang w:bidi="ar"/>
              </w:rPr>
              <w:t>支持终端接入协议回放，支持协议报文级的交互呈现和精细化问题诊断，可以呈现协议交互阶段结果与耗时，并提供用户接入失败的根因与排障建议。提供权威第三方机构测试报告证明及产品截图</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color w:val="000000"/>
                <w:kern w:val="0"/>
                <w:sz w:val="24"/>
                <w:szCs w:val="24"/>
                <w:lang w:bidi="ar"/>
              </w:rPr>
              <w:t>4.要求所投产品可根据AP和终端的综合指标（非无线覆盖热图）来生成全网覆盖情况报告，包括良好覆盖区、注意覆盖区、问题覆盖区，</w:t>
            </w:r>
            <w:r>
              <w:rPr>
                <w:rFonts w:hint="eastAsia" w:ascii="宋体" w:hAnsi="宋体" w:eastAsia="宋体" w:cs="宋体"/>
                <w:b/>
                <w:bCs/>
                <w:color w:val="000000"/>
                <w:kern w:val="0"/>
                <w:sz w:val="24"/>
                <w:szCs w:val="24"/>
                <w:lang w:bidi="ar"/>
              </w:rPr>
              <w:t>提供产品截图</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b/>
                <w:bCs/>
                <w:color w:val="000000"/>
                <w:kern w:val="0"/>
                <w:sz w:val="24"/>
                <w:szCs w:val="24"/>
                <w:highlight w:val="none"/>
                <w:lang w:eastAsia="zh-CN" w:bidi="ar"/>
              </w:rPr>
            </w:pPr>
            <w:r>
              <w:rPr>
                <w:rFonts w:hint="eastAsia" w:ascii="宋体" w:hAnsi="宋体" w:eastAsia="宋体" w:cs="宋体"/>
                <w:color w:val="000000"/>
                <w:kern w:val="0"/>
                <w:sz w:val="24"/>
                <w:szCs w:val="24"/>
                <w:lang w:bidi="ar"/>
              </w:rPr>
              <w:t>5.基线分析功能，支持记录配置、版本、新增AP、配置规划下发、网优操作导入的变化，并能跟踪变化前后的在线终端数、终端流量、接入异常数、平均丢包率、平均时延等网络KPI变化；</w:t>
            </w:r>
            <w:r>
              <w:rPr>
                <w:rFonts w:hint="eastAsia" w:ascii="宋体" w:hAnsi="宋体" w:eastAsia="宋体" w:cs="宋体"/>
                <w:b/>
                <w:bCs/>
                <w:color w:val="000000"/>
                <w:kern w:val="0"/>
                <w:sz w:val="24"/>
                <w:szCs w:val="24"/>
                <w:highlight w:val="none"/>
                <w:lang w:bidi="ar"/>
              </w:rPr>
              <w:t>提供软件功能截图</w:t>
            </w:r>
            <w:r>
              <w:rPr>
                <w:rFonts w:hint="eastAsia" w:ascii="宋体" w:hAnsi="宋体" w:eastAsia="宋体" w:cs="宋体"/>
                <w:b/>
                <w:bCs/>
                <w:color w:val="000000"/>
                <w:kern w:val="0"/>
                <w:sz w:val="24"/>
                <w:szCs w:val="24"/>
                <w:highlight w:val="none"/>
                <w:lang w:eastAsia="zh-CN" w:bidi="ar"/>
              </w:rPr>
              <w:t>；</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sz w:val="24"/>
                <w:szCs w:val="24"/>
              </w:rPr>
              <w:t>★</w:t>
            </w:r>
            <w:r>
              <w:rPr>
                <w:rFonts w:hint="eastAsia" w:ascii="宋体" w:hAnsi="宋体" w:eastAsia="宋体" w:cs="宋体"/>
                <w:b/>
                <w:bCs/>
                <w:color w:val="000000"/>
                <w:kern w:val="0"/>
                <w:sz w:val="24"/>
                <w:szCs w:val="24"/>
                <w:lang w:bidi="ar"/>
              </w:rPr>
              <w:t>6.零配置开局，支持为AP、AC、网关、交换机、路由器创建配置模板，并绑定到分支场所网络。设备接入到分支场所网络后，自动应用配置模板。提供权威第三方机构测试报告证明及产品功能截图</w:t>
            </w:r>
            <w:r>
              <w:rPr>
                <w:rFonts w:hint="eastAsia" w:ascii="宋体" w:hAnsi="宋体" w:eastAsia="宋体" w:cs="宋体"/>
                <w:b/>
                <w:bCs/>
                <w:color w:val="000000"/>
                <w:kern w:val="0"/>
                <w:sz w:val="24"/>
                <w:szCs w:val="24"/>
                <w:lang w:eastAsia="zh-CN" w:bidi="ar"/>
              </w:rPr>
              <w:t>；</w:t>
            </w:r>
          </w:p>
          <w:p>
            <w:pPr>
              <w:widowControl/>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sz w:val="24"/>
                <w:szCs w:val="24"/>
              </w:rPr>
              <w:t>★</w:t>
            </w:r>
            <w:r>
              <w:rPr>
                <w:rFonts w:hint="eastAsia" w:ascii="宋体" w:hAnsi="宋体" w:eastAsia="宋体" w:cs="宋体"/>
                <w:b/>
                <w:bCs/>
                <w:color w:val="000000"/>
                <w:kern w:val="0"/>
                <w:sz w:val="24"/>
                <w:szCs w:val="24"/>
                <w:lang w:bidi="ar"/>
              </w:rPr>
              <w:t>7.为确保Wi-Fi检测工具的成熟度，APP装机量大于180万，日活跃大于10000，提供第三方监控平台的截图证明</w:t>
            </w:r>
            <w:r>
              <w:rPr>
                <w:rFonts w:hint="eastAsia" w:ascii="宋体" w:hAnsi="宋体" w:eastAsia="宋体" w:cs="宋体"/>
                <w:b/>
                <w:bCs/>
                <w:color w:val="000000"/>
                <w:kern w:val="0"/>
                <w:sz w:val="24"/>
                <w:szCs w:val="24"/>
                <w:lang w:eastAsia="zh-CN" w:bidi="ar"/>
              </w:rPr>
              <w:t>；</w:t>
            </w:r>
          </w:p>
          <w:p>
            <w:pPr>
              <w:widowControl/>
              <w:numPr>
                <w:ilvl w:val="0"/>
                <w:numId w:val="7"/>
              </w:numPr>
              <w:jc w:val="left"/>
              <w:textAlignment w:val="center"/>
              <w:rPr>
                <w:rFonts w:hint="eastAsia" w:ascii="宋体" w:hAnsi="宋体" w:cs="宋体"/>
                <w:b/>
                <w:bCs/>
                <w:color w:val="000000"/>
                <w:kern w:val="0"/>
                <w:sz w:val="24"/>
                <w:szCs w:val="24"/>
                <w:lang w:eastAsia="zh-CN" w:bidi="ar"/>
              </w:rPr>
            </w:pPr>
            <w:r>
              <w:rPr>
                <w:rFonts w:hint="eastAsia" w:ascii="宋体" w:hAnsi="宋体" w:eastAsia="宋体" w:cs="宋体"/>
                <w:b/>
                <w:bCs/>
                <w:color w:val="000000"/>
                <w:kern w:val="0"/>
                <w:sz w:val="24"/>
                <w:szCs w:val="24"/>
                <w:lang w:bidi="ar"/>
              </w:rPr>
              <w:t>考虑设备兼容性、项目实施、交付及售后服务，采用与核心交换机同一品牌</w:t>
            </w:r>
            <w:r>
              <w:rPr>
                <w:rFonts w:hint="eastAsia" w:ascii="宋体" w:hAnsi="宋体" w:cs="宋体"/>
                <w:b/>
                <w:bCs/>
                <w:color w:val="000000"/>
                <w:kern w:val="0"/>
                <w:sz w:val="24"/>
                <w:szCs w:val="24"/>
                <w:lang w:eastAsia="zh-CN" w:bidi="ar"/>
              </w:rPr>
              <w:t>；</w:t>
            </w:r>
          </w:p>
          <w:p>
            <w:pP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架构：基于Linux服务器环境（主流发行版）</w:t>
            </w:r>
            <w:r>
              <w:rPr>
                <w:rFonts w:hint="eastAsia" w:ascii="宋体" w:hAnsi="宋体" w:cs="宋体"/>
                <w:color w:val="000000"/>
                <w:sz w:val="24"/>
                <w:szCs w:val="24"/>
                <w:lang w:eastAsia="zh-CN"/>
              </w:rPr>
              <w:t>，</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数据库：MySQL或PostgreSQL</w:t>
            </w:r>
            <w:r>
              <w:rPr>
                <w:rFonts w:hint="eastAsia" w:ascii="宋体" w:hAnsi="宋体" w:cs="宋体"/>
                <w:color w:val="000000"/>
                <w:sz w:val="24"/>
                <w:szCs w:val="24"/>
                <w:lang w:eastAsia="zh-CN"/>
              </w:rPr>
              <w:t>，</w:t>
            </w:r>
            <w:r>
              <w:rPr>
                <w:rFonts w:hint="eastAsia" w:ascii="宋体" w:hAnsi="宋体" w:eastAsia="宋体" w:cs="宋体"/>
                <w:color w:val="000000"/>
                <w:sz w:val="24"/>
                <w:szCs w:val="24"/>
              </w:rPr>
              <w:t>Web服务器：Apache或Nginx支持高并发访问，具备负载均衡能力</w:t>
            </w:r>
            <w:r>
              <w:rPr>
                <w:rFonts w:hint="eastAsia" w:ascii="宋体" w:hAnsi="宋体" w:cs="宋体"/>
                <w:color w:val="000000"/>
                <w:sz w:val="24"/>
                <w:szCs w:val="24"/>
                <w:lang w:eastAsia="zh-CN"/>
              </w:rPr>
              <w:t>；</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、安全性：用户数据加密存储、HTTPS协议支持、防火墙和DDoS防护、定期安全更新和漏洞修复</w:t>
            </w:r>
            <w:r>
              <w:rPr>
                <w:rFonts w:hint="eastAsia" w:ascii="宋体" w:hAnsi="宋体" w:cs="宋体"/>
                <w:color w:val="000000"/>
                <w:sz w:val="24"/>
                <w:szCs w:val="24"/>
                <w:lang w:eastAsia="zh-CN"/>
              </w:rPr>
              <w:t>；</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、兼容性：兼容主流浏览器（Chrome, Firefox, Safari, Edge），支持移动设备（iOS和Android）</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、用户管理：用户注册和登录、角色和权限管理（学生、教师、管理员等）、单点登录（SSO）集成</w:t>
            </w:r>
            <w:r>
              <w:rPr>
                <w:rFonts w:hint="eastAsia" w:ascii="宋体" w:hAnsi="宋体" w:cs="宋体"/>
                <w:color w:val="000000"/>
                <w:sz w:val="24"/>
                <w:szCs w:val="24"/>
                <w:lang w:eastAsia="zh-CN"/>
              </w:rPr>
              <w:t>；</w:t>
            </w:r>
          </w:p>
          <w:p>
            <w:pPr>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、课程管理：课程创建和管理、多媒体资源支持（视频、音频、录像等）、课程内容分章节和模块管理</w:t>
            </w:r>
            <w:r>
              <w:rPr>
                <w:rFonts w:hint="eastAsia" w:ascii="宋体" w:hAnsi="宋体" w:eastAsia="宋体" w:cs="宋体"/>
                <w:b/>
                <w:bCs/>
                <w:color w:val="000000"/>
                <w:sz w:val="24"/>
                <w:szCs w:val="24"/>
              </w:rPr>
              <w:t>（需提供功能截图证明）</w:t>
            </w:r>
          </w:p>
          <w:p>
            <w:pPr>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、学习互动：论坛和讨论区、实时聊天和消息系统、作业提交和在线考试</w:t>
            </w:r>
            <w:r>
              <w:rPr>
                <w:rFonts w:hint="eastAsia" w:ascii="宋体" w:hAnsi="宋体" w:eastAsia="宋体" w:cs="宋体"/>
                <w:b/>
                <w:bCs/>
                <w:color w:val="000000"/>
                <w:sz w:val="24"/>
                <w:szCs w:val="24"/>
              </w:rPr>
              <w:t>（需提供功能截图证明）</w:t>
            </w:r>
          </w:p>
          <w:p>
            <w:pPr>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、评估和反馈：自动评分系统、反馈和评分报告、数据分析和学习进度跟踪（</w:t>
            </w:r>
            <w:r>
              <w:rPr>
                <w:rFonts w:hint="eastAsia" w:ascii="宋体" w:hAnsi="宋体" w:eastAsia="宋体" w:cs="宋体"/>
                <w:b/>
                <w:bCs/>
                <w:color w:val="000000"/>
                <w:sz w:val="24"/>
                <w:szCs w:val="24"/>
              </w:rPr>
              <w:t>需提供功能截图证明）</w:t>
            </w:r>
          </w:p>
          <w:p>
            <w:pP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、自动评分：提供自动评分功能，支持多种题型（选择题、填空题、匹配题等）。细致的评分机制：允许教师设定不同的评分标准和反馈方式，支持复杂的评估方案。支持成绩类别设置，成绩项设置，分数段分析</w:t>
            </w:r>
            <w:r>
              <w:rPr>
                <w:rFonts w:hint="eastAsia" w:ascii="宋体" w:hAnsi="宋体" w:eastAsia="宋体" w:cs="宋体"/>
                <w:b/>
                <w:bCs/>
                <w:color w:val="000000"/>
                <w:sz w:val="24"/>
                <w:szCs w:val="24"/>
              </w:rPr>
              <w:t>（需提供功能截图证明）</w:t>
            </w:r>
          </w:p>
          <w:p>
            <w:pPr>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rPr>
              <w:t>、系统集成：API支持和第三方插件扩展</w:t>
            </w:r>
            <w:r>
              <w:rPr>
                <w:rFonts w:hint="eastAsia" w:ascii="宋体" w:hAnsi="宋体" w:eastAsia="宋体" w:cs="宋体"/>
                <w:b/>
                <w:bCs/>
                <w:color w:val="000000"/>
                <w:sz w:val="24"/>
                <w:szCs w:val="24"/>
              </w:rPr>
              <w:t>（需提供功能截图证明）</w:t>
            </w:r>
          </w:p>
          <w:p>
            <w:pPr>
              <w:rPr>
                <w:rFonts w:hint="eastAsia" w:ascii="宋体" w:hAnsi="宋体" w:eastAsia="宋体" w:cs="宋体"/>
                <w:b/>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、支持机器学习后端，日志记录，HTTP服务后台维护配置，系统平台报表及系统平台信息安全配置（防病毒，安全，系统清理等）</w:t>
            </w:r>
            <w:r>
              <w:rPr>
                <w:rFonts w:hint="eastAsia" w:ascii="宋体" w:hAnsi="宋体" w:eastAsia="宋体" w:cs="宋体"/>
                <w:b/>
                <w:bCs/>
                <w:color w:val="000000"/>
                <w:sz w:val="24"/>
                <w:szCs w:val="24"/>
              </w:rPr>
              <w:t>（需提供功能截图证明）</w:t>
            </w:r>
          </w:p>
          <w:p>
            <w:pPr>
              <w:numPr>
                <w:ilvl w:val="0"/>
                <w:numId w:val="8"/>
              </w:numPr>
              <w:rPr>
                <w:rFonts w:hint="eastAsia" w:ascii="宋体" w:hAnsi="宋体" w:eastAsia="宋体" w:cs="宋体"/>
                <w:color w:val="000000"/>
                <w:sz w:val="24"/>
                <w:szCs w:val="24"/>
              </w:rPr>
            </w:pPr>
            <w:r>
              <w:rPr>
                <w:rFonts w:hint="eastAsia" w:ascii="宋体" w:hAnsi="宋体" w:eastAsia="宋体" w:cs="宋体"/>
                <w:color w:val="000000"/>
                <w:sz w:val="24"/>
                <w:szCs w:val="24"/>
              </w:rPr>
              <w:t>培训和支持：系统管理员和教师的使用培训、提供详细的使用手册和技术文档、7x24小时技术支持和维护服务。</w:t>
            </w:r>
          </w:p>
          <w:p>
            <w:pPr>
              <w:numPr>
                <w:ilvl w:val="0"/>
                <w:numId w:val="0"/>
              </w:numPr>
              <w:rPr>
                <w:rFonts w:hint="eastAsia"/>
                <w:lang w:eastAsia="zh-CN"/>
              </w:rPr>
            </w:pPr>
            <w:r>
              <w:rPr>
                <w:rFonts w:hint="eastAsia" w:ascii="宋体" w:hAnsi="宋体" w:eastAsia="宋体" w:cs="宋体"/>
                <w:snapToGrid/>
                <w:color w:val="000000"/>
                <w:kern w:val="2"/>
                <w:sz w:val="24"/>
                <w:szCs w:val="24"/>
                <w:lang w:val="en-US" w:eastAsia="zh-CN" w:bidi="ar-SA"/>
              </w:rPr>
              <w:t>20、性能要求：支持同时在线用户数（包含500个教师用户，1000个学生用户）、应时间要求（如页面加载时间不超过2秒）、高可用性，保证99.9%的正常运行时间</w:t>
            </w:r>
            <w:r>
              <w:rPr>
                <w:rFonts w:hint="eastAsia" w:ascii="宋体" w:hAnsi="宋体" w:cs="宋体"/>
                <w:snapToGrid/>
                <w:color w:val="000000"/>
                <w:kern w:val="2"/>
                <w:sz w:val="24"/>
                <w:szCs w:val="24"/>
                <w:lang w:val="en-US" w:eastAsia="zh-CN" w:bidi="ar-SA"/>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交换机管理图形化展示机</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1.采用国产X86芯片，每颗CPU物理核心数8核，每颗CPU主频2.8GHz，所有核心智能频率可提升至3.2GHz，每颗CPU三级缓存16MB，支持超线程技术，线程16，TDP 90W；</w:t>
            </w:r>
            <w:r>
              <w:rPr>
                <w:rFonts w:hint="eastAsia" w:ascii="宋体" w:hAnsi="宋体" w:eastAsia="宋体" w:cs="宋体"/>
                <w:b/>
                <w:bCs/>
                <w:color w:val="auto"/>
                <w:kern w:val="0"/>
                <w:sz w:val="24"/>
                <w:szCs w:val="24"/>
                <w:highlight w:val="none"/>
                <w:lang w:bidi="ar"/>
              </w:rPr>
              <w:t>提供国产x86处理器证明函，证明函中至少包含芯片内置安全Boot ROM，采用国密算法等内容；</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2.配置16GB内存容量，最大扩容128GB内存，支持内存Register ECC保护、内存镜像、内存热备；</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3.容量满足480G SSD固态硬盘+2T SATA硬盘；</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4.不少于6个千兆网口，支持网络唤醒，网络冗余，负载均衡等网络高级特性；</w:t>
            </w:r>
          </w:p>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bidi="ar"/>
              </w:rPr>
              <w:t>5.展示当前交换机各端口流量，设备负载等信息，可自动聚合分析，将若干个任意端口流量叠加综合分析，并可回放任意时间交换机任意端口的流量状态，充分协助学校信息化管理</w:t>
            </w:r>
            <w:r>
              <w:rPr>
                <w:rFonts w:hint="eastAsia" w:ascii="宋体" w:hAnsi="宋体" w:eastAsia="宋体" w:cs="宋体"/>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日志管理分析系统</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 xml:space="preserve"> 6千兆网口，2T 企业级硬盘，包含基础系统软件一套</w:t>
            </w:r>
            <w:r>
              <w:rPr>
                <w:rFonts w:hint="eastAsia" w:ascii="宋体" w:hAnsi="宋体" w:eastAsia="宋体" w:cs="宋体"/>
                <w:kern w:val="0"/>
                <w:sz w:val="24"/>
                <w:szCs w:val="24"/>
                <w:lang w:eastAsia="zh-CN" w:bidi="ar"/>
              </w:rPr>
              <w:t>；</w:t>
            </w:r>
          </w:p>
          <w:p>
            <w:pPr>
              <w:widowControl/>
              <w:jc w:val="left"/>
              <w:textAlignment w:val="center"/>
              <w:rPr>
                <w:rFonts w:hint="eastAsia" w:ascii="宋体" w:hAnsi="宋体" w:eastAsia="宋体" w:cs="宋体"/>
                <w:b/>
                <w:bCs/>
                <w:kern w:val="0"/>
                <w:sz w:val="24"/>
                <w:szCs w:val="24"/>
                <w:lang w:bidi="ar"/>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日志分析涵盖机器数据收集、索引、搜索、监控、分析、可视化、告警等功能。搜索结果可以对文档（而非成行成列的数据）进行索引、搜索、排序、过滤。可以生成美观的可视化仪表盘</w:t>
            </w:r>
            <w:r>
              <w:rPr>
                <w:rFonts w:hint="eastAsia" w:ascii="宋体" w:hAnsi="宋体" w:eastAsia="宋体" w:cs="宋体"/>
                <w:b/>
                <w:bCs/>
                <w:kern w:val="0"/>
                <w:sz w:val="24"/>
                <w:szCs w:val="24"/>
                <w:lang w:bidi="ar"/>
              </w:rPr>
              <w:t>(需提供截图证明材料)；</w:t>
            </w:r>
          </w:p>
          <w:p>
            <w:pPr>
              <w:widowControl/>
              <w:jc w:val="left"/>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3</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可视化对象可以根据搜索、查看和与存储结果进行交互</w:t>
            </w:r>
            <w:r>
              <w:rPr>
                <w:rFonts w:hint="eastAsia" w:ascii="宋体" w:hAnsi="宋体" w:eastAsia="宋体" w:cs="宋体"/>
                <w:kern w:val="0"/>
                <w:sz w:val="24"/>
                <w:szCs w:val="24"/>
                <w:lang w:eastAsia="zh-CN" w:bidi="ar"/>
              </w:rPr>
              <w:t>；</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可执行先进的数据分析和可视化多种格式的数据，如图表、表格、地图等。数据收集阶段可以选择执行标准化模式或字段拆分模式。具体实现的功能需包含：日志聚合功能，搜索功能，提取意义；</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对结果进行分组，联合，拆分和格式化，可视化功能</w:t>
            </w:r>
            <w:r>
              <w:rPr>
                <w:rFonts w:hint="eastAsia" w:ascii="宋体" w:hAnsi="宋体" w:eastAsia="宋体" w:cs="宋体"/>
                <w:b/>
                <w:bCs/>
                <w:kern w:val="0"/>
                <w:sz w:val="24"/>
                <w:szCs w:val="24"/>
                <w:lang w:bidi="ar"/>
              </w:rPr>
              <w:t xml:space="preserve"> (需提供截图证明材料)；</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电子邮件提醒功能；</w:t>
            </w:r>
          </w:p>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本系统不得提供试用版，即不得仅限于500MB/天的日志处理量或使用天数限制。不得仅提供日志存放功能而不具有日志分析，图形化展示功能，学校目前所有IT设备日志均可接入该系统。</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新老机房故障无缝迁移系统</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监控、网络老机房设备和数据无缝迁移到新机房(包含拆除、上架、数据调试扩容等）</w:t>
            </w:r>
            <w:r>
              <w:rPr>
                <w:rFonts w:hint="eastAsia" w:ascii="宋体" w:hAnsi="宋体" w:eastAsia="宋体" w:cs="宋体"/>
                <w:kern w:val="0"/>
                <w:sz w:val="24"/>
                <w:szCs w:val="24"/>
                <w:lang w:eastAsia="zh-CN" w:bidi="ar"/>
              </w:rPr>
              <w:t>；</w:t>
            </w:r>
          </w:p>
          <w:p>
            <w:pPr>
              <w:widowControl/>
              <w:numPr>
                <w:ilvl w:val="0"/>
                <w:numId w:val="0"/>
              </w:numPr>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kern w:val="0"/>
                <w:sz w:val="24"/>
                <w:szCs w:val="24"/>
                <w:lang w:bidi="ar"/>
              </w:rPr>
              <w:t>由于学校现有一套师生教育教学管理平台与其它校区共享并建立于其它学校机房服务器内，在本项目建成后该平台须迁移至本校内部，故本次方案须体现详细的跨校区网络互访迁移方案。</w:t>
            </w:r>
            <w:r>
              <w:rPr>
                <w:rFonts w:hint="eastAsia" w:ascii="宋体" w:hAnsi="宋体" w:eastAsia="宋体" w:cs="宋体"/>
                <w:b/>
                <w:bCs/>
                <w:color w:val="000000"/>
                <w:kern w:val="0"/>
                <w:sz w:val="24"/>
                <w:szCs w:val="24"/>
                <w:lang w:bidi="ar"/>
              </w:rPr>
              <w:t xml:space="preserve">要求: </w:t>
            </w:r>
            <w:r>
              <w:rPr>
                <w:rFonts w:hint="eastAsia" w:ascii="宋体" w:hAnsi="宋体" w:eastAsia="宋体" w:cs="宋体"/>
                <w:color w:val="000000"/>
                <w:kern w:val="0"/>
                <w:sz w:val="24"/>
                <w:szCs w:val="24"/>
                <w:lang w:bidi="ar"/>
              </w:rPr>
              <w:t>通过现有城域网将两个校区系统互联，做到相关管理人员能在任意校区任意办公室内，以无线及有线方式访问对端学校的师生教育教学管理平台及相关服务器底层控制台。特别注意所有相关数据在任何时间都不得以任何形式上传至Internet公网或云端，并且出于信息安全的考虑，在学校城域网边界不得以任何防火墙端口映射/IP映射等方式开放数据服务。</w:t>
            </w:r>
          </w:p>
          <w:p>
            <w:pPr>
              <w:widowControl/>
              <w:numPr>
                <w:ilvl w:val="0"/>
                <w:numId w:val="0"/>
              </w:numPr>
              <w:jc w:val="left"/>
              <w:textAlignment w:val="center"/>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kern w:val="0"/>
                <w:sz w:val="24"/>
                <w:szCs w:val="24"/>
                <w:lang w:bidi="ar"/>
              </w:rPr>
              <w:t>提供方案测试截图(包含数据互访测试，迁移方式方法截图，防火墙无映射截图，端口扫描无应答截图)，提供的方案充分满足项目需求</w:t>
            </w:r>
            <w:r>
              <w:rPr>
                <w:rFonts w:hint="eastAsia" w:ascii="宋体" w:hAnsi="宋体" w:cs="宋体"/>
                <w:color w:val="000000"/>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项</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内网流量分析机</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kern w:val="0"/>
                <w:sz w:val="24"/>
                <w:szCs w:val="24"/>
                <w:lang w:eastAsia="zh-CN"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符合国家安全可靠自主可信总体战略</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采用国产X86芯片，每颗CPU物理核心数8核，每颗CPU主频2.8GHz；</w:t>
            </w:r>
            <w:r>
              <w:rPr>
                <w:rFonts w:hint="eastAsia" w:ascii="宋体" w:hAnsi="宋体" w:eastAsia="宋体" w:cs="宋体"/>
                <w:b/>
                <w:bCs/>
                <w:kern w:val="0"/>
                <w:sz w:val="24"/>
                <w:szCs w:val="24"/>
                <w:lang w:bidi="ar"/>
              </w:rPr>
              <w:t>提供国产x86处理器证明函，证明函中至少包含芯片内置安全Boot ROM，采用国密算法等内容</w:t>
            </w:r>
            <w:r>
              <w:rPr>
                <w:rFonts w:hint="eastAsia" w:ascii="宋体" w:hAnsi="宋体" w:eastAsia="宋体" w:cs="宋体"/>
                <w:b/>
                <w:bCs/>
                <w:kern w:val="0"/>
                <w:sz w:val="24"/>
                <w:szCs w:val="24"/>
                <w:lang w:eastAsia="zh-CN" w:bidi="ar"/>
              </w:rPr>
              <w:t>；</w:t>
            </w:r>
          </w:p>
          <w:p>
            <w:pPr>
              <w:widowControl/>
              <w:jc w:val="left"/>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配置16GB 内存、480G SSD固态硬盘，集成 BMC 芯片，支持 IPMI2.0、SOL、KVM Over IP、虚拟媒介等高级管理功能 ，对外提供 1 个 1Gbps RJ45 管理口，可支持 NCSI 功能</w:t>
            </w:r>
            <w:r>
              <w:rPr>
                <w:rFonts w:hint="eastAsia" w:ascii="宋体" w:hAnsi="宋体" w:eastAsia="宋体" w:cs="宋体"/>
                <w:kern w:val="0"/>
                <w:sz w:val="24"/>
                <w:szCs w:val="24"/>
                <w:lang w:eastAsia="zh-CN" w:bidi="ar"/>
              </w:rPr>
              <w:t>；</w:t>
            </w:r>
          </w:p>
          <w:p>
            <w:pPr>
              <w:widowControl/>
              <w:jc w:val="left"/>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3</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不少于6个千兆网口，支持网络唤醒，网络冗余，负载均衡等网络高级特性</w:t>
            </w:r>
            <w:r>
              <w:rPr>
                <w:rFonts w:hint="eastAsia" w:ascii="宋体" w:hAnsi="宋体" w:eastAsia="宋体" w:cs="宋体"/>
                <w:kern w:val="0"/>
                <w:sz w:val="24"/>
                <w:szCs w:val="24"/>
                <w:lang w:eastAsia="zh-CN" w:bidi="ar"/>
              </w:rPr>
              <w:t>；</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内网流量分析系统能做到识别内网流量，数据形式，以最直观的形式展示学校内网流量</w:t>
            </w:r>
            <w:r>
              <w:rPr>
                <w:rFonts w:hint="eastAsia" w:ascii="宋体" w:hAnsi="宋体" w:eastAsia="宋体" w:cs="宋体"/>
                <w:b/>
                <w:bCs/>
                <w:kern w:val="0"/>
                <w:sz w:val="24"/>
                <w:szCs w:val="24"/>
                <w:lang w:bidi="ar"/>
              </w:rPr>
              <w:t>(需提供截图证明材料)</w:t>
            </w:r>
            <w:r>
              <w:rPr>
                <w:rFonts w:hint="eastAsia" w:ascii="宋体" w:hAnsi="宋体" w:eastAsia="宋体" w:cs="宋体"/>
                <w:kern w:val="0"/>
                <w:sz w:val="24"/>
                <w:szCs w:val="24"/>
                <w:lang w:bidi="ar"/>
              </w:rPr>
              <w:t>；</w:t>
            </w:r>
          </w:p>
          <w:p>
            <w:pPr>
              <w:widowControl/>
              <w:jc w:val="left"/>
              <w:textAlignment w:val="center"/>
              <w:rPr>
                <w:rFonts w:hint="eastAsia" w:ascii="宋体" w:hAnsi="宋体" w:eastAsia="宋体" w:cs="宋体"/>
                <w:b/>
                <w:bCs/>
                <w:kern w:val="0"/>
                <w:sz w:val="24"/>
                <w:szCs w:val="24"/>
                <w:lang w:eastAsia="zh-CN" w:bidi="ar"/>
              </w:rPr>
            </w:pPr>
            <w:r>
              <w:rPr>
                <w:rFonts w:hint="eastAsia" w:ascii="宋体" w:hAnsi="宋体" w:eastAsia="宋体" w:cs="宋体"/>
                <w:kern w:val="0"/>
                <w:sz w:val="24"/>
                <w:szCs w:val="24"/>
                <w:lang w:bidi="ar"/>
              </w:rPr>
              <w:t>5</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可基于各种网络维度，如IP，协议，流量等参数进行美观的数据可视化，充分展示学校网络利用率，直观显示当前网络状态，回放流量及网络状况；</w:t>
            </w:r>
            <w:r>
              <w:rPr>
                <w:rFonts w:hint="eastAsia" w:ascii="宋体" w:hAnsi="宋体" w:eastAsia="宋体" w:cs="宋体"/>
                <w:b/>
                <w:bCs/>
                <w:kern w:val="0"/>
                <w:sz w:val="24"/>
                <w:szCs w:val="24"/>
                <w:lang w:bidi="ar"/>
              </w:rPr>
              <w:t>(需提供截图证明材料)</w:t>
            </w:r>
            <w:r>
              <w:rPr>
                <w:rFonts w:hint="eastAsia" w:ascii="宋体" w:hAnsi="宋体" w:cs="宋体"/>
                <w:b/>
                <w:bCs/>
                <w:kern w:val="0"/>
                <w:sz w:val="24"/>
                <w:szCs w:val="24"/>
                <w:lang w:eastAsia="zh-CN" w:bidi="ar"/>
              </w:rPr>
              <w:t>；</w:t>
            </w:r>
          </w:p>
          <w:p>
            <w:pPr>
              <w:widowControl/>
              <w:jc w:val="left"/>
              <w:textAlignment w:val="center"/>
              <w:rPr>
                <w:rFonts w:hint="eastAsia" w:ascii="宋体" w:hAnsi="宋体" w:eastAsia="宋体" w:cs="宋体"/>
                <w:b/>
                <w:bCs/>
                <w:kern w:val="0"/>
                <w:sz w:val="24"/>
                <w:szCs w:val="24"/>
                <w:lang w:eastAsia="zh-CN" w:bidi="ar"/>
              </w:rPr>
            </w:pPr>
            <w:r>
              <w:rPr>
                <w:rFonts w:hint="eastAsia" w:ascii="宋体" w:hAnsi="宋体" w:eastAsia="宋体" w:cs="宋体"/>
                <w:kern w:val="0"/>
                <w:sz w:val="24"/>
                <w:szCs w:val="24"/>
                <w:lang w:bidi="ar"/>
              </w:rPr>
              <w:t>6</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内网流量分析不以镜像流量为基础，不影响当前园区网络交换机负载。</w:t>
            </w:r>
            <w:r>
              <w:rPr>
                <w:rFonts w:hint="eastAsia" w:ascii="宋体" w:hAnsi="宋体" w:eastAsia="宋体" w:cs="宋体"/>
                <w:b/>
                <w:bCs/>
                <w:kern w:val="0"/>
                <w:sz w:val="24"/>
                <w:szCs w:val="24"/>
                <w:lang w:bidi="ar"/>
              </w:rPr>
              <w:t>(需提供截图证明材料)</w:t>
            </w:r>
            <w:r>
              <w:rPr>
                <w:rFonts w:hint="eastAsia" w:ascii="宋体" w:hAnsi="宋体" w:cs="宋体"/>
                <w:b/>
                <w:bCs/>
                <w:kern w:val="0"/>
                <w:sz w:val="24"/>
                <w:szCs w:val="24"/>
                <w:lang w:eastAsia="zh-CN" w:bidi="ar"/>
              </w:rPr>
              <w:t>；</w:t>
            </w:r>
          </w:p>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bidi="ar"/>
              </w:rPr>
              <w:t>7</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包括网页漏洞利用检测、webshell上传检测、网络攻击检测、威胁情报检测功能，提供离线pcap包导入检测、基础旁路阻断和基础SSL解密功能。吞吐1Gbps；包括威胁感知，威胁狩猎，响应处置，态势大屏等高级功能</w:t>
            </w:r>
            <w:r>
              <w:rPr>
                <w:rFonts w:hint="eastAsia" w:ascii="宋体" w:hAnsi="宋体" w:eastAsia="宋体" w:cs="宋体"/>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网络配置自动备份系统</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网络设备自动备份系统可做到定时巡视两个新老机房所有网络设备，自动发现配置更改，并自动备份，以网页的形式展示备份结果，并自动分析设备配置版本之间差异</w:t>
            </w:r>
            <w:r>
              <w:rPr>
                <w:rFonts w:hint="eastAsia" w:ascii="宋体" w:hAnsi="宋体" w:eastAsia="宋体" w:cs="宋体"/>
                <w:b/>
                <w:bCs/>
                <w:kern w:val="0"/>
                <w:sz w:val="24"/>
                <w:szCs w:val="24"/>
                <w:lang w:bidi="ar"/>
              </w:rPr>
              <w:t>(需提供截图证明材料)，</w:t>
            </w:r>
            <w:r>
              <w:rPr>
                <w:rFonts w:hint="eastAsia" w:ascii="宋体" w:hAnsi="宋体" w:eastAsia="宋体" w:cs="宋体"/>
                <w:kern w:val="0"/>
                <w:sz w:val="24"/>
                <w:szCs w:val="24"/>
                <w:lang w:bidi="ar"/>
              </w:rPr>
              <w:t>可以直观的图形化形式展示。</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信息化安全漏洞扫描</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sz w:val="24"/>
                <w:szCs w:val="24"/>
              </w:rPr>
              <w:t>★</w:t>
            </w:r>
            <w:r>
              <w:rPr>
                <w:rFonts w:hint="eastAsia" w:ascii="宋体" w:hAnsi="宋体" w:eastAsia="宋体" w:cs="宋体"/>
                <w:kern w:val="0"/>
                <w:sz w:val="24"/>
                <w:szCs w:val="24"/>
                <w:lang w:bidi="ar"/>
              </w:rPr>
              <w:t>1</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符合国家安全可靠自主可信总体战略，采用国产X86芯片，每颗CPU物理核心数8核，每颗CPU主频2.8GHz；</w:t>
            </w:r>
            <w:r>
              <w:rPr>
                <w:rFonts w:hint="eastAsia" w:ascii="宋体" w:hAnsi="宋体" w:eastAsia="宋体" w:cs="宋体"/>
                <w:b/>
                <w:bCs/>
                <w:kern w:val="0"/>
                <w:sz w:val="24"/>
                <w:szCs w:val="24"/>
                <w:lang w:bidi="ar"/>
              </w:rPr>
              <w:t>提供国产x86处理器证明函，证明函中至少包含芯片内置安全Boot ROM，采用国密算法等内容</w:t>
            </w:r>
            <w:r>
              <w:rPr>
                <w:rFonts w:hint="eastAsia" w:ascii="宋体" w:hAnsi="宋体" w:cs="宋体"/>
                <w:b/>
                <w:bCs/>
                <w:kern w:val="0"/>
                <w:sz w:val="24"/>
                <w:szCs w:val="24"/>
                <w:lang w:val="en-US" w:eastAsia="zh-CN" w:bidi="ar"/>
              </w:rPr>
              <w:t>；</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配置16GB 内存、480G SSD固态硬盘；</w:t>
            </w:r>
          </w:p>
          <w:p>
            <w:pPr>
              <w:widowControl/>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3</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不少于6个千兆网口，支持网络唤醒，网络冗余，负载均衡等网络高级特性</w:t>
            </w:r>
            <w:r>
              <w:rPr>
                <w:rFonts w:hint="eastAsia" w:ascii="宋体" w:hAnsi="宋体" w:cs="宋体"/>
                <w:kern w:val="0"/>
                <w:sz w:val="24"/>
                <w:szCs w:val="24"/>
                <w:lang w:val="en-US" w:eastAsia="zh-CN" w:bidi="ar"/>
              </w:rPr>
              <w:t>；</w:t>
            </w:r>
          </w:p>
          <w:p>
            <w:pPr>
              <w:widowControl/>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Web扫描域名无限制，Web扫描任务并发数为5个域名。系统扫描IP地址最大支持1024个，支持扫描A类、B类、C类地址，系统扫描支持50个IP地址并行扫描</w:t>
            </w:r>
            <w:r>
              <w:rPr>
                <w:rFonts w:hint="eastAsia" w:ascii="宋体" w:hAnsi="宋体" w:cs="宋体"/>
                <w:kern w:val="0"/>
                <w:sz w:val="24"/>
                <w:szCs w:val="24"/>
                <w:lang w:val="en-US" w:eastAsia="zh-CN" w:bidi="ar"/>
              </w:rPr>
              <w:t>；</w:t>
            </w:r>
          </w:p>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图形化界面，按部署任务自动进行漏洞扫描，并生成多种格式报告</w:t>
            </w:r>
            <w:r>
              <w:rPr>
                <w:rFonts w:hint="eastAsia" w:ascii="宋体" w:hAnsi="宋体" w:eastAsia="宋体" w:cs="宋体"/>
                <w:b/>
                <w:bCs/>
                <w:kern w:val="0"/>
                <w:sz w:val="24"/>
                <w:szCs w:val="24"/>
                <w:lang w:bidi="ar"/>
              </w:rPr>
              <w:t>(需提供截图证明材料)，</w:t>
            </w:r>
            <w:r>
              <w:rPr>
                <w:rFonts w:hint="eastAsia" w:ascii="宋体" w:hAnsi="宋体" w:eastAsia="宋体" w:cs="宋体"/>
                <w:kern w:val="0"/>
                <w:sz w:val="24"/>
                <w:szCs w:val="24"/>
                <w:lang w:bidi="ar"/>
              </w:rPr>
              <w:t>自动关联主流漏洞库和安全信息库，辅助学校做好信息安全工作。</w:t>
            </w:r>
          </w:p>
          <w:p>
            <w:pPr>
              <w:widowControl/>
              <w:jc w:val="left"/>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bidi="ar"/>
              </w:rPr>
              <w:t>6</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安全漏洞扫描特征库5年升级服务包</w:t>
            </w:r>
            <w:r>
              <w:rPr>
                <w:rFonts w:hint="eastAsia" w:ascii="宋体" w:hAnsi="宋体" w:eastAsia="宋体" w:cs="宋体"/>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墙柜</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6u标准室内机柜</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标准机柜</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9"/>
              </w:numPr>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尺寸</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lang w:bidi="ar"/>
              </w:rPr>
              <w:t>600mm(W)*42U*600mm(D)；</w:t>
            </w:r>
          </w:p>
          <w:p>
            <w:pPr>
              <w:widowControl/>
              <w:numPr>
                <w:ilvl w:val="0"/>
                <w:numId w:val="9"/>
              </w:numPr>
              <w:ind w:left="0" w:leftChars="0" w:firstLine="0" w:firstLineChars="0"/>
              <w:jc w:val="both"/>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前门：单开网孔门</w:t>
            </w:r>
            <w:r>
              <w:rPr>
                <w:rFonts w:hint="eastAsia" w:ascii="宋体" w:hAnsi="宋体" w:eastAsia="宋体" w:cs="宋体"/>
                <w:kern w:val="0"/>
                <w:sz w:val="24"/>
                <w:szCs w:val="24"/>
                <w:lang w:eastAsia="zh-CN" w:bidi="ar"/>
              </w:rPr>
              <w:t>；</w:t>
            </w:r>
          </w:p>
          <w:p>
            <w:pPr>
              <w:widowControl/>
              <w:numPr>
                <w:ilvl w:val="0"/>
                <w:numId w:val="9"/>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后门：双开网孔门；</w:t>
            </w:r>
          </w:p>
          <w:p>
            <w:pPr>
              <w:widowControl/>
              <w:numPr>
                <w:ilvl w:val="0"/>
                <w:numId w:val="9"/>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含4个安装角轨</w:t>
            </w:r>
            <w:r>
              <w:rPr>
                <w:rFonts w:hint="eastAsia" w:ascii="宋体" w:hAnsi="宋体" w:eastAsia="宋体" w:cs="宋体"/>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台</w:t>
            </w:r>
          </w:p>
        </w:tc>
      </w:tr>
      <w:tr>
        <w:tblPrEx>
          <w:tblCellMar>
            <w:top w:w="0" w:type="dxa"/>
            <w:left w:w="108" w:type="dxa"/>
            <w:bottom w:w="0" w:type="dxa"/>
            <w:right w:w="108" w:type="dxa"/>
          </w:tblCellMar>
        </w:tblPrEx>
        <w:trPr>
          <w:trHeight w:val="9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加深机柜</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尺寸</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bidi="ar"/>
              </w:rPr>
              <w:t>600mm(W)*42U*1000mm(D)；</w:t>
            </w:r>
          </w:p>
          <w:p>
            <w:pPr>
              <w:widowControl/>
              <w:numPr>
                <w:ilvl w:val="0"/>
                <w:numId w:val="10"/>
              </w:numPr>
              <w:ind w:left="0" w:leftChars="0" w:firstLine="0" w:firstLineChars="0"/>
              <w:jc w:val="both"/>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前门：单开网孔门</w:t>
            </w:r>
            <w:r>
              <w:rPr>
                <w:rFonts w:hint="eastAsia" w:ascii="宋体" w:hAnsi="宋体" w:eastAsia="宋体" w:cs="宋体"/>
                <w:kern w:val="0"/>
                <w:sz w:val="24"/>
                <w:szCs w:val="24"/>
                <w:lang w:eastAsia="zh-CN" w:bidi="ar"/>
              </w:rPr>
              <w:t>；</w:t>
            </w:r>
          </w:p>
          <w:p>
            <w:pPr>
              <w:widowControl/>
              <w:numPr>
                <w:ilvl w:val="0"/>
                <w:numId w:val="10"/>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后门：双开网孔门；</w:t>
            </w:r>
          </w:p>
          <w:p>
            <w:pPr>
              <w:widowControl/>
              <w:numPr>
                <w:ilvl w:val="0"/>
                <w:numId w:val="10"/>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含4个安装角轨</w:t>
            </w:r>
            <w:r>
              <w:rPr>
                <w:rFonts w:hint="eastAsia" w:ascii="宋体" w:hAnsi="宋体" w:eastAsia="宋体" w:cs="宋体"/>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轻载固定承板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1"/>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材质：冷轧钢板；</w:t>
            </w:r>
          </w:p>
          <w:p>
            <w:pPr>
              <w:widowControl/>
              <w:numPr>
                <w:ilvl w:val="0"/>
                <w:numId w:val="11"/>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用途：提供非机架式设备放置平面；</w:t>
            </w:r>
          </w:p>
          <w:p>
            <w:pPr>
              <w:widowControl/>
              <w:numPr>
                <w:ilvl w:val="0"/>
                <w:numId w:val="11"/>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柜深：1000mm,承载重量≤50KGS</w:t>
            </w:r>
            <w:r>
              <w:rPr>
                <w:rFonts w:hint="eastAsia" w:ascii="宋体" w:hAnsi="宋体" w:eastAsia="宋体" w:cs="宋体"/>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重载固定承板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2"/>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材质：冷轧钢板；</w:t>
            </w:r>
          </w:p>
          <w:p>
            <w:pPr>
              <w:widowControl/>
              <w:numPr>
                <w:ilvl w:val="0"/>
                <w:numId w:val="12"/>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用途：提供非机架式设备放置平面；</w:t>
            </w:r>
          </w:p>
          <w:p>
            <w:pPr>
              <w:widowControl/>
              <w:numPr>
                <w:ilvl w:val="0"/>
                <w:numId w:val="12"/>
              </w:numPr>
              <w:ind w:left="0" w:leftChars="0"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柜深：1000mm,承载重量≤100KGS</w:t>
            </w:r>
            <w:r>
              <w:rPr>
                <w:rFonts w:hint="eastAsia" w:ascii="宋体" w:hAnsi="宋体" w:eastAsia="宋体" w:cs="宋体"/>
                <w:kern w:val="0"/>
                <w:sz w:val="24"/>
                <w:szCs w:val="24"/>
                <w:lang w:eastAsia="zh-CN" w:bidi="ar"/>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附件包</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套件种类：螺母，螺钉；</w:t>
            </w:r>
          </w:p>
          <w:p>
            <w:pPr>
              <w:widowControl/>
              <w:numPr>
                <w:ilvl w:val="0"/>
                <w:numId w:val="13"/>
              </w:num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包装方法：60个/套</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套</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机架供电</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1.6位万用插座口+2位16A国标三扁插座口，带20KA防雷模块；</w:t>
            </w:r>
          </w:p>
          <w:p>
            <w:pPr>
              <w:widowControl/>
              <w:numPr>
                <w:ilvl w:val="0"/>
                <w:numId w:val="14"/>
              </w:num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标准电缆线长1.5米，32A电源线；</w:t>
            </w:r>
          </w:p>
          <w:p>
            <w:pPr>
              <w:widowControl/>
              <w:numPr>
                <w:ilvl w:val="0"/>
                <w:numId w:val="0"/>
              </w:numPr>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3.用途：适用于19"机架安装。</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条</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光跳线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单模双工LC-LC  3米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w:t>
            </w:r>
          </w:p>
        </w:tc>
      </w:tr>
      <w:tr>
        <w:tblPrEx>
          <w:tblCellMar>
            <w:top w:w="0" w:type="dxa"/>
            <w:left w:w="108" w:type="dxa"/>
            <w:bottom w:w="0" w:type="dxa"/>
            <w:right w:w="108" w:type="dxa"/>
          </w:tblCellMar>
        </w:tblPrEx>
        <w:trPr>
          <w:trHeight w:val="473"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3米六类跳线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六类  3米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网线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六类</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12160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光缆</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万兆单模</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tblPrEx>
          <w:tblCellMar>
            <w:top w:w="0" w:type="dxa"/>
            <w:left w:w="108" w:type="dxa"/>
            <w:bottom w:w="0" w:type="dxa"/>
            <w:right w:w="108" w:type="dxa"/>
          </w:tblCellMar>
        </w:tblPrEx>
        <w:trPr>
          <w:trHeight w:val="5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val="0"/>
                <w:bCs w:val="0"/>
                <w:color w:val="000000"/>
                <w:kern w:val="0"/>
                <w:sz w:val="24"/>
                <w:szCs w:val="24"/>
                <w:lang w:bidi="ar"/>
              </w:rPr>
              <w:t>34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水晶头</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六类</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盒</w:t>
            </w:r>
          </w:p>
        </w:tc>
      </w:tr>
      <w:tr>
        <w:tblPrEx>
          <w:tblCellMar>
            <w:top w:w="0" w:type="dxa"/>
            <w:left w:w="108" w:type="dxa"/>
            <w:bottom w:w="0" w:type="dxa"/>
            <w:right w:w="108" w:type="dxa"/>
          </w:tblCellMar>
        </w:tblPrEx>
        <w:trPr>
          <w:trHeight w:val="635"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2"/>
                <w:rFonts w:hint="eastAsia" w:ascii="宋体" w:hAnsi="宋体" w:eastAsia="宋体" w:cs="宋体"/>
                <w:sz w:val="24"/>
                <w:szCs w:val="24"/>
                <w:lang w:bidi="ar"/>
              </w:rPr>
            </w:pPr>
            <w:r>
              <w:rPr>
                <w:rFonts w:hint="eastAsia" w:ascii="宋体" w:hAnsi="宋体" w:eastAsia="宋体" w:cs="宋体"/>
                <w:color w:val="000000"/>
                <w:kern w:val="0"/>
                <w:sz w:val="24"/>
                <w:szCs w:val="24"/>
                <w:lang w:bidi="ar"/>
              </w:rPr>
              <w:t>配线架</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Style w:val="312"/>
                <w:rFonts w:hint="eastAsia" w:ascii="宋体" w:hAnsi="宋体" w:eastAsia="宋体" w:cs="宋体"/>
                <w:sz w:val="24"/>
                <w:szCs w:val="24"/>
                <w:lang w:bidi="ar"/>
              </w:rPr>
            </w:pPr>
            <w:r>
              <w:rPr>
                <w:rFonts w:hint="eastAsia" w:ascii="宋体" w:hAnsi="宋体" w:eastAsia="宋体" w:cs="宋体"/>
                <w:color w:val="000000"/>
                <w:kern w:val="0"/>
                <w:sz w:val="24"/>
                <w:szCs w:val="24"/>
                <w:lang w:bidi="ar"/>
              </w:rPr>
              <w:t>六类</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000000"/>
                <w:kern w:val="0"/>
                <w:sz w:val="24"/>
                <w:szCs w:val="24"/>
                <w:lang w:bidi="ar"/>
              </w:rPr>
              <w:t>14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FF0000"/>
                <w:sz w:val="24"/>
                <w:szCs w:val="24"/>
              </w:rPr>
            </w:pPr>
            <w:r>
              <w:rPr>
                <w:rFonts w:hint="eastAsia" w:ascii="宋体" w:hAnsi="宋体" w:eastAsia="宋体" w:cs="宋体"/>
                <w:color w:val="000000"/>
                <w:kern w:val="0"/>
                <w:sz w:val="24"/>
                <w:szCs w:val="24"/>
                <w:lang w:bidi="ar"/>
              </w:rPr>
              <w:t>根</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UPS主机</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额定容量:30kVA;</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输入电压范围:380VAC±25%;</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输入频率范围:50HZ±5%（可选10%）;</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输入功率因数:≥0.95;</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输入谐波电流总含量:≤5%;</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输出电压精度:380VAC±1％;</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输出频率范围:50Hz/60 Hz±1％;</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波形失真度:线性负载≤2.5％；</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非线性负载 ≤3％；</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输出电流峰值系数:3:1;</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电源效率:≥90％;</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输出功率因数:≥0.8;</w:t>
            </w:r>
          </w:p>
          <w:p>
            <w:pPr>
              <w:widowControl/>
              <w:numPr>
                <w:ilvl w:val="0"/>
                <w:numId w:val="15"/>
              </w:num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过载能力:过载125%，可维持10min,过载150%，可维持60S;</w:t>
            </w:r>
          </w:p>
          <w:p>
            <w:pPr>
              <w:widowControl/>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技术要求：</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1、UPS主机采用工业型UPS（拒绝高频机+隔离变压器的机型），UPS采用可控硅整流+IGBT逆变设计</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2、UPS单机容量不低于要求功率，内置输入输出隔离变压器</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3、UPS符合IEC 62040-3标准的双变换电路结构；UPS相关功能组件和相应开关，必须使用断路器或负荷开关而不是熔断器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4、UPS必须包含1个整流器和1个逆变器，1个静态旁路、1个主输入开关，1个静态旁路输入开关，1个电池开关，1个输出开关和1个维修旁路开关</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5、设备采用双核DSP控制技术，输出电压和电流采用复合控制策略；</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6、IGBT功率器件采用空间矢量调制技术</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7、采用先进的同步均流控制技术，CAN总线并机通信技术，最多可实现31+1台RPA（冗余并联）系统，并联系统各单机严格同步、均分负载，扩容方便</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eastAsia="zh-CN"/>
              </w:rPr>
              <w:t>要求</w:t>
            </w:r>
            <w:r>
              <w:rPr>
                <w:rFonts w:hint="eastAsia" w:ascii="宋体" w:hAnsi="宋体" w:eastAsia="宋体" w:cs="宋体"/>
                <w:color w:val="000000"/>
                <w:sz w:val="24"/>
                <w:szCs w:val="24"/>
              </w:rPr>
              <w:t>工业级强力高速离心风机散热，智能化调速</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9、功率器件和滤波电容等主部件均通过金属汇流排连接</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10、具有输入、输出的过压和欠压保护、相序检测、电池过充过放保护、输出过载短路保护和温度过高保护等保护和报警功能，并设有EPO紧急关断按钮</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11、ECO节能模式下效率可达95%</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12、6脉冲整流若加配功率因数校正模块，输入功率因数在0.95以上</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13、具备GCI并网运行功能，UPS并网功能使UPS本身可以作为老化负载，无需外加负载进行老化，可以作为微网储能站，可逆电能储备。</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14、人机界面采用中文液晶触摸屏</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15、输出特性：</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（1）输出功率因数为0.8</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（2）采用高精度矢量控制逆变技术，输出电压稳压精度高，动态响应快，且畸变率低，输出THDU可达2%，不高于5%；</w:t>
            </w:r>
          </w:p>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（3）具有带三相100%不平衡负载的能力；</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（4）具有很强的过载能力及抗冲击能力； 150%时60秒钟，125%时10分钟</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16、完备的监控管理</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（1）支持无线监控功能RS232、RS485、RJ45，MODEM多种后台通讯方式</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（2）具有较强的管理功能，UPS可选配SNMP网络管理卡</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（3）系统具有电池放电终止预告警和自动安全关机功能</w:t>
            </w:r>
            <w:r>
              <w:rPr>
                <w:rFonts w:hint="eastAsia" w:ascii="宋体" w:hAnsi="宋体" w:eastAsia="宋体" w:cs="宋体"/>
                <w:color w:val="000000"/>
                <w:sz w:val="24"/>
                <w:szCs w:val="24"/>
                <w:lang w:eastAsia="zh-CN"/>
              </w:rPr>
              <w:t>；</w:t>
            </w:r>
          </w:p>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（4）SNMP卡及其相关软件，兼容10M/100M以太网，支持SNMP、HTTP、等协议，监控软件具备电源事件记录和分析功能，灵活多样的组网方案，实现在Internet/Intranet上的远程监控。</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蓄电池</w:t>
            </w:r>
          </w:p>
        </w:tc>
        <w:tc>
          <w:tcPr>
            <w:tcW w:w="5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highlight w:val="none"/>
                <w:lang w:val="en-US" w:eastAsia="zh-CN" w:bidi="ar"/>
              </w:rPr>
              <w:t>要求</w:t>
            </w:r>
            <w:r>
              <w:rPr>
                <w:rFonts w:hint="eastAsia" w:ascii="宋体" w:hAnsi="宋体" w:eastAsia="宋体" w:cs="宋体"/>
                <w:color w:val="000000"/>
                <w:kern w:val="0"/>
                <w:sz w:val="24"/>
                <w:szCs w:val="24"/>
                <w:lang w:bidi="ar"/>
              </w:rPr>
              <w:t>阀控式免维护铅酸蓄电池，容量为12V100AH，不漏液、无酸雾、不腐蚀设备；自放电小，设计寿命10年以上，结构紧凑，密封良好，抗震动，适应环境温度广；安全防爆；内阻小，大电流放电特性好；无游离电解液，侧倒90度仍可使用；深放电恢复性能好；采用铜芯银嵌入式圆柱端子</w:t>
            </w:r>
            <w:r>
              <w:rPr>
                <w:rFonts w:hint="eastAsia" w:ascii="宋体" w:hAnsi="宋体" w:eastAsia="宋体" w:cs="宋体"/>
                <w:color w:val="000000"/>
                <w:kern w:val="0"/>
                <w:sz w:val="24"/>
                <w:szCs w:val="24"/>
                <w:lang w:eastAsia="zh-CN" w:bidi="ar"/>
              </w:rPr>
              <w:t>；</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2、采用安全可靠的免维护铅酸蓄电池，</w:t>
            </w:r>
            <w:r>
              <w:rPr>
                <w:rFonts w:hint="eastAsia" w:ascii="宋体" w:hAnsi="宋体" w:eastAsia="宋体" w:cs="宋体"/>
                <w:b/>
                <w:bCs/>
                <w:color w:val="000000"/>
                <w:kern w:val="0"/>
                <w:sz w:val="24"/>
                <w:szCs w:val="24"/>
                <w:lang w:bidi="ar"/>
              </w:rPr>
              <w:t>至少提供一种铅酸蓄电池防渗酸密封结构的证明文件；</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节</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电池箱</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内部空开用，柜子厚度1.2</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只</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UPS底座</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定制，槽钢5#</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楼层配电箱含空开</w:t>
            </w:r>
          </w:p>
        </w:tc>
        <w:tc>
          <w:tcPr>
            <w:tcW w:w="513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300*200*120含空开32A</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机房专用防雷排插（6位）</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标称电压Un220～最大放电电流</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只</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电源线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RVV2*4</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接地线 </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BVR 6</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配管</w:t>
            </w:r>
          </w:p>
        </w:tc>
        <w:tc>
          <w:tcPr>
            <w:tcW w:w="513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kbg25管</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r>
      <w:tr>
        <w:tblPrEx>
          <w:tblCellMar>
            <w:top w:w="0" w:type="dxa"/>
            <w:left w:w="108" w:type="dxa"/>
            <w:bottom w:w="0" w:type="dxa"/>
            <w:right w:w="108" w:type="dxa"/>
          </w:tblCellMar>
        </w:tblPrEx>
        <w:trPr>
          <w:trHeight w:val="9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光模块</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千兆SFP单模</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光跳线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单模双工LC-LC  3米</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条</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模块</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六类模块</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双口面板</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六类</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tblPrEx>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理线环</w:t>
            </w:r>
          </w:p>
        </w:tc>
        <w:tc>
          <w:tcPr>
            <w:tcW w:w="5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机架式</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bl>
    <w:p/>
    <w:p>
      <w:pPr>
        <w:spacing w:line="360" w:lineRule="auto"/>
        <w:ind w:firstLine="354" w:firstLineChars="147"/>
        <w:rPr>
          <w:rFonts w:ascii="宋体" w:hAnsi="宋体" w:cs="宋体"/>
          <w:b/>
          <w:sz w:val="24"/>
        </w:rPr>
      </w:pPr>
      <w:r>
        <w:rPr>
          <w:rFonts w:hint="eastAsia" w:ascii="宋体" w:hAnsi="宋体" w:cs="宋体"/>
          <w:b/>
          <w:sz w:val="24"/>
        </w:rPr>
        <w:t>特别说明：</w:t>
      </w:r>
    </w:p>
    <w:p>
      <w:pPr>
        <w:widowControl/>
        <w:spacing w:line="360" w:lineRule="auto"/>
        <w:ind w:firstLine="472" w:firstLineChars="196"/>
        <w:jc w:val="left"/>
        <w:rPr>
          <w:rFonts w:ascii="宋体" w:hAnsi="宋体" w:cs="宋体"/>
          <w:b/>
          <w:sz w:val="24"/>
        </w:rPr>
      </w:pPr>
      <w:r>
        <w:rPr>
          <w:rFonts w:hint="eastAsia" w:ascii="宋体" w:hAnsi="宋体" w:cs="宋体"/>
          <w:b/>
          <w:sz w:val="24"/>
        </w:rPr>
        <w:t>1、投标人可参考采购单位推荐的设备技术参数及配置，也欢迎其他能满足或优于本项目技术需求且性能与所明确要求相当的产品参加投标。</w:t>
      </w:r>
    </w:p>
    <w:p>
      <w:pPr>
        <w:widowControl/>
        <w:spacing w:line="360" w:lineRule="auto"/>
        <w:ind w:firstLine="482" w:firstLineChars="200"/>
        <w:jc w:val="left"/>
        <w:rPr>
          <w:rFonts w:ascii="宋体" w:hAnsi="宋体" w:cs="宋体"/>
          <w:b/>
          <w:sz w:val="24"/>
        </w:rPr>
      </w:pPr>
      <w:r>
        <w:rPr>
          <w:rFonts w:hint="eastAsia" w:ascii="宋体" w:hAnsi="宋体" w:cs="宋体"/>
          <w:b/>
          <w:sz w:val="24"/>
        </w:rPr>
        <w:t>2、投标人应如实描述投标产品的主要指标偏离情况，若有偏离，只接受参数、性能优于招标要求的配置, 否则将被评标委员会技术扣分直至认定为投标无效。</w:t>
      </w:r>
    </w:p>
    <w:p>
      <w:pPr>
        <w:spacing w:line="360" w:lineRule="auto"/>
        <w:ind w:firstLine="480" w:firstLineChars="200"/>
        <w:rPr>
          <w:rFonts w:ascii="宋体" w:hAnsi="宋体" w:cs="宋体"/>
          <w:b/>
          <w:bCs/>
          <w:sz w:val="24"/>
          <w:u w:val="single"/>
        </w:rPr>
      </w:pPr>
      <w:r>
        <w:rPr>
          <w:rFonts w:hint="eastAsia" w:ascii="宋体" w:hAnsi="宋体" w:cs="宋体"/>
          <w:sz w:val="24"/>
        </w:rPr>
        <w:t>3、为保证设备稳定运行、保障售后服务质量、保护甲方的合法权益，投标方及厂商必须保证：本项目所有设备售后服务权益方名称为</w:t>
      </w:r>
      <w:r>
        <w:rPr>
          <w:rFonts w:hint="eastAsia" w:ascii="宋体" w:hAnsi="宋体" w:cs="宋体"/>
          <w:b/>
          <w:bCs/>
          <w:sz w:val="24"/>
          <w:u w:val="single"/>
        </w:rPr>
        <w:t>杭州市翠苑中学。在项目实施过程中、项目验收时，将专门针对各系统主要内容、各类设备、辅材等原厂商进行真伪查验校对， 产品主要参数、功能校对，质保期查验校对，并将详细确认售后服务权益方名称。对于校对后不符合项目清单要求，中标方需承担一切后果。</w:t>
      </w:r>
    </w:p>
    <w:p>
      <w:pPr>
        <w:spacing w:line="360" w:lineRule="auto"/>
        <w:ind w:firstLine="482" w:firstLineChars="200"/>
        <w:rPr>
          <w:rFonts w:ascii="宋体" w:hAnsi="宋体" w:cs="宋体"/>
          <w:b/>
          <w:bCs/>
          <w:sz w:val="24"/>
          <w:u w:val="single"/>
        </w:rPr>
      </w:pPr>
      <w:r>
        <w:rPr>
          <w:rFonts w:hint="eastAsia" w:ascii="宋体" w:hAnsi="宋体" w:cs="宋体"/>
          <w:b/>
          <w:sz w:val="24"/>
          <w:u w:val="single"/>
        </w:rPr>
        <w:t>由于涉及到具体的施工细节，投标方在招标前可自行前往现场实地工勘。以便充分了解现状和甲方需求，便于对项目做出合理规划，并在投标时给出合理化建议和设计，便于后期实施、维护。</w:t>
      </w:r>
    </w:p>
    <w:p>
      <w:pPr>
        <w:pStyle w:val="964"/>
        <w:widowControl w:val="0"/>
        <w:spacing w:line="360" w:lineRule="auto"/>
        <w:ind w:firstLine="480"/>
        <w:jc w:val="both"/>
      </w:pPr>
      <w:r>
        <w:rPr>
          <w:rFonts w:hint="eastAsia"/>
        </w:rPr>
        <w:t>投标方及厂商必须保证所有投标产品均为中华人民共和国境内（不含港澳台地区）合法销售的产品，并保证所有投标参数真实可信，</w:t>
      </w:r>
      <w:r>
        <w:rPr>
          <w:rFonts w:hint="eastAsia"/>
          <w:b/>
        </w:rPr>
        <w:t>同时承担以非法产品或虚假参数应标所带来的一切法律风险</w:t>
      </w:r>
      <w:r>
        <w:rPr>
          <w:rFonts w:hint="eastAsia"/>
        </w:rPr>
        <w:t>。</w:t>
      </w:r>
    </w:p>
    <w:p>
      <w:pPr>
        <w:pStyle w:val="4"/>
        <w:keepNext w:val="0"/>
        <w:spacing w:line="360" w:lineRule="auto"/>
        <w:jc w:val="left"/>
        <w:rPr>
          <w:rFonts w:ascii="宋体" w:hAnsi="宋体" w:cs="宋体"/>
          <w:sz w:val="28"/>
          <w:szCs w:val="28"/>
        </w:rPr>
      </w:pPr>
      <w:r>
        <w:rPr>
          <w:rFonts w:hint="eastAsia" w:ascii="宋体" w:hAnsi="宋体" w:cs="宋体"/>
          <w:sz w:val="28"/>
          <w:szCs w:val="28"/>
        </w:rPr>
        <w:t>四、整体系统要求</w:t>
      </w:r>
    </w:p>
    <w:p>
      <w:pPr>
        <w:spacing w:line="360" w:lineRule="auto"/>
        <w:ind w:firstLine="480" w:firstLineChars="200"/>
        <w:rPr>
          <w:rFonts w:ascii="宋体" w:hAnsi="宋体" w:cs="宋体"/>
          <w:sz w:val="24"/>
        </w:rPr>
      </w:pPr>
      <w:r>
        <w:rPr>
          <w:rFonts w:hint="eastAsia" w:ascii="宋体" w:hAnsi="宋体" w:cs="宋体"/>
          <w:sz w:val="24"/>
        </w:rPr>
        <w:t>1、本项目的所有软、硬件(如线缆、软件、硬件设备等，包括未列出而系统实施又必需的软件、硬件)需配齐以构成一套完整实用系统，如有任何遗漏，由中标人免费补齐。</w:t>
      </w:r>
    </w:p>
    <w:p>
      <w:pPr>
        <w:spacing w:line="360" w:lineRule="auto"/>
        <w:ind w:firstLine="480" w:firstLineChars="200"/>
        <w:rPr>
          <w:rFonts w:ascii="宋体" w:hAnsi="宋体" w:cs="宋体"/>
          <w:sz w:val="24"/>
        </w:rPr>
      </w:pPr>
      <w:r>
        <w:rPr>
          <w:rFonts w:hint="eastAsia" w:ascii="宋体" w:hAnsi="宋体" w:cs="宋体"/>
          <w:sz w:val="24"/>
        </w:rPr>
        <w:t>2、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spacing w:line="360" w:lineRule="auto"/>
        <w:jc w:val="left"/>
        <w:rPr>
          <w:rFonts w:ascii="宋体" w:hAnsi="宋体" w:cs="宋体"/>
          <w:b/>
          <w:sz w:val="28"/>
        </w:rPr>
      </w:pPr>
      <w:r>
        <w:rPr>
          <w:rFonts w:hint="eastAsia" w:ascii="宋体" w:hAnsi="宋体" w:cs="宋体"/>
          <w:b/>
          <w:sz w:val="28"/>
        </w:rPr>
        <w:t>五、其它</w:t>
      </w:r>
    </w:p>
    <w:p>
      <w:pPr>
        <w:spacing w:line="360" w:lineRule="auto"/>
        <w:ind w:firstLine="480" w:firstLineChars="200"/>
        <w:rPr>
          <w:rFonts w:ascii="宋体" w:hAnsi="宋体" w:cs="宋体"/>
          <w:sz w:val="24"/>
        </w:rPr>
      </w:pPr>
      <w:r>
        <w:rPr>
          <w:rFonts w:hint="eastAsia" w:ascii="宋体" w:hAnsi="宋体" w:cs="宋体"/>
          <w:sz w:val="24"/>
        </w:rPr>
        <w:t>1、建设周期</w:t>
      </w:r>
    </w:p>
    <w:p>
      <w:pPr>
        <w:spacing w:line="360" w:lineRule="auto"/>
        <w:ind w:firstLine="481"/>
        <w:outlineLvl w:val="1"/>
        <w:rPr>
          <w:rFonts w:ascii="宋体" w:hAnsi="宋体" w:cs="宋体"/>
          <w:sz w:val="24"/>
        </w:rPr>
      </w:pPr>
      <w:r>
        <w:rPr>
          <w:rFonts w:hint="eastAsia" w:ascii="宋体" w:hAnsi="宋体" w:cs="宋体"/>
          <w:sz w:val="24"/>
        </w:rPr>
        <w:t>为保证杭州市翠苑中学信息化（二期）改造项目的顺利建设，本次设备采购、到货、安装、调试工作应在合同签订后30天内完成全部建设内容；正常试运行1个月，培训并交付使用，并制定相应的项目实施详细进度计划。</w:t>
      </w:r>
    </w:p>
    <w:p>
      <w:pPr>
        <w:spacing w:line="360" w:lineRule="auto"/>
        <w:ind w:firstLine="480" w:firstLineChars="200"/>
        <w:rPr>
          <w:rFonts w:ascii="宋体" w:hAnsi="宋体" w:cs="宋体"/>
          <w:sz w:val="24"/>
        </w:rPr>
      </w:pPr>
      <w:r>
        <w:rPr>
          <w:rFonts w:hint="eastAsia" w:ascii="宋体" w:hAnsi="宋体" w:cs="宋体"/>
          <w:sz w:val="24"/>
        </w:rPr>
        <w:t>2、安装、调试与验收</w:t>
      </w:r>
    </w:p>
    <w:p>
      <w:pPr>
        <w:spacing w:line="360" w:lineRule="auto"/>
        <w:ind w:firstLine="480" w:firstLineChars="200"/>
        <w:rPr>
          <w:rFonts w:ascii="宋体" w:hAnsi="宋体" w:cs="宋体"/>
          <w:sz w:val="24"/>
        </w:rPr>
      </w:pPr>
      <w:r>
        <w:rPr>
          <w:rFonts w:hint="eastAsia" w:ascii="宋体" w:hAnsi="宋体" w:cs="宋体"/>
          <w:sz w:val="24"/>
        </w:rPr>
        <w:t>有责任检查安装现场是否符合产品安装条件，事先提出对安装的环境的要求。</w:t>
      </w:r>
    </w:p>
    <w:p>
      <w:pPr>
        <w:spacing w:line="360" w:lineRule="auto"/>
        <w:ind w:firstLine="480" w:firstLineChars="200"/>
        <w:rPr>
          <w:rFonts w:ascii="宋体" w:hAnsi="宋体" w:cs="宋体"/>
          <w:sz w:val="24"/>
        </w:rPr>
      </w:pPr>
      <w:r>
        <w:rPr>
          <w:rFonts w:hint="eastAsia" w:ascii="宋体" w:hAnsi="宋体" w:cs="宋体"/>
          <w:sz w:val="24"/>
        </w:rPr>
        <w:t>本项目涉及的设备由投标人负责测试、安装、调试和有关配置工作，投标人应提供详细的具有时效性的测试、安装、调试方案，经用户确认后，作为设备验收的标准，投标人应按上述方案完成测试、安装、调试和有关配置工作。</w:t>
      </w:r>
    </w:p>
    <w:p>
      <w:pPr>
        <w:spacing w:line="360" w:lineRule="auto"/>
        <w:ind w:firstLine="480" w:firstLineChars="200"/>
        <w:rPr>
          <w:rFonts w:ascii="宋体" w:hAnsi="宋体" w:cs="宋体"/>
          <w:sz w:val="24"/>
        </w:rPr>
      </w:pPr>
      <w:r>
        <w:rPr>
          <w:rFonts w:hint="eastAsia" w:ascii="宋体" w:hAnsi="宋体" w:cs="宋体"/>
          <w:sz w:val="24"/>
        </w:rPr>
        <w:t>投标人需保证设备均为制造商原产原装产品，保证所提供货物是全新的、未使用过的，并完全符合合同规定的质量、规格和性能的要求。货物到达用户指定的现场后，由投标人与用户共核对装箱单，共同开箱（若有争议，请质检机构检验确定），依照合同的货物清单清点，并进行签字确认。</w:t>
      </w:r>
    </w:p>
    <w:p>
      <w:pPr>
        <w:spacing w:line="360" w:lineRule="auto"/>
        <w:ind w:firstLine="480" w:firstLineChars="200"/>
        <w:rPr>
          <w:rFonts w:ascii="宋体" w:hAnsi="宋体" w:cs="宋体"/>
          <w:sz w:val="24"/>
        </w:rPr>
      </w:pPr>
      <w:r>
        <w:rPr>
          <w:rFonts w:hint="eastAsia" w:ascii="宋体" w:hAnsi="宋体" w:cs="宋体"/>
          <w:sz w:val="24"/>
        </w:rPr>
        <w:t>项目实验过程中，若牵涉到与第三方产品集成工作，投标人应与其他供应商通力合作，并提供必要的技术支持。</w:t>
      </w:r>
    </w:p>
    <w:p>
      <w:pPr>
        <w:spacing w:line="360" w:lineRule="auto"/>
        <w:ind w:firstLine="480" w:firstLineChars="200"/>
        <w:rPr>
          <w:rFonts w:ascii="宋体" w:hAnsi="宋体" w:cs="宋体"/>
          <w:sz w:val="24"/>
        </w:rPr>
      </w:pPr>
      <w:r>
        <w:rPr>
          <w:rFonts w:hint="eastAsia" w:ascii="宋体" w:hAnsi="宋体" w:cs="宋体"/>
          <w:sz w:val="24"/>
        </w:rPr>
        <w:t>投标人保证其提供的货物在正确安装、正常使用和保养条件下，在使用寿命期内具有满意的性能，投标人对由于产品设计、工艺或材料的缺陷而产生的故障负责与原制造厂商并协助解决。</w:t>
      </w:r>
    </w:p>
    <w:p>
      <w:pPr>
        <w:spacing w:line="360" w:lineRule="auto"/>
        <w:ind w:firstLine="480" w:firstLineChars="200"/>
        <w:rPr>
          <w:rFonts w:ascii="宋体" w:hAnsi="宋体" w:cs="宋体"/>
          <w:sz w:val="24"/>
        </w:rPr>
      </w:pPr>
      <w:r>
        <w:rPr>
          <w:rFonts w:hint="eastAsia" w:ascii="宋体" w:hAnsi="宋体" w:cs="宋体"/>
          <w:sz w:val="24"/>
        </w:rPr>
        <w:t>投标人承诺本次提供的所有设备满足标书要求，对标书中的变更修改内容以本合同的设备配置附件为准。投标人承诺所有的设备满足技术完整性要求。如有线缆、附件等遗漏，影响设备安装和运行，由投标人承担并负责解决。</w:t>
      </w:r>
    </w:p>
    <w:p>
      <w:pPr>
        <w:spacing w:line="360" w:lineRule="auto"/>
        <w:ind w:firstLine="480" w:firstLineChars="200"/>
        <w:rPr>
          <w:rFonts w:ascii="宋体" w:hAnsi="宋体" w:cs="宋体"/>
          <w:sz w:val="24"/>
        </w:rPr>
      </w:pPr>
      <w:r>
        <w:rPr>
          <w:rFonts w:hint="eastAsia" w:ascii="宋体" w:hAnsi="宋体" w:cs="宋体"/>
          <w:sz w:val="24"/>
        </w:rPr>
        <w:t>3、售后服务</w:t>
      </w:r>
    </w:p>
    <w:p>
      <w:pPr>
        <w:spacing w:line="360" w:lineRule="auto"/>
        <w:ind w:firstLine="480" w:firstLineChars="200"/>
        <w:rPr>
          <w:rFonts w:ascii="宋体" w:hAnsi="宋体" w:cs="宋体"/>
          <w:sz w:val="24"/>
        </w:rPr>
      </w:pPr>
      <w:r>
        <w:rPr>
          <w:rFonts w:hint="eastAsia" w:ascii="宋体" w:hAnsi="宋体" w:cs="宋体"/>
          <w:sz w:val="24"/>
        </w:rPr>
        <w:t>对于本项目所有设备，投标人向用户提供设备不少于3年（含）7*24小时的系统设备保修和售后现场技术服务。保修和售后维护服务时间从验收合格之日起计算。</w:t>
      </w:r>
    </w:p>
    <w:p>
      <w:pPr>
        <w:spacing w:line="360" w:lineRule="auto"/>
        <w:ind w:firstLine="480" w:firstLineChars="200"/>
        <w:rPr>
          <w:rFonts w:ascii="宋体" w:hAnsi="宋体" w:cs="宋体"/>
          <w:sz w:val="24"/>
        </w:rPr>
      </w:pPr>
      <w:r>
        <w:rPr>
          <w:rFonts w:hint="eastAsia" w:ascii="宋体" w:hAnsi="宋体" w:cs="宋体"/>
          <w:sz w:val="24"/>
        </w:rPr>
        <w:t>投标人承诺故障在半小时内响应，2小时以内到现场，4小时以内解决问题，现场不能修复的，必须提供同品牌、型号备用设备。</w:t>
      </w:r>
    </w:p>
    <w:p>
      <w:pPr>
        <w:spacing w:line="360" w:lineRule="auto"/>
        <w:ind w:firstLine="480" w:firstLineChars="200"/>
        <w:rPr>
          <w:rFonts w:ascii="宋体" w:hAnsi="宋体" w:cs="宋体"/>
          <w:sz w:val="24"/>
        </w:rPr>
      </w:pPr>
      <w:r>
        <w:rPr>
          <w:rFonts w:hint="eastAsia" w:ascii="宋体" w:hAnsi="宋体" w:cs="宋体"/>
          <w:sz w:val="24"/>
        </w:rPr>
        <w:t>供货商应拥有日常技术维护力量，落实服务联系单位、联系人、联系电话。</w:t>
      </w:r>
    </w:p>
    <w:p>
      <w:pPr>
        <w:spacing w:line="360" w:lineRule="auto"/>
        <w:ind w:firstLine="480" w:firstLineChars="200"/>
        <w:rPr>
          <w:rFonts w:ascii="宋体" w:hAnsi="宋体" w:cs="宋体"/>
          <w:sz w:val="24"/>
        </w:rPr>
      </w:pPr>
      <w:r>
        <w:rPr>
          <w:rFonts w:hint="eastAsia" w:ascii="宋体" w:hAnsi="宋体" w:cs="宋体"/>
          <w:sz w:val="24"/>
        </w:rPr>
        <w:t>投标人在每次服务完成后，须向用户提交相关文档，内容包括起因、响应、过程、结果、今后注意事项等各部分。</w:t>
      </w:r>
    </w:p>
    <w:p>
      <w:pPr>
        <w:spacing w:line="360" w:lineRule="auto"/>
        <w:ind w:firstLine="480" w:firstLineChars="200"/>
        <w:rPr>
          <w:rFonts w:ascii="宋体" w:hAnsi="宋体" w:cs="宋体"/>
          <w:sz w:val="24"/>
        </w:rPr>
      </w:pPr>
      <w:r>
        <w:rPr>
          <w:rFonts w:hint="eastAsia" w:ascii="宋体" w:hAnsi="宋体" w:cs="宋体"/>
          <w:sz w:val="24"/>
        </w:rPr>
        <w:t>在保修期结束前，由投标人工程师、用户对所供设备进行一次全面检查，任何缺陷必须由投标人负责修理，在修复之后，投标人应将缺陷原因、修理内容、完成修理及恢复正常的时间和日期等报告给用户。</w:t>
      </w:r>
    </w:p>
    <w:p>
      <w:pPr>
        <w:pStyle w:val="3"/>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ascii="宋体" w:hAnsi="宋体" w:eastAsia="宋体" w:cs="宋体"/>
          <w:color w:val="auto"/>
          <w:sz w:val="24"/>
          <w:szCs w:val="24"/>
          <w:highlight w:val="none"/>
        </w:rPr>
      </w:pPr>
    </w:p>
    <w:p>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31" w:name="_Toc184308073"/>
      <w:bookmarkEnd w:id="31"/>
      <w:bookmarkStart w:id="32" w:name="_Toc184313274"/>
      <w:bookmarkEnd w:id="32"/>
      <w:bookmarkStart w:id="33" w:name="_Toc184308060"/>
      <w:bookmarkEnd w:id="33"/>
      <w:bookmarkStart w:id="34" w:name="_Toc184310298"/>
      <w:bookmarkEnd w:id="34"/>
      <w:bookmarkStart w:id="35" w:name="_Toc184314452"/>
      <w:bookmarkEnd w:id="35"/>
      <w:bookmarkStart w:id="36" w:name="_Toc184313269"/>
      <w:bookmarkEnd w:id="36"/>
      <w:bookmarkStart w:id="37" w:name="_Toc184314425"/>
      <w:bookmarkEnd w:id="37"/>
      <w:bookmarkStart w:id="38" w:name="_Toc184310340"/>
      <w:bookmarkEnd w:id="38"/>
      <w:bookmarkStart w:id="39" w:name="_Toc184312118"/>
      <w:bookmarkEnd w:id="39"/>
      <w:bookmarkStart w:id="40" w:name="_Toc184312081"/>
      <w:bookmarkEnd w:id="40"/>
      <w:bookmarkStart w:id="41" w:name="_Toc184314429"/>
      <w:bookmarkEnd w:id="41"/>
      <w:bookmarkStart w:id="42" w:name="_Toc184314443"/>
      <w:bookmarkEnd w:id="42"/>
      <w:bookmarkStart w:id="43" w:name="_Toc184312069"/>
      <w:bookmarkEnd w:id="43"/>
      <w:bookmarkStart w:id="44" w:name="_Toc184312111"/>
      <w:bookmarkEnd w:id="44"/>
      <w:bookmarkStart w:id="45" w:name="_Toc184312112"/>
      <w:bookmarkEnd w:id="45"/>
      <w:bookmarkStart w:id="46" w:name="_Toc184314437"/>
      <w:bookmarkEnd w:id="46"/>
      <w:bookmarkStart w:id="47" w:name="_Toc184314427"/>
      <w:bookmarkEnd w:id="47"/>
      <w:bookmarkStart w:id="48" w:name="_Toc184313263"/>
      <w:bookmarkEnd w:id="48"/>
      <w:bookmarkStart w:id="49" w:name="_Toc184310279"/>
      <w:bookmarkEnd w:id="49"/>
      <w:bookmarkStart w:id="50" w:name="_Toc184310338"/>
      <w:bookmarkEnd w:id="50"/>
      <w:bookmarkStart w:id="51" w:name="_Toc184310280"/>
      <w:bookmarkEnd w:id="51"/>
      <w:bookmarkStart w:id="52" w:name="_Toc184312072"/>
      <w:bookmarkEnd w:id="52"/>
      <w:bookmarkStart w:id="53" w:name="_Toc184308104"/>
      <w:bookmarkEnd w:id="53"/>
      <w:bookmarkStart w:id="54" w:name="_Toc184308071"/>
      <w:bookmarkEnd w:id="54"/>
      <w:bookmarkStart w:id="55" w:name="_Toc184314472"/>
      <w:bookmarkEnd w:id="55"/>
      <w:bookmarkStart w:id="56" w:name="_Toc184308105"/>
      <w:bookmarkEnd w:id="56"/>
      <w:bookmarkStart w:id="57" w:name="_Toc184312113"/>
      <w:bookmarkEnd w:id="57"/>
      <w:bookmarkStart w:id="58" w:name="_Toc184312094"/>
      <w:bookmarkEnd w:id="58"/>
      <w:bookmarkStart w:id="59" w:name="_Toc184312115"/>
      <w:bookmarkEnd w:id="59"/>
      <w:bookmarkStart w:id="60" w:name="_Toc184314458"/>
      <w:bookmarkEnd w:id="60"/>
      <w:bookmarkStart w:id="61" w:name="_Toc184312107"/>
      <w:bookmarkEnd w:id="61"/>
      <w:bookmarkStart w:id="62" w:name="_Toc184313303"/>
      <w:bookmarkEnd w:id="62"/>
      <w:bookmarkStart w:id="63" w:name="_Toc184313238"/>
      <w:bookmarkEnd w:id="63"/>
      <w:bookmarkStart w:id="64" w:name="_Toc184312079"/>
      <w:bookmarkEnd w:id="64"/>
      <w:bookmarkStart w:id="65" w:name="_Toc184312108"/>
      <w:bookmarkEnd w:id="65"/>
      <w:bookmarkStart w:id="66" w:name="_Toc184314453"/>
      <w:bookmarkEnd w:id="66"/>
      <w:bookmarkStart w:id="67" w:name="_Toc184310321"/>
      <w:bookmarkEnd w:id="67"/>
      <w:bookmarkStart w:id="68" w:name="_Toc184308080"/>
      <w:bookmarkEnd w:id="68"/>
      <w:bookmarkStart w:id="69" w:name="_Toc184314436"/>
      <w:bookmarkEnd w:id="69"/>
      <w:bookmarkStart w:id="70" w:name="_Toc184313240"/>
      <w:bookmarkEnd w:id="70"/>
      <w:bookmarkStart w:id="71" w:name="_Toc184310276"/>
      <w:bookmarkEnd w:id="71"/>
      <w:bookmarkStart w:id="72" w:name="_Toc184312110"/>
      <w:bookmarkEnd w:id="72"/>
      <w:bookmarkStart w:id="73" w:name="_Toc184312089"/>
      <w:bookmarkEnd w:id="73"/>
      <w:bookmarkStart w:id="74" w:name="_Toc184310273"/>
      <w:bookmarkEnd w:id="74"/>
      <w:bookmarkStart w:id="75" w:name="_Toc184310278"/>
      <w:bookmarkEnd w:id="75"/>
      <w:bookmarkStart w:id="76" w:name="_Toc184308075"/>
      <w:bookmarkEnd w:id="76"/>
      <w:bookmarkStart w:id="77" w:name="_Toc184314464"/>
      <w:bookmarkEnd w:id="77"/>
      <w:bookmarkStart w:id="78" w:name="_Toc184312077"/>
      <w:bookmarkEnd w:id="78"/>
      <w:bookmarkStart w:id="79" w:name="_Toc184308102"/>
      <w:bookmarkEnd w:id="79"/>
      <w:bookmarkStart w:id="80" w:name="_Toc184308070"/>
      <w:bookmarkEnd w:id="80"/>
      <w:bookmarkStart w:id="81" w:name="_Toc184308045"/>
      <w:bookmarkEnd w:id="81"/>
      <w:bookmarkStart w:id="82" w:name="_Toc184313273"/>
      <w:bookmarkEnd w:id="82"/>
      <w:bookmarkStart w:id="83" w:name="_Toc184313304"/>
      <w:bookmarkEnd w:id="83"/>
      <w:bookmarkStart w:id="84" w:name="_Toc184310306"/>
      <w:bookmarkEnd w:id="84"/>
      <w:bookmarkStart w:id="85" w:name="_Toc184314441"/>
      <w:bookmarkEnd w:id="85"/>
      <w:bookmarkStart w:id="86" w:name="_Toc184314469"/>
      <w:bookmarkEnd w:id="86"/>
      <w:bookmarkStart w:id="87" w:name="_Toc184310299"/>
      <w:bookmarkEnd w:id="87"/>
      <w:bookmarkStart w:id="88" w:name="_Toc184308064"/>
      <w:bookmarkEnd w:id="88"/>
      <w:bookmarkStart w:id="89" w:name="_Toc184310303"/>
      <w:bookmarkEnd w:id="89"/>
      <w:bookmarkStart w:id="90" w:name="_Toc184308039"/>
      <w:bookmarkEnd w:id="90"/>
      <w:bookmarkStart w:id="91" w:name="_Toc184313299"/>
      <w:bookmarkEnd w:id="91"/>
      <w:bookmarkStart w:id="92" w:name="_Toc184312124"/>
      <w:bookmarkEnd w:id="92"/>
      <w:bookmarkStart w:id="93" w:name="_Toc184313243"/>
      <w:bookmarkEnd w:id="93"/>
      <w:bookmarkStart w:id="94" w:name="_Toc184310339"/>
      <w:bookmarkEnd w:id="94"/>
      <w:bookmarkStart w:id="95" w:name="_Toc184314466"/>
      <w:bookmarkEnd w:id="95"/>
      <w:bookmarkStart w:id="96" w:name="_Toc184308052"/>
      <w:bookmarkEnd w:id="96"/>
      <w:bookmarkStart w:id="97" w:name="_Toc184314416"/>
      <w:bookmarkEnd w:id="97"/>
      <w:bookmarkStart w:id="98" w:name="_Toc184310293"/>
      <w:bookmarkEnd w:id="98"/>
      <w:bookmarkStart w:id="99" w:name="_Toc184314423"/>
      <w:bookmarkEnd w:id="99"/>
      <w:bookmarkStart w:id="100" w:name="_Toc184310287"/>
      <w:bookmarkEnd w:id="100"/>
      <w:bookmarkStart w:id="101" w:name="_Toc184313278"/>
      <w:bookmarkEnd w:id="101"/>
      <w:bookmarkStart w:id="102" w:name="_Toc184310302"/>
      <w:bookmarkEnd w:id="102"/>
      <w:bookmarkStart w:id="103" w:name="_Toc184308085"/>
      <w:bookmarkEnd w:id="103"/>
      <w:bookmarkStart w:id="104" w:name="_Toc184313268"/>
      <w:bookmarkEnd w:id="104"/>
      <w:bookmarkStart w:id="105" w:name="_Toc184312090"/>
      <w:bookmarkEnd w:id="105"/>
      <w:bookmarkStart w:id="106" w:name="_Toc184308090"/>
      <w:bookmarkEnd w:id="106"/>
      <w:bookmarkStart w:id="107" w:name="_Toc184312103"/>
      <w:bookmarkEnd w:id="107"/>
      <w:bookmarkStart w:id="108" w:name="_Toc184312071"/>
      <w:bookmarkEnd w:id="108"/>
      <w:bookmarkStart w:id="109" w:name="_Toc184310285"/>
      <w:bookmarkEnd w:id="109"/>
      <w:bookmarkStart w:id="110" w:name="_Toc184313283"/>
      <w:bookmarkEnd w:id="110"/>
      <w:bookmarkStart w:id="111" w:name="_Toc184314440"/>
      <w:bookmarkEnd w:id="111"/>
      <w:bookmarkStart w:id="112" w:name="_Toc184312119"/>
      <w:bookmarkEnd w:id="112"/>
      <w:bookmarkStart w:id="113" w:name="_Toc184314456"/>
      <w:bookmarkEnd w:id="113"/>
      <w:bookmarkStart w:id="114" w:name="_Toc184312116"/>
      <w:bookmarkEnd w:id="114"/>
      <w:bookmarkStart w:id="115" w:name="_Toc184314421"/>
      <w:bookmarkEnd w:id="115"/>
      <w:bookmarkStart w:id="116" w:name="_Toc184314480"/>
      <w:bookmarkEnd w:id="116"/>
      <w:bookmarkStart w:id="117" w:name="_Toc184312087"/>
      <w:bookmarkEnd w:id="117"/>
      <w:bookmarkStart w:id="118" w:name="_Toc184310283"/>
      <w:bookmarkEnd w:id="118"/>
      <w:bookmarkStart w:id="119" w:name="_Toc184314476"/>
      <w:bookmarkEnd w:id="119"/>
      <w:bookmarkStart w:id="120" w:name="_Toc184308106"/>
      <w:bookmarkEnd w:id="120"/>
      <w:bookmarkStart w:id="121" w:name="_Toc184310343"/>
      <w:bookmarkEnd w:id="121"/>
      <w:bookmarkStart w:id="122" w:name="_Toc184313246"/>
      <w:bookmarkEnd w:id="122"/>
      <w:bookmarkStart w:id="123" w:name="_Toc184310336"/>
      <w:bookmarkEnd w:id="123"/>
      <w:bookmarkStart w:id="124" w:name="_Toc184308058"/>
      <w:bookmarkEnd w:id="124"/>
      <w:bookmarkStart w:id="125" w:name="_Toc184308066"/>
      <w:bookmarkEnd w:id="125"/>
      <w:bookmarkStart w:id="126" w:name="_Toc184314414"/>
      <w:bookmarkEnd w:id="126"/>
      <w:bookmarkStart w:id="127" w:name="_Toc184314433"/>
      <w:bookmarkEnd w:id="127"/>
      <w:bookmarkStart w:id="128" w:name="_Toc184312092"/>
      <w:bookmarkEnd w:id="128"/>
      <w:bookmarkStart w:id="129" w:name="_Toc184313248"/>
      <w:bookmarkEnd w:id="129"/>
      <w:bookmarkStart w:id="130" w:name="_Toc184313270"/>
      <w:bookmarkEnd w:id="130"/>
      <w:bookmarkStart w:id="131" w:name="_Toc184308044"/>
      <w:bookmarkEnd w:id="131"/>
      <w:bookmarkStart w:id="132" w:name="_Toc184313301"/>
      <w:bookmarkEnd w:id="132"/>
      <w:bookmarkStart w:id="133" w:name="_Toc184312068"/>
      <w:bookmarkEnd w:id="133"/>
      <w:bookmarkStart w:id="134" w:name="_Toc184313254"/>
      <w:bookmarkEnd w:id="134"/>
      <w:bookmarkStart w:id="135" w:name="_Toc184314460"/>
      <w:bookmarkEnd w:id="135"/>
      <w:bookmarkStart w:id="136" w:name="_Toc184313306"/>
      <w:bookmarkEnd w:id="136"/>
      <w:bookmarkStart w:id="137" w:name="_Toc184312123"/>
      <w:bookmarkEnd w:id="137"/>
      <w:bookmarkStart w:id="138" w:name="_Toc184308081"/>
      <w:bookmarkEnd w:id="138"/>
      <w:bookmarkStart w:id="139" w:name="_Toc184312106"/>
      <w:bookmarkEnd w:id="139"/>
      <w:bookmarkStart w:id="140" w:name="_Toc184308099"/>
      <w:bookmarkEnd w:id="140"/>
      <w:bookmarkStart w:id="141" w:name="_Toc184310290"/>
      <w:bookmarkEnd w:id="141"/>
      <w:bookmarkStart w:id="142" w:name="_Toc184308040"/>
      <w:bookmarkEnd w:id="142"/>
      <w:bookmarkStart w:id="143" w:name="_Toc184310297"/>
      <w:bookmarkEnd w:id="143"/>
      <w:bookmarkStart w:id="144" w:name="_Toc184310320"/>
      <w:bookmarkEnd w:id="144"/>
      <w:bookmarkStart w:id="145" w:name="_Toc184308042"/>
      <w:bookmarkEnd w:id="145"/>
      <w:bookmarkStart w:id="146" w:name="_Toc184312134"/>
      <w:bookmarkEnd w:id="146"/>
      <w:bookmarkStart w:id="147" w:name="_Toc184313260"/>
      <w:bookmarkEnd w:id="147"/>
      <w:bookmarkStart w:id="148" w:name="_Toc184310334"/>
      <w:bookmarkEnd w:id="148"/>
      <w:bookmarkStart w:id="149" w:name="_Toc184308059"/>
      <w:bookmarkEnd w:id="149"/>
      <w:bookmarkStart w:id="150" w:name="_Toc184314418"/>
      <w:bookmarkEnd w:id="150"/>
      <w:bookmarkStart w:id="151" w:name="_Toc184313258"/>
      <w:bookmarkEnd w:id="151"/>
      <w:bookmarkStart w:id="152" w:name="_Toc184314449"/>
      <w:bookmarkEnd w:id="152"/>
      <w:bookmarkStart w:id="153" w:name="_Toc184310295"/>
      <w:bookmarkEnd w:id="153"/>
      <w:bookmarkStart w:id="154" w:name="_Toc184308037"/>
      <w:bookmarkEnd w:id="154"/>
      <w:bookmarkStart w:id="155" w:name="_Toc184313309"/>
      <w:bookmarkEnd w:id="155"/>
      <w:bookmarkStart w:id="156" w:name="_Toc184313279"/>
      <w:bookmarkEnd w:id="156"/>
      <w:bookmarkStart w:id="157" w:name="_Toc184308079"/>
      <w:bookmarkEnd w:id="157"/>
      <w:bookmarkStart w:id="158" w:name="_Toc184312097"/>
      <w:bookmarkEnd w:id="158"/>
      <w:bookmarkStart w:id="159" w:name="_Toc184308100"/>
      <w:bookmarkEnd w:id="159"/>
      <w:bookmarkStart w:id="160" w:name="_Toc184314446"/>
      <w:bookmarkEnd w:id="160"/>
      <w:bookmarkStart w:id="161" w:name="_Toc184310341"/>
      <w:bookmarkEnd w:id="161"/>
      <w:bookmarkStart w:id="162" w:name="_Toc184312129"/>
      <w:bookmarkEnd w:id="162"/>
      <w:bookmarkStart w:id="163" w:name="_Toc184310277"/>
      <w:bookmarkEnd w:id="163"/>
      <w:bookmarkStart w:id="164" w:name="_Toc184313265"/>
      <w:bookmarkEnd w:id="164"/>
      <w:bookmarkStart w:id="165" w:name="_Toc184312070"/>
      <w:bookmarkEnd w:id="165"/>
      <w:bookmarkStart w:id="166" w:name="_Toc184308041"/>
      <w:bookmarkEnd w:id="166"/>
      <w:bookmarkStart w:id="167" w:name="_Toc184310335"/>
      <w:bookmarkEnd w:id="167"/>
      <w:bookmarkStart w:id="168" w:name="_Toc184313259"/>
      <w:bookmarkEnd w:id="168"/>
      <w:bookmarkStart w:id="169" w:name="_Toc184312131"/>
      <w:bookmarkEnd w:id="169"/>
      <w:bookmarkStart w:id="170" w:name="_Toc184314415"/>
      <w:bookmarkEnd w:id="170"/>
      <w:bookmarkStart w:id="171" w:name="_Toc184312074"/>
      <w:bookmarkEnd w:id="171"/>
      <w:bookmarkStart w:id="172" w:name="_Toc184312121"/>
      <w:bookmarkEnd w:id="172"/>
      <w:bookmarkStart w:id="173" w:name="_Toc184314435"/>
      <w:bookmarkEnd w:id="173"/>
      <w:bookmarkStart w:id="174" w:name="_Toc184310291"/>
      <w:bookmarkEnd w:id="174"/>
      <w:bookmarkStart w:id="175" w:name="_Toc184308083"/>
      <w:bookmarkEnd w:id="175"/>
      <w:bookmarkStart w:id="176" w:name="_Toc184310304"/>
      <w:bookmarkEnd w:id="176"/>
      <w:bookmarkStart w:id="177" w:name="_Toc184310333"/>
      <w:bookmarkEnd w:id="177"/>
      <w:bookmarkStart w:id="178" w:name="_Toc184310289"/>
      <w:bookmarkEnd w:id="178"/>
      <w:bookmarkStart w:id="179" w:name="_Toc184310296"/>
      <w:bookmarkEnd w:id="179"/>
      <w:bookmarkStart w:id="180" w:name="_Toc184308067"/>
      <w:bookmarkEnd w:id="180"/>
      <w:bookmarkStart w:id="181" w:name="_Toc184308061"/>
      <w:bookmarkEnd w:id="181"/>
      <w:bookmarkStart w:id="182" w:name="_Toc184314439"/>
      <w:bookmarkEnd w:id="182"/>
      <w:bookmarkStart w:id="183" w:name="_Toc184310331"/>
      <w:bookmarkEnd w:id="183"/>
      <w:bookmarkStart w:id="184" w:name="_Toc184314424"/>
      <w:bookmarkEnd w:id="184"/>
      <w:bookmarkStart w:id="185" w:name="_Toc184310329"/>
      <w:bookmarkEnd w:id="185"/>
      <w:bookmarkStart w:id="186" w:name="_Toc184308055"/>
      <w:bookmarkEnd w:id="186"/>
      <w:bookmarkStart w:id="187" w:name="_Toc184313242"/>
      <w:bookmarkEnd w:id="187"/>
      <w:bookmarkStart w:id="188" w:name="_Toc184314479"/>
      <w:bookmarkEnd w:id="188"/>
      <w:bookmarkStart w:id="189" w:name="_Toc184312096"/>
      <w:bookmarkEnd w:id="189"/>
      <w:bookmarkStart w:id="190" w:name="_Toc184312083"/>
      <w:bookmarkEnd w:id="190"/>
      <w:bookmarkStart w:id="191" w:name="_Toc184312075"/>
      <w:bookmarkEnd w:id="191"/>
      <w:bookmarkStart w:id="192" w:name="_Toc184313294"/>
      <w:bookmarkEnd w:id="192"/>
      <w:bookmarkStart w:id="193" w:name="_Toc184308038"/>
      <w:bookmarkEnd w:id="193"/>
      <w:bookmarkStart w:id="194" w:name="_Toc184313296"/>
      <w:bookmarkEnd w:id="194"/>
      <w:bookmarkStart w:id="195" w:name="_Toc184310316"/>
      <w:bookmarkEnd w:id="195"/>
      <w:bookmarkStart w:id="196" w:name="_Toc184312117"/>
      <w:bookmarkEnd w:id="196"/>
      <w:bookmarkStart w:id="197" w:name="_Toc184310307"/>
      <w:bookmarkEnd w:id="197"/>
      <w:bookmarkStart w:id="198" w:name="_Toc184313288"/>
      <w:bookmarkEnd w:id="198"/>
      <w:bookmarkStart w:id="199" w:name="_Toc184310322"/>
      <w:bookmarkEnd w:id="199"/>
      <w:bookmarkStart w:id="200" w:name="_Toc184312100"/>
      <w:bookmarkEnd w:id="200"/>
      <w:bookmarkStart w:id="201" w:name="_Toc184308051"/>
      <w:bookmarkEnd w:id="201"/>
      <w:bookmarkStart w:id="202" w:name="_Toc184314465"/>
      <w:bookmarkEnd w:id="202"/>
      <w:bookmarkStart w:id="203" w:name="_Toc184313241"/>
      <w:bookmarkEnd w:id="203"/>
      <w:bookmarkStart w:id="204" w:name="_Toc184314430"/>
      <w:bookmarkEnd w:id="204"/>
      <w:bookmarkStart w:id="205" w:name="_Toc184314482"/>
      <w:bookmarkEnd w:id="205"/>
      <w:bookmarkStart w:id="206" w:name="_Toc184313252"/>
      <w:bookmarkEnd w:id="206"/>
      <w:bookmarkStart w:id="207" w:name="_Toc184313272"/>
      <w:bookmarkEnd w:id="207"/>
      <w:bookmarkStart w:id="208" w:name="_Toc184308091"/>
      <w:bookmarkEnd w:id="208"/>
      <w:bookmarkStart w:id="209" w:name="_Toc184312109"/>
      <w:bookmarkEnd w:id="209"/>
      <w:bookmarkStart w:id="210" w:name="_Toc184313262"/>
      <w:bookmarkEnd w:id="210"/>
      <w:bookmarkStart w:id="211" w:name="_Toc184313244"/>
      <w:bookmarkEnd w:id="211"/>
      <w:bookmarkStart w:id="212" w:name="_Toc184308036"/>
      <w:bookmarkEnd w:id="212"/>
      <w:bookmarkStart w:id="213" w:name="_Toc184314478"/>
      <w:bookmarkEnd w:id="213"/>
      <w:bookmarkStart w:id="214" w:name="_Toc184310275"/>
      <w:bookmarkEnd w:id="214"/>
      <w:bookmarkStart w:id="215" w:name="_Toc184312076"/>
      <w:bookmarkEnd w:id="215"/>
      <w:bookmarkStart w:id="216" w:name="_Toc184314410"/>
      <w:bookmarkEnd w:id="216"/>
      <w:bookmarkStart w:id="217" w:name="_Toc184313261"/>
      <w:bookmarkEnd w:id="217"/>
      <w:bookmarkStart w:id="218" w:name="_Toc184314420"/>
      <w:bookmarkEnd w:id="218"/>
      <w:bookmarkStart w:id="219" w:name="_Toc184312133"/>
      <w:bookmarkEnd w:id="219"/>
      <w:bookmarkStart w:id="220" w:name="_Toc184312139"/>
      <w:bookmarkEnd w:id="220"/>
      <w:bookmarkStart w:id="221" w:name="_Toc184312078"/>
      <w:bookmarkEnd w:id="221"/>
      <w:bookmarkStart w:id="222" w:name="_Toc184312099"/>
      <w:bookmarkEnd w:id="222"/>
      <w:bookmarkStart w:id="223" w:name="_Toc184308098"/>
      <w:bookmarkEnd w:id="223"/>
      <w:bookmarkStart w:id="224" w:name="_Toc184310272"/>
      <w:bookmarkEnd w:id="224"/>
      <w:bookmarkStart w:id="225" w:name="_Toc184310309"/>
      <w:bookmarkEnd w:id="225"/>
      <w:bookmarkStart w:id="226" w:name="_Toc184310300"/>
      <w:bookmarkEnd w:id="226"/>
      <w:bookmarkStart w:id="227" w:name="_Toc184308097"/>
      <w:bookmarkEnd w:id="227"/>
      <w:bookmarkStart w:id="228" w:name="_Toc184312138"/>
      <w:bookmarkEnd w:id="228"/>
      <w:bookmarkStart w:id="229" w:name="_Toc184312132"/>
      <w:bookmarkEnd w:id="229"/>
      <w:bookmarkStart w:id="230" w:name="_Toc184312098"/>
      <w:bookmarkEnd w:id="230"/>
      <w:bookmarkStart w:id="231" w:name="_Toc184308108"/>
      <w:bookmarkEnd w:id="231"/>
      <w:bookmarkStart w:id="232" w:name="_Toc184313291"/>
      <w:bookmarkEnd w:id="232"/>
      <w:bookmarkStart w:id="233" w:name="_Toc184314444"/>
      <w:bookmarkEnd w:id="233"/>
      <w:bookmarkStart w:id="234" w:name="_Toc184308103"/>
      <w:bookmarkEnd w:id="234"/>
      <w:bookmarkStart w:id="235" w:name="_Toc184308084"/>
      <w:bookmarkEnd w:id="235"/>
      <w:bookmarkStart w:id="236" w:name="_Toc184312086"/>
      <w:bookmarkEnd w:id="236"/>
      <w:bookmarkStart w:id="237" w:name="_Toc184312093"/>
      <w:bookmarkEnd w:id="237"/>
      <w:bookmarkStart w:id="238" w:name="_Toc184310323"/>
      <w:bookmarkEnd w:id="238"/>
      <w:bookmarkStart w:id="239" w:name="_Toc184313290"/>
      <w:bookmarkEnd w:id="239"/>
      <w:bookmarkStart w:id="240" w:name="_Toc184308101"/>
      <w:bookmarkEnd w:id="240"/>
      <w:bookmarkStart w:id="241" w:name="_Toc184313253"/>
      <w:bookmarkEnd w:id="241"/>
      <w:bookmarkStart w:id="242" w:name="_Toc184308046"/>
      <w:bookmarkEnd w:id="242"/>
      <w:bookmarkStart w:id="243" w:name="_Toc184308087"/>
      <w:bookmarkEnd w:id="243"/>
      <w:bookmarkStart w:id="244" w:name="_Toc184314451"/>
      <w:bookmarkEnd w:id="244"/>
      <w:bookmarkStart w:id="245" w:name="_Toc184308086"/>
      <w:bookmarkEnd w:id="245"/>
      <w:bookmarkStart w:id="246" w:name="_Toc184314461"/>
      <w:bookmarkEnd w:id="246"/>
      <w:bookmarkStart w:id="247" w:name="_Toc184314434"/>
      <w:bookmarkEnd w:id="247"/>
      <w:bookmarkStart w:id="248" w:name="_Toc184314474"/>
      <w:bookmarkEnd w:id="248"/>
      <w:bookmarkStart w:id="249" w:name="_Toc184312088"/>
      <w:bookmarkEnd w:id="249"/>
      <w:bookmarkStart w:id="250" w:name="_Toc184314413"/>
      <w:bookmarkEnd w:id="250"/>
      <w:bookmarkStart w:id="251" w:name="_Toc184313293"/>
      <w:bookmarkEnd w:id="251"/>
      <w:bookmarkStart w:id="252" w:name="_Toc184312120"/>
      <w:bookmarkEnd w:id="252"/>
      <w:bookmarkStart w:id="253" w:name="_Toc184308077"/>
      <w:bookmarkEnd w:id="253"/>
      <w:bookmarkStart w:id="254" w:name="_Toc184314412"/>
      <w:bookmarkEnd w:id="254"/>
      <w:bookmarkStart w:id="255" w:name="_Toc184310294"/>
      <w:bookmarkEnd w:id="255"/>
      <w:bookmarkStart w:id="256" w:name="_Toc184313250"/>
      <w:bookmarkEnd w:id="256"/>
      <w:bookmarkStart w:id="257" w:name="_Toc184313277"/>
      <w:bookmarkEnd w:id="257"/>
      <w:bookmarkStart w:id="258" w:name="_Toc184312091"/>
      <w:bookmarkEnd w:id="258"/>
      <w:bookmarkStart w:id="259" w:name="_Toc184313245"/>
      <w:bookmarkEnd w:id="259"/>
      <w:bookmarkStart w:id="260" w:name="_Toc184313282"/>
      <w:bookmarkEnd w:id="260"/>
      <w:bookmarkStart w:id="261" w:name="_Toc184310330"/>
      <w:bookmarkEnd w:id="261"/>
      <w:bookmarkStart w:id="262" w:name="_Toc184310301"/>
      <w:bookmarkEnd w:id="262"/>
      <w:bookmarkStart w:id="263" w:name="_Toc184312073"/>
      <w:bookmarkEnd w:id="263"/>
      <w:bookmarkStart w:id="264" w:name="_Toc184312101"/>
      <w:bookmarkEnd w:id="264"/>
      <w:bookmarkStart w:id="265" w:name="_Toc184313255"/>
      <w:bookmarkEnd w:id="265"/>
      <w:bookmarkStart w:id="266" w:name="_Toc184313307"/>
      <w:bookmarkEnd w:id="266"/>
      <w:bookmarkStart w:id="267" w:name="_Toc184310342"/>
      <w:bookmarkEnd w:id="267"/>
      <w:bookmarkStart w:id="268" w:name="_Toc184312084"/>
      <w:bookmarkEnd w:id="268"/>
      <w:bookmarkStart w:id="269" w:name="_Toc184312125"/>
      <w:bookmarkEnd w:id="269"/>
      <w:bookmarkStart w:id="270" w:name="_Toc184310308"/>
      <w:bookmarkEnd w:id="270"/>
      <w:bookmarkStart w:id="271" w:name="_Toc184313286"/>
      <w:bookmarkEnd w:id="271"/>
      <w:bookmarkStart w:id="272" w:name="_Toc184314422"/>
      <w:bookmarkEnd w:id="272"/>
      <w:bookmarkStart w:id="273" w:name="_Toc184312095"/>
      <w:bookmarkEnd w:id="273"/>
      <w:bookmarkStart w:id="274" w:name="_Toc184314445"/>
      <w:bookmarkEnd w:id="274"/>
      <w:bookmarkStart w:id="275" w:name="_Toc184314477"/>
      <w:bookmarkEnd w:id="275"/>
      <w:bookmarkStart w:id="276" w:name="_Toc184310314"/>
      <w:bookmarkEnd w:id="276"/>
      <w:bookmarkStart w:id="277" w:name="_Toc184314448"/>
      <w:bookmarkEnd w:id="277"/>
      <w:bookmarkStart w:id="278" w:name="_Toc184312130"/>
      <w:bookmarkEnd w:id="278"/>
      <w:bookmarkStart w:id="279" w:name="_Toc184310284"/>
      <w:bookmarkEnd w:id="279"/>
      <w:bookmarkStart w:id="280" w:name="_Toc184314417"/>
      <w:bookmarkEnd w:id="280"/>
      <w:bookmarkStart w:id="281" w:name="_Toc184313280"/>
      <w:bookmarkEnd w:id="281"/>
      <w:bookmarkStart w:id="282" w:name="_Toc184313257"/>
      <w:bookmarkEnd w:id="282"/>
      <w:bookmarkStart w:id="283" w:name="_Toc184314442"/>
      <w:bookmarkEnd w:id="283"/>
      <w:bookmarkStart w:id="284" w:name="_Toc184313251"/>
      <w:bookmarkEnd w:id="284"/>
      <w:bookmarkStart w:id="285" w:name="_Toc184310324"/>
      <w:bookmarkEnd w:id="285"/>
      <w:bookmarkStart w:id="286" w:name="_Toc184308089"/>
      <w:bookmarkEnd w:id="286"/>
      <w:bookmarkStart w:id="287" w:name="_Toc184314432"/>
      <w:bookmarkEnd w:id="287"/>
      <w:bookmarkStart w:id="288" w:name="_Toc184308093"/>
      <w:bookmarkEnd w:id="288"/>
      <w:bookmarkStart w:id="289" w:name="_Toc184308062"/>
      <w:bookmarkEnd w:id="289"/>
      <w:bookmarkStart w:id="290" w:name="_Toc184313249"/>
      <w:bookmarkEnd w:id="290"/>
      <w:bookmarkStart w:id="291" w:name="_Toc184308107"/>
      <w:bookmarkEnd w:id="291"/>
      <w:bookmarkStart w:id="292" w:name="_Toc184314454"/>
      <w:bookmarkEnd w:id="292"/>
      <w:bookmarkStart w:id="293" w:name="_Toc184314426"/>
      <w:bookmarkEnd w:id="293"/>
      <w:bookmarkStart w:id="294" w:name="_Toc184310311"/>
      <w:bookmarkEnd w:id="294"/>
      <w:bookmarkStart w:id="295" w:name="_Toc184313310"/>
      <w:bookmarkEnd w:id="295"/>
      <w:bookmarkStart w:id="296" w:name="_Toc184313271"/>
      <w:bookmarkEnd w:id="296"/>
      <w:bookmarkStart w:id="297" w:name="_Toc184310328"/>
      <w:bookmarkEnd w:id="297"/>
      <w:bookmarkStart w:id="298" w:name="_Toc184310325"/>
      <w:bookmarkEnd w:id="298"/>
      <w:bookmarkStart w:id="299" w:name="_Toc184314447"/>
      <w:bookmarkEnd w:id="299"/>
      <w:bookmarkStart w:id="300" w:name="_Toc184314457"/>
      <w:bookmarkEnd w:id="300"/>
      <w:bookmarkStart w:id="301" w:name="_Toc184313239"/>
      <w:bookmarkEnd w:id="301"/>
      <w:bookmarkStart w:id="302" w:name="_Toc184312136"/>
      <w:bookmarkEnd w:id="302"/>
      <w:bookmarkStart w:id="303" w:name="_Toc184308050"/>
      <w:bookmarkEnd w:id="303"/>
      <w:bookmarkStart w:id="304" w:name="_Toc184314428"/>
      <w:bookmarkEnd w:id="304"/>
      <w:bookmarkStart w:id="305" w:name="_Toc184308056"/>
      <w:bookmarkEnd w:id="305"/>
      <w:bookmarkStart w:id="306" w:name="_Toc184310288"/>
      <w:bookmarkEnd w:id="306"/>
      <w:bookmarkStart w:id="307" w:name="_Toc184310310"/>
      <w:bookmarkEnd w:id="307"/>
      <w:bookmarkStart w:id="308" w:name="_Toc184308065"/>
      <w:bookmarkEnd w:id="308"/>
      <w:bookmarkStart w:id="309" w:name="_Toc184310313"/>
      <w:bookmarkEnd w:id="309"/>
      <w:bookmarkStart w:id="310" w:name="_Toc184314481"/>
      <w:bookmarkEnd w:id="310"/>
      <w:bookmarkStart w:id="311" w:name="_Toc184312128"/>
      <w:bookmarkEnd w:id="311"/>
      <w:bookmarkStart w:id="312" w:name="_Toc184313285"/>
      <w:bookmarkEnd w:id="312"/>
      <w:bookmarkStart w:id="313" w:name="_Toc184314471"/>
      <w:bookmarkEnd w:id="313"/>
      <w:bookmarkStart w:id="314" w:name="_Toc184314438"/>
      <w:bookmarkEnd w:id="314"/>
      <w:bookmarkStart w:id="315" w:name="_Toc184308078"/>
      <w:bookmarkEnd w:id="315"/>
      <w:bookmarkStart w:id="316" w:name="_Toc184313289"/>
      <w:bookmarkEnd w:id="316"/>
      <w:bookmarkStart w:id="317" w:name="_Toc184310274"/>
      <w:bookmarkEnd w:id="317"/>
      <w:bookmarkStart w:id="318" w:name="_Toc184313292"/>
      <w:bookmarkEnd w:id="318"/>
      <w:bookmarkStart w:id="319" w:name="_Toc184313256"/>
      <w:bookmarkEnd w:id="319"/>
      <w:bookmarkStart w:id="320" w:name="_Toc184313275"/>
      <w:bookmarkEnd w:id="320"/>
      <w:bookmarkStart w:id="321" w:name="_Toc184313264"/>
      <w:bookmarkEnd w:id="321"/>
      <w:bookmarkStart w:id="322" w:name="_Toc184313287"/>
      <w:bookmarkEnd w:id="322"/>
      <w:bookmarkStart w:id="323" w:name="_Toc184308043"/>
      <w:bookmarkEnd w:id="323"/>
      <w:bookmarkStart w:id="324" w:name="_Toc184312137"/>
      <w:bookmarkEnd w:id="324"/>
      <w:bookmarkStart w:id="325" w:name="_Toc184312122"/>
      <w:bookmarkEnd w:id="325"/>
      <w:bookmarkStart w:id="326" w:name="_Toc184308096"/>
      <w:bookmarkEnd w:id="326"/>
      <w:bookmarkStart w:id="327" w:name="_Toc184312067"/>
      <w:bookmarkEnd w:id="327"/>
      <w:bookmarkStart w:id="328" w:name="_Toc184313247"/>
      <w:bookmarkEnd w:id="328"/>
      <w:bookmarkStart w:id="329" w:name="_Toc184308088"/>
      <w:bookmarkEnd w:id="329"/>
      <w:bookmarkStart w:id="330" w:name="_Toc184310317"/>
      <w:bookmarkEnd w:id="330"/>
      <w:bookmarkStart w:id="331" w:name="_Toc184308068"/>
      <w:bookmarkEnd w:id="331"/>
      <w:bookmarkStart w:id="332" w:name="_Toc184310326"/>
      <w:bookmarkEnd w:id="332"/>
      <w:bookmarkStart w:id="333" w:name="_Toc184314455"/>
      <w:bookmarkEnd w:id="333"/>
      <w:bookmarkStart w:id="334" w:name="_Toc184313295"/>
      <w:bookmarkEnd w:id="334"/>
      <w:bookmarkStart w:id="335" w:name="_Toc184308072"/>
      <w:bookmarkEnd w:id="335"/>
      <w:bookmarkStart w:id="336" w:name="_Toc184314419"/>
      <w:bookmarkEnd w:id="336"/>
      <w:bookmarkStart w:id="337" w:name="_Toc184314459"/>
      <w:bookmarkEnd w:id="337"/>
      <w:bookmarkStart w:id="338" w:name="_Toc184314411"/>
      <w:bookmarkEnd w:id="338"/>
      <w:bookmarkStart w:id="339" w:name="_Toc184310327"/>
      <w:bookmarkEnd w:id="339"/>
      <w:bookmarkStart w:id="340" w:name="_Toc184312105"/>
      <w:bookmarkEnd w:id="340"/>
      <w:bookmarkStart w:id="341" w:name="_Toc184310337"/>
      <w:bookmarkEnd w:id="341"/>
      <w:bookmarkStart w:id="342" w:name="_Toc184308069"/>
      <w:bookmarkEnd w:id="342"/>
      <w:bookmarkStart w:id="343" w:name="_Toc184314473"/>
      <w:bookmarkEnd w:id="343"/>
      <w:bookmarkStart w:id="344" w:name="_Toc184308082"/>
      <w:bookmarkEnd w:id="344"/>
      <w:bookmarkStart w:id="345" w:name="_Toc184310319"/>
      <w:bookmarkEnd w:id="345"/>
      <w:bookmarkStart w:id="346" w:name="_Toc184310282"/>
      <w:bookmarkEnd w:id="346"/>
      <w:bookmarkStart w:id="347" w:name="_Toc184313305"/>
      <w:bookmarkEnd w:id="347"/>
      <w:bookmarkStart w:id="348" w:name="_Toc184313308"/>
      <w:bookmarkEnd w:id="348"/>
      <w:bookmarkStart w:id="349" w:name="_Toc184312085"/>
      <w:bookmarkEnd w:id="349"/>
      <w:bookmarkStart w:id="350" w:name="_Toc184308048"/>
      <w:bookmarkEnd w:id="350"/>
      <w:bookmarkStart w:id="351" w:name="_Toc184314475"/>
      <w:bookmarkEnd w:id="351"/>
      <w:bookmarkStart w:id="352" w:name="_Toc184310281"/>
      <w:bookmarkEnd w:id="352"/>
      <w:bookmarkStart w:id="353" w:name="_Toc184314467"/>
      <w:bookmarkEnd w:id="353"/>
      <w:bookmarkStart w:id="354" w:name="_Toc184313281"/>
      <w:bookmarkEnd w:id="354"/>
      <w:bookmarkStart w:id="355" w:name="_Toc184312080"/>
      <w:bookmarkEnd w:id="355"/>
      <w:bookmarkStart w:id="356" w:name="_Toc184308049"/>
      <w:bookmarkEnd w:id="356"/>
      <w:bookmarkStart w:id="357" w:name="_Toc184308063"/>
      <w:bookmarkEnd w:id="357"/>
      <w:bookmarkStart w:id="358" w:name="_Toc184313300"/>
      <w:bookmarkEnd w:id="358"/>
      <w:bookmarkStart w:id="359" w:name="_Toc184310292"/>
      <w:bookmarkEnd w:id="359"/>
      <w:bookmarkStart w:id="360" w:name="_Toc184310332"/>
      <w:bookmarkEnd w:id="360"/>
      <w:bookmarkStart w:id="361" w:name="_Toc184313298"/>
      <w:bookmarkEnd w:id="361"/>
      <w:bookmarkStart w:id="362" w:name="_Toc184308057"/>
      <w:bookmarkEnd w:id="362"/>
      <w:bookmarkStart w:id="363" w:name="_Toc184308095"/>
      <w:bookmarkEnd w:id="363"/>
      <w:bookmarkStart w:id="364" w:name="_Toc184308054"/>
      <w:bookmarkEnd w:id="364"/>
      <w:bookmarkStart w:id="365" w:name="_Toc184313267"/>
      <w:bookmarkEnd w:id="365"/>
      <w:bookmarkStart w:id="366" w:name="_Toc184310312"/>
      <w:bookmarkEnd w:id="366"/>
      <w:bookmarkStart w:id="367" w:name="_Toc184310305"/>
      <w:bookmarkEnd w:id="367"/>
      <w:bookmarkStart w:id="368" w:name="_Toc184314431"/>
      <w:bookmarkEnd w:id="368"/>
      <w:bookmarkStart w:id="369" w:name="_Toc184312114"/>
      <w:bookmarkEnd w:id="369"/>
      <w:bookmarkStart w:id="370" w:name="_Toc184310286"/>
      <w:bookmarkEnd w:id="370"/>
      <w:bookmarkStart w:id="371" w:name="_Toc184313266"/>
      <w:bookmarkEnd w:id="371"/>
      <w:bookmarkStart w:id="372" w:name="_Toc184314463"/>
      <w:bookmarkEnd w:id="372"/>
      <w:bookmarkStart w:id="373" w:name="_Toc184312126"/>
      <w:bookmarkEnd w:id="373"/>
      <w:bookmarkStart w:id="374" w:name="_Toc184308076"/>
      <w:bookmarkEnd w:id="374"/>
      <w:bookmarkStart w:id="375" w:name="_Toc184313276"/>
      <w:bookmarkEnd w:id="375"/>
      <w:bookmarkStart w:id="376" w:name="_Toc184308047"/>
      <w:bookmarkEnd w:id="376"/>
      <w:bookmarkStart w:id="377" w:name="_Toc184308074"/>
      <w:bookmarkEnd w:id="377"/>
      <w:bookmarkStart w:id="378" w:name="_Toc184308092"/>
      <w:bookmarkEnd w:id="378"/>
      <w:bookmarkStart w:id="379" w:name="_Toc184314462"/>
      <w:bookmarkEnd w:id="379"/>
      <w:bookmarkStart w:id="380" w:name="_Toc184310318"/>
      <w:bookmarkEnd w:id="380"/>
      <w:bookmarkStart w:id="381" w:name="_Toc184308053"/>
      <w:bookmarkEnd w:id="381"/>
      <w:bookmarkStart w:id="382" w:name="_Toc184312082"/>
      <w:bookmarkEnd w:id="382"/>
      <w:bookmarkStart w:id="383" w:name="_Toc184313297"/>
      <w:bookmarkEnd w:id="383"/>
      <w:bookmarkStart w:id="384" w:name="_Toc184313284"/>
      <w:bookmarkEnd w:id="384"/>
      <w:bookmarkStart w:id="385" w:name="_Toc184314450"/>
      <w:bookmarkEnd w:id="385"/>
      <w:bookmarkStart w:id="386" w:name="_Toc184312135"/>
      <w:bookmarkEnd w:id="386"/>
      <w:bookmarkStart w:id="387" w:name="_Toc184313302"/>
      <w:bookmarkEnd w:id="387"/>
      <w:bookmarkStart w:id="388" w:name="_Toc184312127"/>
      <w:bookmarkEnd w:id="388"/>
      <w:bookmarkStart w:id="389" w:name="_Toc184312102"/>
      <w:bookmarkEnd w:id="389"/>
      <w:bookmarkStart w:id="390" w:name="_Toc184310315"/>
      <w:bookmarkEnd w:id="390"/>
      <w:bookmarkStart w:id="391" w:name="_Toc184314470"/>
      <w:bookmarkEnd w:id="391"/>
      <w:bookmarkStart w:id="392" w:name="_Toc184312104"/>
      <w:bookmarkEnd w:id="392"/>
      <w:bookmarkStart w:id="393" w:name="_Toc184314468"/>
      <w:bookmarkEnd w:id="393"/>
      <w:bookmarkStart w:id="394" w:name="_Toc184310344"/>
      <w:bookmarkEnd w:id="394"/>
      <w:bookmarkStart w:id="395" w:name="_Toc184308094"/>
      <w:bookmarkEnd w:id="395"/>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24"/>
        </w:rPr>
      </w:pPr>
      <w:r>
        <w:rPr>
          <w:rFonts w:hint="eastAsia" w:ascii="宋体" w:hAnsi="宋体" w:cs="宋体"/>
          <w:b/>
          <w:color w:val="auto"/>
          <w:sz w:val="32"/>
          <w:szCs w:val="20"/>
        </w:rPr>
        <w:t>评标办法前附表</w:t>
      </w:r>
      <w:r>
        <w:rPr>
          <w:rFonts w:hint="eastAsia" w:ascii="宋体" w:hAnsi="宋体" w:cs="宋体"/>
          <w:color w:val="auto"/>
          <w:sz w:val="24"/>
        </w:rPr>
        <w:t> </w:t>
      </w:r>
    </w:p>
    <w:tbl>
      <w:tblPr>
        <w:tblStyle w:val="63"/>
        <w:tblW w:w="8602"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403"/>
        <w:gridCol w:w="87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403"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870"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权重（分值）</w:t>
            </w:r>
          </w:p>
        </w:tc>
        <w:tc>
          <w:tcPr>
            <w:tcW w:w="1635" w:type="dxa"/>
          </w:tcPr>
          <w:p>
            <w:pPr>
              <w:snapToGrid w:val="0"/>
              <w:spacing w:line="360" w:lineRule="auto"/>
              <w:jc w:val="center"/>
              <w:rPr>
                <w:rFonts w:hint="eastAsia" w:ascii="宋体" w:hAnsi="宋体" w:eastAsia="宋体" w:cs="宋体"/>
                <w:color w:val="0000FF"/>
                <w:sz w:val="24"/>
                <w:szCs w:val="24"/>
              </w:rPr>
            </w:pPr>
            <w:r>
              <w:rPr>
                <w:rFonts w:hint="eastAsia" w:ascii="宋体" w:hAnsi="宋体" w:eastAsia="宋体" w:cs="宋体"/>
                <w:bCs/>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5403" w:type="dxa"/>
          </w:tcPr>
          <w:p>
            <w:pPr>
              <w:snapToGrid w:val="0"/>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投标人</w:t>
            </w:r>
            <w:r>
              <w:rPr>
                <w:rFonts w:hint="eastAsia" w:ascii="宋体" w:hAnsi="宋体" w:cs="宋体"/>
                <w:color w:val="000000" w:themeColor="text1"/>
                <w:sz w:val="24"/>
                <w14:textFill>
                  <w14:solidFill>
                    <w14:schemeClr w14:val="tx1"/>
                  </w14:solidFill>
                </w14:textFill>
              </w:rPr>
              <w:t>截止投标时间近三年</w:t>
            </w:r>
            <w:r>
              <w:rPr>
                <w:rFonts w:hint="eastAsia" w:ascii="宋体" w:hAnsi="宋体" w:eastAsia="宋体" w:cs="宋体"/>
                <w:sz w:val="24"/>
                <w:szCs w:val="24"/>
                <w:highlight w:val="none"/>
              </w:rPr>
              <w:t>以来完成的同类案例。每个案例需提供</w:t>
            </w:r>
            <w:r>
              <w:rPr>
                <w:rFonts w:hint="eastAsia" w:ascii="宋体" w:hAnsi="宋体" w:eastAsia="宋体" w:cs="宋体"/>
                <w:b/>
                <w:bCs/>
                <w:sz w:val="24"/>
                <w:szCs w:val="24"/>
                <w:highlight w:val="none"/>
              </w:rPr>
              <w:t>合同</w:t>
            </w:r>
            <w:r>
              <w:rPr>
                <w:rFonts w:hint="eastAsia" w:ascii="宋体" w:hAnsi="宋体" w:cs="宋体"/>
                <w:b/>
                <w:bCs/>
                <w:sz w:val="24"/>
                <w:szCs w:val="24"/>
                <w:highlight w:val="none"/>
                <w:lang w:val="en-US" w:eastAsia="zh-CN"/>
              </w:rPr>
              <w:t>和</w:t>
            </w:r>
            <w:r>
              <w:rPr>
                <w:rFonts w:hint="eastAsia" w:ascii="宋体" w:hAnsi="宋体" w:eastAsia="宋体" w:cs="宋体"/>
                <w:b/>
                <w:bCs/>
                <w:sz w:val="24"/>
                <w:szCs w:val="24"/>
                <w:highlight w:val="none"/>
              </w:rPr>
              <w:t>验收报告</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以签订合同时间为准，验收报告须由用户单位盖章</w:t>
            </w:r>
            <w:r>
              <w:rPr>
                <w:rFonts w:hint="eastAsia" w:ascii="宋体" w:hAnsi="宋体" w:cs="宋体"/>
                <w:b/>
                <w:bCs/>
                <w:sz w:val="24"/>
                <w:szCs w:val="24"/>
                <w:highlight w:val="none"/>
                <w:lang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w:t>
            </w:r>
            <w:r>
              <w:rPr>
                <w:rFonts w:hint="eastAsia" w:ascii="宋体" w:hAnsi="宋体" w:eastAsia="宋体" w:cs="宋体"/>
                <w:sz w:val="24"/>
                <w:szCs w:val="24"/>
                <w:highlight w:val="none"/>
                <w:lang w:val="en-US" w:eastAsia="zh-CN"/>
              </w:rPr>
              <w:t>案例</w:t>
            </w:r>
            <w:r>
              <w:rPr>
                <w:rFonts w:hint="eastAsia" w:ascii="宋体" w:hAnsi="宋体" w:eastAsia="宋体" w:cs="宋体"/>
                <w:sz w:val="24"/>
                <w:szCs w:val="24"/>
                <w:highlight w:val="none"/>
              </w:rPr>
              <w:t>得1分，最高得</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否则不得分。</w:t>
            </w:r>
            <w:r>
              <w:rPr>
                <w:rFonts w:hint="eastAsia" w:ascii="宋体" w:hAnsi="宋体" w:eastAsia="宋体" w:cs="宋体"/>
                <w:b w:val="0"/>
                <w:bCs/>
                <w:sz w:val="24"/>
                <w:szCs w:val="24"/>
                <w:highlight w:val="none"/>
              </w:rPr>
              <w:t>（同类案例是指与采购标的同品类的产品案例）</w:t>
            </w:r>
          </w:p>
        </w:tc>
        <w:tc>
          <w:tcPr>
            <w:tcW w:w="870" w:type="dxa"/>
            <w:vAlign w:val="center"/>
          </w:tcPr>
          <w:p>
            <w:pPr>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635" w:type="dxa"/>
            <w:vAlign w:val="center"/>
          </w:tcPr>
          <w:p>
            <w:pPr>
              <w:tabs>
                <w:tab w:val="left" w:pos="483"/>
              </w:tabs>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403" w:type="dxa"/>
          </w:tcPr>
          <w:p>
            <w:pPr>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rPr>
              <w:t>投标人提供高密AP与西湖区教育局现有无线网络平台实现无缝对接的对接方案。</w:t>
            </w:r>
            <w:r>
              <w:rPr>
                <w:rFonts w:hint="eastAsia" w:ascii="宋体" w:hAnsi="宋体" w:eastAsia="宋体" w:cs="仿宋"/>
                <w:sz w:val="24"/>
                <w:highlight w:val="none"/>
              </w:rPr>
              <w:t>方案完整、合理，有针对性视为符合要求；</w:t>
            </w:r>
            <w:r>
              <w:rPr>
                <w:rFonts w:hint="eastAsia" w:ascii="宋体" w:hAnsi="宋体" w:cs="宋体"/>
                <w:sz w:val="24"/>
                <w:szCs w:val="24"/>
                <w:highlight w:val="none"/>
                <w:lang w:val="en-US" w:eastAsia="zh-CN"/>
              </w:rPr>
              <w:t>完全</w:t>
            </w:r>
            <w:r>
              <w:rPr>
                <w:rFonts w:hint="eastAsia" w:ascii="宋体" w:hAnsi="宋体" w:cs="宋体"/>
                <w:sz w:val="24"/>
                <w:szCs w:val="24"/>
                <w:highlight w:val="none"/>
                <w:lang w:eastAsia="zh-CN"/>
              </w:rPr>
              <w:t>符合得</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分，</w:t>
            </w:r>
            <w:r>
              <w:rPr>
                <w:rFonts w:hint="eastAsia" w:ascii="宋体" w:hAnsi="宋体" w:cs="宋体"/>
                <w:sz w:val="24"/>
                <w:szCs w:val="24"/>
                <w:highlight w:val="none"/>
                <w:lang w:val="en-US" w:eastAsia="zh-CN"/>
              </w:rPr>
              <w:t>基本符合得3分，</w:t>
            </w:r>
            <w:r>
              <w:rPr>
                <w:rFonts w:hint="eastAsia" w:ascii="宋体" w:hAnsi="宋体" w:cs="宋体"/>
                <w:sz w:val="24"/>
                <w:szCs w:val="24"/>
                <w:highlight w:val="none"/>
                <w:lang w:eastAsia="zh-CN"/>
              </w:rPr>
              <w:t>部分符合得</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分，不符合不得分。</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63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94" w:type="dxa"/>
            <w:vMerge w:val="restart"/>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5403" w:type="dxa"/>
          </w:tcPr>
          <w:p>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szCs w:val="24"/>
                <w:highlight w:val="none"/>
              </w:rPr>
              <w:t>投标人</w:t>
            </w:r>
            <w:r>
              <w:rPr>
                <w:rFonts w:hint="eastAsia" w:ascii="宋体" w:hAnsi="宋体" w:cs="宋体"/>
                <w:sz w:val="24"/>
                <w:szCs w:val="24"/>
                <w:highlight w:val="none"/>
                <w:lang w:val="en-US" w:eastAsia="zh-CN"/>
              </w:rPr>
              <w:t>是否提供防火墙</w:t>
            </w:r>
            <w:r>
              <w:rPr>
                <w:rFonts w:hint="eastAsia" w:ascii="宋体" w:hAnsi="宋体" w:cs="宋体"/>
                <w:sz w:val="24"/>
                <w:szCs w:val="24"/>
                <w:highlight w:val="none"/>
              </w:rPr>
              <w:t>与学校现有终端管理系统的联动</w:t>
            </w:r>
            <w:r>
              <w:rPr>
                <w:rFonts w:hint="eastAsia" w:ascii="宋体" w:hAnsi="宋体" w:cs="宋体"/>
                <w:sz w:val="24"/>
                <w:szCs w:val="24"/>
                <w:highlight w:val="none"/>
                <w:lang w:eastAsia="zh-CN"/>
              </w:rPr>
              <w:t>：支持与学校现有桌面杀毒或终端管理软件（天擎终端安全管理系统V10.0）联动，实现基于终端健康状态的访问控制；并支持阻断“高风险”终端网络活动的同时，提示被阻断原因及重定向自定义网址。</w:t>
            </w:r>
            <w:r>
              <w:rPr>
                <w:rFonts w:hint="eastAsia" w:ascii="宋体" w:hAnsi="宋体" w:cs="宋体"/>
                <w:b/>
                <w:bCs/>
                <w:sz w:val="24"/>
                <w:szCs w:val="24"/>
                <w:highlight w:val="none"/>
                <w:lang w:eastAsia="zh-CN"/>
              </w:rPr>
              <w:t>提供能够体现上述功能及配置选项的截图并出具联动证明函，</w:t>
            </w:r>
            <w:r>
              <w:rPr>
                <w:rFonts w:hint="eastAsia" w:ascii="宋体" w:hAnsi="宋体" w:cs="宋体"/>
                <w:b/>
                <w:bCs/>
                <w:sz w:val="24"/>
                <w:szCs w:val="24"/>
                <w:highlight w:val="none"/>
                <w:lang w:val="en-US" w:eastAsia="zh-CN"/>
              </w:rPr>
              <w:t>满足</w:t>
            </w:r>
            <w:r>
              <w:rPr>
                <w:rFonts w:hint="eastAsia" w:ascii="宋体" w:hAnsi="宋体" w:cs="宋体"/>
                <w:b/>
                <w:bCs/>
                <w:sz w:val="24"/>
                <w:szCs w:val="24"/>
                <w:highlight w:val="none"/>
                <w:lang w:eastAsia="zh-CN"/>
              </w:rPr>
              <w:t>得</w:t>
            </w:r>
            <w:r>
              <w:rPr>
                <w:rFonts w:hint="default" w:ascii="宋体" w:hAnsi="宋体" w:cs="宋体"/>
                <w:b/>
                <w:bCs/>
                <w:sz w:val="24"/>
                <w:szCs w:val="24"/>
                <w:highlight w:val="none"/>
                <w:lang w:val="en-US" w:eastAsia="zh-CN"/>
              </w:rPr>
              <w:t>2</w:t>
            </w:r>
            <w:r>
              <w:rPr>
                <w:rFonts w:hint="eastAsia" w:ascii="宋体" w:hAnsi="宋体" w:cs="宋体"/>
                <w:b/>
                <w:bCs/>
                <w:sz w:val="24"/>
                <w:szCs w:val="24"/>
                <w:highlight w:val="none"/>
                <w:lang w:val="en-US" w:eastAsia="zh-CN"/>
              </w:rPr>
              <w:t>分，否则不得分。</w:t>
            </w:r>
          </w:p>
        </w:tc>
        <w:tc>
          <w:tcPr>
            <w:tcW w:w="870" w:type="dxa"/>
            <w:vMerge w:val="restart"/>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635" w:type="dxa"/>
            <w:vMerge w:val="restart"/>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联动功能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4" w:type="dxa"/>
            <w:vMerge w:val="continue"/>
            <w:vAlign w:val="center"/>
          </w:tcPr>
          <w:p>
            <w:pPr>
              <w:spacing w:line="360" w:lineRule="auto"/>
              <w:jc w:val="left"/>
            </w:pPr>
          </w:p>
        </w:tc>
        <w:tc>
          <w:tcPr>
            <w:tcW w:w="5403" w:type="dxa"/>
          </w:tcPr>
          <w:p>
            <w:pPr>
              <w:spacing w:line="360" w:lineRule="auto"/>
              <w:rPr>
                <w:rFonts w:hint="eastAsia" w:ascii="宋体" w:hAnsi="宋体" w:cs="宋体"/>
                <w:sz w:val="24"/>
                <w:szCs w:val="24"/>
              </w:rPr>
            </w:pPr>
            <w:r>
              <w:rPr>
                <w:rFonts w:hint="eastAsia" w:ascii="宋体" w:hAnsi="宋体" w:cs="宋体"/>
                <w:sz w:val="24"/>
                <w:szCs w:val="24"/>
              </w:rPr>
              <w:t>投标人应标的</w:t>
            </w:r>
            <w:r>
              <w:rPr>
                <w:rFonts w:hint="eastAsia" w:ascii="宋体" w:hAnsi="宋体" w:cs="宋体"/>
                <w:b/>
                <w:bCs/>
                <w:sz w:val="24"/>
                <w:szCs w:val="24"/>
              </w:rPr>
              <w:t>上网行为管</w:t>
            </w:r>
            <w:r>
              <w:rPr>
                <w:rFonts w:hint="eastAsia" w:ascii="宋体" w:hAnsi="宋体" w:cs="宋体"/>
                <w:b/>
                <w:bCs/>
                <w:sz w:val="24"/>
                <w:szCs w:val="24"/>
                <w:highlight w:val="none"/>
              </w:rPr>
              <w:t>理提供联动方案及证明</w:t>
            </w:r>
            <w:r>
              <w:rPr>
                <w:rFonts w:hint="eastAsia" w:ascii="宋体" w:hAnsi="宋体" w:cs="宋体"/>
                <w:b/>
                <w:bCs/>
                <w:sz w:val="24"/>
                <w:szCs w:val="24"/>
                <w:highlight w:val="none"/>
                <w:lang w:val="en-US" w:eastAsia="zh-CN"/>
              </w:rPr>
              <w:t>材</w:t>
            </w:r>
            <w:r>
              <w:rPr>
                <w:rFonts w:hint="eastAsia" w:ascii="宋体" w:hAnsi="宋体" w:cs="宋体"/>
                <w:b/>
                <w:bCs/>
                <w:sz w:val="24"/>
                <w:szCs w:val="24"/>
                <w:highlight w:val="none"/>
              </w:rPr>
              <w:t>料</w:t>
            </w:r>
            <w:r>
              <w:rPr>
                <w:rFonts w:hint="eastAsia" w:ascii="宋体" w:hAnsi="宋体" w:cs="宋体"/>
                <w:b/>
                <w:bCs/>
                <w:sz w:val="24"/>
                <w:szCs w:val="24"/>
                <w:highlight w:val="none"/>
                <w:lang w:eastAsia="zh-CN"/>
              </w:rPr>
              <w:t>，</w:t>
            </w:r>
            <w:r>
              <w:rPr>
                <w:rFonts w:hint="eastAsia" w:ascii="宋体" w:hAnsi="宋体" w:cs="宋体"/>
                <w:sz w:val="24"/>
                <w:szCs w:val="24"/>
                <w:highlight w:val="none"/>
              </w:rPr>
              <w:t>满足以下功能：</w:t>
            </w:r>
          </w:p>
          <w:p>
            <w:pPr>
              <w:spacing w:line="360" w:lineRule="auto"/>
              <w:rPr>
                <w:rFonts w:hint="eastAsia" w:ascii="宋体" w:hAnsi="宋体" w:cs="宋体"/>
                <w:sz w:val="24"/>
                <w:szCs w:val="24"/>
              </w:rPr>
            </w:pPr>
            <w:r>
              <w:rPr>
                <w:rFonts w:hint="eastAsia" w:ascii="宋体" w:hAnsi="宋体" w:cs="宋体"/>
                <w:sz w:val="24"/>
                <w:szCs w:val="24"/>
                <w:lang w:eastAsia="zh-CN"/>
              </w:rPr>
              <w:t>①</w:t>
            </w:r>
            <w:r>
              <w:rPr>
                <w:rFonts w:hint="eastAsia" w:ascii="宋体" w:hAnsi="宋体" w:cs="宋体"/>
                <w:sz w:val="24"/>
                <w:szCs w:val="24"/>
              </w:rPr>
              <w:t>无客户端部署场景下的IM聊天内容审计；</w:t>
            </w:r>
          </w:p>
          <w:p>
            <w:pPr>
              <w:spacing w:line="360" w:lineRule="auto"/>
              <w:jc w:val="left"/>
              <w:rPr>
                <w:rFonts w:hint="eastAsia" w:ascii="宋体" w:hAnsi="宋体" w:cs="宋体"/>
                <w:sz w:val="24"/>
                <w:szCs w:val="24"/>
                <w:lang w:eastAsia="zh-CN"/>
              </w:rPr>
            </w:pPr>
            <w:r>
              <w:rPr>
                <w:rFonts w:hint="eastAsia" w:ascii="宋体" w:hAnsi="宋体" w:cs="宋体"/>
                <w:sz w:val="24"/>
                <w:szCs w:val="24"/>
                <w:lang w:eastAsia="zh-CN"/>
              </w:rPr>
              <w:t>②</w:t>
            </w:r>
            <w:r>
              <w:rPr>
                <w:rFonts w:hint="eastAsia" w:ascii="宋体" w:hAnsi="宋体" w:cs="宋体"/>
                <w:sz w:val="24"/>
                <w:szCs w:val="24"/>
              </w:rPr>
              <w:t>自动堵塞未部署终端管理系统的终端，并支持自定义阻塞提示界面，提示安装终端管理系统</w:t>
            </w:r>
            <w:r>
              <w:rPr>
                <w:rFonts w:hint="eastAsia" w:ascii="宋体" w:hAnsi="宋体" w:cs="宋体"/>
                <w:sz w:val="24"/>
                <w:szCs w:val="24"/>
                <w:lang w:eastAsia="zh-CN"/>
              </w:rPr>
              <w:t>。</w:t>
            </w:r>
          </w:p>
          <w:p>
            <w:pPr>
              <w:pStyle w:val="2"/>
              <w:rPr>
                <w:rFonts w:hint="default"/>
                <w:lang w:val="en-US" w:eastAsia="zh-CN"/>
              </w:rPr>
            </w:pPr>
            <w:r>
              <w:rPr>
                <w:rFonts w:hint="eastAsia" w:ascii="宋体" w:hAnsi="宋体" w:eastAsia="宋体" w:cs="仿宋"/>
                <w:sz w:val="24"/>
                <w:highlight w:val="none"/>
              </w:rPr>
              <w:t>方案完整、合理，有针对性视为符合要求；</w:t>
            </w:r>
            <w:r>
              <w:rPr>
                <w:rFonts w:hint="eastAsia" w:hAnsi="宋体" w:cs="仿宋"/>
                <w:sz w:val="24"/>
                <w:highlight w:val="none"/>
                <w:lang w:val="en-US" w:eastAsia="zh-CN"/>
              </w:rPr>
              <w:t>每点</w:t>
            </w:r>
            <w:r>
              <w:rPr>
                <w:rFonts w:hint="eastAsia" w:ascii="宋体" w:hAnsi="宋体" w:cs="宋体"/>
                <w:sz w:val="24"/>
                <w:szCs w:val="24"/>
                <w:highlight w:val="none"/>
                <w:lang w:val="en-US" w:eastAsia="zh-CN"/>
              </w:rPr>
              <w:t>完全</w:t>
            </w:r>
            <w:r>
              <w:rPr>
                <w:rFonts w:hint="eastAsia" w:ascii="宋体" w:hAnsi="宋体" w:cs="宋体"/>
                <w:sz w:val="24"/>
                <w:szCs w:val="24"/>
                <w:highlight w:val="none"/>
                <w:lang w:eastAsia="zh-CN"/>
              </w:rPr>
              <w:t>符合得</w:t>
            </w:r>
            <w:r>
              <w:rPr>
                <w:rFonts w:hint="eastAsia" w:hAnsi="宋体" w:cs="宋体"/>
                <w:sz w:val="24"/>
                <w:szCs w:val="24"/>
                <w:highlight w:val="none"/>
                <w:lang w:val="en-US" w:eastAsia="zh-CN"/>
              </w:rPr>
              <w:t>2</w:t>
            </w:r>
            <w:r>
              <w:rPr>
                <w:rFonts w:hint="eastAsia" w:ascii="宋体" w:hAnsi="宋体" w:cs="宋体"/>
                <w:sz w:val="24"/>
                <w:szCs w:val="24"/>
                <w:highlight w:val="none"/>
                <w:lang w:eastAsia="zh-CN"/>
              </w:rPr>
              <w:t>分，部分符合得</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分，不符合不得分</w:t>
            </w:r>
            <w:r>
              <w:rPr>
                <w:rFonts w:hint="eastAsia" w:hAnsi="宋体" w:cs="宋体"/>
                <w:sz w:val="24"/>
                <w:szCs w:val="24"/>
                <w:highlight w:val="none"/>
                <w:lang w:eastAsia="zh-CN"/>
              </w:rPr>
              <w:t>，</w:t>
            </w:r>
            <w:r>
              <w:rPr>
                <w:rFonts w:hint="eastAsia" w:hAnsi="宋体" w:cs="宋体"/>
                <w:sz w:val="24"/>
                <w:szCs w:val="24"/>
                <w:highlight w:val="none"/>
                <w:lang w:val="en-US" w:eastAsia="zh-CN"/>
              </w:rPr>
              <w:t>共4分</w:t>
            </w:r>
            <w:r>
              <w:rPr>
                <w:rFonts w:hint="eastAsia" w:ascii="宋体" w:hAnsi="宋体" w:cs="宋体"/>
                <w:sz w:val="24"/>
                <w:szCs w:val="24"/>
                <w:highlight w:val="none"/>
                <w:lang w:eastAsia="zh-CN"/>
              </w:rPr>
              <w:t>。</w:t>
            </w:r>
          </w:p>
        </w:tc>
        <w:tc>
          <w:tcPr>
            <w:tcW w:w="870" w:type="dxa"/>
            <w:vMerge w:val="continue"/>
            <w:vAlign w:val="center"/>
          </w:tcPr>
          <w:p>
            <w:pPr>
              <w:spacing w:line="360" w:lineRule="auto"/>
              <w:jc w:val="left"/>
              <w:rPr>
                <w:rFonts w:hint="eastAsia" w:ascii="宋体" w:hAnsi="宋体" w:cs="宋体"/>
                <w:sz w:val="24"/>
                <w:szCs w:val="24"/>
                <w:lang w:eastAsia="zh-CN"/>
              </w:rPr>
            </w:pPr>
          </w:p>
        </w:tc>
        <w:tc>
          <w:tcPr>
            <w:tcW w:w="1635" w:type="dxa"/>
            <w:vMerge w:val="continue"/>
            <w:vAlign w:val="center"/>
          </w:tcPr>
          <w:p>
            <w:pPr>
              <w:spacing w:line="360" w:lineRule="auto"/>
              <w:jc w:val="left"/>
              <w:rPr>
                <w:rFonts w:hint="eastAsia"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694"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5403" w:type="dxa"/>
          </w:tcPr>
          <w:p>
            <w:pPr>
              <w:pStyle w:val="2"/>
              <w:rPr>
                <w:rFonts w:hint="eastAsia" w:hAnsi="宋体" w:cs="宋体"/>
                <w:color w:val="000000"/>
                <w:kern w:val="0"/>
                <w:sz w:val="24"/>
                <w:szCs w:val="24"/>
                <w:lang w:eastAsia="zh-CN" w:bidi="ar"/>
              </w:rPr>
            </w:pPr>
            <w:r>
              <w:rPr>
                <w:rFonts w:hint="eastAsia" w:hAnsi="宋体" w:cs="宋体"/>
                <w:b w:val="0"/>
                <w:bCs/>
                <w:szCs w:val="24"/>
                <w:lang w:val="en-US" w:eastAsia="zh-CN"/>
              </w:rPr>
              <w:t>投标人根据采购人需求，</w:t>
            </w:r>
            <w:r>
              <w:rPr>
                <w:rFonts w:hint="eastAsia" w:hAnsi="宋体" w:cs="宋体"/>
                <w:b/>
                <w:bCs w:val="0"/>
                <w:szCs w:val="24"/>
                <w:lang w:val="en-US" w:eastAsia="zh-CN"/>
              </w:rPr>
              <w:t>提供符合要求的</w:t>
            </w:r>
            <w:r>
              <w:rPr>
                <w:rFonts w:hint="eastAsia" w:ascii="宋体" w:hAnsi="宋体" w:eastAsia="宋体" w:cs="宋体"/>
                <w:b/>
                <w:bCs w:val="0"/>
                <w:color w:val="000000"/>
                <w:kern w:val="0"/>
                <w:sz w:val="24"/>
                <w:szCs w:val="24"/>
                <w:lang w:bidi="ar"/>
              </w:rPr>
              <w:t>跨校区网络互访迁移方案</w:t>
            </w:r>
            <w:r>
              <w:rPr>
                <w:rFonts w:hint="eastAsia" w:hAnsi="宋体" w:cs="宋体"/>
                <w:b/>
                <w:bCs w:val="0"/>
                <w:color w:val="000000"/>
                <w:kern w:val="0"/>
                <w:sz w:val="24"/>
                <w:szCs w:val="24"/>
                <w:lang w:eastAsia="zh-CN" w:bidi="ar"/>
              </w:rPr>
              <w:t>，</w:t>
            </w:r>
            <w:r>
              <w:rPr>
                <w:rFonts w:hint="eastAsia" w:hAnsi="宋体" w:cs="宋体"/>
                <w:b/>
                <w:bCs/>
                <w:color w:val="000000"/>
                <w:kern w:val="0"/>
                <w:sz w:val="24"/>
                <w:szCs w:val="24"/>
                <w:lang w:val="en-US" w:eastAsia="zh-CN" w:bidi="ar"/>
              </w:rPr>
              <w:t>并提供</w:t>
            </w:r>
            <w:r>
              <w:rPr>
                <w:rFonts w:hint="eastAsia" w:ascii="宋体" w:hAnsi="宋体" w:eastAsia="宋体" w:cs="宋体"/>
                <w:b/>
                <w:bCs/>
                <w:color w:val="000000"/>
                <w:kern w:val="0"/>
                <w:sz w:val="24"/>
                <w:szCs w:val="24"/>
                <w:lang w:bidi="ar"/>
              </w:rPr>
              <w:t>方案测试截图</w:t>
            </w:r>
            <w:r>
              <w:rPr>
                <w:rFonts w:hint="eastAsia" w:ascii="宋体" w:hAnsi="宋体" w:eastAsia="宋体" w:cs="宋体"/>
                <w:color w:val="000000"/>
                <w:kern w:val="0"/>
                <w:sz w:val="24"/>
                <w:szCs w:val="24"/>
                <w:lang w:bidi="ar"/>
              </w:rPr>
              <w:t>(包含</w:t>
            </w:r>
            <w:r>
              <w:rPr>
                <w:rFonts w:hint="eastAsia" w:hAnsi="宋体" w:cs="宋体"/>
                <w:color w:val="000000"/>
                <w:kern w:val="0"/>
                <w:sz w:val="24"/>
                <w:szCs w:val="24"/>
                <w:lang w:val="en-US" w:eastAsia="zh-CN" w:bidi="ar"/>
              </w:rPr>
              <w:t>①</w:t>
            </w:r>
            <w:r>
              <w:rPr>
                <w:rFonts w:hint="eastAsia" w:ascii="宋体" w:hAnsi="宋体" w:eastAsia="宋体" w:cs="宋体"/>
                <w:color w:val="000000"/>
                <w:kern w:val="0"/>
                <w:sz w:val="24"/>
                <w:szCs w:val="24"/>
                <w:lang w:bidi="ar"/>
              </w:rPr>
              <w:t>数据互访测试，</w:t>
            </w:r>
            <w:r>
              <w:rPr>
                <w:rFonts w:hint="eastAsia" w:hAnsi="宋体" w:cs="宋体"/>
                <w:color w:val="000000"/>
                <w:kern w:val="0"/>
                <w:sz w:val="24"/>
                <w:szCs w:val="24"/>
                <w:lang w:val="en-US" w:eastAsia="zh-CN" w:bidi="ar"/>
              </w:rPr>
              <w:t>②</w:t>
            </w:r>
            <w:r>
              <w:rPr>
                <w:rFonts w:hint="eastAsia" w:ascii="宋体" w:hAnsi="宋体" w:eastAsia="宋体" w:cs="宋体"/>
                <w:color w:val="000000"/>
                <w:kern w:val="0"/>
                <w:sz w:val="24"/>
                <w:szCs w:val="24"/>
                <w:lang w:bidi="ar"/>
              </w:rPr>
              <w:t>迁移方式方法截</w:t>
            </w:r>
            <w:bookmarkStart w:id="545" w:name="_GoBack"/>
            <w:bookmarkEnd w:id="545"/>
            <w:r>
              <w:rPr>
                <w:rFonts w:hint="eastAsia" w:ascii="宋体" w:hAnsi="宋体" w:eastAsia="宋体" w:cs="宋体"/>
                <w:color w:val="000000"/>
                <w:kern w:val="0"/>
                <w:sz w:val="24"/>
                <w:szCs w:val="24"/>
                <w:lang w:bidi="ar"/>
              </w:rPr>
              <w:t>图，</w:t>
            </w:r>
            <w:r>
              <w:rPr>
                <w:rFonts w:hint="eastAsia" w:hAnsi="宋体" w:cs="宋体"/>
                <w:color w:val="000000"/>
                <w:kern w:val="0"/>
                <w:sz w:val="24"/>
                <w:szCs w:val="24"/>
                <w:lang w:val="en-US" w:eastAsia="zh-CN" w:bidi="ar"/>
              </w:rPr>
              <w:t>③</w:t>
            </w:r>
            <w:r>
              <w:rPr>
                <w:rFonts w:hint="eastAsia" w:ascii="宋体" w:hAnsi="宋体" w:eastAsia="宋体" w:cs="宋体"/>
                <w:color w:val="000000"/>
                <w:kern w:val="0"/>
                <w:sz w:val="24"/>
                <w:szCs w:val="24"/>
                <w:lang w:bidi="ar"/>
              </w:rPr>
              <w:t>防火墙无映射截图，</w:t>
            </w:r>
            <w:r>
              <w:rPr>
                <w:rFonts w:hint="eastAsia" w:hAnsi="宋体" w:cs="宋体"/>
                <w:color w:val="000000"/>
                <w:kern w:val="0"/>
                <w:sz w:val="24"/>
                <w:szCs w:val="24"/>
                <w:lang w:val="en-US" w:eastAsia="zh-CN" w:bidi="ar"/>
              </w:rPr>
              <w:t>④</w:t>
            </w:r>
            <w:r>
              <w:rPr>
                <w:rFonts w:hint="eastAsia" w:ascii="宋体" w:hAnsi="宋体" w:eastAsia="宋体" w:cs="宋体"/>
                <w:color w:val="000000"/>
                <w:kern w:val="0"/>
                <w:sz w:val="24"/>
                <w:szCs w:val="24"/>
                <w:lang w:bidi="ar"/>
              </w:rPr>
              <w:t>端口扫描无应答截图)</w:t>
            </w:r>
            <w:r>
              <w:rPr>
                <w:rFonts w:hint="eastAsia" w:hAnsi="宋体" w:cs="宋体"/>
                <w:color w:val="000000"/>
                <w:kern w:val="0"/>
                <w:sz w:val="24"/>
                <w:szCs w:val="24"/>
                <w:lang w:eastAsia="zh-CN" w:bidi="ar"/>
              </w:rPr>
              <w:t>。</w:t>
            </w:r>
          </w:p>
          <w:p>
            <w:pPr>
              <w:pStyle w:val="2"/>
              <w:rPr>
                <w:rFonts w:hint="eastAsia" w:hAnsi="宋体" w:eastAsia="宋体" w:cs="宋体"/>
                <w:b/>
                <w:szCs w:val="24"/>
                <w:lang w:val="en-US" w:eastAsia="zh-CN"/>
              </w:rPr>
            </w:pPr>
            <w:r>
              <w:rPr>
                <w:rFonts w:hint="eastAsia" w:ascii="宋体" w:hAnsi="宋体" w:eastAsia="宋体" w:cs="仿宋"/>
                <w:sz w:val="24"/>
                <w:highlight w:val="none"/>
              </w:rPr>
              <w:t>方案完整、合理，有针对性视为符合要求；</w:t>
            </w:r>
            <w:r>
              <w:rPr>
                <w:rFonts w:hint="eastAsia" w:hAnsi="宋体" w:cs="仿宋"/>
                <w:sz w:val="24"/>
                <w:highlight w:val="none"/>
                <w:lang w:val="en-US" w:eastAsia="zh-CN"/>
              </w:rPr>
              <w:t>每点</w:t>
            </w:r>
            <w:r>
              <w:rPr>
                <w:rFonts w:hint="eastAsia" w:ascii="宋体" w:hAnsi="宋体" w:cs="宋体"/>
                <w:sz w:val="24"/>
                <w:szCs w:val="24"/>
                <w:highlight w:val="none"/>
                <w:lang w:val="en-US" w:eastAsia="zh-CN"/>
              </w:rPr>
              <w:t>完全</w:t>
            </w:r>
            <w:r>
              <w:rPr>
                <w:rFonts w:hint="eastAsia" w:ascii="宋体" w:hAnsi="宋体" w:cs="宋体"/>
                <w:sz w:val="24"/>
                <w:szCs w:val="24"/>
                <w:highlight w:val="none"/>
                <w:lang w:eastAsia="zh-CN"/>
              </w:rPr>
              <w:t>符合得</w:t>
            </w:r>
            <w:r>
              <w:rPr>
                <w:rFonts w:hint="eastAsia" w:hAnsi="宋体" w:cs="宋体"/>
                <w:sz w:val="24"/>
                <w:szCs w:val="24"/>
                <w:highlight w:val="none"/>
                <w:lang w:val="en-US" w:eastAsia="zh-CN"/>
              </w:rPr>
              <w:t>1</w:t>
            </w:r>
            <w:r>
              <w:rPr>
                <w:rFonts w:hint="eastAsia" w:ascii="宋体" w:hAnsi="宋体" w:cs="宋体"/>
                <w:sz w:val="24"/>
                <w:szCs w:val="24"/>
                <w:highlight w:val="none"/>
                <w:lang w:eastAsia="zh-CN"/>
              </w:rPr>
              <w:t>分，部分符合得</w:t>
            </w:r>
            <w:r>
              <w:rPr>
                <w:rFonts w:hint="eastAsia" w:ascii="宋体" w:hAnsi="宋体" w:cs="宋体"/>
                <w:sz w:val="24"/>
                <w:szCs w:val="24"/>
                <w:highlight w:val="none"/>
                <w:lang w:val="en-US" w:eastAsia="zh-CN"/>
              </w:rPr>
              <w:t>0.5</w:t>
            </w:r>
            <w:r>
              <w:rPr>
                <w:rFonts w:hint="eastAsia" w:ascii="宋体" w:hAnsi="宋体" w:cs="宋体"/>
                <w:sz w:val="24"/>
                <w:szCs w:val="24"/>
                <w:highlight w:val="none"/>
                <w:lang w:eastAsia="zh-CN"/>
              </w:rPr>
              <w:t>分，不符合不得分</w:t>
            </w:r>
            <w:r>
              <w:rPr>
                <w:rFonts w:hint="eastAsia" w:hAnsi="宋体" w:cs="宋体"/>
                <w:sz w:val="24"/>
                <w:szCs w:val="24"/>
                <w:highlight w:val="none"/>
                <w:lang w:eastAsia="zh-CN"/>
              </w:rPr>
              <w:t>，</w:t>
            </w:r>
            <w:r>
              <w:rPr>
                <w:rFonts w:hint="eastAsia" w:hAnsi="宋体" w:cs="宋体"/>
                <w:sz w:val="24"/>
                <w:szCs w:val="24"/>
                <w:highlight w:val="none"/>
                <w:lang w:val="en-US" w:eastAsia="zh-CN"/>
              </w:rPr>
              <w:t>共4分</w:t>
            </w:r>
            <w:r>
              <w:rPr>
                <w:rFonts w:hint="eastAsia" w:ascii="宋体" w:hAnsi="宋体" w:cs="宋体"/>
                <w:sz w:val="24"/>
                <w:szCs w:val="24"/>
                <w:highlight w:val="none"/>
                <w:lang w:eastAsia="zh-CN"/>
              </w:rPr>
              <w:t>。</w:t>
            </w:r>
          </w:p>
        </w:tc>
        <w:tc>
          <w:tcPr>
            <w:tcW w:w="870"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635"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新老机房故障无缝迁移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694" w:type="dxa"/>
            <w:vAlign w:val="center"/>
          </w:tcPr>
          <w:p>
            <w:pPr>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5403" w:type="dxa"/>
          </w:tcPr>
          <w:p>
            <w:pPr>
              <w:pStyle w:val="2"/>
              <w:rPr>
                <w:rFonts w:hint="eastAsia"/>
              </w:rPr>
            </w:pPr>
            <w:r>
              <w:rPr>
                <w:rFonts w:hint="eastAsia" w:ascii="宋体" w:hAnsi="宋体" w:cs="宋体"/>
                <w:color w:val="auto"/>
                <w:sz w:val="24"/>
                <w:highlight w:val="none"/>
              </w:rPr>
              <w:t>投标产品的基本功能、技术指标与需求的吻合程度和偏差情况</w:t>
            </w:r>
            <w:r>
              <w:rPr>
                <w:rFonts w:hint="eastAsia" w:ascii="宋体" w:hAnsi="宋体" w:cs="宋体"/>
                <w:color w:val="auto"/>
                <w:sz w:val="24"/>
                <w:highlight w:val="none"/>
                <w:lang w:eastAsia="zh-CN"/>
              </w:rPr>
              <w:t>：</w:t>
            </w:r>
            <w:r>
              <w:rPr>
                <w:rFonts w:ascii="宋体" w:hAnsi="宋体" w:eastAsia="宋体" w:cs="宋体"/>
                <w:b/>
                <w:bCs/>
                <w:sz w:val="24"/>
                <w:szCs w:val="24"/>
              </w:rPr>
              <w:t>根据技术参数（参数规格）要求提供证明/证书/报告/功能截图/说明书/图片等资料证明的，应当提供上述证明材料，</w:t>
            </w:r>
            <w:r>
              <w:rPr>
                <w:rFonts w:ascii="宋体" w:hAnsi="宋体" w:eastAsia="宋体" w:cs="宋体"/>
                <w:sz w:val="24"/>
                <w:szCs w:val="24"/>
              </w:rPr>
              <w:t>对于带“★”的技术指标负偏离每一项扣减2分；其他技术指标负偏离每一项扣减1分，扣完为止。没有要求提供证明材料的，应当根据技术参数要求进行响应。否则视为不满足或不响应或负偏离该项指标或要求。</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1635" w:type="dxa"/>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5403" w:type="dxa"/>
            <w:vAlign w:val="center"/>
          </w:tcPr>
          <w:p>
            <w:pPr>
              <w:spacing w:line="360" w:lineRule="auto"/>
              <w:outlineLvl w:val="0"/>
              <w:rPr>
                <w:rFonts w:hint="default"/>
                <w:lang w:val="en-US" w:eastAsia="zh-CN"/>
              </w:rPr>
            </w:pPr>
            <w:r>
              <w:rPr>
                <w:rFonts w:hint="eastAsia" w:ascii="宋体" w:hAnsi="宋体" w:cs="宋体"/>
                <w:sz w:val="24"/>
              </w:rPr>
              <w:t>项目实施方案：投标人提供科学、合理、可操作的具体项目整体实施方案，包括①项目实施计划进度②项目实施保障措施③项目实施培训方案④项目验收方案。每一项完全符合得</w:t>
            </w:r>
            <w:r>
              <w:rPr>
                <w:rFonts w:ascii="宋体" w:hAnsi="宋体" w:cs="宋体"/>
                <w:sz w:val="24"/>
              </w:rPr>
              <w:t>1</w:t>
            </w:r>
            <w:r>
              <w:rPr>
                <w:rFonts w:hint="eastAsia" w:ascii="宋体" w:hAnsi="宋体" w:cs="宋体"/>
                <w:sz w:val="24"/>
              </w:rPr>
              <w:t>分，部分符合得0.5分，不符合不得分，总分</w:t>
            </w:r>
            <w:r>
              <w:rPr>
                <w:rFonts w:ascii="宋体" w:hAnsi="宋体" w:cs="宋体"/>
                <w:sz w:val="24"/>
              </w:rPr>
              <w:t>4</w:t>
            </w:r>
            <w:r>
              <w:rPr>
                <w:rFonts w:hint="eastAsia" w:ascii="宋体" w:hAnsi="宋体" w:cs="宋体"/>
                <w:sz w:val="24"/>
              </w:rPr>
              <w:t>分。</w:t>
            </w:r>
          </w:p>
        </w:tc>
        <w:tc>
          <w:tcPr>
            <w:tcW w:w="870" w:type="dxa"/>
            <w:vAlign w:val="center"/>
          </w:tcPr>
          <w:p>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cs="宋体"/>
                <w:sz w:val="24"/>
              </w:rPr>
              <w:t>4</w:t>
            </w:r>
          </w:p>
        </w:tc>
        <w:tc>
          <w:tcPr>
            <w:tcW w:w="1635" w:type="dxa"/>
            <w:vAlign w:val="center"/>
          </w:tcPr>
          <w:p>
            <w:pPr>
              <w:spacing w:line="360" w:lineRule="auto"/>
              <w:jc w:val="center"/>
              <w:outlineLvl w:val="0"/>
              <w:rPr>
                <w:rFonts w:hint="default" w:ascii="宋体" w:hAnsi="宋体" w:eastAsia="宋体" w:cs="宋体"/>
                <w:b w:val="0"/>
                <w:bCs w:val="0"/>
                <w:sz w:val="24"/>
                <w:highlight w:val="none"/>
                <w:lang w:val="en-US" w:eastAsia="zh-CN"/>
              </w:rPr>
            </w:pPr>
            <w:r>
              <w:rPr>
                <w:rFonts w:hint="eastAsia" w:ascii="宋体" w:hAnsi="宋体" w:cs="宋体"/>
                <w:b w:val="0"/>
                <w:bCs w:val="0"/>
                <w:sz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napToGrid w:val="0"/>
              <w:spacing w:line="360" w:lineRule="auto"/>
              <w:jc w:val="center"/>
              <w:rPr>
                <w:rFonts w:hint="eastAsia" w:ascii="宋体" w:hAnsi="宋体" w:cs="宋体"/>
                <w:sz w:val="24"/>
                <w:szCs w:val="24"/>
                <w:lang w:val="en-US" w:eastAsia="zh-CN"/>
              </w:rPr>
            </w:pPr>
          </w:p>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5403" w:type="dxa"/>
            <w:vAlign w:val="center"/>
          </w:tcPr>
          <w:p>
            <w:pPr>
              <w:spacing w:line="360" w:lineRule="auto"/>
              <w:outlineLvl w:val="0"/>
              <w:rPr>
                <w:rFonts w:hint="default" w:ascii="宋体" w:hAnsi="宋体" w:eastAsia="宋体" w:cs="宋体"/>
                <w:b/>
                <w:bCs/>
                <w:color w:val="000000"/>
                <w:kern w:val="0"/>
                <w:sz w:val="24"/>
                <w:szCs w:val="24"/>
                <w:highlight w:val="yellow"/>
                <w:lang w:val="en-US" w:eastAsia="zh-CN"/>
              </w:rPr>
            </w:pPr>
            <w:r>
              <w:rPr>
                <w:rFonts w:hint="eastAsia" w:ascii="宋体" w:hAnsi="宋体" w:cs="宋体"/>
                <w:sz w:val="24"/>
              </w:rPr>
              <w:t>投标人提供的安装服务实施方案：投标人提供合理性、科学性、有效性的安装服务实施方案，包括①项目交付工期②根据项目交付时间节点，送货安装时间、人员安排、设备调试等情况的落实情况。每一项完全符合得2分，部分符合得1分，不符合不得分，总分</w:t>
            </w:r>
            <w:r>
              <w:rPr>
                <w:rFonts w:ascii="宋体" w:hAnsi="宋体" w:cs="宋体"/>
                <w:sz w:val="24"/>
              </w:rPr>
              <w:t>4</w:t>
            </w:r>
            <w:r>
              <w:rPr>
                <w:rFonts w:hint="eastAsia" w:ascii="宋体" w:hAnsi="宋体" w:cs="宋体"/>
                <w:sz w:val="24"/>
              </w:rPr>
              <w:t>分。</w:t>
            </w:r>
          </w:p>
        </w:tc>
        <w:tc>
          <w:tcPr>
            <w:tcW w:w="870" w:type="dxa"/>
            <w:vAlign w:val="center"/>
          </w:tcPr>
          <w:p>
            <w:pPr>
              <w:spacing w:line="360" w:lineRule="auto"/>
              <w:jc w:val="center"/>
              <w:outlineLvl w:val="0"/>
              <w:rPr>
                <w:rFonts w:hint="default" w:ascii="宋体" w:hAnsi="宋体" w:cs="宋体"/>
                <w:sz w:val="24"/>
                <w:szCs w:val="24"/>
                <w:lang w:val="en-US" w:eastAsia="zh-CN"/>
              </w:rPr>
            </w:pPr>
            <w:r>
              <w:rPr>
                <w:rFonts w:hint="eastAsia" w:ascii="宋体" w:hAnsi="宋体" w:cs="宋体"/>
                <w:sz w:val="24"/>
              </w:rPr>
              <w:t>4</w:t>
            </w:r>
          </w:p>
        </w:tc>
        <w:tc>
          <w:tcPr>
            <w:tcW w:w="1635" w:type="dxa"/>
            <w:vAlign w:val="center"/>
          </w:tcPr>
          <w:p>
            <w:pPr>
              <w:pStyle w:val="26"/>
              <w:spacing w:line="360" w:lineRule="auto"/>
              <w:ind w:left="0" w:leftChars="0" w:firstLine="0" w:firstLineChars="0"/>
              <w:jc w:val="center"/>
              <w:rPr>
                <w:rFonts w:hint="default" w:ascii="宋体" w:hAnsi="宋体" w:cs="宋体"/>
                <w:b w:val="0"/>
                <w:bCs w:val="0"/>
                <w:sz w:val="24"/>
                <w:lang w:val="en-US" w:eastAsia="zh-CN"/>
              </w:rPr>
            </w:pPr>
            <w:r>
              <w:rPr>
                <w:rFonts w:hint="eastAsia" w:cs="宋体"/>
                <w:b w:val="0"/>
                <w:bCs w:val="0"/>
                <w:sz w:val="24"/>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9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5403" w:type="dxa"/>
            <w:vAlign w:val="center"/>
          </w:tcPr>
          <w:p>
            <w:pPr>
              <w:pStyle w:val="3"/>
              <w:ind w:left="0" w:leftChars="0" w:firstLine="0" w:firstLineChars="0"/>
              <w:rPr>
                <w:rFonts w:hint="eastAsia"/>
                <w:lang w:val="en-US" w:eastAsia="zh-CN"/>
              </w:rPr>
            </w:pPr>
            <w:r>
              <w:rPr>
                <w:rFonts w:hint="eastAsia"/>
                <w:lang w:val="en-US" w:eastAsia="zh-CN"/>
              </w:rPr>
              <w:t>（1）拟担任本项目经理和技术负责人的专业素质、技术能力、证书、经验等情况，根据提供的人员情况，每个材料得1分，最多得3分；</w:t>
            </w:r>
          </w:p>
          <w:p>
            <w:pPr>
              <w:pStyle w:val="3"/>
              <w:ind w:left="0" w:leftChars="0" w:firstLine="0" w:firstLineChars="0"/>
              <w:rPr>
                <w:rFonts w:hint="eastAsia"/>
                <w:lang w:val="en-US" w:eastAsia="zh-CN"/>
              </w:rPr>
            </w:pPr>
            <w:r>
              <w:rPr>
                <w:rFonts w:hint="eastAsia"/>
                <w:lang w:val="en-US" w:eastAsia="zh-CN"/>
              </w:rPr>
              <w:t>（2）项目组实施人员专业人员数量是否充足，配置是否合理，是否具有相关资质（证书、技术能力、专业分布、类似经验等情况）（参考履历表和相关资料、相关证书等），是否提供社保证明，每个材料得1分，最多得4分。</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63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5403" w:type="dxa"/>
            <w:vAlign w:val="top"/>
          </w:tcPr>
          <w:p>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sz w:val="24"/>
              </w:rPr>
              <w:t>根据投标人提供的售后服务方案进行评价。包括：①售后服务期内服务内容情况；②售后服务体系、售后服务部门及维修网点联系电话③服务响应及时情况；</w:t>
            </w:r>
            <w:r>
              <w:rPr>
                <w:rFonts w:hint="eastAsia" w:ascii="宋体" w:hAnsi="宋体" w:cs="宋体"/>
                <w:bCs/>
                <w:sz w:val="24"/>
              </w:rPr>
              <w:t>④</w:t>
            </w:r>
            <w:r>
              <w:rPr>
                <w:rFonts w:hint="eastAsia" w:ascii="宋体" w:hAnsi="宋体" w:cs="宋体"/>
                <w:sz w:val="24"/>
              </w:rPr>
              <w:t>故障处理服务针对性程度。根据方案的可行性，以上每一条完全满足得</w:t>
            </w:r>
            <w:r>
              <w:rPr>
                <w:rFonts w:ascii="宋体" w:hAnsi="宋体" w:cs="宋体"/>
                <w:sz w:val="24"/>
              </w:rPr>
              <w:t>1</w:t>
            </w:r>
            <w:r>
              <w:rPr>
                <w:rFonts w:hint="eastAsia" w:ascii="宋体" w:hAnsi="宋体" w:cs="宋体"/>
                <w:sz w:val="24"/>
              </w:rPr>
              <w:t>分，基本满足得</w:t>
            </w:r>
            <w:r>
              <w:rPr>
                <w:rFonts w:ascii="宋体" w:hAnsi="宋体" w:cs="宋体"/>
                <w:sz w:val="24"/>
              </w:rPr>
              <w:t>0.5</w:t>
            </w:r>
            <w:r>
              <w:rPr>
                <w:rFonts w:hint="eastAsia" w:ascii="宋体" w:hAnsi="宋体" w:cs="宋体"/>
                <w:sz w:val="24"/>
              </w:rPr>
              <w:t>分，不提供或不满足得</w:t>
            </w:r>
            <w:r>
              <w:rPr>
                <w:rFonts w:ascii="宋体" w:hAnsi="宋体" w:cs="宋体"/>
                <w:sz w:val="24"/>
              </w:rPr>
              <w:t>0</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共4分</w:t>
            </w:r>
            <w:r>
              <w:rPr>
                <w:rFonts w:hint="eastAsia" w:ascii="宋体" w:hAnsi="宋体" w:cs="宋体"/>
                <w:sz w:val="24"/>
              </w:rPr>
              <w:t>。</w:t>
            </w:r>
          </w:p>
        </w:tc>
        <w:tc>
          <w:tcPr>
            <w:tcW w:w="870" w:type="dxa"/>
            <w:vMerge w:val="restart"/>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635" w:type="dxa"/>
            <w:vMerge w:val="restart"/>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vAlign w:val="center"/>
          </w:tcPr>
          <w:p>
            <w:pPr>
              <w:snapToGrid w:val="0"/>
              <w:spacing w:line="360" w:lineRule="auto"/>
              <w:jc w:val="center"/>
              <w:rPr>
                <w:rFonts w:hint="default" w:ascii="宋体" w:hAnsi="宋体" w:eastAsia="宋体" w:cs="宋体"/>
                <w:sz w:val="24"/>
                <w:szCs w:val="24"/>
                <w:lang w:val="en-US" w:eastAsia="zh-CN"/>
              </w:rPr>
            </w:pPr>
          </w:p>
        </w:tc>
        <w:tc>
          <w:tcPr>
            <w:tcW w:w="5403" w:type="dxa"/>
            <w:vAlign w:val="top"/>
          </w:tcPr>
          <w:p>
            <w:pPr>
              <w:snapToGrid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cs="宋体"/>
                <w:sz w:val="24"/>
              </w:rPr>
              <w:t>投标主要设备</w:t>
            </w:r>
            <w:r>
              <w:rPr>
                <w:rFonts w:ascii="宋体" w:hAnsi="宋体" w:cs="宋体"/>
                <w:sz w:val="24"/>
              </w:rPr>
              <w:t>（①防火墙</w:t>
            </w:r>
            <w:r>
              <w:rPr>
                <w:rFonts w:hint="eastAsia" w:ascii="宋体" w:hAnsi="宋体" w:cs="宋体"/>
                <w:sz w:val="24"/>
              </w:rPr>
              <w:t>、</w:t>
            </w:r>
            <w:r>
              <w:rPr>
                <w:rFonts w:ascii="宋体" w:hAnsi="宋体" w:cs="宋体"/>
                <w:sz w:val="24"/>
              </w:rPr>
              <w:t>②核心交换机</w:t>
            </w:r>
            <w:r>
              <w:rPr>
                <w:rFonts w:hint="eastAsia" w:ascii="宋体" w:hAnsi="宋体" w:cs="宋体"/>
                <w:sz w:val="24"/>
              </w:rPr>
              <w:t>、</w:t>
            </w:r>
            <w:r>
              <w:rPr>
                <w:rFonts w:ascii="宋体" w:hAnsi="宋体" w:cs="宋体"/>
                <w:sz w:val="24"/>
              </w:rPr>
              <w:t>③</w:t>
            </w:r>
            <w:r>
              <w:rPr>
                <w:rFonts w:hint="eastAsia" w:ascii="宋体" w:hAnsi="宋体" w:cs="宋体"/>
                <w:sz w:val="24"/>
              </w:rPr>
              <w:t>上网行为管理、</w:t>
            </w:r>
            <w:r>
              <w:rPr>
                <w:rFonts w:ascii="宋体" w:hAnsi="宋体" w:cs="宋体"/>
                <w:sz w:val="24"/>
              </w:rPr>
              <w:t>④</w:t>
            </w:r>
            <w:r>
              <w:rPr>
                <w:rFonts w:hint="eastAsia" w:asciiTheme="minorEastAsia" w:hAnsiTheme="minorEastAsia" w:eastAsiaTheme="minorEastAsia"/>
                <w:kern w:val="0"/>
                <w:sz w:val="24"/>
              </w:rPr>
              <w:t>放装ap</w:t>
            </w:r>
            <w:r>
              <w:rPr>
                <w:rFonts w:hint="eastAsia" w:ascii="宋体" w:hAnsi="宋体" w:cs="宋体"/>
                <w:sz w:val="24"/>
              </w:rPr>
              <w:t>）的质保服务承诺是否满足采购需求，每提供一项得0.5分，全部提供得</w:t>
            </w:r>
            <w:r>
              <w:rPr>
                <w:rFonts w:hint="eastAsia" w:ascii="宋体" w:hAnsi="宋体" w:cs="宋体"/>
                <w:sz w:val="24"/>
                <w:lang w:val="en-US" w:eastAsia="zh-CN"/>
              </w:rPr>
              <w:t>2</w:t>
            </w:r>
            <w:r>
              <w:rPr>
                <w:rFonts w:hint="eastAsia" w:ascii="宋体" w:hAnsi="宋体" w:cs="宋体"/>
                <w:sz w:val="24"/>
              </w:rPr>
              <w:t>分。</w:t>
            </w:r>
          </w:p>
        </w:tc>
        <w:tc>
          <w:tcPr>
            <w:tcW w:w="870" w:type="dxa"/>
            <w:vMerge w:val="continue"/>
            <w:vAlign w:val="center"/>
          </w:tcPr>
          <w:p>
            <w:pPr>
              <w:snapToGrid w:val="0"/>
              <w:spacing w:line="360" w:lineRule="auto"/>
              <w:jc w:val="center"/>
              <w:rPr>
                <w:rFonts w:hint="eastAsia" w:ascii="宋体" w:hAnsi="宋体" w:eastAsia="宋体" w:cs="宋体"/>
                <w:sz w:val="24"/>
                <w:szCs w:val="24"/>
                <w:lang w:val="en-US" w:eastAsia="zh-CN"/>
              </w:rPr>
            </w:pPr>
          </w:p>
        </w:tc>
        <w:tc>
          <w:tcPr>
            <w:tcW w:w="1635" w:type="dxa"/>
            <w:vMerge w:val="continue"/>
            <w:vAlign w:val="center"/>
          </w:tcPr>
          <w:p>
            <w:pPr>
              <w:snapToGrid w:val="0"/>
              <w:spacing w:line="360" w:lineRule="auto"/>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5403" w:type="dxa"/>
            <w:vAlign w:val="top"/>
          </w:tcPr>
          <w:p>
            <w:pPr>
              <w:pStyle w:val="2"/>
              <w:numPr>
                <w:ilvl w:val="0"/>
                <w:numId w:val="0"/>
              </w:numPr>
              <w:rPr>
                <w:rFonts w:hint="eastAsia" w:ascii="宋体" w:hAnsi="宋体" w:cs="仿宋"/>
                <w:spacing w:val="-6"/>
                <w:sz w:val="24"/>
                <w:lang w:eastAsia="zh-CN"/>
              </w:rPr>
            </w:pPr>
            <w:r>
              <w:rPr>
                <w:rFonts w:hint="eastAsia" w:ascii="宋体" w:hAnsi="宋体" w:cs="宋体"/>
                <w:sz w:val="24"/>
              </w:rPr>
              <w:t>投标人对以下两种培训方案①使其能对设备进行日常的维护保养及能对一般故障进行维修，并向培训人员提供详细的技术维修及调试参数资料②对用户的操作人员进行技术操作培训并提供详细的操作手册，方案是否合理，培训方式、地点、人数、时间是否详细说明。根据方案的可行性，以上每一条完全满足得</w:t>
            </w:r>
            <w:r>
              <w:rPr>
                <w:rFonts w:ascii="宋体" w:hAnsi="宋体" w:cs="宋体"/>
                <w:sz w:val="24"/>
              </w:rPr>
              <w:t>1</w:t>
            </w:r>
            <w:r>
              <w:rPr>
                <w:rFonts w:hint="eastAsia" w:ascii="宋体" w:hAnsi="宋体" w:cs="宋体"/>
                <w:sz w:val="24"/>
              </w:rPr>
              <w:t>分，基本满足得</w:t>
            </w:r>
            <w:r>
              <w:rPr>
                <w:rFonts w:ascii="宋体" w:hAnsi="宋体" w:cs="宋体"/>
                <w:sz w:val="24"/>
              </w:rPr>
              <w:t>0.5</w:t>
            </w:r>
            <w:r>
              <w:rPr>
                <w:rFonts w:hint="eastAsia" w:ascii="宋体" w:hAnsi="宋体" w:cs="宋体"/>
                <w:sz w:val="24"/>
              </w:rPr>
              <w:t>分，不提供或不满足得</w:t>
            </w:r>
            <w:r>
              <w:rPr>
                <w:rFonts w:ascii="宋体" w:hAnsi="宋体" w:cs="宋体"/>
                <w:sz w:val="24"/>
              </w:rPr>
              <w:t>0</w:t>
            </w:r>
            <w:r>
              <w:rPr>
                <w:rFonts w:hint="eastAsia" w:ascii="宋体" w:hAnsi="宋体" w:cs="宋体"/>
                <w:sz w:val="24"/>
              </w:rPr>
              <w:t>分。</w:t>
            </w:r>
          </w:p>
        </w:tc>
        <w:tc>
          <w:tcPr>
            <w:tcW w:w="870"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635"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5403" w:type="dxa"/>
            <w:vAlign w:val="top"/>
          </w:tcPr>
          <w:p>
            <w:pPr>
              <w:pStyle w:val="2"/>
              <w:numPr>
                <w:ilvl w:val="0"/>
                <w:numId w:val="0"/>
              </w:numPr>
              <w:rPr>
                <w:rFonts w:hint="eastAsia"/>
                <w:lang w:eastAsia="zh-CN"/>
              </w:rPr>
            </w:pPr>
            <w:r>
              <w:rPr>
                <w:rFonts w:hint="eastAsia" w:ascii="宋体" w:hAnsi="宋体" w:cs="宋体"/>
                <w:sz w:val="24"/>
              </w:rPr>
              <w:t>投标人提供的备品备件情况及维修备件的承诺程度。根据提供的情况或承诺程度，完全满足得</w:t>
            </w:r>
            <w:r>
              <w:rPr>
                <w:rFonts w:ascii="宋体" w:hAnsi="宋体" w:cs="宋体"/>
                <w:sz w:val="24"/>
              </w:rPr>
              <w:t>1</w:t>
            </w:r>
            <w:r>
              <w:rPr>
                <w:rFonts w:hint="eastAsia" w:ascii="宋体" w:hAnsi="宋体" w:cs="宋体"/>
                <w:sz w:val="24"/>
              </w:rPr>
              <w:t>分，基本满足得</w:t>
            </w:r>
            <w:r>
              <w:rPr>
                <w:rFonts w:ascii="宋体" w:hAnsi="宋体" w:cs="宋体"/>
                <w:sz w:val="24"/>
              </w:rPr>
              <w:t>0.5</w:t>
            </w:r>
            <w:r>
              <w:rPr>
                <w:rFonts w:hint="eastAsia" w:ascii="宋体" w:hAnsi="宋体" w:cs="宋体"/>
                <w:sz w:val="24"/>
              </w:rPr>
              <w:t>分，不提供或不满足得</w:t>
            </w:r>
            <w:r>
              <w:rPr>
                <w:rFonts w:ascii="宋体" w:hAnsi="宋体" w:cs="宋体"/>
                <w:sz w:val="24"/>
              </w:rPr>
              <w:t>0</w:t>
            </w:r>
            <w:r>
              <w:rPr>
                <w:rFonts w:hint="eastAsia" w:ascii="宋体" w:hAnsi="宋体" w:cs="宋体"/>
                <w:sz w:val="24"/>
              </w:rPr>
              <w:t>分。</w:t>
            </w:r>
          </w:p>
        </w:tc>
        <w:tc>
          <w:tcPr>
            <w:tcW w:w="870"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635" w:type="dxa"/>
            <w:vAlign w:val="center"/>
          </w:tcPr>
          <w:p>
            <w:pPr>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5403" w:type="dxa"/>
            <w:vAlign w:val="top"/>
          </w:tcPr>
          <w:p>
            <w:pPr>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eastAsia" w:ascii="宋体" w:hAnsi="宋体" w:eastAsia="宋体" w:cs="宋体"/>
                <w:sz w:val="24"/>
                <w:szCs w:val="24"/>
                <w:highlight w:val="none"/>
                <w:lang w:val="en-US"/>
              </w:rPr>
              <w:t>30</w:t>
            </w:r>
            <w:r>
              <w:rPr>
                <w:rFonts w:hint="eastAsia" w:ascii="宋体" w:hAnsi="宋体" w:eastAsia="宋体" w:cs="宋体"/>
                <w:sz w:val="24"/>
                <w:szCs w:val="24"/>
                <w:highlight w:val="none"/>
              </w:rPr>
              <w:t>］的计算公式计算。</w:t>
            </w:r>
          </w:p>
          <w:p>
            <w:pPr>
              <w:spacing w:line="360" w:lineRule="auto"/>
              <w:ind w:firstLine="480" w:firstLineChars="2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pPr>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sz w:val="24"/>
                <w:szCs w:val="24"/>
                <w:highlight w:val="none"/>
                <w:u w:val="single"/>
                <w:lang w:val="en-US" w:eastAsia="zh-CN"/>
              </w:rPr>
              <w:t>10</w:t>
            </w:r>
            <w:r>
              <w:rPr>
                <w:rFonts w:hint="eastAsia" w:ascii="宋体" w:hAnsi="宋体" w:eastAsia="宋体" w:cs="宋体"/>
                <w:b/>
                <w:sz w:val="24"/>
                <w:szCs w:val="24"/>
                <w:highlight w:val="none"/>
                <w:u w:val="single"/>
              </w:rPr>
              <w:t>%</w:t>
            </w:r>
            <w:r>
              <w:rPr>
                <w:rFonts w:hint="eastAsia" w:ascii="宋体" w:hAnsi="宋体" w:eastAsia="宋体" w:cs="宋体"/>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sz w:val="24"/>
                <w:szCs w:val="24"/>
                <w:highlight w:val="none"/>
                <w:u w:val="single"/>
                <w:lang w:val="en-US" w:eastAsia="zh-CN"/>
              </w:rPr>
              <w:t>4</w:t>
            </w:r>
            <w:r>
              <w:rPr>
                <w:rFonts w:hint="eastAsia" w:ascii="宋体" w:hAnsi="宋体" w:eastAsia="宋体" w:cs="宋体"/>
                <w:b/>
                <w:sz w:val="24"/>
                <w:szCs w:val="24"/>
                <w:highlight w:val="none"/>
                <w:u w:val="single"/>
              </w:rPr>
              <w:t>%</w:t>
            </w:r>
            <w:r>
              <w:rPr>
                <w:rFonts w:hint="eastAsia" w:ascii="宋体" w:hAnsi="宋体" w:eastAsia="宋体" w:cs="宋体"/>
                <w:sz w:val="24"/>
                <w:szCs w:val="24"/>
                <w:highlight w:val="none"/>
              </w:rPr>
              <w:t>的扣除，用扣除后的价格参加评审。</w:t>
            </w:r>
          </w:p>
        </w:tc>
        <w:tc>
          <w:tcPr>
            <w:tcW w:w="870"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1635" w:type="dxa"/>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w:t>
      </w:r>
      <w:r>
        <w:rPr>
          <w:rFonts w:hint="eastAsia" w:ascii="宋体" w:hAnsi="宋体" w:cs="宋体"/>
          <w:color w:val="auto"/>
          <w:sz w:val="24"/>
          <w:highlight w:val="none"/>
        </w:rPr>
        <w:t>的扣除，用扣除后的价格参加评审。</w:t>
      </w:r>
      <w:r>
        <w:rPr>
          <w:rFonts w:hint="eastAsia" w:ascii="宋体" w:hAnsi="宋体" w:cs="宋体"/>
          <w:kern w:val="0"/>
          <w:szCs w:val="24"/>
        </w:rPr>
        <w:t>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6" w:name="第五部分"/>
      <w:bookmarkStart w:id="397" w:name="_Toc86217003"/>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26"/>
        <w:rPr>
          <w:rFonts w:hint="eastAsia" w:cs="宋体"/>
        </w:rPr>
      </w:pPr>
    </w:p>
    <w:p>
      <w:pPr>
        <w:pStyle w:val="3"/>
        <w:rPr>
          <w:rFonts w:hint="eastAsia" w:cs="宋体"/>
        </w:rPr>
      </w:pPr>
    </w:p>
    <w:p>
      <w:pPr>
        <w:pStyle w:val="25"/>
        <w:snapToGrid w:val="0"/>
        <w:spacing w:line="360" w:lineRule="auto"/>
        <w:jc w:val="center"/>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before="120" w:line="22" w:lineRule="atLeast"/>
        <w:ind w:left="960"/>
        <w:rPr>
          <w:rFonts w:ascii="宋体" w:hAnsi="宋体" w:eastAsia="宋体" w:cs="宋体"/>
          <w:sz w:val="24"/>
        </w:rPr>
      </w:pPr>
      <w:r>
        <w:rPr>
          <w:rFonts w:hint="eastAsia" w:ascii="宋体" w:hAnsi="宋体" w:eastAsia="宋体" w:cs="宋体"/>
          <w:sz w:val="24"/>
        </w:rPr>
        <w:t>项目</w:t>
      </w:r>
      <w:r>
        <w:rPr>
          <w:rFonts w:hint="eastAsia" w:ascii="宋体" w:hAnsi="宋体" w:eastAsia="宋体" w:cs="宋体"/>
          <w:sz w:val="24"/>
          <w:lang w:val="en-US" w:eastAsia="zh-CN"/>
        </w:rPr>
        <w:t>编号</w:t>
      </w:r>
      <w:r>
        <w:rPr>
          <w:rFonts w:hint="eastAsia" w:ascii="宋体" w:hAnsi="宋体" w:eastAsia="宋体" w:cs="宋体"/>
          <w:sz w:val="24"/>
        </w:rPr>
        <w:t>：</w:t>
      </w:r>
      <w:r>
        <w:rPr>
          <w:rFonts w:hint="eastAsia" w:ascii="宋体" w:hAnsi="宋体" w:eastAsia="宋体" w:cs="宋体"/>
          <w:sz w:val="24"/>
          <w:u w:val="single"/>
        </w:rPr>
        <w:t xml:space="preserve">                                   </w:t>
      </w:r>
    </w:p>
    <w:p>
      <w:pPr>
        <w:pStyle w:val="2"/>
      </w:pP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kern w:val="0"/>
          <w:sz w:val="24"/>
        </w:rPr>
        <w:sectPr>
          <w:headerReference r:id="rId13" w:type="default"/>
          <w:footerReference r:id="rId14"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杭州市翠苑中学</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sz w:val="24"/>
          <w:u w:val="single"/>
          <w:lang w:eastAsia="zh-CN"/>
        </w:rPr>
        <w:t>2024年杭州市翠苑中学信息化设备（二期）改造项目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color w:val="auto"/>
          <w:sz w:val="24"/>
          <w:u w:val="single"/>
          <w:lang w:eastAsia="zh-CN"/>
        </w:rPr>
        <w:t>杭州市翠苑中学</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8" w:name="_Toc24059"/>
      <w:bookmarkStart w:id="399" w:name="_Toc2232"/>
      <w:bookmarkStart w:id="400" w:name="_Toc3029"/>
      <w:r>
        <w:rPr>
          <w:rFonts w:hint="eastAsia" w:ascii="宋体" w:hAnsi="宋体" w:cs="宋体"/>
          <w:b/>
          <w:sz w:val="24"/>
        </w:rPr>
        <w:t>1.1 合同组成部分</w:t>
      </w:r>
      <w:bookmarkEnd w:id="398"/>
      <w:bookmarkEnd w:id="399"/>
      <w:bookmarkEnd w:id="400"/>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1" w:name="_Toc24300"/>
      <w:bookmarkStart w:id="402" w:name="_Toc21295"/>
      <w:bookmarkStart w:id="403" w:name="_Toc27126"/>
      <w:r>
        <w:rPr>
          <w:rFonts w:hint="eastAsia" w:ascii="宋体" w:hAnsi="宋体" w:cs="宋体"/>
          <w:b/>
          <w:sz w:val="24"/>
        </w:rPr>
        <w:t>1.2 货物</w:t>
      </w:r>
      <w:bookmarkEnd w:id="401"/>
      <w:bookmarkEnd w:id="402"/>
      <w:bookmarkEnd w:id="403"/>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详见开标一览表或附件（附件格式自拟）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4" w:name="_Toc23292"/>
      <w:bookmarkStart w:id="405" w:name="_Toc21551"/>
      <w:bookmarkStart w:id="406" w:name="_Toc21631"/>
      <w:r>
        <w:rPr>
          <w:rFonts w:hint="eastAsia" w:ascii="宋体" w:hAnsi="宋体" w:cs="宋体"/>
          <w:b/>
          <w:sz w:val="24"/>
        </w:rPr>
        <w:t>1.3 价款</w:t>
      </w:r>
      <w:bookmarkEnd w:id="404"/>
      <w:bookmarkEnd w:id="405"/>
      <w:bookmarkEnd w:id="406"/>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color w:val="auto"/>
          <w:highlight w:val="none"/>
        </w:rPr>
      </w:pPr>
      <w:bookmarkStart w:id="407" w:name="_Toc331685783"/>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5"/>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7"/>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pPr>
        <w:pStyle w:val="5"/>
        <w:rPr>
          <w:rFonts w:ascii="宋体" w:hAnsi="宋体" w:cs="宋体"/>
          <w:color w:val="auto"/>
          <w:sz w:val="24"/>
          <w:highlight w:val="none"/>
        </w:rPr>
      </w:pPr>
    </w:p>
    <w:p>
      <w:pPr>
        <w:widowControl/>
        <w:adjustRightInd/>
        <w:jc w:val="left"/>
        <w:rPr>
          <w:rFonts w:ascii="宋体" w:hAnsi="宋体" w:cs="宋体"/>
          <w:b/>
          <w:sz w:val="24"/>
        </w:rPr>
      </w:pPr>
      <w:r>
        <w:rPr>
          <w:rFonts w:ascii="宋体" w:hAnsi="宋体" w:cs="宋体"/>
          <w:b/>
        </w:rPr>
        <w:br w:type="page"/>
      </w: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07"/>
    </w:p>
    <w:p>
      <w:pPr>
        <w:spacing w:line="560" w:lineRule="exact"/>
        <w:ind w:firstLine="482" w:firstLineChars="200"/>
        <w:outlineLvl w:val="0"/>
        <w:rPr>
          <w:rFonts w:ascii="宋体" w:hAnsi="宋体" w:cs="宋体"/>
          <w:b/>
          <w:sz w:val="24"/>
        </w:rPr>
      </w:pPr>
      <w:bookmarkStart w:id="408" w:name="_Ref467379109"/>
      <w:bookmarkStart w:id="409" w:name="_Ref467379225"/>
      <w:bookmarkStart w:id="410" w:name="_Ref467378463"/>
      <w:bookmarkStart w:id="411" w:name="_Ref467378499"/>
      <w:bookmarkStart w:id="412" w:name="_Ref467379195"/>
      <w:bookmarkStart w:id="413" w:name="_Toc279701240"/>
      <w:bookmarkStart w:id="414" w:name="_Ref467379094"/>
      <w:bookmarkStart w:id="415" w:name="_Toc19614"/>
      <w:bookmarkStart w:id="416" w:name="_Ref467379205"/>
      <w:bookmarkStart w:id="417" w:name="_Ref467379214"/>
      <w:bookmarkStart w:id="418" w:name="_Toc487900349"/>
      <w:bookmarkStart w:id="419" w:name="_Toc16917"/>
      <w:bookmarkStart w:id="420" w:name="_Ref467378404"/>
      <w:bookmarkStart w:id="421" w:name="_Ref467379101"/>
      <w:bookmarkStart w:id="422" w:name="_Toc259093669"/>
      <w:bookmarkStart w:id="423" w:name="_Toc28763"/>
      <w:r>
        <w:rPr>
          <w:rFonts w:hint="eastAsia" w:ascii="宋体" w:hAnsi="宋体" w:cs="宋体"/>
          <w:b/>
          <w:sz w:val="24"/>
        </w:rPr>
        <w:t>2.1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24" w:name="_Ref467378840"/>
      <w:r>
        <w:rPr>
          <w:rFonts w:hint="eastAsia" w:ascii="宋体" w:hAnsi="宋体" w:cs="宋体"/>
          <w:sz w:val="24"/>
        </w:rPr>
        <w:t>2.1.4 “甲方”系指与中标供应商签署合同的采购人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25" w:name="_Ref467379400"/>
      <w:r>
        <w:rPr>
          <w:rFonts w:hint="eastAsia" w:ascii="宋体" w:hAnsi="宋体" w:cs="宋体"/>
          <w:sz w:val="24"/>
        </w:rPr>
        <w:t>2.1.5 “乙方”系指根据合同约定交付货物的中标供应商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26" w:name="_Ref467379436"/>
      <w:r>
        <w:rPr>
          <w:rFonts w:hint="eastAsia" w:ascii="宋体" w:hAnsi="宋体" w:cs="宋体"/>
          <w:sz w:val="24"/>
        </w:rPr>
        <w:t>2.1.6 “现场”系指合同约定货物将要运至或者安装的地点。</w:t>
      </w:r>
      <w:bookmarkEnd w:id="426"/>
    </w:p>
    <w:p>
      <w:pPr>
        <w:spacing w:line="560" w:lineRule="exact"/>
        <w:ind w:firstLine="482" w:firstLineChars="200"/>
        <w:outlineLvl w:val="0"/>
        <w:rPr>
          <w:rFonts w:ascii="宋体" w:hAnsi="宋体" w:cs="宋体"/>
          <w:b/>
          <w:sz w:val="24"/>
        </w:rPr>
      </w:pPr>
      <w:bookmarkStart w:id="427" w:name="_Toc27635"/>
      <w:bookmarkStart w:id="428" w:name="_Toc32504"/>
      <w:bookmarkStart w:id="429" w:name="_Toc279701241"/>
      <w:bookmarkStart w:id="430" w:name="_Toc13336"/>
      <w:bookmarkStart w:id="431" w:name="_Toc487900350"/>
      <w:bookmarkStart w:id="432" w:name="_Toc259093670"/>
      <w:r>
        <w:rPr>
          <w:rFonts w:hint="eastAsia" w:ascii="宋体" w:hAnsi="宋体" w:cs="宋体"/>
          <w:b/>
          <w:sz w:val="24"/>
        </w:rPr>
        <w:t>2.2 技术规范</w:t>
      </w:r>
      <w:bookmarkEnd w:id="427"/>
      <w:bookmarkEnd w:id="428"/>
      <w:bookmarkEnd w:id="429"/>
      <w:bookmarkEnd w:id="430"/>
      <w:bookmarkEnd w:id="431"/>
      <w:bookmarkEnd w:id="432"/>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33" w:name="_Toc27853"/>
      <w:bookmarkStart w:id="434" w:name="_Toc487900351"/>
      <w:bookmarkStart w:id="435" w:name="_Toc31634"/>
      <w:bookmarkStart w:id="436" w:name="_Toc9829"/>
      <w:bookmarkStart w:id="437" w:name="_Toc259093671"/>
      <w:bookmarkStart w:id="438" w:name="_Toc279701242"/>
      <w:r>
        <w:rPr>
          <w:rFonts w:hint="eastAsia" w:ascii="宋体" w:hAnsi="宋体" w:cs="宋体"/>
          <w:b/>
          <w:sz w:val="24"/>
        </w:rPr>
        <w:t>2.3 知识产权</w:t>
      </w:r>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39" w:name="_Toc11932"/>
      <w:bookmarkStart w:id="440" w:name="_Toc29149"/>
      <w:bookmarkStart w:id="441" w:name="_Toc4194"/>
      <w:r>
        <w:rPr>
          <w:rFonts w:hint="eastAsia" w:ascii="宋体" w:hAnsi="宋体" w:cs="宋体"/>
          <w:b/>
          <w:sz w:val="24"/>
        </w:rPr>
        <w:t>2.4 包装和装运</w:t>
      </w:r>
      <w:bookmarkEnd w:id="439"/>
      <w:bookmarkEnd w:id="440"/>
      <w:bookmarkEnd w:id="441"/>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2" w:name="_Toc487900354"/>
      <w:bookmarkStart w:id="443" w:name="_Ref467378541"/>
      <w:bookmarkStart w:id="444" w:name="_Ref467379527"/>
      <w:bookmarkStart w:id="445" w:name="_Toc279701245"/>
      <w:bookmarkStart w:id="446" w:name="_Ref467379542"/>
      <w:bookmarkStart w:id="447" w:name="_Ref467378591"/>
      <w:bookmarkStart w:id="448" w:name="_Toc259093674"/>
      <w:bookmarkStart w:id="449" w:name="_Ref467379536"/>
      <w:bookmarkStart w:id="450" w:name="_Toc26182"/>
      <w:bookmarkStart w:id="451" w:name="_Toc19074"/>
      <w:bookmarkStart w:id="452" w:name="_Toc30272"/>
      <w:r>
        <w:rPr>
          <w:rFonts w:hint="eastAsia" w:ascii="宋体" w:hAnsi="宋体" w:cs="宋体"/>
          <w:b/>
          <w:sz w:val="24"/>
        </w:rPr>
        <w:t>2.</w:t>
      </w:r>
      <w:bookmarkEnd w:id="442"/>
      <w:bookmarkEnd w:id="443"/>
      <w:bookmarkEnd w:id="444"/>
      <w:bookmarkEnd w:id="445"/>
      <w:bookmarkEnd w:id="446"/>
      <w:bookmarkEnd w:id="447"/>
      <w:bookmarkEnd w:id="448"/>
      <w:bookmarkEnd w:id="449"/>
      <w:r>
        <w:rPr>
          <w:rFonts w:hint="eastAsia" w:ascii="宋体" w:hAnsi="宋体" w:cs="宋体"/>
          <w:b/>
          <w:sz w:val="24"/>
        </w:rPr>
        <w:t>5 履约检查和问题反馈</w:t>
      </w:r>
      <w:bookmarkEnd w:id="450"/>
      <w:bookmarkEnd w:id="451"/>
      <w:bookmarkEnd w:id="452"/>
    </w:p>
    <w:p>
      <w:pPr>
        <w:spacing w:line="560" w:lineRule="exact"/>
        <w:ind w:firstLine="480" w:firstLineChars="200"/>
        <w:rPr>
          <w:rFonts w:ascii="宋体" w:hAnsi="宋体" w:cs="宋体"/>
          <w:sz w:val="24"/>
        </w:rPr>
      </w:pPr>
      <w:bookmarkStart w:id="453" w:name="_Ref467379657"/>
      <w:r>
        <w:rPr>
          <w:rFonts w:hint="eastAsia" w:ascii="宋体" w:hAnsi="宋体" w:cs="宋体"/>
          <w:sz w:val="24"/>
        </w:rPr>
        <w:t>2.5.1</w:t>
      </w:r>
      <w:bookmarkEnd w:id="453"/>
      <w:bookmarkStart w:id="454" w:name="_Toc186431854"/>
      <w:bookmarkStart w:id="455" w:name="_Ref467379793"/>
      <w:bookmarkStart w:id="456" w:name="_Toc279701247"/>
      <w:bookmarkStart w:id="457" w:name="_Ref467379807"/>
      <w:bookmarkStart w:id="458" w:name="_Toc259093676"/>
      <w:bookmarkStart w:id="459"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4"/>
      <w:bookmarkStart w:id="460" w:name="_Toc186431855"/>
      <w:r>
        <w:rPr>
          <w:rFonts w:hint="eastAsia" w:ascii="宋体" w:hAnsi="宋体" w:cs="宋体"/>
          <w:sz w:val="24"/>
        </w:rPr>
        <w:t>。</w:t>
      </w:r>
    </w:p>
    <w:bookmarkEnd w:id="455"/>
    <w:bookmarkEnd w:id="456"/>
    <w:bookmarkEnd w:id="457"/>
    <w:bookmarkEnd w:id="458"/>
    <w:bookmarkEnd w:id="459"/>
    <w:bookmarkEnd w:id="460"/>
    <w:p>
      <w:pPr>
        <w:spacing w:line="560" w:lineRule="exact"/>
        <w:ind w:firstLine="482" w:firstLineChars="200"/>
        <w:outlineLvl w:val="0"/>
        <w:rPr>
          <w:rFonts w:ascii="宋体" w:hAnsi="宋体" w:cs="宋体"/>
          <w:b/>
          <w:sz w:val="24"/>
        </w:rPr>
      </w:pPr>
      <w:bookmarkStart w:id="461" w:name="_Ref467379863"/>
      <w:bookmarkStart w:id="462" w:name="_Toc487900358"/>
      <w:bookmarkStart w:id="463" w:name="_Ref467379852"/>
      <w:bookmarkStart w:id="464" w:name="_Toc279701248"/>
      <w:bookmarkStart w:id="465" w:name="_Toc259093677"/>
      <w:bookmarkStart w:id="466" w:name="_Ref467379923"/>
      <w:bookmarkStart w:id="467" w:name="_Toc16110"/>
      <w:bookmarkStart w:id="468" w:name="_Toc3225"/>
      <w:bookmarkStart w:id="469" w:name="_Toc774"/>
      <w:r>
        <w:rPr>
          <w:rFonts w:hint="eastAsia" w:ascii="宋体" w:hAnsi="宋体" w:cs="宋体"/>
          <w:b/>
          <w:sz w:val="24"/>
        </w:rPr>
        <w:t>2.6 技术资料</w:t>
      </w:r>
      <w:bookmarkEnd w:id="461"/>
      <w:bookmarkEnd w:id="462"/>
      <w:bookmarkEnd w:id="463"/>
      <w:bookmarkEnd w:id="464"/>
      <w:bookmarkEnd w:id="465"/>
      <w:bookmarkEnd w:id="466"/>
      <w:r>
        <w:rPr>
          <w:rFonts w:hint="eastAsia" w:ascii="宋体" w:hAnsi="宋体" w:cs="宋体"/>
          <w:b/>
          <w:sz w:val="24"/>
        </w:rPr>
        <w:t>和保密义务</w:t>
      </w:r>
      <w:bookmarkEnd w:id="467"/>
      <w:bookmarkEnd w:id="468"/>
      <w:bookmarkEnd w:id="469"/>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0" w:name="_Toc7860"/>
      <w:r>
        <w:rPr>
          <w:rFonts w:hint="eastAsia" w:ascii="宋体" w:hAnsi="宋体" w:cs="宋体"/>
          <w:b/>
          <w:sz w:val="24"/>
        </w:rPr>
        <w:t>2.7 质量保证</w:t>
      </w:r>
      <w:bookmarkEnd w:id="470"/>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1" w:name="_Toc17244"/>
      <w:bookmarkStart w:id="472" w:name="_Toc279701252"/>
      <w:bookmarkStart w:id="473" w:name="_Toc259093681"/>
      <w:bookmarkStart w:id="474" w:name="_Toc487900362"/>
      <w:r>
        <w:rPr>
          <w:rFonts w:hint="eastAsia" w:ascii="宋体" w:hAnsi="宋体" w:cs="宋体"/>
          <w:b/>
          <w:sz w:val="24"/>
        </w:rPr>
        <w:t>2.8 货物的风险负担</w:t>
      </w:r>
      <w:bookmarkEnd w:id="471"/>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75" w:name="_Toc14055"/>
      <w:r>
        <w:rPr>
          <w:rFonts w:hint="eastAsia" w:ascii="宋体" w:hAnsi="宋体" w:cs="宋体"/>
          <w:b/>
          <w:sz w:val="24"/>
        </w:rPr>
        <w:t>2.9 延迟交货</w:t>
      </w:r>
      <w:bookmarkEnd w:id="472"/>
      <w:bookmarkEnd w:id="473"/>
      <w:bookmarkEnd w:id="474"/>
      <w:bookmarkEnd w:id="475"/>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76" w:name="_Toc7502"/>
      <w:bookmarkStart w:id="477" w:name="_Toc279701254"/>
      <w:bookmarkStart w:id="478" w:name="_Toc487900364"/>
      <w:bookmarkStart w:id="479" w:name="_Ref467378121"/>
      <w:bookmarkStart w:id="480" w:name="_Toc259093683"/>
      <w:r>
        <w:rPr>
          <w:rFonts w:hint="eastAsia" w:ascii="宋体" w:hAnsi="宋体" w:cs="宋体"/>
          <w:b/>
          <w:sz w:val="24"/>
        </w:rPr>
        <w:t>2.10 合同变更</w:t>
      </w:r>
      <w:bookmarkEnd w:id="476"/>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1" w:name="_Toc487900369"/>
      <w:bookmarkStart w:id="482" w:name="_Toc279701259"/>
      <w:bookmarkStart w:id="483" w:name="_Toc259093688"/>
    </w:p>
    <w:p>
      <w:pPr>
        <w:spacing w:line="560" w:lineRule="exact"/>
        <w:ind w:firstLine="482" w:firstLineChars="200"/>
        <w:outlineLvl w:val="0"/>
        <w:rPr>
          <w:rFonts w:ascii="宋体" w:hAnsi="宋体" w:cs="宋体"/>
          <w:b/>
          <w:sz w:val="24"/>
        </w:rPr>
      </w:pPr>
      <w:bookmarkStart w:id="484" w:name="_Toc22955"/>
      <w:bookmarkStart w:id="485" w:name="_Toc15237"/>
      <w:bookmarkStart w:id="486" w:name="_Toc10366"/>
      <w:r>
        <w:rPr>
          <w:rFonts w:hint="eastAsia" w:ascii="宋体" w:hAnsi="宋体" w:cs="宋体"/>
          <w:b/>
          <w:sz w:val="24"/>
        </w:rPr>
        <w:t>2.11 合同转让</w:t>
      </w:r>
      <w:bookmarkEnd w:id="481"/>
      <w:bookmarkEnd w:id="482"/>
      <w:bookmarkEnd w:id="483"/>
      <w:r>
        <w:rPr>
          <w:rFonts w:hint="eastAsia" w:ascii="宋体" w:hAnsi="宋体" w:cs="宋体"/>
          <w:b/>
          <w:sz w:val="24"/>
        </w:rPr>
        <w:t>和分包</w:t>
      </w:r>
      <w:bookmarkEnd w:id="484"/>
      <w:bookmarkEnd w:id="485"/>
      <w:bookmarkEnd w:id="486"/>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87" w:name="_Toc14066"/>
      <w:bookmarkStart w:id="488" w:name="_Toc16508"/>
      <w:bookmarkStart w:id="489" w:name="_Toc13566"/>
      <w:r>
        <w:rPr>
          <w:rFonts w:hint="eastAsia" w:ascii="宋体" w:hAnsi="宋体" w:cs="宋体"/>
          <w:b/>
          <w:sz w:val="24"/>
        </w:rPr>
        <w:t>2.12 不可抗力</w:t>
      </w:r>
      <w:bookmarkEnd w:id="487"/>
      <w:bookmarkEnd w:id="488"/>
      <w:bookmarkEnd w:id="489"/>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0" w:name="_Toc487900365"/>
      <w:bookmarkStart w:id="491" w:name="_Toc279701255"/>
      <w:bookmarkStart w:id="492" w:name="_Toc30676"/>
      <w:bookmarkStart w:id="493" w:name="_Toc259093684"/>
      <w:bookmarkStart w:id="494" w:name="_Toc6969"/>
      <w:bookmarkStart w:id="495" w:name="_Toc689"/>
      <w:r>
        <w:rPr>
          <w:rFonts w:hint="eastAsia" w:ascii="宋体" w:hAnsi="宋体" w:cs="宋体"/>
          <w:b/>
          <w:sz w:val="24"/>
        </w:rPr>
        <w:t>2.13 税费</w:t>
      </w:r>
      <w:bookmarkEnd w:id="490"/>
      <w:bookmarkEnd w:id="491"/>
      <w:bookmarkEnd w:id="492"/>
      <w:bookmarkEnd w:id="493"/>
      <w:bookmarkEnd w:id="494"/>
      <w:bookmarkEnd w:id="495"/>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496" w:name="_Toc487900368"/>
      <w:bookmarkStart w:id="497" w:name="_Toc7102"/>
      <w:bookmarkStart w:id="498" w:name="_Toc16959"/>
      <w:bookmarkStart w:id="499" w:name="_Toc259093687"/>
      <w:bookmarkStart w:id="500" w:name="_Toc8298"/>
      <w:bookmarkStart w:id="501" w:name="_Toc279701258"/>
      <w:r>
        <w:rPr>
          <w:rFonts w:hint="eastAsia" w:ascii="宋体" w:hAnsi="宋体" w:cs="宋体"/>
          <w:b/>
          <w:sz w:val="24"/>
        </w:rPr>
        <w:t>2.14乙方破产</w:t>
      </w:r>
      <w:bookmarkEnd w:id="496"/>
      <w:bookmarkEnd w:id="497"/>
      <w:bookmarkEnd w:id="498"/>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2" w:name="_Toc29333"/>
      <w:bookmarkStart w:id="503" w:name="_Toc15387"/>
      <w:bookmarkStart w:id="504" w:name="_Toc6134"/>
      <w:r>
        <w:rPr>
          <w:rFonts w:hint="eastAsia" w:ascii="宋体" w:hAnsi="宋体" w:cs="宋体"/>
          <w:b/>
          <w:sz w:val="24"/>
        </w:rPr>
        <w:t>2.15 合同中止、终止</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05" w:name="_Toc1125"/>
      <w:bookmarkStart w:id="506" w:name="_Toc14563"/>
      <w:bookmarkStart w:id="507" w:name="_Toc6596"/>
      <w:r>
        <w:rPr>
          <w:rFonts w:hint="eastAsia" w:ascii="宋体" w:hAnsi="宋体" w:cs="宋体"/>
          <w:b/>
          <w:sz w:val="24"/>
        </w:rPr>
        <w:t>2.16检验和验收</w:t>
      </w:r>
      <w:bookmarkEnd w:id="505"/>
      <w:bookmarkEnd w:id="506"/>
      <w:bookmarkEnd w:id="507"/>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7"/>
    <w:bookmarkEnd w:id="478"/>
    <w:bookmarkEnd w:id="479"/>
    <w:bookmarkEnd w:id="480"/>
    <w:p>
      <w:pPr>
        <w:spacing w:line="560" w:lineRule="exact"/>
        <w:ind w:firstLine="482" w:firstLineChars="200"/>
        <w:outlineLvl w:val="0"/>
        <w:rPr>
          <w:rFonts w:ascii="宋体" w:hAnsi="宋体" w:cs="宋体"/>
          <w:b/>
          <w:sz w:val="24"/>
        </w:rPr>
      </w:pPr>
      <w:bookmarkStart w:id="508" w:name="_Toc259093690"/>
      <w:bookmarkStart w:id="509" w:name="_Toc279701261"/>
      <w:bookmarkStart w:id="510" w:name="_Toc487900371"/>
      <w:bookmarkStart w:id="511" w:name="_Toc19604"/>
      <w:bookmarkStart w:id="512" w:name="_Toc25182"/>
      <w:bookmarkStart w:id="513" w:name="_Toc11284"/>
      <w:r>
        <w:rPr>
          <w:rFonts w:hint="eastAsia" w:ascii="宋体" w:hAnsi="宋体" w:cs="宋体"/>
          <w:b/>
          <w:sz w:val="24"/>
        </w:rPr>
        <w:t>2.17 通知</w:t>
      </w:r>
      <w:bookmarkEnd w:id="508"/>
      <w:bookmarkEnd w:id="509"/>
      <w:bookmarkEnd w:id="510"/>
      <w:r>
        <w:rPr>
          <w:rFonts w:hint="eastAsia" w:ascii="宋体" w:hAnsi="宋体" w:cs="宋体"/>
          <w:b/>
          <w:sz w:val="24"/>
        </w:rPr>
        <w:t>和送达</w:t>
      </w:r>
      <w:bookmarkEnd w:id="511"/>
      <w:bookmarkEnd w:id="512"/>
      <w:bookmarkEnd w:id="513"/>
    </w:p>
    <w:p>
      <w:pPr>
        <w:spacing w:line="560" w:lineRule="exact"/>
        <w:ind w:firstLine="480" w:firstLineChars="200"/>
        <w:rPr>
          <w:rFonts w:ascii="宋体" w:hAnsi="宋体" w:cs="宋体"/>
          <w:sz w:val="24"/>
        </w:rPr>
      </w:pPr>
      <w:bookmarkStart w:id="514" w:name="_Toc3135"/>
      <w:bookmarkStart w:id="515" w:name="_Toc6698"/>
      <w:bookmarkStart w:id="516" w:name="_Toc259093691"/>
      <w:bookmarkStart w:id="517" w:name="_Toc487900372"/>
      <w:bookmarkStart w:id="518"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4"/>
      <w:bookmarkEnd w:id="515"/>
    </w:p>
    <w:p>
      <w:pPr>
        <w:spacing w:line="560" w:lineRule="exact"/>
        <w:ind w:firstLine="480" w:firstLineChars="200"/>
        <w:rPr>
          <w:rFonts w:ascii="宋体" w:hAnsi="宋体" w:cs="宋体"/>
          <w:sz w:val="24"/>
        </w:rPr>
      </w:pPr>
      <w:bookmarkStart w:id="519" w:name="_Toc23128"/>
      <w:bookmarkStart w:id="52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9"/>
      <w:bookmarkEnd w:id="520"/>
    </w:p>
    <w:p>
      <w:pPr>
        <w:spacing w:line="560" w:lineRule="exact"/>
        <w:ind w:firstLine="482" w:firstLineChars="200"/>
        <w:outlineLvl w:val="0"/>
        <w:rPr>
          <w:rFonts w:ascii="宋体" w:hAnsi="宋体" w:cs="宋体"/>
          <w:b/>
          <w:sz w:val="24"/>
        </w:rPr>
      </w:pPr>
      <w:bookmarkStart w:id="521" w:name="_Toc18540"/>
      <w:bookmarkStart w:id="522" w:name="_Toc4355"/>
      <w:bookmarkStart w:id="523" w:name="_Toc30599"/>
      <w:r>
        <w:rPr>
          <w:rFonts w:hint="eastAsia" w:ascii="宋体" w:hAnsi="宋体" w:cs="宋体"/>
          <w:b/>
          <w:sz w:val="24"/>
        </w:rPr>
        <w:t>2.18 计量单位</w:t>
      </w:r>
      <w:bookmarkEnd w:id="516"/>
      <w:bookmarkEnd w:id="517"/>
      <w:bookmarkEnd w:id="518"/>
      <w:bookmarkEnd w:id="521"/>
      <w:bookmarkEnd w:id="522"/>
      <w:bookmarkEnd w:id="52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24" w:name="_Toc487900373"/>
      <w:bookmarkStart w:id="525" w:name="_Toc279701263"/>
      <w:bookmarkStart w:id="526" w:name="_Toc12773"/>
      <w:bookmarkStart w:id="527" w:name="_Toc10330"/>
      <w:bookmarkStart w:id="528" w:name="_Toc259093692"/>
      <w:bookmarkStart w:id="529" w:name="_Toc18567"/>
      <w:r>
        <w:rPr>
          <w:rFonts w:hint="eastAsia" w:ascii="宋体" w:hAnsi="宋体" w:cs="宋体"/>
          <w:b/>
          <w:sz w:val="24"/>
        </w:rPr>
        <w:t>2.19 合同使用的文字和适用的法律</w:t>
      </w:r>
      <w:bookmarkEnd w:id="524"/>
      <w:bookmarkEnd w:id="525"/>
      <w:bookmarkEnd w:id="526"/>
      <w:bookmarkEnd w:id="527"/>
      <w:bookmarkEnd w:id="528"/>
      <w:bookmarkEnd w:id="529"/>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0" w:name="_Toc14001"/>
      <w:bookmarkStart w:id="531" w:name="_Toc6885"/>
      <w:bookmarkStart w:id="532" w:name="_Toc19890"/>
      <w:r>
        <w:rPr>
          <w:rFonts w:hint="eastAsia" w:ascii="宋体" w:hAnsi="宋体" w:cs="宋体"/>
          <w:b/>
          <w:sz w:val="24"/>
        </w:rPr>
        <w:t>2.2</w:t>
      </w:r>
      <w:r>
        <w:rPr>
          <w:rFonts w:hint="eastAsia" w:ascii="宋体" w:hAnsi="宋体" w:cs="宋体"/>
          <w:b/>
          <w:sz w:val="24"/>
          <w:lang w:val="en-US" w:eastAsia="zh-CN"/>
        </w:rPr>
        <w:t>0</w:t>
      </w:r>
      <w:r>
        <w:rPr>
          <w:rFonts w:hint="eastAsia" w:ascii="宋体" w:hAnsi="宋体" w:cs="宋体"/>
          <w:b/>
          <w:sz w:val="24"/>
        </w:rPr>
        <w:t>合同份数</w:t>
      </w:r>
      <w:bookmarkEnd w:id="530"/>
      <w:bookmarkEnd w:id="531"/>
      <w:bookmarkEnd w:id="532"/>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33" w:name="_Toc331685784"/>
      <w:r>
        <w:rPr>
          <w:rFonts w:hint="eastAsia" w:ascii="宋体" w:hAnsi="宋体" w:cs="宋体"/>
          <w:b/>
          <w:sz w:val="32"/>
          <w:szCs w:val="20"/>
        </w:rPr>
        <w:t xml:space="preserve"> </w:t>
      </w:r>
      <w:bookmarkEnd w:id="533"/>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1.4</w:t>
            </w:r>
          </w:p>
        </w:tc>
        <w:tc>
          <w:tcPr>
            <w:tcW w:w="4533" w:type="pct"/>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乙方（否）需要支付履约保证金。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1.5</w:t>
            </w:r>
          </w:p>
        </w:tc>
        <w:tc>
          <w:tcPr>
            <w:tcW w:w="4533" w:type="pct"/>
            <w:vAlign w:val="center"/>
          </w:tcPr>
          <w:p>
            <w:pPr>
              <w:spacing w:line="360" w:lineRule="auto"/>
              <w:rPr>
                <w:rFonts w:hint="eastAsia" w:ascii="宋体" w:hAnsi="宋体" w:cs="宋体"/>
                <w:sz w:val="24"/>
                <w:highlight w:val="yellow"/>
                <w:lang w:bidi="ar"/>
              </w:rPr>
            </w:pPr>
            <w:r>
              <w:rPr>
                <w:rFonts w:hint="eastAsia" w:ascii="Times New Roman" w:hAnsi="Times New Roman" w:eastAsia="宋体" w:cs="Times New Roman"/>
                <w:color w:val="auto"/>
                <w:sz w:val="24"/>
                <w:highlight w:val="none"/>
                <w:lang w:val="en-US" w:eastAsia="zh-CN"/>
              </w:rPr>
              <w:t>甲方（是）需要支付预付款。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1.5.1</w:t>
            </w:r>
          </w:p>
        </w:tc>
        <w:tc>
          <w:tcPr>
            <w:tcW w:w="4533" w:type="pct"/>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rPr>
              <w:t>合同签订生效后7个工作日内支付合同金额的40％预付款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4533" w:type="pct"/>
            <w:vAlign w:val="center"/>
          </w:tcPr>
          <w:p>
            <w:pPr>
              <w:pStyle w:val="59"/>
              <w:snapToGrid w:val="0"/>
              <w:spacing w:before="0" w:beforeAutospacing="0" w:after="0" w:afterAutospacing="0" w:line="300" w:lineRule="auto"/>
              <w:rPr>
                <w:highlight w:val="none"/>
              </w:rPr>
            </w:pPr>
            <w:r>
              <w:rPr>
                <w:rFonts w:hint="default" w:ascii="Times New Roman" w:hAnsi="Times New Roman" w:cs="Times New Roman"/>
                <w:color w:val="auto"/>
                <w:sz w:val="24"/>
                <w:highlight w:val="none"/>
              </w:rPr>
              <w:t>资金支付的方式、时间和条件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1.6.2</w:t>
            </w:r>
          </w:p>
        </w:tc>
        <w:tc>
          <w:tcPr>
            <w:tcW w:w="4533" w:type="pct"/>
            <w:vAlign w:val="center"/>
          </w:tcPr>
          <w:p>
            <w:pPr>
              <w:adjustRightInd/>
              <w:spacing w:line="300" w:lineRule="auto"/>
              <w:rPr>
                <w:rFonts w:ascii="宋体" w:hAnsi="宋体"/>
                <w:kern w:val="0"/>
                <w:sz w:val="24"/>
                <w:highlight w:val="none"/>
              </w:rPr>
            </w:pPr>
            <w:r>
              <w:rPr>
                <w:rFonts w:hint="eastAsia" w:ascii="宋体" w:hAnsi="宋体" w:cs="宋体"/>
                <w:sz w:val="24"/>
              </w:rPr>
              <w:t>合同签订生效后7个工作日内支付合同金额</w:t>
            </w:r>
            <w:r>
              <w:rPr>
                <w:rFonts w:hint="eastAsia" w:ascii="宋体" w:hAnsi="宋体" w:cs="宋体"/>
                <w:sz w:val="24"/>
                <w:highlight w:val="none"/>
              </w:rPr>
              <w:t>的40％预付款，</w:t>
            </w:r>
            <w:r>
              <w:rPr>
                <w:rFonts w:hint="eastAsia" w:ascii="宋体" w:hAnsi="宋体" w:cs="宋体"/>
                <w:sz w:val="24"/>
                <w:highlight w:val="none"/>
                <w:lang w:val="en-US" w:eastAsia="zh-CN"/>
              </w:rPr>
              <w:t>项目竣工并整体验收合格后15个工作日内支付余款</w:t>
            </w: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4533" w:type="pct"/>
            <w:vAlign w:val="center"/>
          </w:tcPr>
          <w:p>
            <w:pPr>
              <w:spacing w:line="300" w:lineRule="auto"/>
              <w:rPr>
                <w:rFonts w:hint="eastAsia" w:ascii="宋体" w:hAnsi="宋体"/>
                <w:kern w:val="0"/>
                <w:sz w:val="24"/>
                <w:highlight w:val="none"/>
              </w:rPr>
            </w:pPr>
            <w:r>
              <w:rPr>
                <w:rFonts w:hint="default" w:ascii="Times New Roman" w:hAnsi="Times New Roman" w:cs="Times New Roman"/>
                <w:b w:val="0"/>
                <w:bCs/>
                <w:color w:val="auto"/>
                <w:sz w:val="24"/>
                <w:highlight w:val="none"/>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1.7.1</w:t>
            </w:r>
          </w:p>
        </w:tc>
        <w:tc>
          <w:tcPr>
            <w:tcW w:w="4533" w:type="pct"/>
            <w:vAlign w:val="center"/>
          </w:tcPr>
          <w:p>
            <w:pPr>
              <w:spacing w:line="360" w:lineRule="auto"/>
              <w:rPr>
                <w:rFonts w:hint="eastAsia" w:ascii="宋体" w:hAnsi="宋体"/>
                <w:kern w:val="0"/>
                <w:sz w:val="24"/>
                <w:highlight w:val="none"/>
              </w:rPr>
            </w:pPr>
            <w:r>
              <w:rPr>
                <w:rFonts w:hint="default" w:ascii="Times New Roman" w:hAnsi="Times New Roman" w:eastAsia="宋体" w:cs="Times New Roman"/>
                <w:b w:val="0"/>
                <w:bCs w:val="0"/>
                <w:color w:val="auto"/>
                <w:sz w:val="24"/>
                <w:highlight w:val="none"/>
              </w:rPr>
              <w:t>交付期限：</w:t>
            </w:r>
            <w:r>
              <w:rPr>
                <w:rFonts w:hint="eastAsia" w:ascii="宋体" w:hAnsi="宋体" w:cs="宋体"/>
                <w:bCs/>
                <w:snapToGrid w:val="0"/>
                <w:kern w:val="28"/>
                <w:sz w:val="24"/>
                <w:szCs w:val="20"/>
              </w:rPr>
              <w:t>合同签订后30天内完成设备及材料供货、安装、调试、试运行、正式验收及交付使用，具体应与工程施工总进度计划同步</w:t>
            </w: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1.7.2</w:t>
            </w:r>
          </w:p>
        </w:tc>
        <w:tc>
          <w:tcPr>
            <w:tcW w:w="4533" w:type="pct"/>
            <w:vAlign w:val="center"/>
          </w:tcPr>
          <w:p>
            <w:pPr>
              <w:snapToGrid w:val="0"/>
              <w:spacing w:line="360" w:lineRule="auto"/>
              <w:rPr>
                <w:rFonts w:ascii="Times New Roman" w:hAnsi="Times New Roman" w:eastAsia="仿宋" w:cs="Times New Roman"/>
                <w:b w:val="0"/>
                <w:bCs w:val="0"/>
                <w:color w:val="auto"/>
                <w:sz w:val="24"/>
                <w:szCs w:val="24"/>
                <w:highlight w:val="none"/>
              </w:rPr>
            </w:pPr>
            <w:r>
              <w:rPr>
                <w:rFonts w:hint="default" w:ascii="Times New Roman" w:hAnsi="Times New Roman" w:eastAsia="宋体" w:cs="Times New Roman"/>
                <w:b w:val="0"/>
                <w:bCs w:val="0"/>
                <w:color w:val="auto"/>
                <w:sz w:val="24"/>
                <w:highlight w:val="none"/>
              </w:rPr>
              <w:t>交付地点：</w:t>
            </w:r>
          </w:p>
          <w:p>
            <w:pPr>
              <w:spacing w:line="30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杭州市翠苑中学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1.7.3</w:t>
            </w:r>
          </w:p>
        </w:tc>
        <w:tc>
          <w:tcPr>
            <w:tcW w:w="4533" w:type="pct"/>
            <w:vAlign w:val="center"/>
          </w:tcPr>
          <w:p>
            <w:pPr>
              <w:snapToGrid w:val="0"/>
              <w:spacing w:line="360" w:lineRule="auto"/>
              <w:rPr>
                <w:rFonts w:ascii="Times New Roman" w:hAnsi="Times New Roman" w:eastAsia="仿宋" w:cs="Times New Roman"/>
                <w:b w:val="0"/>
                <w:bCs w:val="0"/>
                <w:color w:val="auto"/>
                <w:sz w:val="24"/>
                <w:szCs w:val="24"/>
                <w:highlight w:val="none"/>
              </w:rPr>
            </w:pPr>
            <w:r>
              <w:rPr>
                <w:rFonts w:hint="default" w:ascii="Times New Roman" w:hAnsi="Times New Roman" w:eastAsia="宋体" w:cs="Times New Roman"/>
                <w:b w:val="0"/>
                <w:bCs w:val="0"/>
                <w:color w:val="auto"/>
                <w:sz w:val="24"/>
                <w:highlight w:val="none"/>
              </w:rPr>
              <w:t>交付方式：</w:t>
            </w:r>
          </w:p>
          <w:p>
            <w:pPr>
              <w:adjustRightInd/>
              <w:spacing w:line="300" w:lineRule="auto"/>
              <w:rPr>
                <w:rFonts w:hint="eastAsia" w:ascii="宋体" w:hAnsi="宋体" w:eastAsia="宋体"/>
                <w:kern w:val="0"/>
                <w:sz w:val="24"/>
                <w:lang w:val="en-US" w:eastAsia="zh-CN"/>
              </w:rPr>
            </w:pPr>
            <w:r>
              <w:rPr>
                <w:rFonts w:hint="eastAsia" w:ascii="宋体" w:hAnsi="宋体"/>
                <w:kern w:val="0"/>
                <w:sz w:val="24"/>
              </w:rPr>
              <w:t>现场交付</w:t>
            </w:r>
            <w:r>
              <w:rPr>
                <w:rFonts w:hint="eastAsia" w:ascii="宋体" w:hAnsi="宋体"/>
                <w:kern w:val="0"/>
                <w:sz w:val="24"/>
                <w:lang w:eastAsia="zh-CN"/>
              </w:rPr>
              <w:t>。</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1.8</w:t>
            </w:r>
          </w:p>
        </w:tc>
        <w:tc>
          <w:tcPr>
            <w:tcW w:w="4533" w:type="pct"/>
            <w:vAlign w:val="center"/>
          </w:tcPr>
          <w:p>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1.8.6</w:t>
            </w:r>
          </w:p>
        </w:tc>
        <w:tc>
          <w:tcPr>
            <w:tcW w:w="4533" w:type="pct"/>
            <w:vAlign w:val="center"/>
          </w:tcPr>
          <w:p>
            <w:pPr>
              <w:spacing w:line="300" w:lineRule="auto"/>
              <w:rPr>
                <w:rFonts w:ascii="宋体" w:hAnsi="宋体" w:cs="宋体"/>
                <w:sz w:val="24"/>
              </w:rPr>
            </w:pPr>
            <w:r>
              <w:rPr>
                <w:rFonts w:hint="eastAsia" w:ascii="宋体" w:hAnsi="宋体" w:cs="宋体"/>
                <w:sz w:val="24"/>
              </w:rPr>
              <w:t>其他违约条款（可自行补充）</w:t>
            </w:r>
          </w:p>
          <w:p>
            <w:pPr>
              <w:numPr>
                <w:ilvl w:val="0"/>
                <w:numId w:val="16"/>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pPr>
              <w:numPr>
                <w:ilvl w:val="0"/>
                <w:numId w:val="16"/>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16"/>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pPr>
              <w:numPr>
                <w:ilvl w:val="0"/>
                <w:numId w:val="16"/>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4533" w:type="pct"/>
            <w:vAlign w:val="center"/>
          </w:tcPr>
          <w:p>
            <w:pPr>
              <w:spacing w:line="360" w:lineRule="auto"/>
              <w:rPr>
                <w:rFonts w:hint="eastAsia" w:ascii="宋体" w:hAnsi="宋体" w:eastAsia="宋体" w:cs="宋体"/>
                <w:sz w:val="24"/>
                <w:highlight w:val="none"/>
                <w:lang w:eastAsia="zh-CN"/>
              </w:rPr>
            </w:pPr>
            <w:r>
              <w:rPr>
                <w:rFonts w:hint="eastAsia" w:ascii="宋体" w:hAnsi="宋体" w:cs="宋体"/>
                <w:kern w:val="0"/>
                <w:sz w:val="24"/>
                <w:highlight w:val="none"/>
              </w:rPr>
              <w:t>将争议提交杭州市仲裁委员会依申请仲裁时其现行有效的仲裁规则裁决</w:t>
            </w:r>
            <w:r>
              <w:rPr>
                <w:rFonts w:hint="eastAsia" w:ascii="宋体" w:hAnsi="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4533" w:type="pct"/>
            <w:vAlign w:val="center"/>
          </w:tcPr>
          <w:p>
            <w:pPr>
              <w:spacing w:line="360" w:lineRule="auto"/>
              <w:rPr>
                <w:rFonts w:ascii="宋体" w:hAnsi="宋体" w:cs="宋体"/>
                <w:sz w:val="24"/>
                <w:highlight w:val="none"/>
              </w:rPr>
            </w:pPr>
            <w:r>
              <w:rPr>
                <w:rFonts w:hint="eastAsia" w:ascii="宋体" w:hAnsi="宋体" w:cs="宋体"/>
                <w:kern w:val="0"/>
                <w:sz w:val="24"/>
                <w:highlight w:val="none"/>
              </w:rPr>
              <w:t>向杭州市</w:t>
            </w:r>
            <w:r>
              <w:rPr>
                <w:rFonts w:hint="eastAsia" w:ascii="宋体" w:hAnsi="宋体" w:cs="宋体"/>
                <w:kern w:val="0"/>
                <w:sz w:val="24"/>
                <w:highlight w:val="none"/>
                <w:lang w:val="en-US" w:eastAsia="zh-CN"/>
              </w:rPr>
              <w:t>西湖</w:t>
            </w:r>
            <w:r>
              <w:rPr>
                <w:rFonts w:hint="eastAsia" w:ascii="宋体" w:hAnsi="宋体" w:cs="宋体"/>
                <w:kern w:val="0"/>
                <w:sz w:val="24"/>
                <w:highlight w:val="none"/>
              </w:rPr>
              <w:t>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2.3.2</w:t>
            </w:r>
          </w:p>
        </w:tc>
        <w:tc>
          <w:tcPr>
            <w:tcW w:w="4533" w:type="pct"/>
            <w:vAlign w:val="center"/>
          </w:tcPr>
          <w:p>
            <w:pPr>
              <w:spacing w:line="360" w:lineRule="auto"/>
              <w:rPr>
                <w:rFonts w:hint="eastAsia" w:ascii="宋体" w:hAnsi="宋体" w:eastAsia="宋体" w:cs="宋体"/>
                <w:kern w:val="0"/>
                <w:sz w:val="24"/>
                <w:highlight w:val="none"/>
              </w:rPr>
            </w:pPr>
            <w:r>
              <w:rPr>
                <w:rFonts w:hint="eastAsia"/>
                <w:color w:val="auto"/>
                <w:sz w:val="24"/>
                <w:szCs w:val="24"/>
                <w:highlight w:val="none"/>
              </w:rPr>
              <w:t>具有知识产权的自控软件的知识产权归属，归甲方。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2.4.1</w:t>
            </w:r>
          </w:p>
        </w:tc>
        <w:tc>
          <w:tcPr>
            <w:tcW w:w="4533" w:type="pct"/>
            <w:vAlign w:val="center"/>
          </w:tcPr>
          <w:p>
            <w:pPr>
              <w:spacing w:line="360" w:lineRule="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2.4.3</w:t>
            </w:r>
          </w:p>
        </w:tc>
        <w:tc>
          <w:tcPr>
            <w:tcW w:w="4533" w:type="pct"/>
            <w:vAlign w:val="center"/>
          </w:tcPr>
          <w:p>
            <w:pPr>
              <w:spacing w:line="360" w:lineRule="auto"/>
              <w:rPr>
                <w:rFonts w:hint="eastAsia" w:ascii="宋体" w:hAnsi="宋体" w:eastAsia="宋体" w:cs="宋体"/>
                <w:kern w:val="0"/>
                <w:sz w:val="24"/>
                <w:highlight w:val="none"/>
              </w:rPr>
            </w:pPr>
            <w:r>
              <w:rPr>
                <w:rFonts w:hint="eastAsia"/>
                <w:color w:val="auto"/>
                <w:sz w:val="24"/>
                <w:highlight w:val="none"/>
              </w:rPr>
              <w:t>装运货物的要求和通知：乙方装运货物后需在送货前三个工作日通知甲方。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2.8</w:t>
            </w:r>
          </w:p>
        </w:tc>
        <w:tc>
          <w:tcPr>
            <w:tcW w:w="4533" w:type="pct"/>
            <w:vAlign w:val="center"/>
          </w:tcPr>
          <w:p>
            <w:pPr>
              <w:spacing w:line="360" w:lineRule="auto"/>
              <w:rPr>
                <w:rFonts w:hint="eastAsia" w:ascii="宋体" w:hAnsi="宋体" w:eastAsia="宋体" w:cs="宋体"/>
                <w:kern w:val="0"/>
                <w:sz w:val="24"/>
                <w:highlight w:val="none"/>
              </w:rPr>
            </w:pPr>
            <w:r>
              <w:rPr>
                <w:rFonts w:hint="eastAsia"/>
                <w:color w:val="auto"/>
                <w:sz w:val="24"/>
                <w:szCs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2.12.3</w:t>
            </w:r>
          </w:p>
        </w:tc>
        <w:tc>
          <w:tcPr>
            <w:tcW w:w="4533" w:type="pct"/>
            <w:vAlign w:val="center"/>
          </w:tcPr>
          <w:p>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因不可抗力致使合同有变更必要的，双方当事人应在</w:t>
            </w:r>
            <w:r>
              <w:rPr>
                <w:rFonts w:hint="eastAsia" w:ascii="宋体" w:hAnsi="宋体" w:cs="宋体"/>
                <w:b/>
                <w:bCs/>
                <w:kern w:val="0"/>
                <w:sz w:val="24"/>
                <w:highlight w:val="none"/>
                <w:u w:val="single"/>
                <w:lang w:val="en-US" w:eastAsia="zh-CN"/>
              </w:rPr>
              <w:t>7</w:t>
            </w:r>
            <w:r>
              <w:rPr>
                <w:rFonts w:hint="eastAsia" w:ascii="宋体" w:hAnsi="宋体" w:eastAsia="宋体" w:cs="宋体"/>
                <w:b/>
                <w:bCs/>
                <w:kern w:val="0"/>
                <w:sz w:val="24"/>
                <w:highlight w:val="none"/>
                <w:u w:val="single"/>
                <w:lang w:val="en-US" w:eastAsia="zh-CN"/>
              </w:rPr>
              <w:t>日</w:t>
            </w:r>
            <w:r>
              <w:rPr>
                <w:rFonts w:hint="eastAsia" w:ascii="宋体" w:hAnsi="宋体" w:eastAsia="宋体" w:cs="宋体"/>
                <w:kern w:val="0"/>
                <w:sz w:val="24"/>
                <w:highlight w:val="none"/>
              </w:rPr>
              <w:t>约定时间内以书面形式变更合同</w:t>
            </w:r>
            <w:r>
              <w:rPr>
                <w:rFonts w:hint="eastAsia" w:ascii="宋体" w:hAnsi="宋体" w:eastAsia="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2.12.4</w:t>
            </w:r>
          </w:p>
        </w:tc>
        <w:tc>
          <w:tcPr>
            <w:tcW w:w="4533" w:type="pct"/>
            <w:vAlign w:val="center"/>
          </w:tcPr>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受不可抗力影响的一方在不可抗力发生后，应在</w:t>
            </w:r>
            <w:r>
              <w:rPr>
                <w:rFonts w:hint="eastAsia" w:ascii="宋体" w:hAnsi="宋体" w:cs="宋体"/>
                <w:b/>
                <w:bCs/>
                <w:kern w:val="0"/>
                <w:sz w:val="24"/>
                <w:highlight w:val="none"/>
                <w:u w:val="single"/>
                <w:lang w:val="en-US" w:eastAsia="zh-CN"/>
              </w:rPr>
              <w:t>7</w:t>
            </w:r>
            <w:r>
              <w:rPr>
                <w:rFonts w:hint="eastAsia" w:ascii="宋体" w:hAnsi="宋体" w:eastAsia="宋体" w:cs="宋体"/>
                <w:b/>
                <w:bCs/>
                <w:kern w:val="0"/>
                <w:sz w:val="24"/>
                <w:highlight w:val="none"/>
                <w:u w:val="single"/>
              </w:rPr>
              <w:t>天内</w:t>
            </w:r>
            <w:r>
              <w:rPr>
                <w:rFonts w:hint="eastAsia" w:ascii="宋体" w:hAnsi="宋体" w:eastAsia="宋体" w:cs="宋体"/>
                <w:kern w:val="0"/>
                <w:sz w:val="24"/>
                <w:highlight w:val="none"/>
              </w:rPr>
              <w:t>以书面形式通知对方当事人，并在30日历天内，将有关部门出具的证明文件送达对方当事人。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2.16.1</w:t>
            </w:r>
          </w:p>
        </w:tc>
        <w:tc>
          <w:tcPr>
            <w:tcW w:w="4533" w:type="pct"/>
            <w:vAlign w:val="center"/>
          </w:tcPr>
          <w:p>
            <w:pPr>
              <w:spacing w:line="300" w:lineRule="auto"/>
              <w:rPr>
                <w:rFonts w:hint="default" w:hAnsi="宋体"/>
                <w:color w:val="auto"/>
                <w:sz w:val="24"/>
                <w:highlight w:val="none"/>
                <w:lang w:val="en-US"/>
              </w:rPr>
            </w:pPr>
            <w:r>
              <w:rPr>
                <w:rFonts w:hint="eastAsia"/>
                <w:color w:val="auto"/>
                <w:sz w:val="24"/>
                <w:szCs w:val="24"/>
                <w:highlight w:val="none"/>
                <w:lang w:eastAsia="zh-CN"/>
              </w:rPr>
              <w:t>乙方完成货物交付且具备验收条件后。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2.16.3</w:t>
            </w:r>
          </w:p>
        </w:tc>
        <w:tc>
          <w:tcPr>
            <w:tcW w:w="4533" w:type="pct"/>
            <w:vAlign w:val="center"/>
          </w:tcPr>
          <w:p>
            <w:pPr>
              <w:spacing w:line="360" w:lineRule="auto"/>
              <w:rPr>
                <w:b/>
                <w:color w:val="auto"/>
                <w:sz w:val="24"/>
              </w:rPr>
            </w:pPr>
            <w:r>
              <w:rPr>
                <w:rFonts w:hint="eastAsia" w:hAnsi="宋体"/>
                <w:b/>
                <w:color w:val="auto"/>
                <w:sz w:val="24"/>
              </w:rPr>
              <w:t>检验和验收标准、程序等具体内容以及前述验收书的效力：</w:t>
            </w:r>
          </w:p>
          <w:p>
            <w:pPr>
              <w:spacing w:line="300" w:lineRule="auto"/>
              <w:rPr>
                <w:rFonts w:ascii="宋体" w:hAnsi="宋体" w:cs="宋体"/>
                <w:sz w:val="24"/>
              </w:rPr>
            </w:pPr>
            <w:r>
              <w:rPr>
                <w:rFonts w:hint="eastAsia" w:hAnsi="宋体"/>
                <w:color w:val="auto"/>
                <w:sz w:val="24"/>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2.20</w:t>
            </w:r>
          </w:p>
        </w:tc>
        <w:tc>
          <w:tcPr>
            <w:tcW w:w="4533" w:type="pct"/>
          </w:tcPr>
          <w:p>
            <w:pPr>
              <w:spacing w:line="360" w:lineRule="auto"/>
              <w:rPr>
                <w:b/>
                <w:color w:val="auto"/>
                <w:sz w:val="24"/>
                <w:highlight w:val="none"/>
              </w:rPr>
            </w:pPr>
            <w:r>
              <w:rPr>
                <w:rFonts w:hint="eastAsia" w:hAnsi="宋体"/>
                <w:b/>
                <w:color w:val="auto"/>
                <w:sz w:val="24"/>
                <w:highlight w:val="none"/>
              </w:rPr>
              <w:t>合同份数：</w:t>
            </w:r>
          </w:p>
          <w:p>
            <w:pPr>
              <w:spacing w:line="300" w:lineRule="auto"/>
              <w:rPr>
                <w:rFonts w:ascii="宋体" w:hAnsi="宋体" w:cs="宋体"/>
                <w:sz w:val="24"/>
                <w:highlight w:val="none"/>
              </w:rPr>
            </w:pPr>
            <w:r>
              <w:rPr>
                <w:rFonts w:hint="eastAsia" w:hAnsi="宋体"/>
                <w:color w:val="auto"/>
                <w:sz w:val="24"/>
                <w:highlight w:val="none"/>
              </w:rPr>
              <w:t>一式</w:t>
            </w:r>
            <w:r>
              <w:rPr>
                <w:rFonts w:hint="eastAsia"/>
                <w:color w:val="auto"/>
                <w:sz w:val="24"/>
                <w:highlight w:val="none"/>
                <w:lang w:val="en-US" w:eastAsia="zh-CN"/>
              </w:rPr>
              <w:t>5</w:t>
            </w:r>
            <w:r>
              <w:rPr>
                <w:rFonts w:hint="eastAsia" w:hAnsi="宋体"/>
                <w:color w:val="auto"/>
                <w:sz w:val="24"/>
                <w:highlight w:val="none"/>
              </w:rPr>
              <w:t>份，甲方</w:t>
            </w:r>
            <w:r>
              <w:rPr>
                <w:rFonts w:hint="eastAsia"/>
                <w:color w:val="auto"/>
                <w:sz w:val="24"/>
                <w:highlight w:val="none"/>
                <w:lang w:val="en-US" w:eastAsia="zh-CN"/>
              </w:rPr>
              <w:t>2</w:t>
            </w:r>
            <w:r>
              <w:rPr>
                <w:rFonts w:hint="eastAsia" w:hAnsi="宋体"/>
                <w:color w:val="auto"/>
                <w:sz w:val="24"/>
                <w:highlight w:val="none"/>
              </w:rPr>
              <w:t>份，乙方</w:t>
            </w:r>
            <w:r>
              <w:rPr>
                <w:color w:val="auto"/>
                <w:sz w:val="24"/>
                <w:highlight w:val="none"/>
              </w:rPr>
              <w:t>2</w:t>
            </w:r>
            <w:r>
              <w:rPr>
                <w:rFonts w:hint="eastAsia" w:hAnsi="宋体"/>
                <w:color w:val="auto"/>
                <w:sz w:val="24"/>
                <w:highlight w:val="none"/>
              </w:rPr>
              <w:t>份</w:t>
            </w:r>
            <w:r>
              <w:rPr>
                <w:rFonts w:hint="eastAsia" w:hAnsi="宋体"/>
                <w:color w:val="auto"/>
                <w:sz w:val="24"/>
                <w:highlight w:val="none"/>
                <w:lang w:eastAsia="zh-CN"/>
              </w:rPr>
              <w:t>，</w:t>
            </w:r>
            <w:r>
              <w:rPr>
                <w:rFonts w:hint="eastAsia" w:hAnsi="宋体"/>
                <w:color w:val="auto"/>
                <w:sz w:val="24"/>
                <w:highlight w:val="none"/>
                <w:lang w:val="en-US" w:eastAsia="zh-CN"/>
              </w:rPr>
              <w:t>采购中心1份</w:t>
            </w:r>
            <w:r>
              <w:rPr>
                <w:rFonts w:hint="eastAsia" w:hAnsi="宋体"/>
                <w:color w:val="auto"/>
                <w:sz w:val="24"/>
                <w:highlight w:val="none"/>
              </w:rPr>
              <w:t>。</w:t>
            </w:r>
          </w:p>
        </w:tc>
      </w:tr>
    </w:tbl>
    <w:p>
      <w:pPr>
        <w:pStyle w:val="5"/>
      </w:pPr>
    </w:p>
    <w:p>
      <w:pPr>
        <w:pStyle w:val="5"/>
      </w:pPr>
    </w:p>
    <w:p>
      <w:pPr>
        <w:spacing w:line="360" w:lineRule="auto"/>
        <w:jc w:val="center"/>
        <w:outlineLvl w:val="0"/>
        <w:rPr>
          <w:rFonts w:hint="eastAsia" w:ascii="宋体" w:hAnsi="宋体" w:cs="宋体"/>
          <w:b/>
          <w:sz w:val="36"/>
          <w:szCs w:val="20"/>
        </w:rPr>
      </w:pPr>
    </w:p>
    <w:p>
      <w:pPr>
        <w:pStyle w:val="3"/>
        <w:rPr>
          <w:rFonts w:hint="eastAsia"/>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杭州市翠苑中学</w:t>
      </w:r>
      <w:r>
        <w:rPr>
          <w:rFonts w:hint="eastAsia" w:ascii="宋体" w:hAnsi="宋体" w:cs="宋体"/>
          <w:sz w:val="24"/>
        </w:rPr>
        <w:t>、杭州市西湖区政府采购中心：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2024年杭州市翠苑中学信息化设备（二期）改造项目</w:t>
      </w:r>
      <w:r>
        <w:rPr>
          <w:rFonts w:hint="eastAsia" w:ascii="宋体" w:hAnsi="宋体" w:cs="宋体"/>
          <w:sz w:val="24"/>
        </w:rPr>
        <w:t>【招标编号：</w:t>
      </w:r>
      <w:r>
        <w:rPr>
          <w:rFonts w:hint="eastAsia" w:ascii="宋体" w:hAnsi="宋体" w:cs="宋体"/>
          <w:sz w:val="24"/>
          <w:lang w:eastAsia="zh-CN"/>
        </w:rPr>
        <w:t>XHZFCG-2024-G-45</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5"/>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5"/>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杭州市翠苑中学</w:t>
      </w:r>
      <w:r>
        <w:rPr>
          <w:rFonts w:hint="eastAsia" w:ascii="宋体" w:hAnsi="宋体" w:cs="宋体"/>
          <w:sz w:val="24"/>
        </w:rPr>
        <w:t>、杭州市西湖区政府采购中心：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2024年杭州市翠苑中学信息化设备（二期）改造项目</w:t>
      </w:r>
      <w:r>
        <w:rPr>
          <w:rFonts w:hint="eastAsia" w:ascii="宋体" w:hAnsi="宋体" w:cs="宋体"/>
          <w:sz w:val="24"/>
        </w:rPr>
        <w:t>【招标编号：</w:t>
      </w:r>
      <w:r>
        <w:rPr>
          <w:rFonts w:hint="eastAsia" w:ascii="宋体" w:hAnsi="宋体" w:cs="宋体"/>
          <w:sz w:val="24"/>
          <w:lang w:eastAsia="zh-CN"/>
        </w:rPr>
        <w:t>XHZFCG-2024-G-45</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pPr>
      <w:r>
        <w:rPr>
          <w:rFonts w:hint="eastAsia" w:ascii="宋体" w:hAnsi="宋体" w:cs="宋体"/>
          <w:sz w:val="24"/>
        </w:rPr>
        <w:t>2.3.</w:t>
      </w:r>
      <w:r>
        <w:rPr>
          <w:rFonts w:hint="eastAsia" w:ascii="宋体" w:hAnsi="宋体" w:cs="宋体"/>
          <w:sz w:val="24"/>
          <w:lang w:val="en-US" w:eastAsia="zh-CN"/>
        </w:rPr>
        <w:t>2中小企业声明函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杭州市翠苑中学</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2024年杭州市翠苑中学信息化设备（二期）改造项目</w:t>
      </w:r>
      <w:r>
        <w:rPr>
          <w:rFonts w:hint="eastAsia" w:ascii="宋体" w:hAnsi="宋体" w:cs="宋体"/>
          <w:sz w:val="24"/>
        </w:rPr>
        <w:t>【招标编号：</w:t>
      </w:r>
      <w:r>
        <w:rPr>
          <w:rFonts w:hint="eastAsia" w:ascii="宋体" w:hAnsi="宋体" w:cs="宋体"/>
          <w:sz w:val="24"/>
          <w:lang w:eastAsia="zh-CN"/>
        </w:rPr>
        <w:t>XHZFCG-2024-G-45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杭州市翠苑中学</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2024年杭州市翠苑中学信息化设备（二期）改造项目</w:t>
      </w:r>
      <w:r>
        <w:rPr>
          <w:rFonts w:hint="eastAsia" w:ascii="宋体" w:hAnsi="宋体" w:cs="宋体"/>
          <w:sz w:val="24"/>
        </w:rPr>
        <w:t>【招标编号：</w:t>
      </w:r>
      <w:r>
        <w:rPr>
          <w:rFonts w:hint="eastAsia" w:ascii="宋体" w:hAnsi="宋体" w:cs="宋体"/>
          <w:sz w:val="24"/>
          <w:lang w:eastAsia="zh-CN"/>
        </w:rPr>
        <w:t>XHZFCG-2024-G-45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lang w:val="zh-CN"/>
        </w:rPr>
      </w:pP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34"/>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5"/>
        <w:rPr>
          <w:lang w:val="en-US"/>
        </w:rPr>
      </w:pPr>
    </w:p>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杭州市翠苑中学</w:t>
      </w:r>
      <w:r>
        <w:rPr>
          <w:rFonts w:hint="eastAsia" w:ascii="宋体" w:hAnsi="宋体" w:cs="宋体"/>
          <w:sz w:val="24"/>
        </w:rPr>
        <w:t>、杭州市西湖区政府采购中心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杭州市翠苑中学</w:t>
      </w:r>
      <w:r>
        <w:rPr>
          <w:rFonts w:hint="eastAsia" w:ascii="宋体" w:hAnsi="宋体" w:cs="宋体"/>
          <w:sz w:val="24"/>
        </w:rPr>
        <w:t>、杭州市西湖区政府采购中心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2024年杭州市翠苑中学信息化设备（二期）改造项目</w:t>
      </w:r>
      <w:r>
        <w:rPr>
          <w:rFonts w:hint="eastAsia" w:ascii="宋体" w:hAnsi="宋体" w:cs="宋体"/>
          <w:kern w:val="0"/>
          <w:sz w:val="24"/>
          <w:lang w:val="zh-CN"/>
        </w:rPr>
        <w:t>【招标编号：</w:t>
      </w:r>
      <w:r>
        <w:rPr>
          <w:rFonts w:hint="eastAsia" w:ascii="宋体" w:hAnsi="宋体" w:cs="宋体"/>
          <w:sz w:val="24"/>
          <w:lang w:eastAsia="zh-CN"/>
        </w:rPr>
        <w:t>XHZFCG-2024-G-45</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301"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920"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026"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124"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2301"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2301" w:type="dxa"/>
            <w:vAlign w:val="center"/>
          </w:tcPr>
          <w:p>
            <w:pPr>
              <w:snapToGrid w:val="0"/>
              <w:spacing w:line="360" w:lineRule="auto"/>
              <w:jc w:val="center"/>
              <w:rPr>
                <w:rFonts w:hint="default" w:ascii="Times New Roman" w:hAnsi="宋体" w:eastAsia="宋体" w:cs="Times New Roman"/>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rPr>
            </w:pPr>
            <w:r>
              <w:rPr>
                <w:rFonts w:hint="default" w:ascii="宋体" w:hAnsi="宋体" w:cs="宋体"/>
                <w:sz w:val="24"/>
                <w:lang w:val="en-US"/>
              </w:rPr>
              <w:t>3</w:t>
            </w:r>
          </w:p>
        </w:tc>
        <w:tc>
          <w:tcPr>
            <w:tcW w:w="2301"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rPr>
            </w:pPr>
            <w:r>
              <w:rPr>
                <w:rFonts w:hint="default" w:ascii="宋体" w:hAnsi="宋体" w:cs="宋体"/>
                <w:sz w:val="24"/>
                <w:lang w:val="en-US"/>
              </w:rPr>
              <w:t>4</w:t>
            </w:r>
          </w:p>
        </w:tc>
        <w:tc>
          <w:tcPr>
            <w:tcW w:w="2301"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default" w:ascii="宋体" w:hAnsi="宋体" w:cs="宋体"/>
                <w:sz w:val="24"/>
                <w:lang w:val="en-US"/>
              </w:rPr>
              <w:t>5</w:t>
            </w:r>
          </w:p>
        </w:tc>
        <w:tc>
          <w:tcPr>
            <w:tcW w:w="2301" w:type="dxa"/>
            <w:vAlign w:val="center"/>
          </w:tcPr>
          <w:p>
            <w:pPr>
              <w:snapToGrid w:val="0"/>
              <w:spacing w:line="360" w:lineRule="auto"/>
              <w:jc w:val="center"/>
              <w:rPr>
                <w:rFonts w:hint="eastAsia" w:ascii="Times New Roman" w:hAnsi="宋体" w:eastAsia="宋体" w:cs="Times New Roman"/>
                <w:color w:val="auto"/>
                <w:kern w:val="2"/>
                <w:sz w:val="24"/>
                <w:szCs w:val="24"/>
                <w:highlight w:val="none"/>
                <w:lang w:val="en-US" w:eastAsia="zh-CN" w:bidi="ar-SA"/>
              </w:rPr>
            </w:pP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lang w:eastAsia="zh-CN"/>
              </w:rPr>
              <w:t>是否为中小企业</w:t>
            </w:r>
          </w:p>
        </w:tc>
        <w:tc>
          <w:tcPr>
            <w:tcW w:w="7786" w:type="dxa"/>
            <w:gridSpan w:val="4"/>
            <w:vAlign w:val="center"/>
          </w:tcPr>
          <w:p>
            <w:pPr>
              <w:spacing w:line="360" w:lineRule="auto"/>
              <w:jc w:val="center"/>
              <w:rPr>
                <w:rFonts w:hint="eastAsia" w:ascii="宋体" w:hAnsi="宋体" w:eastAsia="宋体" w:cs="宋体"/>
                <w:color w:val="auto"/>
                <w:kern w:val="2"/>
                <w:sz w:val="24"/>
                <w:szCs w:val="24"/>
                <w:lang w:val="en-US" w:eastAsia="zh-CN" w:bidi="ar-SA"/>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pPr>
        <w:snapToGrid w:val="0"/>
        <w:spacing w:line="360" w:lineRule="auto"/>
        <w:ind w:left="480"/>
        <w:rPr>
          <w:rFonts w:hint="eastAsia"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pStyle w:val="2"/>
        <w:rPr>
          <w:rFonts w:hint="eastAsia"/>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lang w:val="en-US" w:eastAsia="zh-CN"/>
        </w:rPr>
        <w:t>日</w:t>
      </w:r>
    </w:p>
    <w:p>
      <w:pPr>
        <w:pStyle w:val="5"/>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25"/>
        <w:rPr>
          <w:rFonts w:hint="eastAsia" w:ascii="宋体" w:hAnsi="宋体" w:cs="宋体"/>
          <w:color w:val="auto"/>
          <w:kern w:val="0"/>
          <w:sz w:val="24"/>
          <w:highlight w:val="none"/>
          <w:lang w:val="en-US" w:eastAsia="zh-CN"/>
        </w:rPr>
      </w:pPr>
    </w:p>
    <w:p>
      <w:pPr>
        <w:pStyle w:val="26"/>
        <w:rPr>
          <w:rFonts w:hint="eastAsia" w:ascii="宋体" w:hAnsi="宋体" w:cs="宋体"/>
          <w:color w:val="auto"/>
          <w:kern w:val="0"/>
          <w:sz w:val="24"/>
          <w:highlight w:val="none"/>
          <w:lang w:val="en-US" w:eastAsia="zh-CN"/>
        </w:rPr>
      </w:pPr>
    </w:p>
    <w:p>
      <w:pPr>
        <w:rPr>
          <w:rFonts w:hint="eastAsia"/>
          <w:lang w:val="en-US" w:eastAsia="zh-CN"/>
        </w:rPr>
      </w:pPr>
    </w:p>
    <w:p>
      <w:pPr>
        <w:rPr>
          <w:rFonts w:hint="eastAsia" w:ascii="宋体" w:hAnsi="宋体" w:cs="宋体"/>
          <w:color w:val="auto"/>
          <w:kern w:val="0"/>
          <w:sz w:val="24"/>
          <w:highlight w:val="none"/>
          <w:lang w:val="en-US" w:eastAsia="zh-CN"/>
        </w:rPr>
      </w:pPr>
    </w:p>
    <w:p>
      <w:pPr>
        <w:pStyle w:val="5"/>
        <w:rPr>
          <w:rFonts w:hint="eastAsia" w:ascii="宋体" w:hAnsi="宋体" w:cs="宋体"/>
          <w:color w:val="auto"/>
          <w:kern w:val="0"/>
          <w:sz w:val="24"/>
          <w:highlight w:val="none"/>
          <w:lang w:val="en-US" w:eastAsia="zh-CN"/>
        </w:r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35" w:name="_Hlk101259491"/>
      <w:r>
        <w:rPr>
          <w:rFonts w:hint="eastAsia" w:ascii="宋体" w:hAnsi="宋体" w:eastAsia="宋体" w:cs="宋体"/>
          <w:color w:val="auto"/>
          <w:sz w:val="32"/>
          <w:szCs w:val="32"/>
        </w:rPr>
        <w:t>（如果有）</w:t>
      </w:r>
      <w:bookmarkEnd w:id="535"/>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sectPr>
          <w:pgSz w:w="16838" w:h="11906" w:orient="landscape"/>
          <w:pgMar w:top="1418" w:right="1247" w:bottom="1418" w:left="1276" w:header="851" w:footer="992" w:gutter="0"/>
          <w:cols w:space="720" w:num="1"/>
          <w:titlePg/>
          <w:docGrid w:linePitch="312" w:charSpace="0"/>
        </w:sectPr>
      </w:pPr>
    </w:p>
    <w:p>
      <w:pPr>
        <w:pStyle w:val="4"/>
        <w:keepNext w:val="0"/>
        <w:keepLines w:val="0"/>
        <w:pageBreakBefore/>
        <w:widowControl/>
        <w:spacing w:before="100" w:beforeAutospacing="1" w:after="100" w:afterAutospacing="1" w:line="360" w:lineRule="auto"/>
        <w:ind w:left="0" w:leftChars="0" w:firstLine="0" w:firstLineChars="0"/>
        <w:rPr>
          <w:rFonts w:ascii="宋体" w:hAnsi="宋体" w:cs="宋体"/>
        </w:rPr>
      </w:pPr>
      <w:bookmarkStart w:id="536" w:name="_Toc465665161"/>
      <w:r>
        <w:rPr>
          <w:rFonts w:hint="eastAsia" w:ascii="宋体" w:hAnsi="宋体" w:cs="宋体"/>
        </w:rPr>
        <w:t>附件</w:t>
      </w:r>
      <w:bookmarkEnd w:id="53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37" w:name="OLE_LINK14"/>
      <w:bookmarkStart w:id="538" w:name="OLE_LINK13"/>
      <w:r>
        <w:rPr>
          <w:rFonts w:hint="eastAsia" w:ascii="宋体" w:hAnsi="宋体" w:cs="宋体"/>
          <w:b/>
          <w:spacing w:val="6"/>
          <w:sz w:val="32"/>
          <w:szCs w:val="32"/>
        </w:rPr>
        <w:t>残疾人福利性单位声明函</w:t>
      </w:r>
    </w:p>
    <w:bookmarkEnd w:id="537"/>
    <w:bookmarkEnd w:id="53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lang w:eastAsia="zh-CN"/>
        </w:rPr>
        <w:t>杭州市翠苑中学</w:t>
      </w:r>
      <w:r>
        <w:rPr>
          <w:rFonts w:hint="eastAsia" w:ascii="宋体" w:hAnsi="宋体" w:cs="宋体"/>
          <w:sz w:val="24"/>
        </w:rPr>
        <w:t>单位的</w:t>
      </w:r>
      <w:r>
        <w:rPr>
          <w:rFonts w:hint="eastAsia" w:ascii="宋体" w:hAnsi="宋体" w:cs="宋体"/>
          <w:sz w:val="24"/>
          <w:u w:val="single"/>
          <w:lang w:eastAsia="zh-CN"/>
        </w:rPr>
        <w:t>2024年杭州市翠苑中学信息化设备（二期）改造项目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sz w:val="24"/>
          <w:u w:val="single"/>
          <w:lang w:eastAsia="zh-CN"/>
        </w:rPr>
        <w:t>杭州市翠苑中学</w:t>
      </w:r>
      <w:r>
        <w:rPr>
          <w:rFonts w:hint="eastAsia" w:ascii="宋体" w:hAnsi="宋体" w:cs="宋体"/>
          <w:sz w:val="24"/>
          <w:u w:val="single"/>
        </w:rPr>
        <w:t>、杭州市西湖区政府采购中心：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2024年杭州市翠苑中学信息化设备（二期）改造项目</w:t>
      </w:r>
      <w:r>
        <w:rPr>
          <w:rFonts w:hint="eastAsia" w:ascii="宋体" w:hAnsi="宋体" w:cs="宋体"/>
          <w:sz w:val="24"/>
        </w:rPr>
        <w:t>【招标编号：</w:t>
      </w:r>
      <w:r>
        <w:rPr>
          <w:rFonts w:hint="eastAsia" w:ascii="宋体" w:hAnsi="宋体" w:cs="宋体"/>
          <w:sz w:val="24"/>
          <w:lang w:eastAsia="zh-CN"/>
        </w:rPr>
        <w:t>XHZFCG-2024-G-45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2024年杭州市翠苑中学信息化设备（二期）改造项目</w:t>
      </w:r>
      <w:r>
        <w:rPr>
          <w:rFonts w:hint="eastAsia" w:ascii="宋体" w:hAnsi="宋体" w:cs="宋体"/>
          <w:sz w:val="24"/>
        </w:rPr>
        <w:t>【招标编号：</w:t>
      </w:r>
      <w:r>
        <w:rPr>
          <w:rFonts w:hint="eastAsia" w:ascii="宋体" w:hAnsi="宋体" w:cs="宋体"/>
          <w:sz w:val="24"/>
          <w:lang w:eastAsia="zh-CN"/>
        </w:rPr>
        <w:t>XHZFCG-2024-G-45</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3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39"/>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snapToGrid w:val="0"/>
        <w:spacing w:line="360" w:lineRule="auto"/>
        <w:jc w:val="center"/>
        <w:outlineLvl w:val="0"/>
        <w:rPr>
          <w:rFonts w:hint="eastAsia" w:ascii="宋体" w:hAnsi="宋体" w:cs="宋体"/>
          <w:b/>
          <w:kern w:val="0"/>
          <w:sz w:val="32"/>
          <w:szCs w:val="32"/>
        </w:rPr>
      </w:pPr>
    </w:p>
    <w:p>
      <w:pPr>
        <w:pStyle w:val="2"/>
        <w:rPr>
          <w:rFonts w:hint="eastAsia"/>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2024年杭州市翠苑中学信息化设备（二期）改造项目</w:t>
      </w:r>
      <w:r>
        <w:rPr>
          <w:rFonts w:hint="eastAsia" w:ascii="宋体" w:hAnsi="宋体" w:cs="宋体"/>
          <w:sz w:val="24"/>
        </w:rPr>
        <w:t>【招标编号：</w:t>
      </w:r>
      <w:r>
        <w:rPr>
          <w:rFonts w:hint="eastAsia" w:ascii="宋体" w:hAnsi="宋体" w:cs="宋体"/>
          <w:sz w:val="24"/>
          <w:lang w:eastAsia="zh-CN"/>
        </w:rPr>
        <w:t>XHZFCG-2024-G-45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4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杭州市翠苑中学</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2024年杭州市翠苑中学信息化设备（二期）改造项目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u w:val="single"/>
        </w:rPr>
        <w:t xml:space="preserve"> </w:t>
      </w:r>
      <w:r>
        <w:rPr>
          <w:rFonts w:hint="eastAsia" w:ascii="宋体" w:hAnsi="宋体" w:eastAsia="宋体" w:cs="宋体"/>
          <w:sz w:val="24"/>
          <w:u w:val="single"/>
          <w:lang w:val="en-US" w:eastAsia="zh-CN"/>
        </w:rPr>
        <w:t xml:space="preserve">核心交换机 </w:t>
      </w:r>
      <w:r>
        <w:rPr>
          <w:rFonts w:hint="eastAsia" w:ascii="宋体" w:hAnsi="宋体" w:cs="宋体"/>
          <w:sz w:val="24"/>
        </w:rPr>
        <w:t xml:space="preserve"> ，属于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管理与认证准入</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无线管理授权</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面板AP</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放装AP</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高密AP</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室外</w:t>
      </w:r>
      <w:r>
        <w:rPr>
          <w:rFonts w:hint="eastAsia" w:hAnsi="宋体" w:cs="宋体"/>
          <w:bCs/>
          <w:snapToGrid/>
          <w:color w:val="auto"/>
          <w:kern w:val="2"/>
          <w:sz w:val="24"/>
          <w:szCs w:val="24"/>
          <w:u w:val="single"/>
          <w:lang w:val="en-US" w:eastAsia="zh-CN"/>
        </w:rPr>
        <w:t>定向</w:t>
      </w:r>
      <w:r>
        <w:rPr>
          <w:rFonts w:hint="eastAsia" w:hAnsi="宋体" w:cs="宋体"/>
          <w:bCs/>
          <w:snapToGrid/>
          <w:color w:val="auto"/>
          <w:kern w:val="2"/>
          <w:sz w:val="24"/>
          <w:szCs w:val="24"/>
          <w:u w:val="single"/>
        </w:rPr>
        <w:t>AP</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24口万兆汇聚交换机</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24口POE交换机（万兆上行）</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48口交换机（万兆上行）</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11</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24口交换机（万兆上行）</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12</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highlight w:val="none"/>
          <w:u w:val="single"/>
        </w:rPr>
        <w:t>8口POE交换机</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lang w:val="en-US" w:eastAsia="zh-CN"/>
        </w:rPr>
        <w:t>13</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万兆单模光模块</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w:t>
      </w:r>
      <w:r>
        <w:rPr>
          <w:rFonts w:hint="eastAsia" w:ascii="宋体" w:hAnsi="宋体" w:eastAsia="宋体" w:cs="宋体"/>
          <w:sz w:val="24"/>
          <w:highlight w:val="none"/>
          <w:u w:val="none"/>
          <w:lang w:val="en-US" w:eastAsia="zh-CN"/>
        </w:rPr>
        <w:t>类型确定一种）</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hAnsi="宋体" w:cs="宋体"/>
          <w:bCs/>
          <w:snapToGrid/>
          <w:color w:val="auto"/>
          <w:kern w:val="2"/>
          <w:sz w:val="24"/>
          <w:szCs w:val="24"/>
          <w:highlight w:val="none"/>
          <w:u w:val="single"/>
        </w:rPr>
        <w:t>无线运维</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工业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lang w:val="en-US" w:eastAsia="zh-CN"/>
        </w:rPr>
        <w:t>（三种企业类型确定一种）</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hAnsi="宋体" w:cs="宋体"/>
          <w:bCs/>
          <w:snapToGrid/>
          <w:color w:val="auto"/>
          <w:kern w:val="2"/>
          <w:sz w:val="24"/>
          <w:szCs w:val="24"/>
          <w:highlight w:val="none"/>
          <w:u w:val="single"/>
        </w:rPr>
        <w:t>交换机管理图形化展示机</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工业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lang w:val="en-US" w:eastAsia="zh-CN"/>
        </w:rPr>
        <w:t>（三种企业类型确定一种）</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16</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hAnsi="宋体" w:cs="宋体"/>
          <w:bCs/>
          <w:snapToGrid/>
          <w:color w:val="auto"/>
          <w:kern w:val="2"/>
          <w:sz w:val="24"/>
          <w:szCs w:val="24"/>
          <w:highlight w:val="none"/>
          <w:u w:val="single"/>
        </w:rPr>
        <w:t>日志管理分析系统</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工业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lang w:val="en-US" w:eastAsia="zh-CN"/>
        </w:rPr>
        <w:t>（三种企业类型确定一种）</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17</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hAnsi="宋体" w:cs="宋体"/>
          <w:bCs/>
          <w:snapToGrid/>
          <w:color w:val="auto"/>
          <w:kern w:val="2"/>
          <w:sz w:val="24"/>
          <w:szCs w:val="24"/>
          <w:highlight w:val="none"/>
          <w:u w:val="single"/>
        </w:rPr>
        <w:t>新老机房故障无缝迁移系统</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工业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lang w:val="en-US" w:eastAsia="zh-CN"/>
        </w:rPr>
        <w:t>（三种企业类型确定一种）</w:t>
      </w:r>
      <w:r>
        <w:rPr>
          <w:rFonts w:hint="eastAsia" w:ascii="宋体" w:hAnsi="宋体" w:cs="宋体"/>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18</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hAnsi="宋体" w:cs="宋体"/>
          <w:bCs/>
          <w:snapToGrid/>
          <w:color w:val="auto"/>
          <w:kern w:val="2"/>
          <w:sz w:val="24"/>
          <w:szCs w:val="24"/>
          <w:highlight w:val="none"/>
          <w:u w:val="single"/>
        </w:rPr>
        <w:t>内网流量分析机</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工业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lang w:val="en-US" w:eastAsia="zh-CN"/>
        </w:rPr>
        <w:t>（三种企业类型确定一种）</w:t>
      </w:r>
      <w:r>
        <w:rPr>
          <w:rFonts w:hint="eastAsia" w:ascii="宋体" w:hAnsi="宋体" w:cs="宋体"/>
          <w:sz w:val="24"/>
          <w:highlight w:val="none"/>
        </w:rPr>
        <w:t xml:space="preserve"> ；</w:t>
      </w:r>
    </w:p>
    <w:p>
      <w:pPr>
        <w:spacing w:line="360" w:lineRule="auto"/>
        <w:ind w:firstLine="480" w:firstLineChars="200"/>
        <w:rPr>
          <w:rFonts w:ascii="宋体" w:hAnsi="宋体" w:cs="宋体"/>
          <w:sz w:val="24"/>
        </w:rPr>
      </w:pPr>
      <w:r>
        <w:rPr>
          <w:rFonts w:hint="eastAsia" w:ascii="宋体" w:hAnsi="宋体" w:cs="宋体"/>
          <w:sz w:val="24"/>
          <w:highlight w:val="none"/>
          <w:lang w:val="en-US" w:eastAsia="zh-CN"/>
        </w:rPr>
        <w:t>19</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hAnsi="宋体" w:cs="宋体"/>
          <w:bCs/>
          <w:snapToGrid/>
          <w:color w:val="auto"/>
          <w:kern w:val="2"/>
          <w:sz w:val="24"/>
          <w:szCs w:val="24"/>
          <w:highlight w:val="none"/>
          <w:u w:val="single"/>
        </w:rPr>
        <w:t>网络配置自动备份系统</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信息化安全漏洞扫描平台</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21</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墙柜</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22</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标准机柜</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23</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加深机柜</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lang w:val="en-US" w:eastAsia="zh-CN"/>
        </w:rPr>
        <w:t>24</w:t>
      </w:r>
      <w:r>
        <w:rPr>
          <w:rFonts w:hint="eastAsia" w:ascii="宋体" w:hAnsi="宋体" w:cs="宋体"/>
          <w:sz w:val="24"/>
        </w:rPr>
        <w:t>.</w:t>
      </w:r>
      <w:r>
        <w:rPr>
          <w:rFonts w:hint="eastAsia" w:ascii="宋体" w:hAnsi="宋体" w:cs="宋体"/>
          <w:sz w:val="24"/>
          <w:u w:val="single"/>
          <w:lang w:val="en-US" w:eastAsia="zh-CN"/>
        </w:rPr>
        <w:t xml:space="preserve"> </w:t>
      </w:r>
      <w:r>
        <w:rPr>
          <w:rFonts w:hint="eastAsia" w:hAnsi="宋体" w:cs="宋体"/>
          <w:bCs/>
          <w:snapToGrid/>
          <w:color w:val="auto"/>
          <w:kern w:val="2"/>
          <w:sz w:val="24"/>
          <w:szCs w:val="24"/>
          <w:u w:val="single"/>
        </w:rPr>
        <w:t>UPS主机</w:t>
      </w:r>
      <w:r>
        <w:rPr>
          <w:rFonts w:hint="eastAsia" w:ascii="宋体" w:hAnsi="宋体" w:eastAsia="宋体" w:cs="宋体"/>
          <w:sz w:val="24"/>
          <w:u w:val="single"/>
          <w:lang w:val="en-US" w:eastAsia="zh-CN"/>
        </w:rPr>
        <w:t xml:space="preserve">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eastAsia="宋体" w:cs="宋体"/>
          <w:sz w:val="24"/>
          <w:u w:val="single"/>
        </w:rPr>
        <w:t>中型企业、小型企业、微型企业</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（三种企业类型确定一种）</w:t>
      </w:r>
      <w:r>
        <w:rPr>
          <w:rFonts w:hint="eastAsia" w:ascii="宋体" w:hAnsi="宋体" w:cs="宋体"/>
          <w:sz w:val="24"/>
        </w:rPr>
        <w:t xml:space="preserve"> ；</w:t>
      </w:r>
    </w:p>
    <w:p>
      <w:pPr>
        <w:pStyle w:val="2"/>
      </w:pP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b/>
          <w:bCs/>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rPr>
        <w:t>逐一填写，不得缺漏；</w:t>
      </w:r>
      <w:r>
        <w:rPr>
          <w:rFonts w:hint="eastAsia" w:ascii="宋体" w:hAnsi="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b/>
          <w:bCs/>
          <w:sz w:val="24"/>
        </w:rPr>
        <w:t>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41" w:name="_Toc164085800"/>
    <w:bookmarkStart w:id="542" w:name="_Toc36110187"/>
    <w:bookmarkStart w:id="543" w:name="_Toc91899912"/>
    <w:bookmarkStart w:id="544" w:name="_Toc131845147"/>
    <w:r>
      <w:rPr>
        <w:rFonts w:hint="eastAsia" w:ascii="仿宋_GB2312" w:eastAsia="仿宋_GB2312"/>
        <w:kern w:val="0"/>
        <w:szCs w:val="21"/>
      </w:rPr>
      <w:t xml:space="preserve"> 页</w:t>
    </w:r>
    <w:bookmarkEnd w:id="541"/>
    <w:bookmarkEnd w:id="542"/>
    <w:bookmarkEnd w:id="543"/>
    <w:bookmarkEnd w:id="5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西湖区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西湖区</w:t>
    </w:r>
    <w:r>
      <w:t>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西湖区</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西湖区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西湖区</w:t>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b/>
        <w:i/>
        <w:u w:val="single"/>
      </w:rPr>
    </w:pPr>
    <w:r>
      <w:t></w:t>
    </w:r>
    <w:r>
      <w:rPr>
        <w:rFonts w:hint="eastAsia"/>
      </w:rPr>
      <w:t xml:space="preserve">                                               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西湖区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77B5A"/>
    <w:multiLevelType w:val="singleLevel"/>
    <w:tmpl w:val="84177B5A"/>
    <w:lvl w:ilvl="0" w:tentative="0">
      <w:start w:val="1"/>
      <w:numFmt w:val="decimal"/>
      <w:suff w:val="space"/>
      <w:lvlText w:val="%1."/>
      <w:lvlJc w:val="left"/>
    </w:lvl>
  </w:abstractNum>
  <w:abstractNum w:abstractNumId="1">
    <w:nsid w:val="8CEA8F03"/>
    <w:multiLevelType w:val="singleLevel"/>
    <w:tmpl w:val="8CEA8F03"/>
    <w:lvl w:ilvl="0" w:tentative="0">
      <w:start w:val="2"/>
      <w:numFmt w:val="decimal"/>
      <w:lvlText w:val="%1."/>
      <w:lvlJc w:val="left"/>
      <w:pPr>
        <w:tabs>
          <w:tab w:val="left" w:pos="312"/>
        </w:tabs>
      </w:pPr>
    </w:lvl>
  </w:abstractNum>
  <w:abstractNum w:abstractNumId="2">
    <w:nsid w:val="96BE2586"/>
    <w:multiLevelType w:val="singleLevel"/>
    <w:tmpl w:val="96BE2586"/>
    <w:lvl w:ilvl="0" w:tentative="0">
      <w:start w:val="8"/>
      <w:numFmt w:val="decimal"/>
      <w:lvlText w:val="%1."/>
      <w:lvlJc w:val="left"/>
      <w:pPr>
        <w:tabs>
          <w:tab w:val="left" w:pos="312"/>
        </w:tabs>
      </w:pPr>
    </w:lvl>
  </w:abstractNum>
  <w:abstractNum w:abstractNumId="3">
    <w:nsid w:val="B68BB040"/>
    <w:multiLevelType w:val="singleLevel"/>
    <w:tmpl w:val="B68BB040"/>
    <w:lvl w:ilvl="0" w:tentative="0">
      <w:start w:val="1"/>
      <w:numFmt w:val="decimal"/>
      <w:suff w:val="nothing"/>
      <w:lvlText w:val="%1、"/>
      <w:lvlJc w:val="left"/>
    </w:lvl>
  </w:abstractNum>
  <w:abstractNum w:abstractNumId="4">
    <w:nsid w:val="BAA9C743"/>
    <w:multiLevelType w:val="singleLevel"/>
    <w:tmpl w:val="BAA9C743"/>
    <w:lvl w:ilvl="0" w:tentative="0">
      <w:start w:val="19"/>
      <w:numFmt w:val="decimal"/>
      <w:suff w:val="nothing"/>
      <w:lvlText w:val="%1、"/>
      <w:lvlJc w:val="left"/>
    </w:lvl>
  </w:abstractNum>
  <w:abstractNum w:abstractNumId="5">
    <w:nsid w:val="D2C8D4CE"/>
    <w:multiLevelType w:val="singleLevel"/>
    <w:tmpl w:val="D2C8D4CE"/>
    <w:lvl w:ilvl="0" w:tentative="0">
      <w:start w:val="1"/>
      <w:numFmt w:val="decimal"/>
      <w:suff w:val="nothing"/>
      <w:lvlText w:val="%1、"/>
      <w:lvlJc w:val="left"/>
    </w:lvl>
  </w:abstractNum>
  <w:abstractNum w:abstractNumId="6">
    <w:nsid w:val="DCA06179"/>
    <w:multiLevelType w:val="singleLevel"/>
    <w:tmpl w:val="DCA06179"/>
    <w:lvl w:ilvl="0" w:tentative="0">
      <w:start w:val="1"/>
      <w:numFmt w:val="decimal"/>
      <w:suff w:val="nothing"/>
      <w:lvlText w:val="%1、"/>
      <w:lvlJc w:val="left"/>
    </w:lvl>
  </w:abstractNum>
  <w:abstractNum w:abstractNumId="7">
    <w:nsid w:val="E31FC99F"/>
    <w:multiLevelType w:val="singleLevel"/>
    <w:tmpl w:val="E31FC99F"/>
    <w:lvl w:ilvl="0" w:tentative="0">
      <w:start w:val="1"/>
      <w:numFmt w:val="decimal"/>
      <w:suff w:val="nothing"/>
      <w:lvlText w:val="%1、"/>
      <w:lvlJc w:val="left"/>
    </w:lvl>
  </w:abstractNum>
  <w:abstractNum w:abstractNumId="8">
    <w:nsid w:val="00000004"/>
    <w:multiLevelType w:val="singleLevel"/>
    <w:tmpl w:val="00000004"/>
    <w:lvl w:ilvl="0" w:tentative="0">
      <w:start w:val="1"/>
      <w:numFmt w:val="decimal"/>
      <w:suff w:val="nothing"/>
      <w:lvlText w:val="%1）"/>
      <w:lvlJc w:val="left"/>
    </w:lvl>
  </w:abstractNum>
  <w:abstractNum w:abstractNumId="9">
    <w:nsid w:val="064DDD54"/>
    <w:multiLevelType w:val="singleLevel"/>
    <w:tmpl w:val="064DDD54"/>
    <w:lvl w:ilvl="0" w:tentative="0">
      <w:start w:val="1"/>
      <w:numFmt w:val="decimal"/>
      <w:suff w:val="nothing"/>
      <w:lvlText w:val="%1、"/>
      <w:lvlJc w:val="left"/>
    </w:lvl>
  </w:abstractNum>
  <w:abstractNum w:abstractNumId="10">
    <w:nsid w:val="104752A6"/>
    <w:multiLevelType w:val="singleLevel"/>
    <w:tmpl w:val="104752A6"/>
    <w:lvl w:ilvl="0" w:tentative="0">
      <w:start w:val="3"/>
      <w:numFmt w:val="chineseCounting"/>
      <w:suff w:val="nothing"/>
      <w:lvlText w:val="%1、"/>
      <w:lvlJc w:val="left"/>
      <w:pPr>
        <w:ind w:left="0" w:firstLine="0"/>
      </w:pPr>
      <w:rPr>
        <w:rFonts w:hint="eastAsia"/>
      </w:rPr>
    </w:lvl>
  </w:abstractNum>
  <w:abstractNum w:abstractNumId="11">
    <w:nsid w:val="1F884B6B"/>
    <w:multiLevelType w:val="singleLevel"/>
    <w:tmpl w:val="1F884B6B"/>
    <w:lvl w:ilvl="0" w:tentative="0">
      <w:start w:val="1"/>
      <w:numFmt w:val="decimal"/>
      <w:lvlText w:val="%1."/>
      <w:lvlJc w:val="left"/>
      <w:pPr>
        <w:tabs>
          <w:tab w:val="left" w:pos="312"/>
        </w:tabs>
      </w:pPr>
    </w:lvl>
  </w:abstractNum>
  <w:abstractNum w:abstractNumId="12">
    <w:nsid w:val="49B9D244"/>
    <w:multiLevelType w:val="singleLevel"/>
    <w:tmpl w:val="49B9D244"/>
    <w:lvl w:ilvl="0" w:tentative="0">
      <w:start w:val="1"/>
      <w:numFmt w:val="decimal"/>
      <w:lvlText w:val="%1."/>
      <w:lvlJc w:val="left"/>
      <w:pPr>
        <w:tabs>
          <w:tab w:val="left" w:pos="312"/>
        </w:tabs>
      </w:pPr>
    </w:lvl>
  </w:abstractNum>
  <w:abstractNum w:abstractNumId="13">
    <w:nsid w:val="6530556D"/>
    <w:multiLevelType w:val="singleLevel"/>
    <w:tmpl w:val="6530556D"/>
    <w:lvl w:ilvl="0" w:tentative="0">
      <w:start w:val="1"/>
      <w:numFmt w:val="decimal"/>
      <w:suff w:val="nothing"/>
      <w:lvlText w:val="%1、"/>
      <w:lvlJc w:val="left"/>
    </w:lvl>
  </w:abstractNum>
  <w:abstractNum w:abstractNumId="14">
    <w:nsid w:val="78645FA9"/>
    <w:multiLevelType w:val="singleLevel"/>
    <w:tmpl w:val="78645FA9"/>
    <w:lvl w:ilvl="0" w:tentative="0">
      <w:start w:val="1"/>
      <w:numFmt w:val="decimal"/>
      <w:lvlText w:val="%1."/>
      <w:lvlJc w:val="left"/>
      <w:pPr>
        <w:tabs>
          <w:tab w:val="left" w:pos="312"/>
        </w:tabs>
      </w:pPr>
    </w:lvl>
  </w:abstractNum>
  <w:abstractNum w:abstractNumId="15">
    <w:nsid w:val="7DC24A7E"/>
    <w:multiLevelType w:val="singleLevel"/>
    <w:tmpl w:val="7DC24A7E"/>
    <w:lvl w:ilvl="0" w:tentative="0">
      <w:start w:val="1"/>
      <w:numFmt w:val="decimal"/>
      <w:lvlText w:val="%1."/>
      <w:lvlJc w:val="left"/>
      <w:pPr>
        <w:tabs>
          <w:tab w:val="left" w:pos="312"/>
        </w:tabs>
      </w:pPr>
    </w:lvl>
  </w:abstractNum>
  <w:num w:numId="1">
    <w:abstractNumId w:val="10"/>
  </w:num>
  <w:num w:numId="2">
    <w:abstractNumId w:val="5"/>
  </w:num>
  <w:num w:numId="3">
    <w:abstractNumId w:val="3"/>
  </w:num>
  <w:num w:numId="4">
    <w:abstractNumId w:val="9"/>
  </w:num>
  <w:num w:numId="5">
    <w:abstractNumId w:val="13"/>
  </w:num>
  <w:num w:numId="6">
    <w:abstractNumId w:val="7"/>
  </w:num>
  <w:num w:numId="7">
    <w:abstractNumId w:val="2"/>
  </w:num>
  <w:num w:numId="8">
    <w:abstractNumId w:val="4"/>
  </w:num>
  <w:num w:numId="9">
    <w:abstractNumId w:val="12"/>
  </w:num>
  <w:num w:numId="10">
    <w:abstractNumId w:val="0"/>
  </w:num>
  <w:num w:numId="11">
    <w:abstractNumId w:val="11"/>
  </w:num>
  <w:num w:numId="12">
    <w:abstractNumId w:val="14"/>
  </w:num>
  <w:num w:numId="13">
    <w:abstractNumId w:val="15"/>
  </w:num>
  <w:num w:numId="14">
    <w:abstractNumId w:val="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437B"/>
    <w:rsid w:val="01236AFB"/>
    <w:rsid w:val="01541149"/>
    <w:rsid w:val="015679D0"/>
    <w:rsid w:val="019F7441"/>
    <w:rsid w:val="01B37585"/>
    <w:rsid w:val="01C90301"/>
    <w:rsid w:val="01D55165"/>
    <w:rsid w:val="01DF6BF8"/>
    <w:rsid w:val="01EC2C57"/>
    <w:rsid w:val="01F50C0A"/>
    <w:rsid w:val="0224362A"/>
    <w:rsid w:val="02251CF9"/>
    <w:rsid w:val="025F0711"/>
    <w:rsid w:val="026B2E25"/>
    <w:rsid w:val="027240B0"/>
    <w:rsid w:val="02824D4D"/>
    <w:rsid w:val="02A55B44"/>
    <w:rsid w:val="02DC4B10"/>
    <w:rsid w:val="02DD76CE"/>
    <w:rsid w:val="02F36323"/>
    <w:rsid w:val="02F5619C"/>
    <w:rsid w:val="0326446A"/>
    <w:rsid w:val="032D5555"/>
    <w:rsid w:val="03307093"/>
    <w:rsid w:val="036634D2"/>
    <w:rsid w:val="03BE6034"/>
    <w:rsid w:val="03DD35E4"/>
    <w:rsid w:val="03EF5EB9"/>
    <w:rsid w:val="03FB03BA"/>
    <w:rsid w:val="04076900"/>
    <w:rsid w:val="041A5A3B"/>
    <w:rsid w:val="042311BA"/>
    <w:rsid w:val="042B157A"/>
    <w:rsid w:val="0432392B"/>
    <w:rsid w:val="044B7594"/>
    <w:rsid w:val="044D2C6F"/>
    <w:rsid w:val="048F763B"/>
    <w:rsid w:val="049F330E"/>
    <w:rsid w:val="04AA775C"/>
    <w:rsid w:val="04AF1889"/>
    <w:rsid w:val="04B30C95"/>
    <w:rsid w:val="04B9487B"/>
    <w:rsid w:val="04F33787"/>
    <w:rsid w:val="04F66F48"/>
    <w:rsid w:val="05251E14"/>
    <w:rsid w:val="05342432"/>
    <w:rsid w:val="055725FC"/>
    <w:rsid w:val="055B6897"/>
    <w:rsid w:val="058A36E6"/>
    <w:rsid w:val="05A16594"/>
    <w:rsid w:val="05A7762D"/>
    <w:rsid w:val="05BB22D0"/>
    <w:rsid w:val="05DD4263"/>
    <w:rsid w:val="05F10B7C"/>
    <w:rsid w:val="060E5941"/>
    <w:rsid w:val="06110FAF"/>
    <w:rsid w:val="06493CA7"/>
    <w:rsid w:val="06544FE4"/>
    <w:rsid w:val="065A6178"/>
    <w:rsid w:val="066F1CF3"/>
    <w:rsid w:val="06930BB8"/>
    <w:rsid w:val="06DD48E1"/>
    <w:rsid w:val="07245D42"/>
    <w:rsid w:val="07264C62"/>
    <w:rsid w:val="072E3409"/>
    <w:rsid w:val="0779354C"/>
    <w:rsid w:val="07956AA7"/>
    <w:rsid w:val="080556B6"/>
    <w:rsid w:val="08061376"/>
    <w:rsid w:val="08452D77"/>
    <w:rsid w:val="086401F8"/>
    <w:rsid w:val="08751CAA"/>
    <w:rsid w:val="087E4C40"/>
    <w:rsid w:val="08A871D0"/>
    <w:rsid w:val="08D66AD6"/>
    <w:rsid w:val="08DA33A3"/>
    <w:rsid w:val="08E80F13"/>
    <w:rsid w:val="09272004"/>
    <w:rsid w:val="09280C56"/>
    <w:rsid w:val="09335624"/>
    <w:rsid w:val="0944690F"/>
    <w:rsid w:val="09535675"/>
    <w:rsid w:val="095F057D"/>
    <w:rsid w:val="09642282"/>
    <w:rsid w:val="09733572"/>
    <w:rsid w:val="09772C16"/>
    <w:rsid w:val="098353B5"/>
    <w:rsid w:val="09A92330"/>
    <w:rsid w:val="09B06B87"/>
    <w:rsid w:val="09BB2363"/>
    <w:rsid w:val="09C13146"/>
    <w:rsid w:val="09D25A0C"/>
    <w:rsid w:val="09E04166"/>
    <w:rsid w:val="0A1C0718"/>
    <w:rsid w:val="0A3E7710"/>
    <w:rsid w:val="0A4153BD"/>
    <w:rsid w:val="0A5B7E63"/>
    <w:rsid w:val="0A5D6CD6"/>
    <w:rsid w:val="0AA374A5"/>
    <w:rsid w:val="0AAB7649"/>
    <w:rsid w:val="0ABC5606"/>
    <w:rsid w:val="0B0644FD"/>
    <w:rsid w:val="0B30404E"/>
    <w:rsid w:val="0B495B8C"/>
    <w:rsid w:val="0B4C5836"/>
    <w:rsid w:val="0B4C6C14"/>
    <w:rsid w:val="0B547599"/>
    <w:rsid w:val="0B631A88"/>
    <w:rsid w:val="0B683D45"/>
    <w:rsid w:val="0B7F3F11"/>
    <w:rsid w:val="0B884417"/>
    <w:rsid w:val="0BA66F6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6F6F"/>
    <w:rsid w:val="0D184CFB"/>
    <w:rsid w:val="0D390E53"/>
    <w:rsid w:val="0D496892"/>
    <w:rsid w:val="0D4A7419"/>
    <w:rsid w:val="0D827401"/>
    <w:rsid w:val="0D84094E"/>
    <w:rsid w:val="0D8A00E9"/>
    <w:rsid w:val="0D8D589E"/>
    <w:rsid w:val="0D957AD2"/>
    <w:rsid w:val="0DA01C73"/>
    <w:rsid w:val="0DD63300"/>
    <w:rsid w:val="0DF50604"/>
    <w:rsid w:val="0DF702FE"/>
    <w:rsid w:val="0DF84D71"/>
    <w:rsid w:val="0E060E51"/>
    <w:rsid w:val="0E5604B2"/>
    <w:rsid w:val="0E6D5D79"/>
    <w:rsid w:val="0E9D0089"/>
    <w:rsid w:val="0EB803EE"/>
    <w:rsid w:val="0EF94D4B"/>
    <w:rsid w:val="0F4958DC"/>
    <w:rsid w:val="0F515DF7"/>
    <w:rsid w:val="0F52772B"/>
    <w:rsid w:val="0F596BA8"/>
    <w:rsid w:val="0F6248D2"/>
    <w:rsid w:val="0F693536"/>
    <w:rsid w:val="0F7B0511"/>
    <w:rsid w:val="0F7B76D9"/>
    <w:rsid w:val="0F816ACD"/>
    <w:rsid w:val="0F8B4F1D"/>
    <w:rsid w:val="0F9832DB"/>
    <w:rsid w:val="0FBF3FD2"/>
    <w:rsid w:val="0FBF7FF3"/>
    <w:rsid w:val="0FDC5544"/>
    <w:rsid w:val="1054157E"/>
    <w:rsid w:val="10646583"/>
    <w:rsid w:val="10750A53"/>
    <w:rsid w:val="107D4B15"/>
    <w:rsid w:val="108A3C80"/>
    <w:rsid w:val="10A654EE"/>
    <w:rsid w:val="10C26171"/>
    <w:rsid w:val="10C70674"/>
    <w:rsid w:val="10CA6F12"/>
    <w:rsid w:val="10D91757"/>
    <w:rsid w:val="10E362BD"/>
    <w:rsid w:val="10F33360"/>
    <w:rsid w:val="10FC16EA"/>
    <w:rsid w:val="11035DE8"/>
    <w:rsid w:val="110B454A"/>
    <w:rsid w:val="110F1D40"/>
    <w:rsid w:val="11266F33"/>
    <w:rsid w:val="11556EAD"/>
    <w:rsid w:val="1158509E"/>
    <w:rsid w:val="11692E07"/>
    <w:rsid w:val="118963A1"/>
    <w:rsid w:val="11C6522A"/>
    <w:rsid w:val="11E104CC"/>
    <w:rsid w:val="11E20309"/>
    <w:rsid w:val="11F178D3"/>
    <w:rsid w:val="1202500A"/>
    <w:rsid w:val="12255233"/>
    <w:rsid w:val="123D1751"/>
    <w:rsid w:val="12530213"/>
    <w:rsid w:val="127723A9"/>
    <w:rsid w:val="12862074"/>
    <w:rsid w:val="12883966"/>
    <w:rsid w:val="129E45B4"/>
    <w:rsid w:val="12A13D01"/>
    <w:rsid w:val="12D81596"/>
    <w:rsid w:val="12EF1A32"/>
    <w:rsid w:val="13072A44"/>
    <w:rsid w:val="13326359"/>
    <w:rsid w:val="133D7AFB"/>
    <w:rsid w:val="1346452F"/>
    <w:rsid w:val="135B54DB"/>
    <w:rsid w:val="135F4BE2"/>
    <w:rsid w:val="137163F6"/>
    <w:rsid w:val="139B1A0A"/>
    <w:rsid w:val="139D25C7"/>
    <w:rsid w:val="13BF3CE4"/>
    <w:rsid w:val="1405452A"/>
    <w:rsid w:val="141008D8"/>
    <w:rsid w:val="14125FE6"/>
    <w:rsid w:val="141A2ADF"/>
    <w:rsid w:val="146D271E"/>
    <w:rsid w:val="14982588"/>
    <w:rsid w:val="149A5AD9"/>
    <w:rsid w:val="14A7619D"/>
    <w:rsid w:val="14DB462C"/>
    <w:rsid w:val="14FB5D1B"/>
    <w:rsid w:val="150536C3"/>
    <w:rsid w:val="150C1963"/>
    <w:rsid w:val="151439D2"/>
    <w:rsid w:val="151447A0"/>
    <w:rsid w:val="154A6454"/>
    <w:rsid w:val="15555725"/>
    <w:rsid w:val="15762120"/>
    <w:rsid w:val="157624AF"/>
    <w:rsid w:val="15F5018B"/>
    <w:rsid w:val="165E7F28"/>
    <w:rsid w:val="167E718A"/>
    <w:rsid w:val="169D3398"/>
    <w:rsid w:val="16A8729C"/>
    <w:rsid w:val="16B33777"/>
    <w:rsid w:val="16BC70A7"/>
    <w:rsid w:val="16C6339E"/>
    <w:rsid w:val="172F2D79"/>
    <w:rsid w:val="17557BEF"/>
    <w:rsid w:val="176C0058"/>
    <w:rsid w:val="17C227BF"/>
    <w:rsid w:val="17D349C1"/>
    <w:rsid w:val="17DC50A7"/>
    <w:rsid w:val="18242340"/>
    <w:rsid w:val="1830729E"/>
    <w:rsid w:val="1870062C"/>
    <w:rsid w:val="18817102"/>
    <w:rsid w:val="18830A15"/>
    <w:rsid w:val="18852B28"/>
    <w:rsid w:val="188B5321"/>
    <w:rsid w:val="189D783A"/>
    <w:rsid w:val="18F50886"/>
    <w:rsid w:val="193C7053"/>
    <w:rsid w:val="197C0F51"/>
    <w:rsid w:val="19932372"/>
    <w:rsid w:val="19A20DD5"/>
    <w:rsid w:val="19A94BA0"/>
    <w:rsid w:val="19AE03F1"/>
    <w:rsid w:val="1A071A03"/>
    <w:rsid w:val="1A1F16AE"/>
    <w:rsid w:val="1A3B5C77"/>
    <w:rsid w:val="1A5C781E"/>
    <w:rsid w:val="1A984BAD"/>
    <w:rsid w:val="1A9961E9"/>
    <w:rsid w:val="1AB549F1"/>
    <w:rsid w:val="1AB8220E"/>
    <w:rsid w:val="1AE4166C"/>
    <w:rsid w:val="1AF06CFB"/>
    <w:rsid w:val="1AF11B8D"/>
    <w:rsid w:val="1B09565B"/>
    <w:rsid w:val="1B11359C"/>
    <w:rsid w:val="1B2A271F"/>
    <w:rsid w:val="1B530544"/>
    <w:rsid w:val="1B713184"/>
    <w:rsid w:val="1B83082F"/>
    <w:rsid w:val="1BA209CF"/>
    <w:rsid w:val="1BB4777D"/>
    <w:rsid w:val="1BBD7862"/>
    <w:rsid w:val="1BC4480A"/>
    <w:rsid w:val="1BD75AB8"/>
    <w:rsid w:val="1C0459C2"/>
    <w:rsid w:val="1C183DA8"/>
    <w:rsid w:val="1C1B3B4A"/>
    <w:rsid w:val="1C6849E9"/>
    <w:rsid w:val="1C7C3A90"/>
    <w:rsid w:val="1C88086E"/>
    <w:rsid w:val="1CD852E5"/>
    <w:rsid w:val="1D266CE1"/>
    <w:rsid w:val="1D3963AF"/>
    <w:rsid w:val="1D55566A"/>
    <w:rsid w:val="1D570B7F"/>
    <w:rsid w:val="1D6372A4"/>
    <w:rsid w:val="1D6A673C"/>
    <w:rsid w:val="1D9247AE"/>
    <w:rsid w:val="1DB567EC"/>
    <w:rsid w:val="1DD27F86"/>
    <w:rsid w:val="1DF428D0"/>
    <w:rsid w:val="1DF51A98"/>
    <w:rsid w:val="1E033075"/>
    <w:rsid w:val="1E1561BA"/>
    <w:rsid w:val="1E3D060F"/>
    <w:rsid w:val="1E3F7D2E"/>
    <w:rsid w:val="1E4134E4"/>
    <w:rsid w:val="1E5062B3"/>
    <w:rsid w:val="1E523514"/>
    <w:rsid w:val="1E714A66"/>
    <w:rsid w:val="1E802593"/>
    <w:rsid w:val="1E8B6156"/>
    <w:rsid w:val="1EA703CC"/>
    <w:rsid w:val="1EB7330C"/>
    <w:rsid w:val="1F0A0FF3"/>
    <w:rsid w:val="1F5771FF"/>
    <w:rsid w:val="1FAE13DA"/>
    <w:rsid w:val="1FDE6F42"/>
    <w:rsid w:val="1FE868A9"/>
    <w:rsid w:val="20034907"/>
    <w:rsid w:val="20123A41"/>
    <w:rsid w:val="20173E4B"/>
    <w:rsid w:val="203A3B01"/>
    <w:rsid w:val="204E48BC"/>
    <w:rsid w:val="20743D86"/>
    <w:rsid w:val="208921B3"/>
    <w:rsid w:val="20973DEB"/>
    <w:rsid w:val="20B26522"/>
    <w:rsid w:val="20B44310"/>
    <w:rsid w:val="20BA3D5E"/>
    <w:rsid w:val="20F12B13"/>
    <w:rsid w:val="21046E16"/>
    <w:rsid w:val="211116EB"/>
    <w:rsid w:val="2111256C"/>
    <w:rsid w:val="2159573F"/>
    <w:rsid w:val="216133FC"/>
    <w:rsid w:val="21875FBF"/>
    <w:rsid w:val="21D56769"/>
    <w:rsid w:val="21E52EF3"/>
    <w:rsid w:val="21FB5D7B"/>
    <w:rsid w:val="22015E94"/>
    <w:rsid w:val="220B1C3D"/>
    <w:rsid w:val="221D1D20"/>
    <w:rsid w:val="22334A87"/>
    <w:rsid w:val="22410236"/>
    <w:rsid w:val="22A77C33"/>
    <w:rsid w:val="22AA16E5"/>
    <w:rsid w:val="22B84145"/>
    <w:rsid w:val="22BE6801"/>
    <w:rsid w:val="22CD67A8"/>
    <w:rsid w:val="22E444EC"/>
    <w:rsid w:val="233500BF"/>
    <w:rsid w:val="23377FF7"/>
    <w:rsid w:val="236B425F"/>
    <w:rsid w:val="23836192"/>
    <w:rsid w:val="23901F29"/>
    <w:rsid w:val="239C0061"/>
    <w:rsid w:val="239E1C75"/>
    <w:rsid w:val="23B908A4"/>
    <w:rsid w:val="23E95BEF"/>
    <w:rsid w:val="23FD0064"/>
    <w:rsid w:val="24132770"/>
    <w:rsid w:val="243F60AA"/>
    <w:rsid w:val="244451FC"/>
    <w:rsid w:val="24476BBD"/>
    <w:rsid w:val="245375B0"/>
    <w:rsid w:val="24642C0A"/>
    <w:rsid w:val="24B22173"/>
    <w:rsid w:val="24B95AD9"/>
    <w:rsid w:val="24BE24DA"/>
    <w:rsid w:val="24CF5825"/>
    <w:rsid w:val="24D663E6"/>
    <w:rsid w:val="24D77F2B"/>
    <w:rsid w:val="256D1C89"/>
    <w:rsid w:val="258B00E2"/>
    <w:rsid w:val="25A917A6"/>
    <w:rsid w:val="25BE27CC"/>
    <w:rsid w:val="25CC175F"/>
    <w:rsid w:val="25D235A2"/>
    <w:rsid w:val="25F74A5C"/>
    <w:rsid w:val="2628662C"/>
    <w:rsid w:val="262D45DE"/>
    <w:rsid w:val="266619D9"/>
    <w:rsid w:val="26871DC8"/>
    <w:rsid w:val="26A53EF9"/>
    <w:rsid w:val="26A94201"/>
    <w:rsid w:val="26AC274F"/>
    <w:rsid w:val="27044A29"/>
    <w:rsid w:val="27076EF2"/>
    <w:rsid w:val="271D34C8"/>
    <w:rsid w:val="274716AC"/>
    <w:rsid w:val="275D69B6"/>
    <w:rsid w:val="276142BF"/>
    <w:rsid w:val="27783712"/>
    <w:rsid w:val="278B7A6D"/>
    <w:rsid w:val="27907362"/>
    <w:rsid w:val="27A63B9B"/>
    <w:rsid w:val="27D11F31"/>
    <w:rsid w:val="27DF39CB"/>
    <w:rsid w:val="2805783E"/>
    <w:rsid w:val="28333E1D"/>
    <w:rsid w:val="28454BD6"/>
    <w:rsid w:val="28455253"/>
    <w:rsid w:val="28551971"/>
    <w:rsid w:val="285B1C53"/>
    <w:rsid w:val="289F7086"/>
    <w:rsid w:val="28C32028"/>
    <w:rsid w:val="28CC490F"/>
    <w:rsid w:val="28DE40AA"/>
    <w:rsid w:val="28DF17A9"/>
    <w:rsid w:val="28E514B5"/>
    <w:rsid w:val="290F7686"/>
    <w:rsid w:val="29345E77"/>
    <w:rsid w:val="29363ABF"/>
    <w:rsid w:val="294C65AD"/>
    <w:rsid w:val="29806583"/>
    <w:rsid w:val="298B3C4C"/>
    <w:rsid w:val="29914557"/>
    <w:rsid w:val="29D539A8"/>
    <w:rsid w:val="29F26D24"/>
    <w:rsid w:val="2A15033F"/>
    <w:rsid w:val="2A1662C1"/>
    <w:rsid w:val="2A1C7367"/>
    <w:rsid w:val="2A21651D"/>
    <w:rsid w:val="2A2815FA"/>
    <w:rsid w:val="2A4006F6"/>
    <w:rsid w:val="2A6D6092"/>
    <w:rsid w:val="2A7D76B4"/>
    <w:rsid w:val="2A8B7165"/>
    <w:rsid w:val="2AAD417B"/>
    <w:rsid w:val="2AE83D45"/>
    <w:rsid w:val="2AFD47A6"/>
    <w:rsid w:val="2B437463"/>
    <w:rsid w:val="2B4F2C16"/>
    <w:rsid w:val="2B7807EE"/>
    <w:rsid w:val="2BA50BF7"/>
    <w:rsid w:val="2BBF00EC"/>
    <w:rsid w:val="2BC37CFD"/>
    <w:rsid w:val="2BD5237F"/>
    <w:rsid w:val="2BE536CE"/>
    <w:rsid w:val="2BE758D9"/>
    <w:rsid w:val="2C09049E"/>
    <w:rsid w:val="2C0A653C"/>
    <w:rsid w:val="2C191F85"/>
    <w:rsid w:val="2CCB67BD"/>
    <w:rsid w:val="2CE82D6F"/>
    <w:rsid w:val="2D343236"/>
    <w:rsid w:val="2D3D7B03"/>
    <w:rsid w:val="2D6044C5"/>
    <w:rsid w:val="2D6E226B"/>
    <w:rsid w:val="2D973713"/>
    <w:rsid w:val="2DA8073A"/>
    <w:rsid w:val="2DC60744"/>
    <w:rsid w:val="2DD15014"/>
    <w:rsid w:val="2DE87C12"/>
    <w:rsid w:val="2DF72DE4"/>
    <w:rsid w:val="2E0220AF"/>
    <w:rsid w:val="2E0B7C6B"/>
    <w:rsid w:val="2E4B082A"/>
    <w:rsid w:val="2E5D4E86"/>
    <w:rsid w:val="2E5D790B"/>
    <w:rsid w:val="2E7A26A0"/>
    <w:rsid w:val="2E9A3C18"/>
    <w:rsid w:val="2EBB0FEE"/>
    <w:rsid w:val="2EC63002"/>
    <w:rsid w:val="2F0A6B38"/>
    <w:rsid w:val="2F4D3B17"/>
    <w:rsid w:val="2F946CCB"/>
    <w:rsid w:val="2FB87BF6"/>
    <w:rsid w:val="2FD25781"/>
    <w:rsid w:val="2FDC745C"/>
    <w:rsid w:val="2FFD7934"/>
    <w:rsid w:val="306E3B3E"/>
    <w:rsid w:val="30733ACD"/>
    <w:rsid w:val="307A64D1"/>
    <w:rsid w:val="308C3862"/>
    <w:rsid w:val="309379D8"/>
    <w:rsid w:val="30A270F7"/>
    <w:rsid w:val="30BA3228"/>
    <w:rsid w:val="30DD3443"/>
    <w:rsid w:val="30DF1478"/>
    <w:rsid w:val="30EC586F"/>
    <w:rsid w:val="31175E86"/>
    <w:rsid w:val="319C6071"/>
    <w:rsid w:val="31AC537E"/>
    <w:rsid w:val="31D411CA"/>
    <w:rsid w:val="31E3559F"/>
    <w:rsid w:val="31E3679B"/>
    <w:rsid w:val="31E732FD"/>
    <w:rsid w:val="3248651D"/>
    <w:rsid w:val="324B0876"/>
    <w:rsid w:val="32517576"/>
    <w:rsid w:val="32BE5C2C"/>
    <w:rsid w:val="32D70846"/>
    <w:rsid w:val="32DC56D7"/>
    <w:rsid w:val="32FB6478"/>
    <w:rsid w:val="3303324A"/>
    <w:rsid w:val="33263B3F"/>
    <w:rsid w:val="332E2CA3"/>
    <w:rsid w:val="33394111"/>
    <w:rsid w:val="334E7C57"/>
    <w:rsid w:val="336963EB"/>
    <w:rsid w:val="33816EEB"/>
    <w:rsid w:val="33870B8A"/>
    <w:rsid w:val="33B027B6"/>
    <w:rsid w:val="33DC5263"/>
    <w:rsid w:val="33EB55CD"/>
    <w:rsid w:val="33EC4C02"/>
    <w:rsid w:val="340D2360"/>
    <w:rsid w:val="3410665D"/>
    <w:rsid w:val="34211214"/>
    <w:rsid w:val="342804A8"/>
    <w:rsid w:val="342E63AB"/>
    <w:rsid w:val="34950E68"/>
    <w:rsid w:val="34986E94"/>
    <w:rsid w:val="34AF62C9"/>
    <w:rsid w:val="34CB4388"/>
    <w:rsid w:val="34FA6E12"/>
    <w:rsid w:val="352D0401"/>
    <w:rsid w:val="354D7158"/>
    <w:rsid w:val="358D5588"/>
    <w:rsid w:val="35B1059E"/>
    <w:rsid w:val="35EB5C31"/>
    <w:rsid w:val="35FA00EE"/>
    <w:rsid w:val="363A3B40"/>
    <w:rsid w:val="365302AE"/>
    <w:rsid w:val="365E5857"/>
    <w:rsid w:val="36607A0A"/>
    <w:rsid w:val="366E227C"/>
    <w:rsid w:val="366F2E0D"/>
    <w:rsid w:val="3672468B"/>
    <w:rsid w:val="367B6A5C"/>
    <w:rsid w:val="36806379"/>
    <w:rsid w:val="369E361B"/>
    <w:rsid w:val="36A74ADA"/>
    <w:rsid w:val="36AD60D5"/>
    <w:rsid w:val="36B224F9"/>
    <w:rsid w:val="36EC0CC9"/>
    <w:rsid w:val="37377380"/>
    <w:rsid w:val="373D4ECF"/>
    <w:rsid w:val="373F410B"/>
    <w:rsid w:val="37842308"/>
    <w:rsid w:val="37C1033F"/>
    <w:rsid w:val="37DA7D0B"/>
    <w:rsid w:val="37EE7094"/>
    <w:rsid w:val="38296C89"/>
    <w:rsid w:val="383002EB"/>
    <w:rsid w:val="38366E7F"/>
    <w:rsid w:val="384A4E91"/>
    <w:rsid w:val="38586797"/>
    <w:rsid w:val="38B65EC5"/>
    <w:rsid w:val="38BC0149"/>
    <w:rsid w:val="38D87D1C"/>
    <w:rsid w:val="39143840"/>
    <w:rsid w:val="39177F29"/>
    <w:rsid w:val="393C1EBB"/>
    <w:rsid w:val="395835DE"/>
    <w:rsid w:val="39636459"/>
    <w:rsid w:val="396B7F6C"/>
    <w:rsid w:val="399D6E3A"/>
    <w:rsid w:val="39B417A9"/>
    <w:rsid w:val="39BF540B"/>
    <w:rsid w:val="39D87E3C"/>
    <w:rsid w:val="39FC5695"/>
    <w:rsid w:val="3A006D8E"/>
    <w:rsid w:val="3A234986"/>
    <w:rsid w:val="3A254876"/>
    <w:rsid w:val="3A3651E5"/>
    <w:rsid w:val="3A425723"/>
    <w:rsid w:val="3A544C74"/>
    <w:rsid w:val="3A744481"/>
    <w:rsid w:val="3A772A1D"/>
    <w:rsid w:val="3A8C7BEF"/>
    <w:rsid w:val="3A906246"/>
    <w:rsid w:val="3B2349B7"/>
    <w:rsid w:val="3B616CFF"/>
    <w:rsid w:val="3B6259F6"/>
    <w:rsid w:val="3B937886"/>
    <w:rsid w:val="3B976654"/>
    <w:rsid w:val="3BC01EFC"/>
    <w:rsid w:val="3BCA786A"/>
    <w:rsid w:val="3BD157FC"/>
    <w:rsid w:val="3BD31E2F"/>
    <w:rsid w:val="3BD8475A"/>
    <w:rsid w:val="3BF15831"/>
    <w:rsid w:val="3C105946"/>
    <w:rsid w:val="3C471448"/>
    <w:rsid w:val="3C5F759A"/>
    <w:rsid w:val="3C6C525A"/>
    <w:rsid w:val="3CB054DF"/>
    <w:rsid w:val="3CCE23CB"/>
    <w:rsid w:val="3CD17D17"/>
    <w:rsid w:val="3D0832CB"/>
    <w:rsid w:val="3D0E2029"/>
    <w:rsid w:val="3D3C7F39"/>
    <w:rsid w:val="3D440F09"/>
    <w:rsid w:val="3D4504A0"/>
    <w:rsid w:val="3D8734BB"/>
    <w:rsid w:val="3D913562"/>
    <w:rsid w:val="3D9A11D4"/>
    <w:rsid w:val="3DA07CFC"/>
    <w:rsid w:val="3DA16D89"/>
    <w:rsid w:val="3DA364BE"/>
    <w:rsid w:val="3DE041CB"/>
    <w:rsid w:val="3E0D48F6"/>
    <w:rsid w:val="3E1868B4"/>
    <w:rsid w:val="3E377251"/>
    <w:rsid w:val="3E42664B"/>
    <w:rsid w:val="3E5A7334"/>
    <w:rsid w:val="3E73788E"/>
    <w:rsid w:val="3E7B5D6B"/>
    <w:rsid w:val="3E843E66"/>
    <w:rsid w:val="3E8B7FB1"/>
    <w:rsid w:val="3E8F51FE"/>
    <w:rsid w:val="3E926F87"/>
    <w:rsid w:val="3E9A59DE"/>
    <w:rsid w:val="3EAF4836"/>
    <w:rsid w:val="3EC33DFA"/>
    <w:rsid w:val="3EEA117C"/>
    <w:rsid w:val="3F060E16"/>
    <w:rsid w:val="3F1D1096"/>
    <w:rsid w:val="3F2F0234"/>
    <w:rsid w:val="3F6363FE"/>
    <w:rsid w:val="3F756B8F"/>
    <w:rsid w:val="3F7E5A0A"/>
    <w:rsid w:val="3F95482B"/>
    <w:rsid w:val="3FAC2049"/>
    <w:rsid w:val="3FB12ADB"/>
    <w:rsid w:val="4019356B"/>
    <w:rsid w:val="40592157"/>
    <w:rsid w:val="406E1CAE"/>
    <w:rsid w:val="407E4DEC"/>
    <w:rsid w:val="40A0133A"/>
    <w:rsid w:val="40AE2DE8"/>
    <w:rsid w:val="40C31A53"/>
    <w:rsid w:val="40FF545D"/>
    <w:rsid w:val="410067C8"/>
    <w:rsid w:val="410D171D"/>
    <w:rsid w:val="41151DB4"/>
    <w:rsid w:val="4139159A"/>
    <w:rsid w:val="41493A20"/>
    <w:rsid w:val="417506DF"/>
    <w:rsid w:val="418F0D2A"/>
    <w:rsid w:val="41D01505"/>
    <w:rsid w:val="42241E8F"/>
    <w:rsid w:val="42474939"/>
    <w:rsid w:val="424C3C57"/>
    <w:rsid w:val="42613FF3"/>
    <w:rsid w:val="42660D96"/>
    <w:rsid w:val="428667D2"/>
    <w:rsid w:val="42CD1CE0"/>
    <w:rsid w:val="42E1381E"/>
    <w:rsid w:val="42ED6459"/>
    <w:rsid w:val="42FE58DD"/>
    <w:rsid w:val="43174B3D"/>
    <w:rsid w:val="43316CF3"/>
    <w:rsid w:val="434B790E"/>
    <w:rsid w:val="4360274F"/>
    <w:rsid w:val="43977AB6"/>
    <w:rsid w:val="439A302D"/>
    <w:rsid w:val="43A3342B"/>
    <w:rsid w:val="43AC5CEE"/>
    <w:rsid w:val="43C77C27"/>
    <w:rsid w:val="43D441A9"/>
    <w:rsid w:val="43DE09EE"/>
    <w:rsid w:val="43F1369A"/>
    <w:rsid w:val="43F565F9"/>
    <w:rsid w:val="44002FAD"/>
    <w:rsid w:val="440440EB"/>
    <w:rsid w:val="449101DD"/>
    <w:rsid w:val="44C21719"/>
    <w:rsid w:val="44DE1391"/>
    <w:rsid w:val="44E34E30"/>
    <w:rsid w:val="44F06DC0"/>
    <w:rsid w:val="4517259F"/>
    <w:rsid w:val="451B225C"/>
    <w:rsid w:val="452410C9"/>
    <w:rsid w:val="45317DFB"/>
    <w:rsid w:val="456D3CE4"/>
    <w:rsid w:val="4579042C"/>
    <w:rsid w:val="457F0571"/>
    <w:rsid w:val="45851176"/>
    <w:rsid w:val="45C10595"/>
    <w:rsid w:val="45C63B94"/>
    <w:rsid w:val="460E7DA5"/>
    <w:rsid w:val="46422483"/>
    <w:rsid w:val="4659254A"/>
    <w:rsid w:val="465B0637"/>
    <w:rsid w:val="465E3F0D"/>
    <w:rsid w:val="466A16E6"/>
    <w:rsid w:val="46893F2B"/>
    <w:rsid w:val="46AF61FB"/>
    <w:rsid w:val="46C446E3"/>
    <w:rsid w:val="46C4686E"/>
    <w:rsid w:val="46CB5810"/>
    <w:rsid w:val="46D31A9E"/>
    <w:rsid w:val="475C24EB"/>
    <w:rsid w:val="476475F1"/>
    <w:rsid w:val="477B778F"/>
    <w:rsid w:val="477E73BF"/>
    <w:rsid w:val="478203EC"/>
    <w:rsid w:val="47B025FA"/>
    <w:rsid w:val="47F31563"/>
    <w:rsid w:val="4809698F"/>
    <w:rsid w:val="4811697D"/>
    <w:rsid w:val="483C3354"/>
    <w:rsid w:val="485E078C"/>
    <w:rsid w:val="487A3E25"/>
    <w:rsid w:val="488B5503"/>
    <w:rsid w:val="48937E21"/>
    <w:rsid w:val="489A0361"/>
    <w:rsid w:val="48B620CF"/>
    <w:rsid w:val="48B94FF3"/>
    <w:rsid w:val="48E37AAB"/>
    <w:rsid w:val="48FD4B4C"/>
    <w:rsid w:val="4907092E"/>
    <w:rsid w:val="490A68E0"/>
    <w:rsid w:val="491055FE"/>
    <w:rsid w:val="495F5B3E"/>
    <w:rsid w:val="496F77D7"/>
    <w:rsid w:val="497654FD"/>
    <w:rsid w:val="49B64211"/>
    <w:rsid w:val="49F41101"/>
    <w:rsid w:val="49F6167F"/>
    <w:rsid w:val="4A043318"/>
    <w:rsid w:val="4A064FA0"/>
    <w:rsid w:val="4A16615C"/>
    <w:rsid w:val="4A4424D7"/>
    <w:rsid w:val="4AB82D0F"/>
    <w:rsid w:val="4ABC0DB9"/>
    <w:rsid w:val="4AEB7664"/>
    <w:rsid w:val="4AFD7C19"/>
    <w:rsid w:val="4B0567D1"/>
    <w:rsid w:val="4B236AAE"/>
    <w:rsid w:val="4B5160DF"/>
    <w:rsid w:val="4B707271"/>
    <w:rsid w:val="4B9739F7"/>
    <w:rsid w:val="4BEE2503"/>
    <w:rsid w:val="4BFB2F76"/>
    <w:rsid w:val="4C0253BF"/>
    <w:rsid w:val="4C245A30"/>
    <w:rsid w:val="4C2757BD"/>
    <w:rsid w:val="4C4A42E0"/>
    <w:rsid w:val="4C885B30"/>
    <w:rsid w:val="4C9676DB"/>
    <w:rsid w:val="4C9E35A6"/>
    <w:rsid w:val="4CB6685F"/>
    <w:rsid w:val="4CBD3199"/>
    <w:rsid w:val="4CC367FE"/>
    <w:rsid w:val="4CEF0C17"/>
    <w:rsid w:val="4CFC466E"/>
    <w:rsid w:val="4D077F3C"/>
    <w:rsid w:val="4D123355"/>
    <w:rsid w:val="4D261F37"/>
    <w:rsid w:val="4D2A3B31"/>
    <w:rsid w:val="4D312C52"/>
    <w:rsid w:val="4D550108"/>
    <w:rsid w:val="4D794AC2"/>
    <w:rsid w:val="4D905305"/>
    <w:rsid w:val="4D964A72"/>
    <w:rsid w:val="4D9C1254"/>
    <w:rsid w:val="4D9C6E2F"/>
    <w:rsid w:val="4DF2725F"/>
    <w:rsid w:val="4E3576E6"/>
    <w:rsid w:val="4E5054FE"/>
    <w:rsid w:val="4E54216E"/>
    <w:rsid w:val="4E693057"/>
    <w:rsid w:val="4E793892"/>
    <w:rsid w:val="4E800872"/>
    <w:rsid w:val="4E976EE4"/>
    <w:rsid w:val="4EC569ED"/>
    <w:rsid w:val="4ED50EA1"/>
    <w:rsid w:val="4EEC050C"/>
    <w:rsid w:val="4F0E4FE6"/>
    <w:rsid w:val="4F104EC3"/>
    <w:rsid w:val="4F2F6737"/>
    <w:rsid w:val="4F47354A"/>
    <w:rsid w:val="4F82557B"/>
    <w:rsid w:val="4F911C54"/>
    <w:rsid w:val="4FE625E0"/>
    <w:rsid w:val="5021480F"/>
    <w:rsid w:val="50962ECB"/>
    <w:rsid w:val="50A42E38"/>
    <w:rsid w:val="50A4577F"/>
    <w:rsid w:val="50A948F7"/>
    <w:rsid w:val="50B73D1F"/>
    <w:rsid w:val="50BD5BC9"/>
    <w:rsid w:val="50C11EEE"/>
    <w:rsid w:val="50E249D7"/>
    <w:rsid w:val="50E97CFC"/>
    <w:rsid w:val="50FA4028"/>
    <w:rsid w:val="510D65B7"/>
    <w:rsid w:val="511157AB"/>
    <w:rsid w:val="512172AC"/>
    <w:rsid w:val="5142540C"/>
    <w:rsid w:val="517D7EB1"/>
    <w:rsid w:val="518832C8"/>
    <w:rsid w:val="519D3C50"/>
    <w:rsid w:val="51A0432A"/>
    <w:rsid w:val="51A86090"/>
    <w:rsid w:val="51B7396D"/>
    <w:rsid w:val="51BD3AED"/>
    <w:rsid w:val="51DD00A4"/>
    <w:rsid w:val="522E4CC3"/>
    <w:rsid w:val="523A7DED"/>
    <w:rsid w:val="523E73BD"/>
    <w:rsid w:val="5244713B"/>
    <w:rsid w:val="52615633"/>
    <w:rsid w:val="526A01B2"/>
    <w:rsid w:val="526F4DE4"/>
    <w:rsid w:val="52977FD4"/>
    <w:rsid w:val="529E4679"/>
    <w:rsid w:val="52A25790"/>
    <w:rsid w:val="52A96B6F"/>
    <w:rsid w:val="52B45975"/>
    <w:rsid w:val="52C84ED8"/>
    <w:rsid w:val="52D94AA4"/>
    <w:rsid w:val="52EA3A62"/>
    <w:rsid w:val="52F50BB8"/>
    <w:rsid w:val="5305459B"/>
    <w:rsid w:val="53097272"/>
    <w:rsid w:val="53472776"/>
    <w:rsid w:val="5348333F"/>
    <w:rsid w:val="53544462"/>
    <w:rsid w:val="536F2965"/>
    <w:rsid w:val="5397158E"/>
    <w:rsid w:val="53E0189E"/>
    <w:rsid w:val="53F56B69"/>
    <w:rsid w:val="54013861"/>
    <w:rsid w:val="54486E1F"/>
    <w:rsid w:val="54487265"/>
    <w:rsid w:val="544D6070"/>
    <w:rsid w:val="54605E1E"/>
    <w:rsid w:val="546C03EF"/>
    <w:rsid w:val="54B3506A"/>
    <w:rsid w:val="54B52BAA"/>
    <w:rsid w:val="54BE2914"/>
    <w:rsid w:val="54CA0D16"/>
    <w:rsid w:val="54D35474"/>
    <w:rsid w:val="54DD4057"/>
    <w:rsid w:val="54E7490F"/>
    <w:rsid w:val="550764A4"/>
    <w:rsid w:val="550B2BF6"/>
    <w:rsid w:val="55214EB5"/>
    <w:rsid w:val="552A2BBF"/>
    <w:rsid w:val="55364EFD"/>
    <w:rsid w:val="555D4828"/>
    <w:rsid w:val="5564512F"/>
    <w:rsid w:val="557A4C8B"/>
    <w:rsid w:val="558268B5"/>
    <w:rsid w:val="558365FF"/>
    <w:rsid w:val="558931E1"/>
    <w:rsid w:val="55923347"/>
    <w:rsid w:val="55925180"/>
    <w:rsid w:val="55983B1B"/>
    <w:rsid w:val="55A8376B"/>
    <w:rsid w:val="55C747C4"/>
    <w:rsid w:val="55DC29B6"/>
    <w:rsid w:val="55DD0C9B"/>
    <w:rsid w:val="55DD4241"/>
    <w:rsid w:val="55E37658"/>
    <w:rsid w:val="55F85AD5"/>
    <w:rsid w:val="56170651"/>
    <w:rsid w:val="561804BE"/>
    <w:rsid w:val="56222F2B"/>
    <w:rsid w:val="56226FF5"/>
    <w:rsid w:val="56620C1C"/>
    <w:rsid w:val="566B6D1E"/>
    <w:rsid w:val="56764C4B"/>
    <w:rsid w:val="569E415A"/>
    <w:rsid w:val="56A7044E"/>
    <w:rsid w:val="56C67981"/>
    <w:rsid w:val="57032A2C"/>
    <w:rsid w:val="570452C9"/>
    <w:rsid w:val="5705369A"/>
    <w:rsid w:val="570F5219"/>
    <w:rsid w:val="574E17B0"/>
    <w:rsid w:val="575D12B5"/>
    <w:rsid w:val="57610A87"/>
    <w:rsid w:val="577B1140"/>
    <w:rsid w:val="577B7F21"/>
    <w:rsid w:val="577F181B"/>
    <w:rsid w:val="57866002"/>
    <w:rsid w:val="57921984"/>
    <w:rsid w:val="579737F0"/>
    <w:rsid w:val="57AB7B30"/>
    <w:rsid w:val="57AF5251"/>
    <w:rsid w:val="57B26373"/>
    <w:rsid w:val="57B63F04"/>
    <w:rsid w:val="57CD20C2"/>
    <w:rsid w:val="57D675AB"/>
    <w:rsid w:val="57D95FDD"/>
    <w:rsid w:val="57E80CD6"/>
    <w:rsid w:val="58214B5B"/>
    <w:rsid w:val="585C64AD"/>
    <w:rsid w:val="58743B68"/>
    <w:rsid w:val="58917D2F"/>
    <w:rsid w:val="5894085C"/>
    <w:rsid w:val="58A13BA6"/>
    <w:rsid w:val="58AE4F0C"/>
    <w:rsid w:val="58B85899"/>
    <w:rsid w:val="58C95888"/>
    <w:rsid w:val="58DD40CC"/>
    <w:rsid w:val="58E363A9"/>
    <w:rsid w:val="58FA5A5A"/>
    <w:rsid w:val="591744C4"/>
    <w:rsid w:val="595E1678"/>
    <w:rsid w:val="596D5BD4"/>
    <w:rsid w:val="597E3DD8"/>
    <w:rsid w:val="59AA5338"/>
    <w:rsid w:val="59CC191C"/>
    <w:rsid w:val="59DD0221"/>
    <w:rsid w:val="59F80043"/>
    <w:rsid w:val="5A09252F"/>
    <w:rsid w:val="5A0B2778"/>
    <w:rsid w:val="5A0D633C"/>
    <w:rsid w:val="5A173BF5"/>
    <w:rsid w:val="5A2A7C7B"/>
    <w:rsid w:val="5A3E2560"/>
    <w:rsid w:val="5A5D3B6E"/>
    <w:rsid w:val="5A637A76"/>
    <w:rsid w:val="5A6802F5"/>
    <w:rsid w:val="5A6D33BA"/>
    <w:rsid w:val="5A792B1F"/>
    <w:rsid w:val="5A874767"/>
    <w:rsid w:val="5AA85BE2"/>
    <w:rsid w:val="5AAD6F28"/>
    <w:rsid w:val="5ABD553F"/>
    <w:rsid w:val="5AD63A24"/>
    <w:rsid w:val="5AF76FC2"/>
    <w:rsid w:val="5AFE642B"/>
    <w:rsid w:val="5B2E1A1D"/>
    <w:rsid w:val="5B843A1C"/>
    <w:rsid w:val="5B873E3F"/>
    <w:rsid w:val="5BA02AEE"/>
    <w:rsid w:val="5BB36F1D"/>
    <w:rsid w:val="5C02690E"/>
    <w:rsid w:val="5C196DA7"/>
    <w:rsid w:val="5C230847"/>
    <w:rsid w:val="5C2A048C"/>
    <w:rsid w:val="5C645C72"/>
    <w:rsid w:val="5C80234E"/>
    <w:rsid w:val="5C8A680C"/>
    <w:rsid w:val="5CA51F4F"/>
    <w:rsid w:val="5D0C4701"/>
    <w:rsid w:val="5D0F0395"/>
    <w:rsid w:val="5D145C71"/>
    <w:rsid w:val="5D221076"/>
    <w:rsid w:val="5D235B2D"/>
    <w:rsid w:val="5D397964"/>
    <w:rsid w:val="5D5A391C"/>
    <w:rsid w:val="5D5F10C0"/>
    <w:rsid w:val="5D891B7B"/>
    <w:rsid w:val="5DA034F3"/>
    <w:rsid w:val="5DAD38EE"/>
    <w:rsid w:val="5DB06C95"/>
    <w:rsid w:val="5E006862"/>
    <w:rsid w:val="5E0207B9"/>
    <w:rsid w:val="5E1834A1"/>
    <w:rsid w:val="5E261785"/>
    <w:rsid w:val="5E4A7017"/>
    <w:rsid w:val="5E552BBA"/>
    <w:rsid w:val="5E611C10"/>
    <w:rsid w:val="5E7A0F3F"/>
    <w:rsid w:val="5EFC7377"/>
    <w:rsid w:val="5EFF19F4"/>
    <w:rsid w:val="5F06174D"/>
    <w:rsid w:val="5F27019F"/>
    <w:rsid w:val="5F370D45"/>
    <w:rsid w:val="5F3A3602"/>
    <w:rsid w:val="5F45733B"/>
    <w:rsid w:val="5F6277C6"/>
    <w:rsid w:val="5F6D0B1D"/>
    <w:rsid w:val="5F7A40CD"/>
    <w:rsid w:val="5F8D0B82"/>
    <w:rsid w:val="5FCC5339"/>
    <w:rsid w:val="5FD03C7C"/>
    <w:rsid w:val="5FDF2F46"/>
    <w:rsid w:val="5FE34A5B"/>
    <w:rsid w:val="5FFE1E36"/>
    <w:rsid w:val="60130589"/>
    <w:rsid w:val="60232584"/>
    <w:rsid w:val="60273055"/>
    <w:rsid w:val="6045400C"/>
    <w:rsid w:val="605A39AF"/>
    <w:rsid w:val="607330CE"/>
    <w:rsid w:val="60825176"/>
    <w:rsid w:val="6090036C"/>
    <w:rsid w:val="609F2AC4"/>
    <w:rsid w:val="60AD7508"/>
    <w:rsid w:val="60D13B6A"/>
    <w:rsid w:val="60E455D3"/>
    <w:rsid w:val="60FA2EE8"/>
    <w:rsid w:val="610242FD"/>
    <w:rsid w:val="61054A27"/>
    <w:rsid w:val="61063EE4"/>
    <w:rsid w:val="610A52BC"/>
    <w:rsid w:val="611D2366"/>
    <w:rsid w:val="61421856"/>
    <w:rsid w:val="6151138E"/>
    <w:rsid w:val="615227C4"/>
    <w:rsid w:val="61524EF4"/>
    <w:rsid w:val="61654E3F"/>
    <w:rsid w:val="6182292A"/>
    <w:rsid w:val="619F7F92"/>
    <w:rsid w:val="61A066BA"/>
    <w:rsid w:val="61BA4B30"/>
    <w:rsid w:val="61C66F19"/>
    <w:rsid w:val="61F94C26"/>
    <w:rsid w:val="62000E56"/>
    <w:rsid w:val="624F3E49"/>
    <w:rsid w:val="62632286"/>
    <w:rsid w:val="62885958"/>
    <w:rsid w:val="62DF143B"/>
    <w:rsid w:val="62E775FD"/>
    <w:rsid w:val="62F40B65"/>
    <w:rsid w:val="62FC2CFE"/>
    <w:rsid w:val="63024505"/>
    <w:rsid w:val="63502A9B"/>
    <w:rsid w:val="635600A5"/>
    <w:rsid w:val="635B1DB5"/>
    <w:rsid w:val="63711FED"/>
    <w:rsid w:val="63880DDC"/>
    <w:rsid w:val="638D750D"/>
    <w:rsid w:val="63A31068"/>
    <w:rsid w:val="63AC6CC0"/>
    <w:rsid w:val="63BF2076"/>
    <w:rsid w:val="64055776"/>
    <w:rsid w:val="641C64BD"/>
    <w:rsid w:val="64240056"/>
    <w:rsid w:val="643318AD"/>
    <w:rsid w:val="643E143A"/>
    <w:rsid w:val="64455D50"/>
    <w:rsid w:val="64491666"/>
    <w:rsid w:val="648B6EEF"/>
    <w:rsid w:val="64C158BF"/>
    <w:rsid w:val="64CE2EAA"/>
    <w:rsid w:val="65145537"/>
    <w:rsid w:val="65362175"/>
    <w:rsid w:val="653C3090"/>
    <w:rsid w:val="655002F5"/>
    <w:rsid w:val="65854376"/>
    <w:rsid w:val="658575CF"/>
    <w:rsid w:val="658701F2"/>
    <w:rsid w:val="658767BE"/>
    <w:rsid w:val="65892531"/>
    <w:rsid w:val="6589446E"/>
    <w:rsid w:val="66195831"/>
    <w:rsid w:val="662E75B1"/>
    <w:rsid w:val="66342C2E"/>
    <w:rsid w:val="663E784C"/>
    <w:rsid w:val="66457286"/>
    <w:rsid w:val="668B6A45"/>
    <w:rsid w:val="66CE48A9"/>
    <w:rsid w:val="66EF082E"/>
    <w:rsid w:val="67017B81"/>
    <w:rsid w:val="672F3F24"/>
    <w:rsid w:val="6734416E"/>
    <w:rsid w:val="673E055F"/>
    <w:rsid w:val="67551CE3"/>
    <w:rsid w:val="679255E8"/>
    <w:rsid w:val="67930446"/>
    <w:rsid w:val="67982C74"/>
    <w:rsid w:val="67A22552"/>
    <w:rsid w:val="67B22DCC"/>
    <w:rsid w:val="67BE71AA"/>
    <w:rsid w:val="67BF788D"/>
    <w:rsid w:val="67D90273"/>
    <w:rsid w:val="67DE5875"/>
    <w:rsid w:val="67E55852"/>
    <w:rsid w:val="67EB1AB4"/>
    <w:rsid w:val="67FA1285"/>
    <w:rsid w:val="683E788E"/>
    <w:rsid w:val="68551F4F"/>
    <w:rsid w:val="687C10C9"/>
    <w:rsid w:val="68840C16"/>
    <w:rsid w:val="68876EFB"/>
    <w:rsid w:val="68884654"/>
    <w:rsid w:val="688A1939"/>
    <w:rsid w:val="689F444F"/>
    <w:rsid w:val="68B96DBB"/>
    <w:rsid w:val="68CA2805"/>
    <w:rsid w:val="68E937A3"/>
    <w:rsid w:val="68F71C1C"/>
    <w:rsid w:val="69101CA8"/>
    <w:rsid w:val="693E15D3"/>
    <w:rsid w:val="6956111F"/>
    <w:rsid w:val="69592B34"/>
    <w:rsid w:val="69627681"/>
    <w:rsid w:val="6977531D"/>
    <w:rsid w:val="699B1743"/>
    <w:rsid w:val="69CC2BFF"/>
    <w:rsid w:val="69FD55B8"/>
    <w:rsid w:val="6A0B1C62"/>
    <w:rsid w:val="6A0E1913"/>
    <w:rsid w:val="6A2406C8"/>
    <w:rsid w:val="6A2D24D9"/>
    <w:rsid w:val="6ADE0BD1"/>
    <w:rsid w:val="6AE96859"/>
    <w:rsid w:val="6B147746"/>
    <w:rsid w:val="6B24787C"/>
    <w:rsid w:val="6B43066B"/>
    <w:rsid w:val="6B573233"/>
    <w:rsid w:val="6B5B6274"/>
    <w:rsid w:val="6B935D53"/>
    <w:rsid w:val="6BD81954"/>
    <w:rsid w:val="6C196F71"/>
    <w:rsid w:val="6C226FCB"/>
    <w:rsid w:val="6C31226F"/>
    <w:rsid w:val="6C552F0B"/>
    <w:rsid w:val="6C7D602C"/>
    <w:rsid w:val="6C8C67B7"/>
    <w:rsid w:val="6C97174C"/>
    <w:rsid w:val="6C9C3206"/>
    <w:rsid w:val="6C9D744C"/>
    <w:rsid w:val="6D0B6BF8"/>
    <w:rsid w:val="6D167928"/>
    <w:rsid w:val="6D26299B"/>
    <w:rsid w:val="6D4772EC"/>
    <w:rsid w:val="6D4819D7"/>
    <w:rsid w:val="6D9078AF"/>
    <w:rsid w:val="6DAA3FEF"/>
    <w:rsid w:val="6DBE0F5A"/>
    <w:rsid w:val="6DC0172B"/>
    <w:rsid w:val="6DCB690C"/>
    <w:rsid w:val="6DD41A5B"/>
    <w:rsid w:val="6DF43C2E"/>
    <w:rsid w:val="6DF51CA3"/>
    <w:rsid w:val="6DFB3F5C"/>
    <w:rsid w:val="6E4B0C97"/>
    <w:rsid w:val="6E8335BD"/>
    <w:rsid w:val="6E8E12EF"/>
    <w:rsid w:val="6E972936"/>
    <w:rsid w:val="6ED446C5"/>
    <w:rsid w:val="6F2A7D94"/>
    <w:rsid w:val="6F2B261F"/>
    <w:rsid w:val="6F8331F1"/>
    <w:rsid w:val="6FAA5C3A"/>
    <w:rsid w:val="6FAE1A09"/>
    <w:rsid w:val="6FCF56A0"/>
    <w:rsid w:val="6FD75BF8"/>
    <w:rsid w:val="6FFF1196"/>
    <w:rsid w:val="705B7651"/>
    <w:rsid w:val="707723D0"/>
    <w:rsid w:val="70784068"/>
    <w:rsid w:val="70816746"/>
    <w:rsid w:val="70C0418A"/>
    <w:rsid w:val="70F5661B"/>
    <w:rsid w:val="71360107"/>
    <w:rsid w:val="713B688E"/>
    <w:rsid w:val="71500A63"/>
    <w:rsid w:val="71B1620F"/>
    <w:rsid w:val="71B33E83"/>
    <w:rsid w:val="71CD79BE"/>
    <w:rsid w:val="71D129F4"/>
    <w:rsid w:val="71D43752"/>
    <w:rsid w:val="71F1796A"/>
    <w:rsid w:val="72154626"/>
    <w:rsid w:val="72262B5D"/>
    <w:rsid w:val="72283FF7"/>
    <w:rsid w:val="722E7212"/>
    <w:rsid w:val="723A0474"/>
    <w:rsid w:val="725923E4"/>
    <w:rsid w:val="72864BF7"/>
    <w:rsid w:val="729023FC"/>
    <w:rsid w:val="736616A6"/>
    <w:rsid w:val="736D2142"/>
    <w:rsid w:val="7372383F"/>
    <w:rsid w:val="739B0EFF"/>
    <w:rsid w:val="73AF4B09"/>
    <w:rsid w:val="73C0646E"/>
    <w:rsid w:val="742003C3"/>
    <w:rsid w:val="742222F5"/>
    <w:rsid w:val="74476126"/>
    <w:rsid w:val="74706664"/>
    <w:rsid w:val="747F3682"/>
    <w:rsid w:val="748950CE"/>
    <w:rsid w:val="749C4185"/>
    <w:rsid w:val="74D3135E"/>
    <w:rsid w:val="74DC4AE7"/>
    <w:rsid w:val="74F94121"/>
    <w:rsid w:val="75067759"/>
    <w:rsid w:val="752E6DCD"/>
    <w:rsid w:val="75457CE2"/>
    <w:rsid w:val="754F6D66"/>
    <w:rsid w:val="7551380D"/>
    <w:rsid w:val="75600BE5"/>
    <w:rsid w:val="7564475C"/>
    <w:rsid w:val="758355F3"/>
    <w:rsid w:val="7583797F"/>
    <w:rsid w:val="758B5587"/>
    <w:rsid w:val="75C62101"/>
    <w:rsid w:val="75D20F1D"/>
    <w:rsid w:val="75DA2C18"/>
    <w:rsid w:val="75F54412"/>
    <w:rsid w:val="761D08E0"/>
    <w:rsid w:val="765D347C"/>
    <w:rsid w:val="76826699"/>
    <w:rsid w:val="76C87133"/>
    <w:rsid w:val="76CD08D5"/>
    <w:rsid w:val="76DB4B92"/>
    <w:rsid w:val="77052AA4"/>
    <w:rsid w:val="77136511"/>
    <w:rsid w:val="772A6DB7"/>
    <w:rsid w:val="77340A39"/>
    <w:rsid w:val="77351FD0"/>
    <w:rsid w:val="77472422"/>
    <w:rsid w:val="77730E2B"/>
    <w:rsid w:val="777F31F2"/>
    <w:rsid w:val="77B70EF4"/>
    <w:rsid w:val="77BB4637"/>
    <w:rsid w:val="77BE4DB2"/>
    <w:rsid w:val="77D1700D"/>
    <w:rsid w:val="77E44502"/>
    <w:rsid w:val="77EB37B4"/>
    <w:rsid w:val="77EC04CC"/>
    <w:rsid w:val="78775729"/>
    <w:rsid w:val="78A42DB0"/>
    <w:rsid w:val="78A656AB"/>
    <w:rsid w:val="78B2245C"/>
    <w:rsid w:val="78CB6D45"/>
    <w:rsid w:val="78E172CC"/>
    <w:rsid w:val="78EA1D1F"/>
    <w:rsid w:val="7904172F"/>
    <w:rsid w:val="790F7E27"/>
    <w:rsid w:val="79273E57"/>
    <w:rsid w:val="79286F9D"/>
    <w:rsid w:val="792A231A"/>
    <w:rsid w:val="79316829"/>
    <w:rsid w:val="795D5E07"/>
    <w:rsid w:val="797E66A9"/>
    <w:rsid w:val="7984057E"/>
    <w:rsid w:val="798518A4"/>
    <w:rsid w:val="79A97383"/>
    <w:rsid w:val="79BD70A9"/>
    <w:rsid w:val="79E27E8B"/>
    <w:rsid w:val="79F850CE"/>
    <w:rsid w:val="79FD443C"/>
    <w:rsid w:val="7A1D1975"/>
    <w:rsid w:val="7A3E5150"/>
    <w:rsid w:val="7A4670D6"/>
    <w:rsid w:val="7A534B63"/>
    <w:rsid w:val="7A5B7398"/>
    <w:rsid w:val="7A615382"/>
    <w:rsid w:val="7A67303B"/>
    <w:rsid w:val="7A747128"/>
    <w:rsid w:val="7A993E97"/>
    <w:rsid w:val="7AAB1D04"/>
    <w:rsid w:val="7ABA4368"/>
    <w:rsid w:val="7AD05746"/>
    <w:rsid w:val="7AF14A3A"/>
    <w:rsid w:val="7AF40947"/>
    <w:rsid w:val="7B257FFD"/>
    <w:rsid w:val="7B343476"/>
    <w:rsid w:val="7B5A2978"/>
    <w:rsid w:val="7B5A7E4C"/>
    <w:rsid w:val="7B667AF9"/>
    <w:rsid w:val="7B667CC9"/>
    <w:rsid w:val="7B7468F8"/>
    <w:rsid w:val="7BEB2BB9"/>
    <w:rsid w:val="7BEE0103"/>
    <w:rsid w:val="7BFB6C41"/>
    <w:rsid w:val="7C0A0FE4"/>
    <w:rsid w:val="7C254906"/>
    <w:rsid w:val="7C590818"/>
    <w:rsid w:val="7C6F3304"/>
    <w:rsid w:val="7C7C10F6"/>
    <w:rsid w:val="7C853BEA"/>
    <w:rsid w:val="7C881368"/>
    <w:rsid w:val="7CE27788"/>
    <w:rsid w:val="7D0C32F1"/>
    <w:rsid w:val="7D0F408D"/>
    <w:rsid w:val="7D4635D3"/>
    <w:rsid w:val="7D491C6C"/>
    <w:rsid w:val="7D5429C0"/>
    <w:rsid w:val="7D6E6D43"/>
    <w:rsid w:val="7D6F6A8D"/>
    <w:rsid w:val="7DB57A34"/>
    <w:rsid w:val="7DE60973"/>
    <w:rsid w:val="7DE93453"/>
    <w:rsid w:val="7DEF0916"/>
    <w:rsid w:val="7DF63252"/>
    <w:rsid w:val="7E0929FF"/>
    <w:rsid w:val="7E1E5218"/>
    <w:rsid w:val="7E3231B3"/>
    <w:rsid w:val="7E6B5D53"/>
    <w:rsid w:val="7E780A30"/>
    <w:rsid w:val="7E9A4E1F"/>
    <w:rsid w:val="7EA7723A"/>
    <w:rsid w:val="7ECF4278"/>
    <w:rsid w:val="7EF56FBB"/>
    <w:rsid w:val="7F0768EB"/>
    <w:rsid w:val="7F107071"/>
    <w:rsid w:val="7F143BEC"/>
    <w:rsid w:val="7F2A3FE6"/>
    <w:rsid w:val="7F5A16D1"/>
    <w:rsid w:val="7F6F0C68"/>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9"/>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link w:val="1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paragraph" w:customStyle="1" w:styleId="964">
    <w:name w:val="_Style 10"/>
    <w:basedOn w:val="1"/>
    <w:qFormat/>
    <w:uiPriority w:val="34"/>
    <w:pPr>
      <w:widowControl/>
      <w:ind w:firstLine="420" w:firstLineChars="200"/>
      <w:jc w:val="left"/>
    </w:pPr>
    <w:rPr>
      <w:rFonts w:ascii="宋体" w:hAnsi="宋体" w:cs="宋体"/>
      <w:kern w:val="0"/>
      <w:sz w:val="24"/>
    </w:rPr>
  </w:style>
  <w:style w:type="paragraph" w:customStyle="1" w:styleId="965">
    <w:name w:val="正文360首行缩进"/>
    <w:basedOn w:val="1"/>
    <w:qFormat/>
    <w:uiPriority w:val="0"/>
    <w:pPr>
      <w:widowControl/>
      <w:spacing w:after="50" w:line="300" w:lineRule="auto"/>
      <w:ind w:firstLine="200" w:firstLineChars="200"/>
      <w:jc w:val="left"/>
    </w:pPr>
    <w:rPr>
      <w:rFonts w:ascii="Arial" w:hAnsi="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6A71F-541C-4E75-B4DD-EA6FF864E6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8345</Words>
  <Characters>47569</Characters>
  <Lines>396</Lines>
  <Paragraphs>111</Paragraphs>
  <TotalTime>71</TotalTime>
  <ScaleCrop>false</ScaleCrop>
  <LinksUpToDate>false</LinksUpToDate>
  <CharactersWithSpaces>55803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蒋晓峥</cp:lastModifiedBy>
  <cp:lastPrinted>2024-07-29T06:43:00Z</cp:lastPrinted>
  <dcterms:modified xsi:type="dcterms:W3CDTF">2024-08-05T01:56:53Z</dcterms:modified>
  <dc:title>杭州市市民卡扩大发卡工程</dc:title>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8551AC51E977493AA5181A223087C480</vt:lpwstr>
  </property>
</Properties>
</file>