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杭州市西湖区人民法院10楼空调设备第三次采购项目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XHZFCG-2024-G-28</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eastAsia="zh-CN"/>
        </w:rPr>
        <w:t>杭州市西湖区人民法院</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杭州市西湖区政府采购中心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杭州市西湖区人民法院10楼空调设备第三次采购项目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6</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21</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XHZFCG-2024-G-28</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杭州市西湖区人民法院10楼空调设备第三次采购项目</w:t>
      </w:r>
    </w:p>
    <w:p>
      <w:pPr>
        <w:spacing w:line="360" w:lineRule="auto"/>
        <w:rPr>
          <w:rFonts w:hint="default" w:ascii="宋体" w:hAnsi="宋体" w:eastAsia="宋体" w:cs="宋体"/>
          <w:b/>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val="0"/>
          <w:color w:val="auto"/>
          <w:sz w:val="24"/>
          <w:highlight w:val="none"/>
        </w:rPr>
        <w:t>：</w:t>
      </w:r>
      <w:r>
        <w:rPr>
          <w:rFonts w:hint="eastAsia" w:ascii="宋体" w:hAnsi="宋体" w:cs="宋体"/>
          <w:color w:val="auto"/>
          <w:sz w:val="24"/>
          <w:highlight w:val="none"/>
          <w:lang w:val="en-US" w:eastAsia="zh-CN"/>
        </w:rPr>
        <w:t xml:space="preserve"> 352482.00 </w:t>
      </w:r>
    </w:p>
    <w:p>
      <w:pPr>
        <w:spacing w:line="360" w:lineRule="auto"/>
        <w:ind w:firstLine="480"/>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
          <w:bCs w:val="0"/>
          <w:color w:val="auto"/>
          <w:sz w:val="24"/>
          <w:highlight w:val="none"/>
        </w:rPr>
        <w:t>最高限价（元）：</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352482</w:t>
      </w:r>
      <w:r>
        <w:rPr>
          <w:rFonts w:hint="eastAsia" w:ascii="宋体" w:hAnsi="宋体" w:cs="宋体"/>
          <w:color w:val="auto"/>
          <w:sz w:val="24"/>
          <w:highlight w:val="none"/>
          <w:lang w:val="en-US" w:eastAsia="zh-CN"/>
        </w:rPr>
        <w:t>.00</w:t>
      </w:r>
      <w:r>
        <w:rPr>
          <w:rFonts w:hint="eastAsia" w:ascii="仿宋_GB2312" w:hAnsi="仿宋" w:eastAsia="仿宋_GB2312"/>
          <w:bCs/>
          <w:snapToGrid w:val="0"/>
          <w:sz w:val="24"/>
          <w:highlight w:val="none"/>
        </w:rPr>
        <w:t xml:space="preserve"> </w:t>
      </w:r>
    </w:p>
    <w:p>
      <w:pPr>
        <w:pStyle w:val="7"/>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bidi="ar-SA"/>
        </w:rPr>
        <w:t>采购需求：</w:t>
      </w:r>
      <w:r>
        <w:rPr>
          <w:rFonts w:hint="eastAsia" w:hAnsi="宋体" w:cs="宋体"/>
          <w:bCs/>
          <w:snapToGrid/>
          <w:color w:val="auto"/>
          <w:kern w:val="2"/>
          <w:sz w:val="24"/>
          <w:szCs w:val="24"/>
          <w:highlight w:val="none"/>
          <w:lang w:val="en-US" w:eastAsia="zh-CN" w:bidi="ar-SA"/>
        </w:rPr>
        <w:t>杭州市西湖区人民法院10楼空调设备第三次采购项目</w:t>
      </w:r>
      <w:r>
        <w:rPr>
          <w:rFonts w:hint="default" w:ascii="宋体" w:hAnsi="宋体" w:eastAsia="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具体包括：多联式室外机2台，风管式室内机19台，以及整个空调系统所有的配管、配线、配件、专用工具、控制装置、设备基础及支架等、安装调试、相关的技术培训及不少于</w:t>
      </w:r>
      <w:r>
        <w:rPr>
          <w:rFonts w:hint="eastAsia"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年（含）的免费质保及售后现场技术服务。具体以招标文件第三部分采购需求为准，供应商可</w:t>
      </w:r>
      <w:r>
        <w:rPr>
          <w:rFonts w:hint="eastAsia" w:asciiTheme="minorEastAsia" w:hAnsiTheme="minorEastAsia" w:eastAsiaTheme="minorEastAsia"/>
          <w:snapToGrid/>
          <w:color w:val="auto"/>
          <w:kern w:val="2"/>
          <w:sz w:val="24"/>
          <w:szCs w:val="24"/>
          <w:highlight w:val="none"/>
        </w:rPr>
        <w:t>点击本公告下方“浏览采购文件”查看采购需求。</w:t>
      </w:r>
    </w:p>
    <w:p>
      <w:pPr>
        <w:pStyle w:val="7"/>
        <w:spacing w:line="360" w:lineRule="auto"/>
        <w:ind w:firstLine="480"/>
        <w:rPr>
          <w:rFonts w:hint="eastAsia" w:hAnsi="宋体" w:eastAsia="宋体" w:cs="宋体"/>
          <w:sz w:val="24"/>
          <w:highlight w:val="none"/>
          <w:lang w:eastAsia="zh-CN"/>
        </w:rPr>
      </w:pPr>
      <w:r>
        <w:rPr>
          <w:rFonts w:hint="eastAsia" w:hAnsi="宋体" w:cs="宋体"/>
          <w:bCs/>
          <w:snapToGrid/>
          <w:color w:val="auto"/>
          <w:kern w:val="2"/>
          <w:sz w:val="24"/>
          <w:szCs w:val="24"/>
          <w:highlight w:val="none"/>
        </w:rPr>
        <w:t>标项名称：</w:t>
      </w:r>
      <w:r>
        <w:rPr>
          <w:rFonts w:hint="eastAsia" w:hAnsi="宋体" w:cs="宋体"/>
          <w:sz w:val="24"/>
          <w:highlight w:val="none"/>
          <w:lang w:eastAsia="zh-CN"/>
        </w:rPr>
        <w:t>杭州市西湖区人民法院10楼空调设备第三次采购项目</w:t>
      </w:r>
    </w:p>
    <w:p>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数量：</w:t>
      </w:r>
      <w:r>
        <w:rPr>
          <w:rFonts w:hAnsi="宋体" w:cs="宋体"/>
          <w:bCs/>
          <w:snapToGrid/>
          <w:color w:val="auto"/>
          <w:kern w:val="2"/>
          <w:sz w:val="24"/>
          <w:szCs w:val="24"/>
          <w:highlight w:val="none"/>
        </w:rPr>
        <w:t>1</w:t>
      </w:r>
      <w:r>
        <w:rPr>
          <w:rFonts w:hint="eastAsia" w:hAnsi="宋体" w:cs="宋体"/>
          <w:bCs/>
          <w:snapToGrid/>
          <w:color w:val="auto"/>
          <w:kern w:val="2"/>
          <w:sz w:val="24"/>
          <w:szCs w:val="24"/>
          <w:highlight w:val="none"/>
        </w:rPr>
        <w:t>批</w:t>
      </w:r>
    </w:p>
    <w:p>
      <w:pPr>
        <w:spacing w:line="360" w:lineRule="auto"/>
        <w:ind w:firstLine="480"/>
        <w:rPr>
          <w:rFonts w:hint="default" w:ascii="宋体" w:hAnsi="宋体" w:eastAsia="宋体" w:cs="宋体"/>
          <w:sz w:val="24"/>
          <w:highlight w:val="none"/>
          <w:lang w:val="en-US" w:eastAsia="zh-CN"/>
        </w:rPr>
      </w:pPr>
      <w:r>
        <w:rPr>
          <w:rFonts w:hint="eastAsia" w:hAnsi="宋体" w:cs="宋体"/>
          <w:bCs/>
          <w:sz w:val="24"/>
          <w:highlight w:val="none"/>
        </w:rPr>
        <w:t>预算金额（元）：</w:t>
      </w:r>
      <w:r>
        <w:rPr>
          <w:rFonts w:hint="eastAsia" w:ascii="宋体" w:hAnsi="宋体" w:cs="宋体"/>
          <w:color w:val="auto"/>
          <w:sz w:val="24"/>
          <w:highlight w:val="none"/>
          <w:lang w:val="en-US" w:eastAsia="zh-CN"/>
        </w:rPr>
        <w:t xml:space="preserve"> 352482.00</w:t>
      </w:r>
    </w:p>
    <w:p>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p>
    <w:p>
      <w:pPr>
        <w:spacing w:line="360" w:lineRule="auto"/>
        <w:ind w:firstLine="480" w:firstLineChars="20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多联式室外机2台，风管式室内机19台，以及整个空调系统所有的配管、配线、配件、专用工具、控制装置、设备基础及支架等、安装调试、相关的技术培训及不少于</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年（含）的免费质保及售后现场技术服务。</w:t>
      </w:r>
    </w:p>
    <w:p>
      <w:pPr>
        <w:spacing w:line="360" w:lineRule="auto"/>
        <w:ind w:firstLine="482" w:firstLineChars="200"/>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日历天内完成安装、调试、交付。</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日历天内必须完成项目设备供货，逾期按照合同条款执行。</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货物全部由符合政策要求的中小微企业制造，提供中小企业声明函；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rPr>
        <w:t>三、获取招</w:t>
      </w:r>
      <w:r>
        <w:rPr>
          <w:rFonts w:hint="eastAsia" w:ascii="宋体" w:hAnsi="宋体" w:cs="宋体"/>
          <w:b/>
          <w:color w:val="auto"/>
          <w:sz w:val="24"/>
          <w:highlight w:val="none"/>
        </w:rPr>
        <w:t xml:space="preserve">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bookmarkStart w:id="568" w:name="_GoBack"/>
      <w:bookmarkEnd w:id="568"/>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名    称：杭州市西湖区人民法院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址：杭州市西湖区文二西路9号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真：0571-888497992</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项目联系人（询问）：郭建会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0571-</w:t>
      </w:r>
      <w:r>
        <w:rPr>
          <w:rFonts w:hint="eastAsia" w:ascii="宋体" w:hAnsi="宋体" w:cs="宋体"/>
          <w:color w:val="auto"/>
          <w:sz w:val="24"/>
        </w:rPr>
        <w:t>88497276</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质疑联系人：余鸿</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质疑联系方式：0571-88497898</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sz w:val="24"/>
          <w:highlight w:val="none"/>
          <w:lang w:eastAsia="zh-CN"/>
        </w:rPr>
        <w:t>杭州市西湖区政府采购中心</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sz w:val="24"/>
          <w:highlight w:val="none"/>
          <w:lang w:eastAsia="zh-CN"/>
        </w:rPr>
        <w:t>杭州市西湖区文一西路858号</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蒋晓峥</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项目联系方式（询问）：0571-</w:t>
      </w:r>
      <w:r>
        <w:rPr>
          <w:rFonts w:hint="default" w:ascii="宋体" w:hAnsi="宋体" w:cs="宋体"/>
          <w:color w:val="auto"/>
          <w:sz w:val="24"/>
          <w:lang w:val="en-US"/>
        </w:rPr>
        <w:t>89511448</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 </w:t>
      </w:r>
      <w:r>
        <w:rPr>
          <w:rFonts w:hint="eastAsia" w:ascii="宋体" w:hAnsi="宋体" w:cs="宋体"/>
          <w:color w:val="auto"/>
          <w:sz w:val="24"/>
          <w:lang w:eastAsia="zh-CN"/>
        </w:rPr>
        <w:t>缪新新</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质疑联系方式：0571-8</w:t>
      </w:r>
      <w:r>
        <w:rPr>
          <w:rFonts w:hint="default" w:ascii="宋体" w:hAnsi="宋体" w:cs="宋体"/>
          <w:color w:val="auto"/>
          <w:sz w:val="24"/>
          <w:lang w:val="en-US"/>
        </w:rPr>
        <w:t>9511561</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ind w:left="479" w:leftChars="228" w:firstLine="0" w:firstLineChars="0"/>
        <w:rPr>
          <w:rFonts w:ascii="宋体" w:hAnsi="宋体" w:cs="宋体"/>
          <w:color w:val="auto"/>
          <w:sz w:val="24"/>
        </w:rPr>
      </w:pPr>
      <w:r>
        <w:rPr>
          <w:rFonts w:hint="eastAsia" w:ascii="宋体" w:hAnsi="宋体" w:cs="宋体"/>
          <w:sz w:val="24"/>
        </w:rPr>
        <w:t>名 称：杭州市西湖区财政局、浙江省政府采购行政裁决服务中心（杭州）</w:t>
      </w:r>
      <w:r>
        <w:rPr>
          <w:rFonts w:hint="eastAsia" w:ascii="宋体" w:hAnsi="宋体" w:cs="宋体"/>
          <w:sz w:val="24"/>
        </w:rPr>
        <w:br w:type="textWrapping"/>
      </w:r>
      <w:r>
        <w:rPr>
          <w:rFonts w:hint="eastAsia" w:ascii="宋体" w:hAnsi="宋体" w:cs="宋体"/>
          <w:sz w:val="24"/>
        </w:rPr>
        <w:t xml:space="preserve">地 址：杭州市上城区四季青街道新业路市民之家G03办公室（快递仅限ems或顺丰） </w:t>
      </w:r>
      <w:r>
        <w:rPr>
          <w:rFonts w:hint="eastAsia" w:ascii="宋体" w:hAnsi="宋体" w:cs="宋体"/>
          <w:sz w:val="24"/>
        </w:rPr>
        <w:br w:type="textWrapping"/>
      </w:r>
      <w:r>
        <w:rPr>
          <w:rFonts w:hint="eastAsia" w:ascii="宋体" w:hAnsi="宋体" w:cs="宋体"/>
          <w:sz w:val="24"/>
        </w:rPr>
        <w:t>传 真： /</w:t>
      </w:r>
      <w:r>
        <w:rPr>
          <w:rFonts w:hint="eastAsia" w:ascii="宋体" w:hAnsi="宋体" w:cs="宋体"/>
          <w:sz w:val="24"/>
        </w:rPr>
        <w:br w:type="textWrapping"/>
      </w:r>
      <w:r>
        <w:rPr>
          <w:rFonts w:hint="eastAsia" w:ascii="宋体" w:hAnsi="宋体" w:cs="宋体"/>
          <w:sz w:val="24"/>
        </w:rPr>
        <w:t>联系人 ：朱女士、王女士</w:t>
      </w:r>
      <w:r>
        <w:rPr>
          <w:rFonts w:hint="eastAsia" w:ascii="宋体" w:hAnsi="宋体" w:cs="宋体"/>
          <w:sz w:val="24"/>
        </w:rPr>
        <w:br w:type="textWrapping"/>
      </w:r>
      <w:r>
        <w:rPr>
          <w:rFonts w:hint="eastAsia" w:ascii="宋体" w:hAnsi="宋体" w:cs="宋体"/>
          <w:sz w:val="24"/>
        </w:rPr>
        <w:t xml:space="preserve">监督投诉电话：0571-85252453   </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5"/>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53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strike w:val="0"/>
                <w:dstrike w:val="0"/>
                <w:color w:val="auto"/>
                <w:sz w:val="24"/>
                <w:highlight w:val="none"/>
                <w:u w:val="single"/>
              </w:rPr>
              <w:t xml:space="preserve"> </w:t>
            </w:r>
            <w:r>
              <w:rPr>
                <w:rFonts w:hint="eastAsia" w:ascii="宋体" w:hAnsi="宋体" w:eastAsia="宋体" w:cs="宋体"/>
                <w:sz w:val="24"/>
                <w:highlight w:val="none"/>
                <w:u w:val="single"/>
                <w:lang w:val="en-US" w:eastAsia="zh-CN"/>
              </w:rPr>
              <w:t>多联式室外机顶出风、风管式室内机</w:t>
            </w:r>
            <w:r>
              <w:rPr>
                <w:rFonts w:hint="eastAsia" w:ascii="宋体" w:hAnsi="宋体" w:cs="宋体"/>
                <w:strike w:val="0"/>
                <w:dstrike w:val="0"/>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532"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宋体" w:hAnsi="宋体" w:cs="宋体"/>
                <w:sz w:val="24"/>
                <w:highlight w:val="none"/>
                <w:u w:val="single"/>
              </w:rPr>
            </w:pPr>
            <w:r>
              <w:rPr>
                <w:rFonts w:hint="eastAsia" w:ascii="宋体" w:hAnsi="宋体" w:cs="宋体"/>
                <w:sz w:val="24"/>
                <w:highlight w:val="none"/>
              </w:rPr>
              <w:t>标的</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多联式室外机顶出风</w:t>
            </w:r>
            <w:r>
              <w:rPr>
                <w:rFonts w:hint="eastAsia" w:ascii="宋体" w:hAnsi="宋体" w:eastAsia="宋体" w:cs="宋体"/>
                <w:sz w:val="24"/>
                <w:highlight w:val="none"/>
                <w:u w:val="single"/>
              </w:rPr>
              <w:t>，</w:t>
            </w:r>
            <w:r>
              <w:rPr>
                <w:rFonts w:hint="eastAsia" w:ascii="宋体" w:hAnsi="宋体" w:cs="宋体"/>
                <w:sz w:val="24"/>
                <w:highlight w:val="none"/>
              </w:rPr>
              <w:t>所属行业：</w:t>
            </w:r>
            <w:r>
              <w:rPr>
                <w:rFonts w:hint="eastAsia" w:ascii="宋体" w:hAnsi="宋体" w:cs="宋体"/>
                <w:sz w:val="24"/>
                <w:highlight w:val="none"/>
                <w:u w:val="single"/>
              </w:rPr>
              <w:t>工业；</w:t>
            </w:r>
          </w:p>
          <w:p>
            <w:pPr>
              <w:numPr>
                <w:ilvl w:val="0"/>
                <w:numId w:val="1"/>
              </w:numPr>
              <w:spacing w:line="360" w:lineRule="auto"/>
              <w:rPr>
                <w:highlight w:val="none"/>
                <w:lang w:val="en-US"/>
              </w:rPr>
            </w:pPr>
            <w:r>
              <w:rPr>
                <w:rFonts w:hint="eastAsia" w:ascii="宋体" w:hAnsi="宋体" w:cs="宋体"/>
                <w:sz w:val="24"/>
                <w:highlight w:val="none"/>
                <w:u w:val="none"/>
              </w:rPr>
              <w:t>标</w:t>
            </w:r>
            <w:r>
              <w:rPr>
                <w:rFonts w:hint="eastAsia" w:ascii="宋体" w:hAnsi="宋体" w:eastAsia="宋体" w:cs="宋体"/>
                <w:sz w:val="24"/>
                <w:highlight w:val="none"/>
                <w:u w:val="none"/>
                <w:lang w:val="en-US" w:eastAsia="zh-CN"/>
              </w:rPr>
              <w:t>的：</w:t>
            </w:r>
            <w:r>
              <w:rPr>
                <w:rFonts w:hint="eastAsia" w:ascii="宋体" w:hAnsi="宋体" w:eastAsia="宋体" w:cs="宋体"/>
                <w:sz w:val="24"/>
                <w:highlight w:val="none"/>
                <w:u w:val="single"/>
                <w:lang w:val="en-US" w:eastAsia="zh-CN"/>
              </w:rPr>
              <w:t>风管式室内机，</w:t>
            </w:r>
            <w:r>
              <w:rPr>
                <w:rFonts w:hint="eastAsia" w:ascii="宋体" w:hAnsi="宋体" w:eastAsia="宋体" w:cs="宋体"/>
                <w:sz w:val="24"/>
                <w:highlight w:val="none"/>
                <w:u w:val="none"/>
                <w:lang w:val="en-US" w:eastAsia="zh-CN"/>
              </w:rPr>
              <w:t>所</w:t>
            </w:r>
            <w:r>
              <w:rPr>
                <w:rFonts w:hint="eastAsia" w:ascii="宋体" w:hAnsi="宋体" w:cs="宋体"/>
                <w:sz w:val="24"/>
                <w:highlight w:val="none"/>
              </w:rPr>
              <w:t>属行业：</w:t>
            </w:r>
            <w:r>
              <w:rPr>
                <w:rFonts w:hint="eastAsia" w:ascii="宋体" w:hAnsi="宋体" w:cs="宋体"/>
                <w:sz w:val="24"/>
                <w:highlight w:val="none"/>
                <w:u w:val="singl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设备的物流运输</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highlight w:val="none"/>
              </w:rPr>
              <w:t>（未提供样品或提供样品不满足采购需求实质性条件的供应商，投标无效）：</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p>
          <w:p>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w:t>
            </w:r>
            <w:r>
              <w:rPr>
                <w:rFonts w:hint="eastAsia" w:ascii="宋体" w:hAnsi="宋体" w:cs="宋体"/>
                <w:kern w:val="0"/>
                <w:sz w:val="24"/>
                <w:highlight w:val="none"/>
              </w:rPr>
              <w:t>。政采云平台在线讲解需投标人根据政采云平台操作要求做好准备工作</w:t>
            </w:r>
            <w:r>
              <w:rPr>
                <w:rFonts w:hint="eastAsia" w:ascii="宋体" w:hAnsi="宋体" w:cs="宋体"/>
                <w:b/>
                <w:bCs/>
                <w:kern w:val="0"/>
                <w:sz w:val="24"/>
                <w:highlight w:val="none"/>
              </w:rPr>
              <w:t>（①提供在线讲解演示，建议使用笔记本和有线/无线蓝牙耳机②播放视频，</w:t>
            </w:r>
            <w:r>
              <w:rPr>
                <w:rFonts w:hint="eastAsia" w:ascii="宋体" w:hAnsi="宋体" w:cs="宋体"/>
                <w:b/>
                <w:bCs/>
                <w:kern w:val="0"/>
                <w:sz w:val="24"/>
                <w:highlight w:val="none"/>
                <w:lang w:eastAsia="zh-CN"/>
              </w:rPr>
              <w:t>为避免视频卡顿等情况发生，</w:t>
            </w:r>
            <w:r>
              <w:rPr>
                <w:rFonts w:hint="eastAsia" w:ascii="宋体" w:hAnsi="宋体" w:cs="宋体"/>
                <w:b/>
                <w:bCs/>
                <w:kern w:val="0"/>
                <w:sz w:val="24"/>
                <w:highlight w:val="none"/>
              </w:rPr>
              <w:t>视频分辨率要求为1280*720）</w:t>
            </w:r>
            <w:r>
              <w:rPr>
                <w:rFonts w:hint="eastAsia" w:ascii="宋体" w:hAnsi="宋体" w:cs="宋体"/>
                <w:kern w:val="0"/>
                <w:sz w:val="24"/>
                <w:highlight w:val="none"/>
                <w:lang w:eastAsia="zh-CN"/>
              </w:rPr>
              <w:t>，请</w:t>
            </w:r>
            <w:r>
              <w:rPr>
                <w:rFonts w:hint="eastAsia" w:ascii="宋体" w:hAnsi="宋体" w:cs="宋体"/>
                <w:kern w:val="0"/>
                <w:sz w:val="24"/>
                <w:highlight w:val="none"/>
              </w:rPr>
              <w:t>提前完善软硬件配置环境。</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53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53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highlight w:val="none"/>
              </w:rPr>
              <w:t>节能产品、环境标志产品</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多联式室外机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多联式室外机</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rPr>
                <w:color w:val="auto"/>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53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532"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532"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cs="宋体" w:asciiTheme="minorEastAsia" w:hAnsiTheme="minorEastAsia" w:eastAsiaTheme="minorEastAsia"/>
                <w:sz w:val="24"/>
                <w:highlight w:val="none"/>
                <w:u w:val="single"/>
              </w:rPr>
              <w:t>0571-8</w:t>
            </w:r>
            <w:r>
              <w:rPr>
                <w:rFonts w:hint="default" w:cs="宋体" w:asciiTheme="minorEastAsia" w:hAnsiTheme="minorEastAsia" w:eastAsiaTheme="minorEastAsia"/>
                <w:sz w:val="24"/>
                <w:highlight w:val="none"/>
                <w:u w:val="single"/>
                <w:lang w:val="en-US"/>
              </w:rPr>
              <w:t>9511448</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优先采购绿色包装产品、绿色物流配送服务以及循环利用产品</w:t>
      </w:r>
      <w:bookmarkEnd w:id="15"/>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cs="宋体"/>
          <w:color w:val="auto"/>
          <w:sz w:val="24"/>
        </w:rPr>
        <w:t>3.5平等对待内外资企业和符合条件的破产重整企业</w:t>
      </w:r>
      <w:r>
        <w:rPr>
          <w:rFonts w:hint="eastAsia" w:ascii="宋体" w:hAnsi="宋体" w:cs="宋体"/>
          <w:color w:val="auto"/>
          <w:sz w:val="24"/>
          <w:lang w:eastAsia="zh-CN"/>
        </w:rPr>
        <w:t>。</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sz w:val="24"/>
          <w:szCs w:val="24"/>
        </w:rPr>
        <w:t>4. 询问、质疑、投诉</w:t>
      </w:r>
    </w:p>
    <w:p>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color w:val="auto"/>
          <w:lang w:val="zh-CN"/>
        </w:rPr>
      </w:pPr>
      <w:r>
        <w:rPr>
          <w:rFonts w:hint="eastAsia"/>
          <w:color w:val="auto"/>
          <w:lang w:val="zh-CN"/>
        </w:rPr>
        <w:t>4.1在线询问、质疑、投诉</w:t>
      </w:r>
    </w:p>
    <w:p>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hAnsi="宋体" w:eastAsia="宋体" w:cs="宋体"/>
          <w:color w:val="auto"/>
          <w:sz w:val="24"/>
          <w:lang w:eastAsia="zh-CN"/>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r>
        <w:rPr>
          <w:rFonts w:hint="eastAsia" w:hAnsi="宋体" w:cs="宋体"/>
          <w:color w:val="auto"/>
          <w:sz w:val="24"/>
          <w:lang w:val="en-US" w:eastAsia="zh-CN"/>
        </w:rPr>
        <w:t>。</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如果有</w:t>
      </w:r>
      <w:r>
        <w:rPr>
          <w:rFonts w:hint="eastAsia" w:ascii="宋体" w:hAnsi="宋体" w:cs="宋体"/>
          <w:color w:val="auto"/>
          <w:sz w:val="24"/>
          <w:lang w:eastAsia="zh-CN"/>
        </w:rPr>
        <w:t>）</w:t>
      </w:r>
      <w:r>
        <w:rPr>
          <w:rFonts w:hint="eastAsia" w:ascii="宋体" w:hAnsi="宋体" w:cs="宋体"/>
          <w:color w:val="auto"/>
          <w:sz w:val="24"/>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rPr>
        <w:tab/>
      </w:r>
    </w:p>
    <w:p>
      <w:pPr>
        <w:pStyle w:val="128"/>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在采购结果确认环节，中标候选人撤销投标文件不能成为采购人不确认采购结果的正当理由。</w:t>
      </w:r>
      <w:r>
        <w:rPr>
          <w:rFonts w:hint="eastAsia" w:ascii="宋体" w:hAnsi="宋体" w:cs="宋体"/>
          <w:color w:val="auto"/>
          <w:szCs w:val="24"/>
        </w:rPr>
        <w:t>中标通知书和中标结果公告应当在规定时间内同时发出。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s="Times New Roman"/>
          <w:b/>
          <w:bCs/>
          <w:color w:val="auto"/>
          <w:kern w:val="2"/>
          <w:sz w:val="24"/>
          <w:szCs w:val="32"/>
          <w:highlight w:val="none"/>
          <w:lang w:val="en-US"/>
        </w:rPr>
        <w:t>27.预付款</w:t>
      </w:r>
    </w:p>
    <w:p>
      <w:pPr>
        <w:snapToGrid w:val="0"/>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pStyle w:val="2"/>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hint="eastAsia" w:ascii="宋体" w:hAnsi="宋体" w:cs="宋体"/>
          <w:color w:val="auto"/>
        </w:rPr>
        <w:t>2</w:t>
      </w:r>
      <w:r>
        <w:rPr>
          <w:rFonts w:hint="default" w:ascii="宋体" w:hAnsi="宋体" w:cs="宋体"/>
          <w:b/>
          <w:color w:val="auto"/>
          <w:szCs w:val="24"/>
          <w:lang w:val="en-US"/>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default" w:ascii="宋体" w:hAnsi="宋体" w:cs="宋体"/>
          <w:color w:val="auto"/>
          <w:lang w:val="en-US"/>
        </w:rPr>
        <w:t>8</w:t>
      </w:r>
      <w:r>
        <w:rPr>
          <w:rFonts w:hint="eastAsia" w:ascii="宋体" w:hAnsi="宋体" w:cs="宋体"/>
          <w:color w:val="auto"/>
        </w:rPr>
        <w:t xml:space="preserve">.1电子交易平台发生故障而无法登录访问的；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default" w:ascii="宋体" w:hAnsi="宋体" w:cs="宋体"/>
          <w:color w:val="auto"/>
          <w:lang w:val="en-US"/>
        </w:rPr>
        <w:t>8</w:t>
      </w:r>
      <w:r>
        <w:rPr>
          <w:rFonts w:hint="eastAsia" w:ascii="宋体" w:hAnsi="宋体" w:cs="宋体"/>
          <w:color w:val="auto"/>
        </w:rPr>
        <w:t>.2电子交易平台应用或数据库出现错误，不能进行正常操作的；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default" w:ascii="宋体" w:hAnsi="宋体" w:cs="宋体"/>
          <w:color w:val="auto"/>
          <w:lang w:val="en-US"/>
        </w:rPr>
        <w:t>8</w:t>
      </w:r>
      <w:r>
        <w:rPr>
          <w:rFonts w:hint="eastAsia" w:ascii="宋体" w:hAnsi="宋体" w:cs="宋体"/>
          <w:color w:val="auto"/>
        </w:rPr>
        <w:t>.3电子交易平台发现严重安全漏洞，有潜在泄密危险的；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default" w:ascii="宋体" w:hAnsi="宋体" w:cs="宋体"/>
          <w:color w:val="auto"/>
          <w:lang w:val="en-US"/>
        </w:rPr>
        <w:t>8</w:t>
      </w:r>
      <w:r>
        <w:rPr>
          <w:rFonts w:hint="eastAsia" w:ascii="宋体" w:hAnsi="宋体" w:cs="宋体"/>
          <w:color w:val="auto"/>
        </w:rPr>
        <w:t xml:space="preserve">.4病毒发作导致不能进行正常操作的；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default" w:ascii="宋体" w:hAnsi="宋体" w:cs="宋体"/>
          <w:color w:val="auto"/>
          <w:lang w:val="en-US"/>
        </w:rPr>
        <w:t>8</w:t>
      </w:r>
      <w:r>
        <w:rPr>
          <w:rFonts w:hint="eastAsia" w:ascii="宋体" w:hAnsi="宋体" w:cs="宋体"/>
          <w:color w:val="auto"/>
        </w:rPr>
        <w:t>.5其他无法保证电子交易的公平、公正和安全的情况。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w:t>
      </w:r>
      <w:r>
        <w:rPr>
          <w:rFonts w:hint="default" w:ascii="宋体" w:hAnsi="宋体" w:cs="宋体"/>
          <w:color w:val="auto"/>
          <w:lang w:val="en-US"/>
        </w:rPr>
        <w:t>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default" w:cs="宋体"/>
          <w:b/>
          <w:color w:val="auto"/>
          <w:lang w:val="en-US"/>
        </w:rPr>
        <w:t>30</w:t>
      </w:r>
      <w:r>
        <w:rPr>
          <w:rFonts w:hint="eastAsia" w:cs="宋体"/>
          <w:b/>
          <w:color w:val="auto"/>
        </w:rPr>
        <w:t>.验收</w:t>
      </w:r>
    </w:p>
    <w:p>
      <w:pPr>
        <w:tabs>
          <w:tab w:val="left" w:pos="0"/>
        </w:tabs>
        <w:spacing w:line="360" w:lineRule="auto"/>
        <w:ind w:firstLine="480"/>
        <w:rPr>
          <w:rFonts w:ascii="宋体" w:hAnsi="宋体" w:cs="宋体"/>
          <w:color w:val="auto"/>
          <w:kern w:val="0"/>
          <w:sz w:val="24"/>
        </w:rPr>
      </w:pPr>
      <w:r>
        <w:rPr>
          <w:rFonts w:hint="default" w:ascii="宋体" w:hAnsi="宋体" w:cs="宋体"/>
          <w:color w:val="auto"/>
          <w:kern w:val="0"/>
          <w:sz w:val="24"/>
          <w:lang w:val="en-US"/>
        </w:rPr>
        <w:t>30</w:t>
      </w:r>
      <w:r>
        <w:rPr>
          <w:rFonts w:hint="eastAsia" w:ascii="宋体" w:hAnsi="宋体" w:cs="宋体"/>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default" w:ascii="宋体" w:hAnsi="宋体" w:cs="宋体"/>
          <w:color w:val="auto"/>
          <w:kern w:val="0"/>
          <w:sz w:val="24"/>
          <w:lang w:val="en-US"/>
        </w:rPr>
        <w:t>30</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default" w:ascii="宋体" w:hAnsi="宋体" w:cs="宋体"/>
          <w:color w:val="auto"/>
          <w:kern w:val="0"/>
          <w:sz w:val="24"/>
          <w:lang w:val="en-US"/>
        </w:rPr>
        <w:t>31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default" w:ascii="宋体" w:hAnsi="宋体" w:cs="宋体"/>
          <w:color w:val="auto"/>
          <w:kern w:val="0"/>
          <w:sz w:val="24"/>
          <w:lang w:val="en-US"/>
        </w:rPr>
        <w:t>30</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68072990"/>
      <w:bookmarkEnd w:id="20"/>
      <w:bookmarkStart w:id="21" w:name="_Hlt68057669"/>
      <w:bookmarkEnd w:id="21"/>
      <w:bookmarkStart w:id="22" w:name="_Hlt75236290"/>
      <w:bookmarkEnd w:id="22"/>
      <w:bookmarkStart w:id="23" w:name="_Hlt75236011"/>
      <w:bookmarkEnd w:id="23"/>
      <w:bookmarkStart w:id="24" w:name="_Hlt74714665"/>
      <w:bookmarkEnd w:id="24"/>
      <w:bookmarkStart w:id="25" w:name="_Hlt74707468"/>
      <w:bookmarkEnd w:id="25"/>
      <w:bookmarkStart w:id="26" w:name="_Hlt68403820"/>
      <w:bookmarkEnd w:id="26"/>
      <w:bookmarkStart w:id="27" w:name="_Hlt74729768"/>
      <w:bookmarkEnd w:id="27"/>
      <w:bookmarkStart w:id="28" w:name="_Hlt75236101"/>
      <w:bookmarkEnd w:id="28"/>
      <w:bookmarkStart w:id="29" w:name="_Hlt68072998"/>
      <w:bookmarkEnd w:id="29"/>
      <w:bookmarkStart w:id="30" w:name="_Hlt68073093"/>
      <w:bookmarkEnd w:id="30"/>
    </w:p>
    <w:bookmarkEnd w:id="13"/>
    <w:bookmarkEnd w:id="14"/>
    <w:p>
      <w:pPr>
        <w:numPr>
          <w:ilvl w:val="0"/>
          <w:numId w:val="2"/>
        </w:numPr>
        <w:spacing w:line="360" w:lineRule="auto"/>
        <w:jc w:val="center"/>
        <w:outlineLvl w:val="0"/>
        <w:rPr>
          <w:rFonts w:hint="eastAsia" w:ascii="宋体" w:hAnsi="宋体" w:cs="宋体"/>
          <w:b/>
          <w:color w:val="auto"/>
          <w:sz w:val="36"/>
          <w:szCs w:val="36"/>
        </w:rPr>
      </w:pPr>
      <w:bookmarkStart w:id="31" w:name="第四部分"/>
      <w:r>
        <w:rPr>
          <w:rFonts w:hint="eastAsia" w:ascii="宋体" w:hAnsi="宋体" w:cs="宋体"/>
          <w:b/>
          <w:color w:val="auto"/>
          <w:sz w:val="36"/>
          <w:szCs w:val="36"/>
        </w:rPr>
        <w:t xml:space="preserve">  采购需求</w:t>
      </w:r>
    </w:p>
    <w:p>
      <w:pPr>
        <w:pStyle w:val="3"/>
        <w:rPr>
          <w:rFonts w:hint="eastAsia"/>
        </w:rPr>
      </w:pPr>
      <w:r>
        <w:rPr>
          <w:rFonts w:hint="eastAsia" w:asciiTheme="minorEastAsia" w:hAnsiTheme="minorEastAsia" w:eastAsiaTheme="minorEastAsia"/>
          <w:sz w:val="24"/>
          <w:highlight w:val="none"/>
        </w:rPr>
        <w:t>属于实质性要求条款的，已用符号“▲”标明，否则属于非实质性要求。</w:t>
      </w:r>
    </w:p>
    <w:p>
      <w:pPr>
        <w:numPr>
          <w:ilvl w:val="0"/>
          <w:numId w:val="3"/>
        </w:numPr>
        <w:spacing w:line="360" w:lineRule="auto"/>
        <w:ind w:left="482" w:hanging="482"/>
        <w:outlineLvl w:val="0"/>
        <w:rPr>
          <w:rFonts w:ascii="宋体" w:hAnsi="宋体" w:cs="宋体"/>
          <w:b/>
          <w:color w:val="000000"/>
          <w:sz w:val="24"/>
        </w:rPr>
      </w:pPr>
      <w:r>
        <w:rPr>
          <w:rFonts w:hint="eastAsia" w:ascii="宋体" w:hAnsi="宋体" w:cs="宋体"/>
          <w:b/>
          <w:color w:val="000000"/>
          <w:sz w:val="24"/>
        </w:rPr>
        <w:t>项目概述</w:t>
      </w:r>
    </w:p>
    <w:p>
      <w:pPr>
        <w:pStyle w:val="128"/>
        <w:tabs>
          <w:tab w:val="left" w:pos="0"/>
        </w:tabs>
        <w:spacing w:before="0" w:line="440" w:lineRule="exact"/>
        <w:ind w:left="105" w:leftChars="50"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1、项目实施地点：采购方指定地点。</w:t>
      </w:r>
    </w:p>
    <w:p>
      <w:pPr>
        <w:pStyle w:val="128"/>
        <w:tabs>
          <w:tab w:val="left" w:pos="0"/>
        </w:tabs>
        <w:spacing w:before="0" w:line="440" w:lineRule="exact"/>
        <w:ind w:left="105" w:leftChars="50" w:firstLine="360" w:firstLineChars="150"/>
        <w:rPr>
          <w:rFonts w:hint="eastAsia" w:ascii="宋体" w:hAnsi="宋体" w:eastAsia="宋体" w:cs="宋体"/>
          <w:bCs/>
          <w:snapToGrid/>
          <w:color w:val="auto"/>
          <w:kern w:val="2"/>
          <w:sz w:val="24"/>
          <w:szCs w:val="24"/>
          <w:highlight w:val="yellow"/>
          <w:lang w:val="en-US" w:eastAsia="zh-CN" w:bidi="ar-SA"/>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项目内容：</w:t>
      </w:r>
      <w:r>
        <w:rPr>
          <w:rFonts w:hint="eastAsia" w:hAnsi="宋体" w:cs="宋体"/>
          <w:b w:val="0"/>
          <w:bCs/>
          <w:snapToGrid/>
          <w:color w:val="auto"/>
          <w:kern w:val="2"/>
          <w:sz w:val="24"/>
          <w:szCs w:val="24"/>
          <w:highlight w:val="none"/>
          <w:lang w:eastAsia="zh-CN"/>
        </w:rPr>
        <w:t>杭州市西湖区人民法院10楼空调设备第三次采购项目</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val="en-US" w:eastAsia="zh-CN"/>
        </w:rPr>
        <w:t>具体包括：</w:t>
      </w:r>
      <w:r>
        <w:rPr>
          <w:rFonts w:hint="eastAsia" w:ascii="宋体" w:hAnsi="宋体" w:eastAsia="宋体" w:cs="宋体"/>
          <w:bCs/>
          <w:snapToGrid/>
          <w:color w:val="auto"/>
          <w:kern w:val="2"/>
          <w:sz w:val="24"/>
          <w:szCs w:val="24"/>
          <w:highlight w:val="none"/>
          <w:lang w:val="en-US" w:eastAsia="zh-CN" w:bidi="ar-SA"/>
        </w:rPr>
        <w:t>多联式室外机2台，风管式室内机19台，以及整个空调系统所有的配管、配线、配件、专用工具、控制装置、设备基础及支架等、安装调试、相关的技术培训及不少于</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年（含）的免费质保及售后现场技术服务。</w:t>
      </w:r>
    </w:p>
    <w:p>
      <w:pPr>
        <w:pStyle w:val="128"/>
        <w:tabs>
          <w:tab w:val="left" w:pos="0"/>
        </w:tabs>
        <w:spacing w:before="0" w:line="440" w:lineRule="exact"/>
        <w:ind w:left="105" w:leftChars="50" w:firstLine="360" w:firstLineChars="1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3、工期：</w:t>
      </w: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日历天内完成安装、调试、交付。</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日历天内必须完成项目设备供货，逾期按照合同条款执行。</w:t>
      </w:r>
    </w:p>
    <w:p>
      <w:pPr>
        <w:pStyle w:val="128"/>
        <w:tabs>
          <w:tab w:val="left" w:pos="0"/>
        </w:tabs>
        <w:spacing w:before="0" w:line="440" w:lineRule="exact"/>
        <w:ind w:firstLine="0" w:firstLineChars="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二、本次招标数量及范围：</w:t>
      </w:r>
    </w:p>
    <w:p>
      <w:pPr>
        <w:pStyle w:val="128"/>
        <w:tabs>
          <w:tab w:val="left" w:pos="0"/>
        </w:tabs>
        <w:spacing w:before="0" w:line="440" w:lineRule="exact"/>
        <w:ind w:left="105" w:leftChars="50" w:firstLine="360" w:firstLineChars="1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1．招标数量：</w:t>
      </w:r>
    </w:p>
    <w:tbl>
      <w:tblPr>
        <w:tblStyle w:val="62"/>
        <w:tblW w:w="0" w:type="auto"/>
        <w:tblInd w:w="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125"/>
        <w:gridCol w:w="333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楼层</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房间名称</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室内机数量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十层</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健身区</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羽毛球区</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乒乓球区</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3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洽谈区</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3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夹层</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影音室</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休息区</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kern w:val="2"/>
                <w:sz w:val="24"/>
                <w:szCs w:val="24"/>
                <w:lang w:val="en-US" w:eastAsia="zh-CN" w:bidi="ar-SA"/>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w:t>
            </w:r>
          </w:p>
        </w:tc>
      </w:tr>
    </w:tbl>
    <w:p>
      <w:pPr>
        <w:pStyle w:val="255"/>
        <w:numPr>
          <w:ilvl w:val="0"/>
          <w:numId w:val="0"/>
        </w:numPr>
        <w:spacing w:line="312" w:lineRule="auto"/>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2"/>
          <w:sz w:val="24"/>
          <w:szCs w:val="24"/>
          <w:lang w:val="en-US" w:eastAsia="zh-CN" w:bidi="ar-SA"/>
        </w:rPr>
        <w:t>2．招标报价范围：本项目为“交钥匙”工程，室内外机安装位置根据现场确定，设备费、安装辅助材料费、机组吊装搬运费、运输费、安装费、室内外机电源线、室外机基础、护栏、铜管桥架、旧设备拆除、调试、水电费、垃圾清运、现场配合、开孔、零星辅材、税费等费用由各投标单位根据现场踏勘结果可自行测算确定并列入报价，后期不会再增加任何费用，投标方要充分考虑相关风险。如上述没有提及但该项目仍需要的内容，请供应商自行考虑一并计入投标报价中。</w:t>
      </w:r>
    </w:p>
    <w:p>
      <w:pPr>
        <w:pStyle w:val="128"/>
        <w:tabs>
          <w:tab w:val="left" w:pos="0"/>
        </w:tabs>
        <w:spacing w:before="0" w:line="440" w:lineRule="exact"/>
        <w:ind w:firstLine="0" w:firstLineChars="0"/>
        <w:rPr>
          <w:rFonts w:hint="default" w:asciiTheme="minorEastAsia" w:hAnsiTheme="minorEastAsia" w:eastAsiaTheme="minorEastAsia" w:cstheme="minorEastAsia"/>
          <w:b/>
          <w:kern w:val="0"/>
          <w:sz w:val="24"/>
          <w:szCs w:val="24"/>
          <w:lang w:val="en-US"/>
        </w:rPr>
      </w:pPr>
      <w:r>
        <w:rPr>
          <w:rFonts w:hint="eastAsia" w:asciiTheme="minorEastAsia" w:hAnsiTheme="minorEastAsia" w:eastAsia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rPr>
        <w:t>、空调系统</w:t>
      </w:r>
      <w:r>
        <w:rPr>
          <w:rFonts w:hint="eastAsia" w:asciiTheme="minorEastAsia" w:hAnsiTheme="minorEastAsia" w:eastAsiaTheme="minorEastAsia" w:cstheme="minorEastAsia"/>
          <w:b/>
          <w:kern w:val="0"/>
          <w:sz w:val="24"/>
          <w:szCs w:val="24"/>
          <w:lang w:val="en-US" w:eastAsia="zh-CN"/>
        </w:rPr>
        <w:t>的</w:t>
      </w:r>
      <w:r>
        <w:rPr>
          <w:rFonts w:hint="eastAsia" w:asciiTheme="minorEastAsia" w:hAnsiTheme="minorEastAsia" w:eastAsiaTheme="minorEastAsia" w:cstheme="minorEastAsia"/>
          <w:b/>
          <w:kern w:val="0"/>
          <w:sz w:val="24"/>
          <w:szCs w:val="24"/>
        </w:rPr>
        <w:t>总体要求</w:t>
      </w:r>
      <w:r>
        <w:rPr>
          <w:rFonts w:hint="eastAsia" w:asciiTheme="minorEastAsia" w:hAnsiTheme="minorEastAsia" w:eastAsiaTheme="minorEastAsia" w:cstheme="minorEastAsia"/>
          <w:b/>
          <w:kern w:val="0"/>
          <w:sz w:val="24"/>
          <w:szCs w:val="24"/>
          <w:lang w:val="en-US" w:eastAsia="zh-CN"/>
        </w:rPr>
        <w:t>及功能要求</w:t>
      </w:r>
    </w:p>
    <w:p>
      <w:pPr>
        <w:pStyle w:val="128"/>
        <w:tabs>
          <w:tab w:val="left" w:pos="0"/>
        </w:tabs>
        <w:spacing w:before="0" w:line="440" w:lineRule="exact"/>
        <w:ind w:left="105" w:leftChars="50" w:firstLine="360" w:firstLineChars="15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1、所采购的空调</w:t>
      </w:r>
      <w:r>
        <w:rPr>
          <w:rFonts w:hint="eastAsia" w:asciiTheme="minorEastAsia" w:hAnsiTheme="minorEastAsia" w:eastAsiaTheme="minorEastAsia" w:cstheme="minorEastAsia"/>
          <w:sz w:val="24"/>
          <w:szCs w:val="24"/>
          <w:highlight w:val="none"/>
          <w:lang w:val="en-US" w:eastAsia="zh-CN"/>
        </w:rPr>
        <w:t>设备，</w:t>
      </w:r>
      <w:r>
        <w:rPr>
          <w:rFonts w:hint="eastAsia" w:asciiTheme="minorEastAsia" w:hAnsiTheme="minorEastAsia" w:eastAsiaTheme="minorEastAsia" w:cstheme="minorEastAsia"/>
          <w:sz w:val="24"/>
          <w:szCs w:val="24"/>
          <w:highlight w:val="none"/>
        </w:rPr>
        <w:t>冷媒为R410A</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sz w:val="24"/>
          <w:szCs w:val="24"/>
          <w:highlight w:val="none"/>
        </w:rPr>
        <w:t>综合能效达到国家</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级能效标准。</w:t>
      </w:r>
    </w:p>
    <w:p>
      <w:pPr>
        <w:pStyle w:val="128"/>
        <w:tabs>
          <w:tab w:val="left" w:pos="0"/>
        </w:tabs>
        <w:spacing w:before="0" w:line="440" w:lineRule="exact"/>
        <w:ind w:left="105" w:leftChars="50" w:firstLine="360" w:firstLineChars="150"/>
      </w:pPr>
      <w:r>
        <w:rPr>
          <w:rFonts w:hint="eastAsia" w:asciiTheme="minorEastAsia" w:hAnsiTheme="minorEastAsia" w:eastAsiaTheme="minorEastAsia" w:cstheme="minorEastAsia"/>
          <w:sz w:val="24"/>
          <w:szCs w:val="24"/>
          <w:highlight w:val="none"/>
          <w:lang w:val="en-US" w:eastAsia="zh-CN"/>
        </w:rPr>
        <w:t>2、</w:t>
      </w:r>
      <w:r>
        <w:rPr>
          <w:rFonts w:hint="eastAsia" w:ascii="宋体" w:hAnsi="宋体" w:cs="宋体"/>
          <w:color w:val="auto"/>
          <w:szCs w:val="21"/>
          <w:highlight w:val="none"/>
          <w:lang w:val="zh-CN"/>
        </w:rPr>
        <w:t>室外机压缩机全部采用变频涡旋式压缩机。</w:t>
      </w:r>
    </w:p>
    <w:p>
      <w:pPr>
        <w:pStyle w:val="128"/>
        <w:tabs>
          <w:tab w:val="left" w:pos="0"/>
        </w:tabs>
        <w:spacing w:before="0" w:line="440" w:lineRule="exact"/>
        <w:ind w:left="105" w:leftChars="50" w:firstLine="360" w:firstLineChars="150"/>
        <w:rPr>
          <w:rFonts w:hint="eastAsia" w:ascii="宋体" w:hAnsi="宋体" w:cs="宋体"/>
          <w:color w:val="auto"/>
          <w:szCs w:val="21"/>
          <w:highlight w:val="none"/>
          <w:lang w:val="zh-CN"/>
        </w:rPr>
      </w:pPr>
      <w:r>
        <w:rPr>
          <w:rFonts w:hint="eastAsia"/>
          <w:lang w:val="en-US" w:eastAsia="zh-CN"/>
        </w:rPr>
        <w:t>3、</w:t>
      </w:r>
      <w:r>
        <w:rPr>
          <w:rFonts w:hint="eastAsia" w:ascii="宋体" w:hAnsi="宋体" w:cs="宋体"/>
          <w:color w:val="auto"/>
          <w:szCs w:val="21"/>
          <w:highlight w:val="none"/>
          <w:lang w:val="zh-CN"/>
        </w:rPr>
        <w:t>压缩机</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lang w:val="zh-CN"/>
        </w:rPr>
        <w:t>具有喷气增焓技术。</w:t>
      </w:r>
    </w:p>
    <w:p>
      <w:pPr>
        <w:pStyle w:val="128"/>
        <w:tabs>
          <w:tab w:val="left" w:pos="0"/>
        </w:tabs>
        <w:spacing w:before="0" w:line="440" w:lineRule="exact"/>
        <w:ind w:left="105" w:leftChars="50" w:firstLine="360" w:firstLineChars="150"/>
      </w:pPr>
      <w:r>
        <w:rPr>
          <w:rFonts w:hint="eastAsia" w:ascii="宋体" w:hAnsi="宋体" w:cs="宋体"/>
          <w:color w:val="auto"/>
          <w:szCs w:val="21"/>
          <w:highlight w:val="none"/>
          <w:lang w:val="en-US" w:eastAsia="zh-CN"/>
        </w:rPr>
        <w:t>4、要求</w:t>
      </w:r>
      <w:r>
        <w:rPr>
          <w:rFonts w:hint="eastAsia" w:ascii="宋体" w:hAnsi="宋体" w:cs="宋体"/>
          <w:color w:val="auto"/>
          <w:szCs w:val="21"/>
          <w:highlight w:val="none"/>
          <w:lang w:val="zh-CN"/>
        </w:rPr>
        <w:t>压缩机与主机同一品牌。</w:t>
      </w:r>
    </w:p>
    <w:p>
      <w:pPr>
        <w:pStyle w:val="128"/>
        <w:tabs>
          <w:tab w:val="left" w:pos="0"/>
        </w:tabs>
        <w:spacing w:before="0" w:line="440" w:lineRule="exact"/>
        <w:ind w:left="105" w:leftChars="50" w:firstLine="360" w:firstLineChars="150"/>
        <w:rPr>
          <w:rFonts w:hint="eastAsia" w:ascii="宋体" w:hAnsi="宋体" w:cs="宋体"/>
          <w:color w:val="auto"/>
          <w:szCs w:val="21"/>
          <w:highlight w:val="none"/>
          <w:lang w:val="en-US" w:eastAsia="zh-CN"/>
        </w:rPr>
      </w:pPr>
      <w:r>
        <w:rPr>
          <w:rFonts w:hint="eastAsia"/>
          <w:lang w:val="en-US" w:eastAsia="zh-CN"/>
        </w:rPr>
        <w:t>5、</w:t>
      </w:r>
      <w:r>
        <w:rPr>
          <w:rFonts w:hint="default" w:ascii="宋体" w:hAnsi="宋体" w:cs="宋体"/>
          <w:color w:val="auto"/>
          <w:szCs w:val="21"/>
          <w:highlight w:val="none"/>
          <w:lang w:val="en-US" w:eastAsia="zh-CN"/>
        </w:rPr>
        <w:t>多联机</w:t>
      </w:r>
      <w:r>
        <w:rPr>
          <w:rFonts w:hint="eastAsia" w:ascii="宋体" w:hAnsi="宋体" w:cs="宋体"/>
          <w:color w:val="auto"/>
          <w:szCs w:val="21"/>
          <w:highlight w:val="none"/>
          <w:lang w:val="en-US" w:eastAsia="zh-CN"/>
        </w:rPr>
        <w:t>顶出风室外机通信线可任意拓扑，实现多种连接方式。</w:t>
      </w:r>
    </w:p>
    <w:p>
      <w:pPr>
        <w:pStyle w:val="128"/>
        <w:tabs>
          <w:tab w:val="left" w:pos="0"/>
        </w:tabs>
        <w:spacing w:before="0" w:line="440" w:lineRule="exact"/>
        <w:ind w:left="105" w:leftChars="50" w:firstLine="360"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6、多联机室内机标配冷凝水提升泵，且具备冷凝水排水泵故障可检测特性。</w:t>
      </w:r>
    </w:p>
    <w:p>
      <w:pPr>
        <w:pStyle w:val="128"/>
        <w:tabs>
          <w:tab w:val="left" w:pos="0"/>
        </w:tabs>
        <w:spacing w:before="0" w:line="440" w:lineRule="exact"/>
        <w:ind w:left="105" w:leftChars="50" w:firstLine="360"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7、多联机室内机具有制冷运行室内温度精准预测特性。</w:t>
      </w: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四</w:t>
      </w:r>
      <w:r>
        <w:rPr>
          <w:rFonts w:hint="eastAsia" w:asciiTheme="minorEastAsia" w:hAnsiTheme="minorEastAsia" w:eastAsiaTheme="minorEastAsia" w:cstheme="minorEastAsia"/>
          <w:b/>
          <w:kern w:val="0"/>
          <w:sz w:val="24"/>
          <w:szCs w:val="24"/>
        </w:rPr>
        <w:t>、空调系统施工安装要求</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1、固定铜管用吊杆：按1根/1～1.5米，固定水管用吊杆：按1根/0.8～1.2米。</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2、冷媒管施工符合三原则：干燥、清洁、气密性。</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3、冷媒管焊接用焊条是银焊条，焊接必须采用氮气保护焊接。</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4、冷媒配管完成后必须按规范要求进行气密性试验，以防止泄漏。气密性试验完成后必须进行真空试验，以达到除水汽、检漏的目的。</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5、冷媒管保温橡塑保温材料，其保温厚度及性能参见国标GB50736-2012和国标GB50189-2016要求。</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6、冷凝水管采用U-PVC管制作，采用13MM厚橡塑保温材料保温。</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7、空调室内机安装必须采取消音、防振等措施。</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8、本项目室内外机电源由招标单位铺设到位，投标人负责电源与设备的连接工作。</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9、本项目室外机支架、槽钢基础由投标人负责，费用包含在投标总价中。</w:t>
      </w:r>
    </w:p>
    <w:p>
      <w:pPr>
        <w:pStyle w:val="128"/>
        <w:tabs>
          <w:tab w:val="left" w:pos="0"/>
        </w:tabs>
        <w:spacing w:before="0" w:line="440" w:lineRule="exact"/>
        <w:ind w:firstLine="0" w:firstLineChars="0"/>
        <w:rPr>
          <w:rFonts w:hint="default" w:asciiTheme="minorEastAsia" w:hAnsiTheme="minorEastAsia" w:eastAsiaTheme="minorEastAsia" w:cstheme="minorEastAsia"/>
          <w:b/>
          <w:bCs w:val="0"/>
          <w:kern w:val="0"/>
          <w:sz w:val="24"/>
          <w:szCs w:val="24"/>
          <w:highlight w:val="none"/>
          <w:lang w:val="en-US" w:eastAsia="zh-CN"/>
        </w:rPr>
      </w:pPr>
      <w:r>
        <w:rPr>
          <w:rFonts w:hint="eastAsia" w:asciiTheme="minorEastAsia" w:hAnsiTheme="minorEastAsia" w:eastAsiaTheme="minorEastAsia" w:cstheme="minorEastAsia"/>
          <w:b/>
          <w:bCs w:val="0"/>
          <w:kern w:val="0"/>
          <w:sz w:val="24"/>
          <w:szCs w:val="24"/>
          <w:highlight w:val="none"/>
          <w:lang w:val="en-US" w:eastAsia="zh-CN"/>
        </w:rPr>
        <w:t>五</w:t>
      </w:r>
      <w:r>
        <w:rPr>
          <w:rFonts w:hint="eastAsia" w:asciiTheme="minorEastAsia" w:hAnsiTheme="minorEastAsia" w:eastAsiaTheme="minorEastAsia" w:cstheme="minorEastAsia"/>
          <w:b/>
          <w:bCs w:val="0"/>
          <w:kern w:val="0"/>
          <w:sz w:val="24"/>
          <w:szCs w:val="24"/>
          <w:highlight w:val="none"/>
        </w:rPr>
        <w:t>、</w:t>
      </w:r>
      <w:r>
        <w:rPr>
          <w:rFonts w:hint="eastAsia" w:asciiTheme="minorEastAsia" w:hAnsiTheme="minorEastAsia" w:eastAsiaTheme="minorEastAsia" w:cstheme="minorEastAsia"/>
          <w:b/>
          <w:bCs w:val="0"/>
          <w:kern w:val="0"/>
          <w:sz w:val="24"/>
          <w:szCs w:val="24"/>
          <w:highlight w:val="none"/>
          <w:lang w:val="en-US" w:eastAsia="zh-CN"/>
        </w:rPr>
        <w:t>验收、交付标准和方法</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方交货前，应按照招标文件规定的标准对货物进行检验，整理检验文件并列出清单，该文件和清单应随货交付采购方，作为采购方验收和使用的技术依据。供货方向采购方交付货物设备后，应当负责对该设备进行安装和调试，直至达到约定的质量技术标准和使用性能。非经采购方同意，供货方擅自转托他人交货的，采购方有权拒收。因此构成供货方迟延交货的，供货方应承担违约责任。</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人按照《杭州市政府采购履约验收暂行办法》要求以及杭州市政府采购监管平台流程设置，对启动验收、制定验收方案、成立验收小组、出具验收报告、形成验收意见、作出验收评价的全过程验收情况进行记录。验收合格后，按合同要求交付并由采购人支付相应的采购资金。 </w:t>
      </w:r>
    </w:p>
    <w:p>
      <w:pPr>
        <w:pStyle w:val="128"/>
        <w:tabs>
          <w:tab w:val="left" w:pos="0"/>
        </w:tabs>
        <w:spacing w:before="0"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3、采购方对供货方提供的货物的验收，并不能排除供货方应当对货物瑕疵承担的担保责任。</w:t>
      </w:r>
    </w:p>
    <w:p>
      <w:pPr>
        <w:pStyle w:val="128"/>
        <w:tabs>
          <w:tab w:val="left" w:pos="0"/>
        </w:tabs>
        <w:spacing w:before="0"/>
        <w:ind w:firstLine="0" w:firstLineChars="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val="en-US" w:eastAsia="zh-CN"/>
        </w:rPr>
        <w:t>六</w:t>
      </w:r>
      <w:r>
        <w:rPr>
          <w:rFonts w:hint="eastAsia" w:asciiTheme="minorEastAsia" w:hAnsiTheme="minorEastAsia" w:eastAsiaTheme="minorEastAsia" w:cstheme="minorEastAsia"/>
          <w:b/>
          <w:kern w:val="0"/>
          <w:sz w:val="24"/>
          <w:szCs w:val="24"/>
        </w:rPr>
        <w:t>、备品、备件、易损件及特殊专用工具</w:t>
      </w:r>
    </w:p>
    <w:p>
      <w:pPr>
        <w:pStyle w:val="128"/>
        <w:tabs>
          <w:tab w:val="left" w:pos="0"/>
        </w:tabs>
        <w:spacing w:before="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1.投标单位应按产品出厂规定提供随机易损件、专用工具及附件，并提供清单及其报价。投标方应向</w:t>
      </w:r>
      <w:r>
        <w:rPr>
          <w:rFonts w:hint="eastAsia" w:asciiTheme="minorEastAsia" w:hAnsiTheme="minorEastAsia" w:eastAsiaTheme="minorEastAsia" w:cstheme="minorEastAsia"/>
          <w:sz w:val="24"/>
          <w:szCs w:val="24"/>
          <w:lang w:val="en-US" w:eastAsia="zh-CN"/>
        </w:rPr>
        <w:t>采购方</w:t>
      </w:r>
      <w:r>
        <w:rPr>
          <w:rFonts w:hint="eastAsia" w:asciiTheme="minorEastAsia" w:hAnsiTheme="minorEastAsia" w:eastAsiaTheme="minorEastAsia" w:cstheme="minorEastAsia"/>
          <w:sz w:val="24"/>
          <w:szCs w:val="24"/>
        </w:rPr>
        <w:t>提供安装必须的特殊工具，其费用已包括在投标价格之内。</w:t>
      </w:r>
    </w:p>
    <w:p>
      <w:pPr>
        <w:pStyle w:val="128"/>
        <w:tabs>
          <w:tab w:val="left" w:pos="0"/>
        </w:tabs>
        <w:spacing w:before="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2.投标时提供详细备品、备件清单。</w:t>
      </w:r>
    </w:p>
    <w:p>
      <w:pPr>
        <w:pStyle w:val="128"/>
        <w:tabs>
          <w:tab w:val="left" w:pos="0"/>
        </w:tabs>
        <w:spacing w:before="0"/>
        <w:ind w:firstLine="0" w:firstLineChars="0"/>
        <w:rPr>
          <w:rFonts w:hint="eastAsia" w:asciiTheme="minorEastAsia" w:hAnsiTheme="minorEastAsia" w:eastAsiaTheme="minorEastAsia" w:cstheme="minorEastAsia"/>
          <w:b/>
          <w:kern w:val="0"/>
          <w:sz w:val="24"/>
          <w:szCs w:val="24"/>
          <w:highlight w:val="none"/>
          <w:lang w:val="en-US" w:eastAsia="zh-CN"/>
        </w:rPr>
      </w:pPr>
      <w:r>
        <w:rPr>
          <w:rFonts w:hint="eastAsia" w:asciiTheme="minorEastAsia" w:hAnsiTheme="minorEastAsia" w:eastAsiaTheme="minorEastAsia" w:cstheme="minorEastAsia"/>
          <w:b/>
          <w:kern w:val="0"/>
          <w:sz w:val="24"/>
          <w:szCs w:val="24"/>
          <w:highlight w:val="none"/>
          <w:lang w:val="en-US" w:eastAsia="zh-CN"/>
        </w:rPr>
        <w:t>七</w:t>
      </w:r>
      <w:r>
        <w:rPr>
          <w:rFonts w:hint="eastAsia" w:asciiTheme="minorEastAsia" w:hAnsiTheme="minorEastAsia" w:eastAsiaTheme="minorEastAsia" w:cstheme="minorEastAsia"/>
          <w:b/>
          <w:kern w:val="0"/>
          <w:sz w:val="24"/>
          <w:szCs w:val="24"/>
          <w:highlight w:val="none"/>
        </w:rPr>
        <w:t>、售后服务</w:t>
      </w:r>
      <w:r>
        <w:rPr>
          <w:rFonts w:hint="eastAsia" w:asciiTheme="minorEastAsia" w:hAnsiTheme="minorEastAsia" w:eastAsiaTheme="minorEastAsia" w:cstheme="minorEastAsia"/>
          <w:b/>
          <w:kern w:val="0"/>
          <w:sz w:val="24"/>
          <w:szCs w:val="24"/>
          <w:highlight w:val="none"/>
          <w:lang w:val="en-US" w:eastAsia="zh-CN"/>
        </w:rPr>
        <w:t>要求</w:t>
      </w:r>
    </w:p>
    <w:p>
      <w:pPr>
        <w:spacing w:line="312"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免费质保期：两年，质保期从设备安装完毕系统通过验收合格起，质保期内货物发生故障，供应商在1小时以内响应，2小时到达现场维修。质保期内出现任何质量问题均由供应商提供维修及技术服务，相关费用包含在投标总价中。</w:t>
      </w:r>
    </w:p>
    <w:p>
      <w:pPr>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2、质保期后的维修，时间要求和质保期相同，维修所需配件按成本价结算，人工费免收。为了保证空调在高温、高寒季节快速响应，供应商在1小时以内响应，2小时到达现</w:t>
      </w:r>
      <w:r>
        <w:rPr>
          <w:rFonts w:hint="eastAsia" w:asciiTheme="minorEastAsia" w:hAnsiTheme="minorEastAsia" w:eastAsiaTheme="minorEastAsia" w:cstheme="minorEastAsia"/>
          <w:kern w:val="2"/>
          <w:sz w:val="24"/>
          <w:szCs w:val="24"/>
          <w:highlight w:val="none"/>
          <w:lang w:val="en-US" w:eastAsia="zh-CN" w:bidi="ar-SA"/>
        </w:rPr>
        <w:t>场维修，有条件应当配备售后服务网点，承诺</w:t>
      </w:r>
      <w:r>
        <w:rPr>
          <w:rFonts w:hint="eastAsia" w:asciiTheme="minorEastAsia" w:hAnsiTheme="minorEastAsia" w:eastAsiaTheme="minorEastAsia" w:cstheme="minorEastAsia"/>
          <w:kern w:val="2"/>
          <w:sz w:val="24"/>
          <w:szCs w:val="24"/>
          <w:lang w:val="en-US" w:eastAsia="zh-CN" w:bidi="ar-SA"/>
        </w:rPr>
        <w:t>指定专人负责与采购人保持长期的联系以便随时提供维护服务的优先。</w:t>
      </w:r>
    </w:p>
    <w:p>
      <w:pPr>
        <w:snapToGrid w:val="0"/>
        <w:spacing w:line="360" w:lineRule="auto"/>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z w:val="24"/>
          <w:szCs w:val="24"/>
          <w:highlight w:val="none"/>
          <w:lang w:val="en-US" w:eastAsia="zh-CN"/>
        </w:rPr>
        <w:t>其他要求</w:t>
      </w:r>
    </w:p>
    <w:p>
      <w:pPr>
        <w:spacing w:line="312"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pPr>
        <w:spacing w:line="312"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2、免费运输，安装，调试。项目实施过程中发生的死亡、人身伤害、财产损失、损害以及任何其它损失、损害和引起的费用和开支，由供应商承担全部责任。</w:t>
      </w:r>
    </w:p>
    <w:p>
      <w:pPr>
        <w:spacing w:line="312"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3、投标货物符合国家技术规范和质量标准的合格产品；无理由更换商品，无条件补充项目预算中考虑不全的必要设施设备。</w:t>
      </w:r>
    </w:p>
    <w:p>
      <w:pPr>
        <w:pStyle w:val="2"/>
        <w:rPr>
          <w:rFonts w:hint="eastAsia" w:asciiTheme="minorEastAsia" w:hAnsiTheme="minorEastAsia" w:eastAsiaTheme="minorEastAsia" w:cstheme="minorEastAsia"/>
          <w:kern w:val="2"/>
          <w:sz w:val="24"/>
          <w:szCs w:val="24"/>
          <w:lang w:val="en-US" w:eastAsia="zh-CN" w:bidi="ar-SA"/>
        </w:rPr>
      </w:pPr>
    </w:p>
    <w:p>
      <w:pPr>
        <w:pStyle w:val="3"/>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3"/>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3"/>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3"/>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2"/>
        <w:rPr>
          <w:rFonts w:hint="eastAsia"/>
          <w:lang w:val="en-US" w:eastAsia="zh-CN"/>
        </w:rPr>
      </w:pPr>
    </w:p>
    <w:p>
      <w:pPr>
        <w:pStyle w:val="5"/>
        <w:numPr>
          <w:ilvl w:val="0"/>
          <w:numId w:val="4"/>
        </w:numPr>
        <w:tabs>
          <w:tab w:val="left" w:pos="0"/>
          <w:tab w:val="clear" w:pos="432"/>
        </w:tabs>
        <w:ind w:left="12" w:leftChars="0" w:hanging="12" w:firstLineChars="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设备具体清单及技术参数要求</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提供产品彩页或机组铭牌等相关证明材料</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w:t>
      </w:r>
    </w:p>
    <w:tbl>
      <w:tblPr>
        <w:tblStyle w:val="62"/>
        <w:tblpPr w:leftFromText="180" w:rightFromText="180" w:vertAnchor="page" w:horzAnchor="page" w:tblpX="1939" w:tblpY="2423"/>
        <w:tblOverlap w:val="never"/>
        <w:tblW w:w="48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2032"/>
        <w:gridCol w:w="712"/>
        <w:gridCol w:w="713"/>
        <w:gridCol w:w="4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bookmarkStart w:id="32" w:name="_Toc386810517"/>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设备名称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多联式室外机顶出风</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r>
              <w:rPr>
                <w:rFonts w:hint="eastAsia" w:ascii="宋体" w:hAnsi="宋体" w:cs="宋体"/>
                <w:color w:val="auto"/>
                <w:sz w:val="24"/>
                <w:szCs w:val="20"/>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制冷量：≥90.0kw。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cs="宋体"/>
                <w:color w:val="auto"/>
                <w:sz w:val="24"/>
                <w:szCs w:val="20"/>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制热量：≥100.0kw。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3：最小噪音：≤40dB（A）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4：★制冷额定功率：≤24.95kw。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5：制热额定功率：≤24.75kw。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6：风量：≥28000m³/h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2</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多联式室外机顶出风</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r>
              <w:rPr>
                <w:rFonts w:hint="eastAsia" w:ascii="宋体" w:hAnsi="宋体" w:cs="宋体"/>
                <w:color w:val="auto"/>
                <w:sz w:val="24"/>
                <w:szCs w:val="20"/>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制冷量：≥101.0kw。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cs="宋体"/>
                <w:color w:val="auto"/>
                <w:sz w:val="24"/>
                <w:szCs w:val="20"/>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制热量：≥112.0kw。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3：最小噪音：≤40dB（A）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4：★制冷额定功率：≤27.8kw。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5：制热额定功率：≤27.18kw。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6：风量：≥29000m³/h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3</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风管式室内机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1：★制冷量：≥8.0kw。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制热量：≥9.0kw。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3：最小噪音：≤28dB(A)。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4：额定功率：≤0.102kw。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5：风量：≥1355m³/h</w:t>
            </w:r>
          </w:p>
          <w:p>
            <w:pPr>
              <w:pStyle w:val="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iCs w:val="0"/>
                <w:color w:val="auto"/>
                <w:kern w:val="0"/>
                <w:sz w:val="24"/>
                <w:szCs w:val="24"/>
                <w:highlight w:val="none"/>
                <w:u w:val="none"/>
                <w:lang w:val="en-US" w:eastAsia="zh-CN" w:bidi="ar"/>
              </w:rPr>
              <w:t>6：带冷凝水提升泵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4</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风管式室内机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1：★制冷量：≥9.0kw。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制热量：≥10.0kw。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3：最小噪音：≤28dB(A)。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4：额定功率：≤0.9kw。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5：风量：≥1420m³/h</w:t>
            </w:r>
          </w:p>
          <w:p>
            <w:pPr>
              <w:pStyle w:val="60"/>
              <w:jc w:val="both"/>
              <w:rPr>
                <w:rFonts w:hint="eastAsia" w:asciiTheme="minorEastAsia" w:hAnsiTheme="minorEastAsia" w:eastAsiaTheme="minorEastAsia" w:cstheme="minorEastAsia"/>
                <w:b/>
                <w:kern w:val="0"/>
                <w:sz w:val="24"/>
                <w:szCs w:val="24"/>
                <w:lang w:val="en-US" w:eastAsia="zh-CN" w:bidi="ar-SA"/>
              </w:rPr>
            </w:pPr>
            <w:r>
              <w:rPr>
                <w:rFonts w:hint="eastAsia" w:asciiTheme="minorEastAsia" w:hAnsiTheme="minorEastAsia" w:eastAsiaTheme="minorEastAsia" w:cstheme="minorEastAsia"/>
                <w:b w:val="0"/>
                <w:i w:val="0"/>
                <w:iCs w:val="0"/>
                <w:color w:val="auto"/>
                <w:kern w:val="0"/>
                <w:sz w:val="24"/>
                <w:szCs w:val="24"/>
                <w:highlight w:val="none"/>
                <w:u w:val="none"/>
                <w:lang w:val="en-US" w:eastAsia="zh-CN" w:bidi="ar"/>
              </w:rPr>
              <w:t>6：带冷凝水提升泵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风管式室内机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1：★制冷量：≥10.0kw。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制热量：≥11.2kw。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3：最小噪音：≤28dB(A)。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4：额定功率：≤0.132kw。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5：风量：≥1565m³/h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val="0"/>
                <w:i w:val="0"/>
                <w:iCs w:val="0"/>
                <w:color w:val="auto"/>
                <w:kern w:val="0"/>
                <w:sz w:val="24"/>
                <w:szCs w:val="24"/>
                <w:highlight w:val="none"/>
                <w:u w:val="none"/>
                <w:lang w:val="en-US" w:eastAsia="zh-CN" w:bidi="ar"/>
              </w:rPr>
              <w:t>6：带冷凝水提升泵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6</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风管式室内机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1：★制冷量：≥11.2kw。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制热量：≥12.5kw。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3：最小噪音：≤29dB(A)。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4：额定功率：≤0.108kw。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5：风量：≥1580m³/h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val="0"/>
                <w:i w:val="0"/>
                <w:iCs w:val="0"/>
                <w:color w:val="auto"/>
                <w:kern w:val="0"/>
                <w:sz w:val="24"/>
                <w:szCs w:val="24"/>
                <w:highlight w:val="none"/>
                <w:u w:val="none"/>
                <w:lang w:val="en-US" w:eastAsia="zh-CN" w:bidi="ar"/>
              </w:rPr>
              <w:t>6：带冷凝水提升泵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76"/>
              </w:tabs>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7</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线控器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2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与设备配套、与空调同品牌</w:t>
            </w:r>
          </w:p>
        </w:tc>
      </w:tr>
      <w:bookmarkEnd w:id="32"/>
    </w:tbl>
    <w:p>
      <w:pPr>
        <w:widowControl/>
        <w:spacing w:line="360" w:lineRule="auto"/>
        <w:jc w:val="left"/>
        <w:rPr>
          <w:rFonts w:hint="eastAsia" w:asciiTheme="minorEastAsia" w:hAnsiTheme="minorEastAsia" w:eastAsiaTheme="minorEastAsia" w:cstheme="minorEastAsia"/>
          <w:b/>
          <w:color w:val="111F2C"/>
          <w:sz w:val="24"/>
          <w:szCs w:val="24"/>
          <w:shd w:val="clear" w:color="auto" w:fill="FFFFFF"/>
        </w:rPr>
      </w:pPr>
      <w:r>
        <w:rPr>
          <w:rFonts w:hint="eastAsia" w:asciiTheme="minorEastAsia" w:hAnsiTheme="minorEastAsia" w:eastAsiaTheme="minorEastAsia" w:cstheme="minorEastAsia"/>
          <w:b/>
          <w:color w:val="111F2C"/>
          <w:sz w:val="24"/>
          <w:szCs w:val="24"/>
          <w:highlight w:val="none"/>
          <w:shd w:val="clear" w:color="auto" w:fill="FFFFFF"/>
        </w:rPr>
        <w:t>注：</w:t>
      </w:r>
    </w:p>
    <w:p>
      <w:pPr>
        <w:widowControl/>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111F2C"/>
          <w:sz w:val="24"/>
          <w:szCs w:val="24"/>
          <w:shd w:val="clear" w:color="auto" w:fill="FFFFFF"/>
        </w:rPr>
        <w:t>1、</w:t>
      </w:r>
      <w:r>
        <w:rPr>
          <w:rFonts w:hint="eastAsia" w:asciiTheme="minorEastAsia" w:hAnsiTheme="minorEastAsia" w:eastAsiaTheme="minorEastAsia" w:cstheme="minorEastAsia"/>
          <w:b/>
          <w:sz w:val="24"/>
          <w:szCs w:val="24"/>
        </w:rPr>
        <w:t>设备清单若与图纸不符，以</w:t>
      </w:r>
      <w:r>
        <w:rPr>
          <w:rFonts w:hint="eastAsia" w:asciiTheme="minorEastAsia" w:hAnsiTheme="minorEastAsia" w:eastAsiaTheme="minorEastAsia" w:cstheme="minorEastAsia"/>
          <w:b/>
          <w:sz w:val="24"/>
          <w:szCs w:val="24"/>
          <w:lang w:val="en-US" w:eastAsia="zh-CN"/>
        </w:rPr>
        <w:t>本清单</w:t>
      </w:r>
      <w:r>
        <w:rPr>
          <w:rFonts w:hint="eastAsia" w:asciiTheme="minorEastAsia" w:hAnsiTheme="minorEastAsia" w:eastAsiaTheme="minorEastAsia" w:cstheme="minorEastAsia"/>
          <w:b/>
          <w:sz w:val="24"/>
          <w:szCs w:val="24"/>
        </w:rPr>
        <w:t>为准。</w:t>
      </w:r>
    </w:p>
    <w:p>
      <w:pPr>
        <w:widowControl/>
        <w:spacing w:line="360" w:lineRule="auto"/>
        <w:jc w:val="left"/>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b/>
          <w:color w:val="111F2C"/>
          <w:sz w:val="24"/>
          <w:szCs w:val="24"/>
          <w:shd w:val="clear" w:color="auto" w:fill="FFFFFF"/>
        </w:rPr>
        <w:t>2、铜管、水管、风管等相关管线安装工程量</w:t>
      </w:r>
      <w:r>
        <w:rPr>
          <w:rFonts w:hint="eastAsia" w:asciiTheme="minorEastAsia" w:hAnsiTheme="minorEastAsia" w:eastAsiaTheme="minorEastAsia" w:cstheme="minorEastAsia"/>
          <w:b/>
          <w:color w:val="111F2C"/>
          <w:sz w:val="24"/>
          <w:szCs w:val="24"/>
          <w:highlight w:val="none"/>
          <w:shd w:val="clear" w:color="auto" w:fill="FFFFFF"/>
        </w:rPr>
        <w:t>按</w:t>
      </w:r>
      <w:r>
        <w:rPr>
          <w:rFonts w:hint="eastAsia" w:asciiTheme="minorEastAsia" w:hAnsiTheme="minorEastAsia" w:eastAsiaTheme="minorEastAsia" w:cstheme="minorEastAsia"/>
          <w:b/>
          <w:color w:val="111F2C"/>
          <w:sz w:val="24"/>
          <w:szCs w:val="24"/>
          <w:highlight w:val="none"/>
          <w:shd w:val="clear" w:color="auto" w:fill="FFFFFF"/>
          <w:lang w:val="en-US" w:eastAsia="zh-CN"/>
        </w:rPr>
        <w:t>辅材清单</w:t>
      </w:r>
      <w:r>
        <w:rPr>
          <w:rFonts w:hint="eastAsia" w:asciiTheme="minorEastAsia" w:hAnsiTheme="minorEastAsia" w:eastAsiaTheme="minorEastAsia" w:cstheme="minorEastAsia"/>
          <w:b/>
          <w:color w:val="111F2C"/>
          <w:sz w:val="24"/>
          <w:szCs w:val="24"/>
          <w:highlight w:val="none"/>
          <w:shd w:val="clear" w:color="auto" w:fill="FFFFFF"/>
        </w:rPr>
        <w:t>和</w:t>
      </w:r>
      <w:r>
        <w:rPr>
          <w:rFonts w:hint="eastAsia" w:asciiTheme="minorEastAsia" w:hAnsiTheme="minorEastAsia" w:eastAsiaTheme="minorEastAsia" w:cstheme="minorEastAsia"/>
          <w:b/>
          <w:color w:val="111F2C"/>
          <w:sz w:val="24"/>
          <w:szCs w:val="24"/>
          <w:shd w:val="clear" w:color="auto" w:fill="FFFFFF"/>
        </w:rPr>
        <w:t>现场实际为准。</w:t>
      </w:r>
      <w:r>
        <w:rPr>
          <w:rFonts w:hint="eastAsia" w:asciiTheme="minorEastAsia" w:hAnsiTheme="minorEastAsia" w:eastAsiaTheme="minorEastAsia" w:cstheme="minorEastAsia"/>
          <w:b/>
          <w:color w:val="111F2C"/>
          <w:sz w:val="24"/>
          <w:szCs w:val="24"/>
          <w:highlight w:val="none"/>
        </w:rPr>
        <w:br w:type="textWrapping"/>
      </w:r>
      <w:r>
        <w:rPr>
          <w:rFonts w:hint="eastAsia" w:asciiTheme="minorEastAsia" w:hAnsiTheme="minorEastAsia" w:eastAsiaTheme="minorEastAsia" w:cstheme="minorEastAsia"/>
          <w:color w:val="111F2C"/>
          <w:sz w:val="24"/>
          <w:szCs w:val="24"/>
          <w:shd w:val="clear" w:color="auto" w:fill="FFFFFF"/>
          <w:lang w:val="en-US" w:eastAsia="zh-CN"/>
        </w:rPr>
        <w:t>3</w:t>
      </w:r>
      <w:r>
        <w:rPr>
          <w:rFonts w:hint="eastAsia" w:asciiTheme="minorEastAsia" w:hAnsiTheme="minorEastAsia" w:eastAsiaTheme="minorEastAsia" w:cstheme="minorEastAsia"/>
          <w:color w:val="111F2C"/>
          <w:sz w:val="24"/>
          <w:szCs w:val="24"/>
          <w:shd w:val="clear" w:color="auto" w:fill="FFFFFF"/>
        </w:rPr>
        <w:t>、投标人可参考采购单位提出的设备（产品）的配置要求，</w:t>
      </w:r>
      <w:r>
        <w:rPr>
          <w:rFonts w:hint="eastAsia" w:asciiTheme="minorEastAsia" w:hAnsiTheme="minorEastAsia" w:eastAsiaTheme="minorEastAsia" w:cstheme="minorEastAsia"/>
          <w:b/>
          <w:color w:val="111F2C"/>
          <w:sz w:val="24"/>
          <w:szCs w:val="24"/>
          <w:shd w:val="clear" w:color="auto" w:fill="FFFFFF"/>
        </w:rPr>
        <w:t>也欢迎其他能满足本项目技术需求且性能与所明确品牌相当的产品参加投标，但其配置应能满足本设备运行的需求。</w:t>
      </w:r>
      <w:r>
        <w:rPr>
          <w:rFonts w:hint="eastAsia" w:asciiTheme="minorEastAsia" w:hAnsiTheme="minorEastAsia" w:eastAsiaTheme="minorEastAsia" w:cstheme="minorEastAsia"/>
          <w:color w:val="111F2C"/>
          <w:sz w:val="24"/>
          <w:szCs w:val="24"/>
          <w:shd w:val="clear" w:color="auto" w:fill="FFFFFF"/>
        </w:rPr>
        <w:t>如有必要，采购机构保留另行组织采购部分直至全部设备的权利。</w:t>
      </w:r>
    </w:p>
    <w:p>
      <w:pPr>
        <w:rPr>
          <w:rFonts w:hint="eastAsia" w:asciiTheme="minorEastAsia" w:hAnsiTheme="minorEastAsia" w:eastAsiaTheme="minorEastAsia" w:cstheme="minorEastAsia"/>
          <w:color w:val="111F2C"/>
          <w:sz w:val="24"/>
          <w:szCs w:val="24"/>
          <w:shd w:val="clear" w:color="auto" w:fill="FFFFFF"/>
          <w:lang w:val="en-US" w:eastAsia="zh-CN"/>
        </w:rPr>
      </w:pPr>
      <w:r>
        <w:rPr>
          <w:rFonts w:hint="eastAsia" w:asciiTheme="minorEastAsia" w:hAnsiTheme="minorEastAsia" w:eastAsiaTheme="minorEastAsia" w:cstheme="minorEastAsia"/>
          <w:color w:val="111F2C"/>
          <w:sz w:val="24"/>
          <w:szCs w:val="24"/>
          <w:shd w:val="clear" w:color="auto" w:fill="FFFFFF"/>
          <w:lang w:val="en-US" w:eastAsia="zh-CN"/>
        </w:rPr>
        <w:t>4、本项目为交钥匙工程，请各位投标人充分考虑施工中所需的安装辅材等费用。</w:t>
      </w:r>
    </w:p>
    <w:p>
      <w:pPr>
        <w:pStyle w:val="2"/>
        <w:rPr>
          <w:rFonts w:hint="default"/>
          <w:b/>
          <w:bCs/>
          <w:highlight w:val="none"/>
          <w:lang w:val="en-US"/>
        </w:rPr>
      </w:pPr>
      <w:r>
        <w:rPr>
          <w:rFonts w:hint="eastAsia" w:asciiTheme="minorEastAsia" w:hAnsiTheme="minorEastAsia" w:eastAsiaTheme="minorEastAsia" w:cstheme="minorEastAsia"/>
          <w:b/>
          <w:bCs/>
          <w:color w:val="111F2C"/>
          <w:sz w:val="24"/>
          <w:szCs w:val="24"/>
          <w:highlight w:val="none"/>
          <w:shd w:val="clear" w:color="auto" w:fill="FFFFFF"/>
          <w:lang w:val="en-US" w:eastAsia="zh-CN"/>
        </w:rPr>
        <w:t>5、本项目要求中标供应商在签订合同之前，提供投标产品厂家开具的项目授权书给采购人，以保证投标产品为原厂正品。</w:t>
      </w:r>
    </w:p>
    <w:p>
      <w:pPr>
        <w:numPr>
          <w:ilvl w:val="0"/>
          <w:numId w:val="0"/>
        </w:numPr>
        <w:rPr>
          <w:rFonts w:hint="eastAsia" w:asciiTheme="minorEastAsia" w:hAnsiTheme="minorEastAsia" w:eastAsiaTheme="minorEastAsia" w:cstheme="minorEastAsia"/>
          <w:b/>
          <w:bCs/>
          <w:sz w:val="24"/>
          <w:szCs w:val="24"/>
          <w:lang w:val="en-US" w:eastAsia="zh-CN"/>
        </w:rPr>
      </w:pP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辅材清单：</w:t>
      </w:r>
    </w:p>
    <w:tbl>
      <w:tblPr>
        <w:tblStyle w:val="62"/>
        <w:tblW w:w="47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667"/>
        <w:gridCol w:w="1484"/>
        <w:gridCol w:w="2950"/>
        <w:gridCol w:w="76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名称</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型号</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参数要求</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φ6.4*0.8</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φ9.5*0.8</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φ12.7*0.8</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φ15.9*1.0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φ19.1*1.0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98</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φ22.2*1.0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φ25.4*1.0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φ28.6*1.0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φ31.8*1.2</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氧化磷无缝铜管含保温辅材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φ38.1*1.4</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采用磷脱氧铜管安装并加以难燃发泡橡塑隔热保温管保温，保温厚度30mm</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冷凝水管含保温辅材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DN25*2.0</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保温厚度为13mm，难燃B1闭孔柔性泡沫橡塑保温，按防表面结露原则选用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135</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冷凝水管含保温辅材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DN32*2.4</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保温厚度为13mm，难燃B1闭孔柔性泡沫橡塑保温，按防表面结露原则选用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冷凝水管含保温辅材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DN40*3.2</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保温厚度为13mm，难燃B1闭孔柔性泡沫橡塑保温，按防表面结露原则选用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分支器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优质分支器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打孔</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专业人员、做好保护措施</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ABS风口</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定制尺寸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优质材料，按防表面结露原则选用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风管含保温辅材</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镀锌钢板定制尺寸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采用阻燃型夹筋铝箔复面的离心玻璃棉板材保温,保温厚度30mm,24℃时,λ≤0.033W/(m.k),密度48kg/m3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其他相关费用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底角螺丝、螺帽、吊杆、运输等其他相关费用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98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空调室外机基础</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定制尺寸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用于稳定室外机，槽钢定制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高空吊装费用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10楼楼顶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集中控制器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集中控制</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用于前台统一管理空调系统，实现空调模式调节、设备开关、统一管理统计功能</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电源线</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用于内机设备供电</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380</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电源线</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用于外机设备供电</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垃圾清运费用</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清洗打扫</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r>
    </w:tbl>
    <w:p>
      <w:pPr>
        <w:widowControl/>
        <w:spacing w:line="360" w:lineRule="auto"/>
        <w:jc w:val="left"/>
        <w:rPr>
          <w:rFonts w:hint="default" w:asciiTheme="minorEastAsia" w:hAnsiTheme="minorEastAsia" w:eastAsiaTheme="minorEastAsia" w:cstheme="minorEastAsia"/>
          <w:color w:val="111F2C"/>
          <w:sz w:val="24"/>
          <w:szCs w:val="24"/>
          <w:highlight w:val="none"/>
          <w:shd w:val="clear" w:color="auto" w:fill="FFFFFF"/>
          <w:lang w:val="en-US" w:eastAsia="zh-CN"/>
        </w:rPr>
      </w:pPr>
      <w:r>
        <w:rPr>
          <w:rFonts w:hint="eastAsia" w:asciiTheme="minorEastAsia" w:hAnsiTheme="minorEastAsia" w:eastAsiaTheme="minorEastAsia" w:cstheme="minorEastAsia"/>
          <w:color w:val="111F2C"/>
          <w:sz w:val="24"/>
          <w:szCs w:val="24"/>
          <w:highlight w:val="none"/>
          <w:shd w:val="clear" w:color="auto" w:fill="FFFFFF"/>
          <w:lang w:val="en-US" w:eastAsia="zh-CN"/>
        </w:rPr>
        <w:t>备注：审判大楼十楼层高基本数据：建筑层高3.3米、装修层高2.4米；挑空部分建筑层高6.6米、装修层高5.7米。以上辅材数量为预估数量，实际以现场施工为准。</w:t>
      </w:r>
    </w:p>
    <w:p>
      <w:pPr>
        <w:rPr>
          <w:rFonts w:hint="eastAsia" w:asciiTheme="minorEastAsia" w:hAnsiTheme="minorEastAsia" w:eastAsiaTheme="minorEastAsia" w:cstheme="minorEastAsia"/>
          <w:sz w:val="24"/>
          <w:szCs w:val="24"/>
          <w:highlight w:val="none"/>
        </w:rPr>
      </w:pPr>
    </w:p>
    <w:p>
      <w:pPr>
        <w:ind w:firstLine="723" w:firstLineChars="200"/>
        <w:jc w:val="center"/>
        <w:rPr>
          <w:rFonts w:hint="eastAsia" w:ascii="宋体" w:hAnsi="宋体" w:cs="宋体"/>
          <w:b/>
          <w:sz w:val="36"/>
          <w:szCs w:val="36"/>
        </w:rPr>
      </w:pPr>
    </w:p>
    <w:p>
      <w:pPr>
        <w:ind w:firstLine="723" w:firstLineChars="200"/>
        <w:jc w:val="center"/>
        <w:rPr>
          <w:rFonts w:hint="eastAsia" w:ascii="宋体" w:hAnsi="宋体" w:cs="宋体"/>
          <w:b/>
          <w:sz w:val="36"/>
          <w:szCs w:val="36"/>
        </w:rPr>
      </w:pPr>
    </w:p>
    <w:p>
      <w:pPr>
        <w:pStyle w:val="26"/>
        <w:rPr>
          <w:rFonts w:hint="eastAsia" w:ascii="宋体" w:hAnsi="宋体" w:cs="宋体"/>
          <w:b/>
          <w:sz w:val="36"/>
          <w:szCs w:val="36"/>
        </w:rPr>
      </w:pPr>
    </w:p>
    <w:p>
      <w:pPr>
        <w:rPr>
          <w:rFonts w:hint="eastAsia" w:ascii="宋体" w:hAnsi="宋体" w:cs="宋体"/>
          <w:b/>
          <w:sz w:val="36"/>
          <w:szCs w:val="36"/>
        </w:rPr>
      </w:pPr>
    </w:p>
    <w:p>
      <w:pPr>
        <w:jc w:val="both"/>
        <w:rPr>
          <w:rFonts w:hint="eastAsia" w:ascii="宋体" w:hAnsi="宋体" w:cs="宋体"/>
          <w:b/>
          <w:sz w:val="36"/>
          <w:szCs w:val="36"/>
        </w:rPr>
      </w:pPr>
    </w:p>
    <w:p>
      <w:pPr>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33" w:name="_Toc184314425"/>
      <w:bookmarkEnd w:id="33"/>
      <w:bookmarkStart w:id="34" w:name="_Toc184310301"/>
      <w:bookmarkEnd w:id="34"/>
      <w:bookmarkStart w:id="35" w:name="_Toc184314475"/>
      <w:bookmarkEnd w:id="35"/>
      <w:bookmarkStart w:id="36" w:name="_Toc184310335"/>
      <w:bookmarkEnd w:id="36"/>
      <w:bookmarkStart w:id="37" w:name="_Toc184308055"/>
      <w:bookmarkEnd w:id="37"/>
      <w:bookmarkStart w:id="38" w:name="_Toc184314419"/>
      <w:bookmarkEnd w:id="38"/>
      <w:bookmarkStart w:id="39" w:name="_Toc184312128"/>
      <w:bookmarkEnd w:id="39"/>
      <w:bookmarkStart w:id="40" w:name="_Toc184312108"/>
      <w:bookmarkEnd w:id="40"/>
      <w:bookmarkStart w:id="41" w:name="_Toc184313284"/>
      <w:bookmarkEnd w:id="41"/>
      <w:bookmarkStart w:id="42" w:name="_Toc184310308"/>
      <w:bookmarkEnd w:id="42"/>
      <w:bookmarkStart w:id="43" w:name="_Toc184312137"/>
      <w:bookmarkEnd w:id="43"/>
      <w:bookmarkStart w:id="44" w:name="_Toc184308039"/>
      <w:bookmarkEnd w:id="44"/>
      <w:bookmarkStart w:id="45" w:name="_Toc184314448"/>
      <w:bookmarkEnd w:id="45"/>
      <w:bookmarkStart w:id="46" w:name="_Toc184313292"/>
      <w:bookmarkEnd w:id="46"/>
      <w:bookmarkStart w:id="47" w:name="_Toc184310324"/>
      <w:bookmarkEnd w:id="47"/>
      <w:bookmarkStart w:id="48" w:name="_Toc184314422"/>
      <w:bookmarkEnd w:id="48"/>
      <w:bookmarkStart w:id="49" w:name="_Toc184312109"/>
      <w:bookmarkEnd w:id="49"/>
      <w:bookmarkStart w:id="50" w:name="_Toc184312113"/>
      <w:bookmarkEnd w:id="50"/>
      <w:bookmarkStart w:id="51" w:name="_Toc184310332"/>
      <w:bookmarkEnd w:id="51"/>
      <w:bookmarkStart w:id="52" w:name="_Toc184313265"/>
      <w:bookmarkEnd w:id="52"/>
      <w:bookmarkStart w:id="53" w:name="_Toc184314417"/>
      <w:bookmarkEnd w:id="53"/>
      <w:bookmarkStart w:id="54" w:name="_Toc184310319"/>
      <w:bookmarkEnd w:id="54"/>
      <w:bookmarkStart w:id="55" w:name="_Toc184312075"/>
      <w:bookmarkEnd w:id="55"/>
      <w:bookmarkStart w:id="56" w:name="_Toc184312079"/>
      <w:bookmarkEnd w:id="56"/>
      <w:bookmarkStart w:id="57" w:name="_Toc184308050"/>
      <w:bookmarkEnd w:id="57"/>
      <w:bookmarkStart w:id="58" w:name="_Toc184310300"/>
      <w:bookmarkEnd w:id="58"/>
      <w:bookmarkStart w:id="59" w:name="_Toc184310299"/>
      <w:bookmarkEnd w:id="59"/>
      <w:bookmarkStart w:id="60" w:name="_Toc184314444"/>
      <w:bookmarkEnd w:id="60"/>
      <w:bookmarkStart w:id="61" w:name="_Toc184313306"/>
      <w:bookmarkEnd w:id="61"/>
      <w:bookmarkStart w:id="62" w:name="_Toc184314464"/>
      <w:bookmarkEnd w:id="62"/>
      <w:bookmarkStart w:id="63" w:name="_Toc184308076"/>
      <w:bookmarkEnd w:id="63"/>
      <w:bookmarkStart w:id="64" w:name="_Toc184314411"/>
      <w:bookmarkEnd w:id="64"/>
      <w:bookmarkStart w:id="65" w:name="_Toc184310296"/>
      <w:bookmarkEnd w:id="65"/>
      <w:bookmarkStart w:id="66" w:name="_Toc184308095"/>
      <w:bookmarkEnd w:id="66"/>
      <w:bookmarkStart w:id="67" w:name="_Toc184314469"/>
      <w:bookmarkEnd w:id="67"/>
      <w:bookmarkStart w:id="68" w:name="_Toc184308045"/>
      <w:bookmarkEnd w:id="68"/>
      <w:bookmarkStart w:id="69" w:name="_Toc184310281"/>
      <w:bookmarkEnd w:id="69"/>
      <w:bookmarkStart w:id="70" w:name="_Toc184312133"/>
      <w:bookmarkEnd w:id="70"/>
      <w:bookmarkStart w:id="71" w:name="_Toc184312086"/>
      <w:bookmarkEnd w:id="71"/>
      <w:bookmarkStart w:id="72" w:name="_Toc184308096"/>
      <w:bookmarkEnd w:id="72"/>
      <w:bookmarkStart w:id="73" w:name="_Toc184314413"/>
      <w:bookmarkEnd w:id="73"/>
      <w:bookmarkStart w:id="74" w:name="_Toc184312083"/>
      <w:bookmarkEnd w:id="74"/>
      <w:bookmarkStart w:id="75" w:name="_Toc184312134"/>
      <w:bookmarkEnd w:id="75"/>
      <w:bookmarkStart w:id="76" w:name="_Toc184310315"/>
      <w:bookmarkEnd w:id="76"/>
      <w:bookmarkStart w:id="77" w:name="_Toc184313282"/>
      <w:bookmarkEnd w:id="77"/>
      <w:bookmarkStart w:id="78" w:name="_Toc184308092"/>
      <w:bookmarkEnd w:id="78"/>
      <w:bookmarkStart w:id="79" w:name="_Toc184308072"/>
      <w:bookmarkEnd w:id="79"/>
      <w:bookmarkStart w:id="80" w:name="_Toc184310295"/>
      <w:bookmarkEnd w:id="80"/>
      <w:bookmarkStart w:id="81" w:name="_Toc184313286"/>
      <w:bookmarkEnd w:id="81"/>
      <w:bookmarkStart w:id="82" w:name="_Toc184310327"/>
      <w:bookmarkEnd w:id="82"/>
      <w:bookmarkStart w:id="83" w:name="_Toc184312118"/>
      <w:bookmarkEnd w:id="83"/>
      <w:bookmarkStart w:id="84" w:name="_Toc184308073"/>
      <w:bookmarkEnd w:id="84"/>
      <w:bookmarkStart w:id="85" w:name="_Toc184313276"/>
      <w:bookmarkEnd w:id="85"/>
      <w:bookmarkStart w:id="86" w:name="_Toc184313279"/>
      <w:bookmarkEnd w:id="86"/>
      <w:bookmarkStart w:id="87" w:name="_Toc184312110"/>
      <w:bookmarkEnd w:id="87"/>
      <w:bookmarkStart w:id="88" w:name="_Toc184312091"/>
      <w:bookmarkEnd w:id="88"/>
      <w:bookmarkStart w:id="89" w:name="_Toc184308047"/>
      <w:bookmarkEnd w:id="89"/>
      <w:bookmarkStart w:id="90" w:name="_Toc184313268"/>
      <w:bookmarkEnd w:id="90"/>
      <w:bookmarkStart w:id="91" w:name="_Toc184314446"/>
      <w:bookmarkEnd w:id="91"/>
      <w:bookmarkStart w:id="92" w:name="_Toc184310329"/>
      <w:bookmarkEnd w:id="92"/>
      <w:bookmarkStart w:id="93" w:name="_Toc184313310"/>
      <w:bookmarkEnd w:id="93"/>
      <w:bookmarkStart w:id="94" w:name="_Toc184308054"/>
      <w:bookmarkEnd w:id="94"/>
      <w:bookmarkStart w:id="95" w:name="_Toc184308107"/>
      <w:bookmarkEnd w:id="95"/>
      <w:bookmarkStart w:id="96" w:name="_Toc184314429"/>
      <w:bookmarkEnd w:id="96"/>
      <w:bookmarkStart w:id="97" w:name="_Toc184308070"/>
      <w:bookmarkEnd w:id="97"/>
      <w:bookmarkStart w:id="98" w:name="_Toc184310331"/>
      <w:bookmarkEnd w:id="98"/>
      <w:bookmarkStart w:id="99" w:name="_Toc184314426"/>
      <w:bookmarkEnd w:id="99"/>
      <w:bookmarkStart w:id="100" w:name="_Toc184312088"/>
      <w:bookmarkEnd w:id="100"/>
      <w:bookmarkStart w:id="101" w:name="_Toc184312069"/>
      <w:bookmarkEnd w:id="101"/>
      <w:bookmarkStart w:id="102" w:name="_Toc184308081"/>
      <w:bookmarkEnd w:id="102"/>
      <w:bookmarkStart w:id="103" w:name="_Toc184308088"/>
      <w:bookmarkEnd w:id="103"/>
      <w:bookmarkStart w:id="104" w:name="_Toc184313296"/>
      <w:bookmarkEnd w:id="104"/>
      <w:bookmarkStart w:id="105" w:name="_Toc184308084"/>
      <w:bookmarkEnd w:id="105"/>
      <w:bookmarkStart w:id="106" w:name="_Toc184310273"/>
      <w:bookmarkEnd w:id="106"/>
      <w:bookmarkStart w:id="107" w:name="_Toc184313280"/>
      <w:bookmarkEnd w:id="107"/>
      <w:bookmarkStart w:id="108" w:name="_Toc184314481"/>
      <w:bookmarkEnd w:id="108"/>
      <w:bookmarkStart w:id="109" w:name="_Toc184313250"/>
      <w:bookmarkEnd w:id="109"/>
      <w:bookmarkStart w:id="110" w:name="_Toc184308036"/>
      <w:bookmarkEnd w:id="110"/>
      <w:bookmarkStart w:id="111" w:name="_Toc184313255"/>
      <w:bookmarkEnd w:id="111"/>
      <w:bookmarkStart w:id="112" w:name="_Toc184313247"/>
      <w:bookmarkEnd w:id="112"/>
      <w:bookmarkStart w:id="113" w:name="_Toc184314465"/>
      <w:bookmarkEnd w:id="113"/>
      <w:bookmarkStart w:id="114" w:name="_Toc184312131"/>
      <w:bookmarkEnd w:id="114"/>
      <w:bookmarkStart w:id="115" w:name="_Toc184313289"/>
      <w:bookmarkEnd w:id="115"/>
      <w:bookmarkStart w:id="116" w:name="_Toc184310280"/>
      <w:bookmarkEnd w:id="116"/>
      <w:bookmarkStart w:id="117" w:name="_Toc184310325"/>
      <w:bookmarkEnd w:id="117"/>
      <w:bookmarkStart w:id="118" w:name="_Toc184308057"/>
      <w:bookmarkEnd w:id="118"/>
      <w:bookmarkStart w:id="119" w:name="_Toc184312125"/>
      <w:bookmarkEnd w:id="119"/>
      <w:bookmarkStart w:id="120" w:name="_Toc184308075"/>
      <w:bookmarkEnd w:id="120"/>
      <w:bookmarkStart w:id="121" w:name="_Toc184308101"/>
      <w:bookmarkEnd w:id="121"/>
      <w:bookmarkStart w:id="122" w:name="_Toc184308085"/>
      <w:bookmarkEnd w:id="122"/>
      <w:bookmarkStart w:id="123" w:name="_Toc184313300"/>
      <w:bookmarkEnd w:id="123"/>
      <w:bookmarkStart w:id="124" w:name="_Toc184310304"/>
      <w:bookmarkEnd w:id="124"/>
      <w:bookmarkStart w:id="125" w:name="_Toc184308058"/>
      <w:bookmarkEnd w:id="125"/>
      <w:bookmarkStart w:id="126" w:name="_Toc184313278"/>
      <w:bookmarkEnd w:id="126"/>
      <w:bookmarkStart w:id="127" w:name="_Toc184310272"/>
      <w:bookmarkEnd w:id="127"/>
      <w:bookmarkStart w:id="128" w:name="_Toc184312119"/>
      <w:bookmarkEnd w:id="128"/>
      <w:bookmarkStart w:id="129" w:name="_Toc184313248"/>
      <w:bookmarkEnd w:id="129"/>
      <w:bookmarkStart w:id="130" w:name="_Toc184313267"/>
      <w:bookmarkEnd w:id="130"/>
      <w:bookmarkStart w:id="131" w:name="_Toc184310293"/>
      <w:bookmarkEnd w:id="131"/>
      <w:bookmarkStart w:id="132" w:name="_Toc184313242"/>
      <w:bookmarkEnd w:id="132"/>
      <w:bookmarkStart w:id="133" w:name="_Toc184312117"/>
      <w:bookmarkEnd w:id="133"/>
      <w:bookmarkStart w:id="134" w:name="_Toc184308098"/>
      <w:bookmarkEnd w:id="134"/>
      <w:bookmarkStart w:id="135" w:name="_Toc184314452"/>
      <w:bookmarkEnd w:id="135"/>
      <w:bookmarkStart w:id="136" w:name="_Toc184308037"/>
      <w:bookmarkEnd w:id="136"/>
      <w:bookmarkStart w:id="137" w:name="_Toc184313288"/>
      <w:bookmarkEnd w:id="137"/>
      <w:bookmarkStart w:id="138" w:name="_Toc184310340"/>
      <w:bookmarkEnd w:id="138"/>
      <w:bookmarkStart w:id="139" w:name="_Toc184312072"/>
      <w:bookmarkEnd w:id="139"/>
      <w:bookmarkStart w:id="140" w:name="_Toc184310286"/>
      <w:bookmarkEnd w:id="140"/>
      <w:bookmarkStart w:id="141" w:name="_Toc184314412"/>
      <w:bookmarkEnd w:id="141"/>
      <w:bookmarkStart w:id="142" w:name="_Toc184312089"/>
      <w:bookmarkEnd w:id="142"/>
      <w:bookmarkStart w:id="143" w:name="_Toc184314470"/>
      <w:bookmarkEnd w:id="143"/>
      <w:bookmarkStart w:id="144" w:name="_Toc184308065"/>
      <w:bookmarkEnd w:id="144"/>
      <w:bookmarkStart w:id="145" w:name="_Toc184312121"/>
      <w:bookmarkEnd w:id="145"/>
      <w:bookmarkStart w:id="146" w:name="_Toc184312094"/>
      <w:bookmarkEnd w:id="146"/>
      <w:bookmarkStart w:id="147" w:name="_Toc184313257"/>
      <w:bookmarkEnd w:id="147"/>
      <w:bookmarkStart w:id="148" w:name="_Toc184312068"/>
      <w:bookmarkEnd w:id="148"/>
      <w:bookmarkStart w:id="149" w:name="_Toc184312104"/>
      <w:bookmarkEnd w:id="149"/>
      <w:bookmarkStart w:id="150" w:name="_Toc184310328"/>
      <w:bookmarkEnd w:id="150"/>
      <w:bookmarkStart w:id="151" w:name="_Toc184314434"/>
      <w:bookmarkEnd w:id="151"/>
      <w:bookmarkStart w:id="152" w:name="_Toc184308099"/>
      <w:bookmarkEnd w:id="152"/>
      <w:bookmarkStart w:id="153" w:name="_Toc184312135"/>
      <w:bookmarkEnd w:id="153"/>
      <w:bookmarkStart w:id="154" w:name="_Toc184308064"/>
      <w:bookmarkEnd w:id="154"/>
      <w:bookmarkStart w:id="155" w:name="_Toc184314432"/>
      <w:bookmarkEnd w:id="155"/>
      <w:bookmarkStart w:id="156" w:name="_Toc184308046"/>
      <w:bookmarkEnd w:id="156"/>
      <w:bookmarkStart w:id="157" w:name="_Toc184314458"/>
      <w:bookmarkEnd w:id="157"/>
      <w:bookmarkStart w:id="158" w:name="_Toc184314443"/>
      <w:bookmarkEnd w:id="158"/>
      <w:bookmarkStart w:id="159" w:name="_Toc184312123"/>
      <w:bookmarkEnd w:id="159"/>
      <w:bookmarkStart w:id="160" w:name="_Toc184308068"/>
      <w:bookmarkEnd w:id="160"/>
      <w:bookmarkStart w:id="161" w:name="_Toc184312120"/>
      <w:bookmarkEnd w:id="161"/>
      <w:bookmarkStart w:id="162" w:name="_Toc184314467"/>
      <w:bookmarkEnd w:id="162"/>
      <w:bookmarkStart w:id="163" w:name="_Toc184312087"/>
      <w:bookmarkEnd w:id="163"/>
      <w:bookmarkStart w:id="164" w:name="_Toc184313303"/>
      <w:bookmarkEnd w:id="164"/>
      <w:bookmarkStart w:id="165" w:name="_Toc184314477"/>
      <w:bookmarkEnd w:id="165"/>
      <w:bookmarkStart w:id="166" w:name="_Toc184312116"/>
      <w:bookmarkEnd w:id="166"/>
      <w:bookmarkStart w:id="167" w:name="_Toc184310317"/>
      <w:bookmarkEnd w:id="167"/>
      <w:bookmarkStart w:id="168" w:name="_Toc184312084"/>
      <w:bookmarkEnd w:id="168"/>
      <w:bookmarkStart w:id="169" w:name="_Toc184308097"/>
      <w:bookmarkEnd w:id="169"/>
      <w:bookmarkStart w:id="170" w:name="_Toc184312114"/>
      <w:bookmarkEnd w:id="170"/>
      <w:bookmarkStart w:id="171" w:name="_Toc184313308"/>
      <w:bookmarkEnd w:id="171"/>
      <w:bookmarkStart w:id="172" w:name="_Toc184308061"/>
      <w:bookmarkEnd w:id="172"/>
      <w:bookmarkStart w:id="173" w:name="_Toc184313241"/>
      <w:bookmarkEnd w:id="173"/>
      <w:bookmarkStart w:id="174" w:name="_Toc184313304"/>
      <w:bookmarkEnd w:id="174"/>
      <w:bookmarkStart w:id="175" w:name="_Toc184312096"/>
      <w:bookmarkEnd w:id="175"/>
      <w:bookmarkStart w:id="176" w:name="_Toc184313302"/>
      <w:bookmarkEnd w:id="176"/>
      <w:bookmarkStart w:id="177" w:name="_Toc184314463"/>
      <w:bookmarkEnd w:id="177"/>
      <w:bookmarkStart w:id="178" w:name="_Toc184312082"/>
      <w:bookmarkEnd w:id="178"/>
      <w:bookmarkStart w:id="179" w:name="_Toc184314474"/>
      <w:bookmarkEnd w:id="179"/>
      <w:bookmarkStart w:id="180" w:name="_Toc184313272"/>
      <w:bookmarkEnd w:id="180"/>
      <w:bookmarkStart w:id="181" w:name="_Toc184310275"/>
      <w:bookmarkEnd w:id="181"/>
      <w:bookmarkStart w:id="182" w:name="_Toc184314453"/>
      <w:bookmarkEnd w:id="182"/>
      <w:bookmarkStart w:id="183" w:name="_Toc184313239"/>
      <w:bookmarkEnd w:id="183"/>
      <w:bookmarkStart w:id="184" w:name="_Toc184314423"/>
      <w:bookmarkEnd w:id="184"/>
      <w:bookmarkStart w:id="185" w:name="_Toc184308106"/>
      <w:bookmarkEnd w:id="185"/>
      <w:bookmarkStart w:id="186" w:name="_Toc184308048"/>
      <w:bookmarkEnd w:id="186"/>
      <w:bookmarkStart w:id="187" w:name="_Toc184312077"/>
      <w:bookmarkEnd w:id="187"/>
      <w:bookmarkStart w:id="188" w:name="_Toc184310303"/>
      <w:bookmarkEnd w:id="188"/>
      <w:bookmarkStart w:id="189" w:name="_Toc184314424"/>
      <w:bookmarkEnd w:id="189"/>
      <w:bookmarkStart w:id="190" w:name="_Toc184308090"/>
      <w:bookmarkEnd w:id="190"/>
      <w:bookmarkStart w:id="191" w:name="_Toc184312092"/>
      <w:bookmarkEnd w:id="191"/>
      <w:bookmarkStart w:id="192" w:name="_Toc184312112"/>
      <w:bookmarkEnd w:id="192"/>
      <w:bookmarkStart w:id="193" w:name="_Toc184308074"/>
      <w:bookmarkEnd w:id="193"/>
      <w:bookmarkStart w:id="194" w:name="_Toc184314440"/>
      <w:bookmarkEnd w:id="194"/>
      <w:bookmarkStart w:id="195" w:name="_Toc184313245"/>
      <w:bookmarkEnd w:id="195"/>
      <w:bookmarkStart w:id="196" w:name="_Toc184308040"/>
      <w:bookmarkEnd w:id="196"/>
      <w:bookmarkStart w:id="197" w:name="_Toc184308087"/>
      <w:bookmarkEnd w:id="197"/>
      <w:bookmarkStart w:id="198" w:name="_Toc184308038"/>
      <w:bookmarkEnd w:id="198"/>
      <w:bookmarkStart w:id="199" w:name="_Toc184313259"/>
      <w:bookmarkEnd w:id="199"/>
      <w:bookmarkStart w:id="200" w:name="_Toc184312130"/>
      <w:bookmarkEnd w:id="200"/>
      <w:bookmarkStart w:id="201" w:name="_Toc184313298"/>
      <w:bookmarkEnd w:id="201"/>
      <w:bookmarkStart w:id="202" w:name="_Toc184313262"/>
      <w:bookmarkEnd w:id="202"/>
      <w:bookmarkStart w:id="203" w:name="_Toc184308043"/>
      <w:bookmarkEnd w:id="203"/>
      <w:bookmarkStart w:id="204" w:name="_Toc184314439"/>
      <w:bookmarkEnd w:id="204"/>
      <w:bookmarkStart w:id="205" w:name="_Toc184313309"/>
      <w:bookmarkEnd w:id="205"/>
      <w:bookmarkStart w:id="206" w:name="_Toc184310341"/>
      <w:bookmarkEnd w:id="206"/>
      <w:bookmarkStart w:id="207" w:name="_Toc184308093"/>
      <w:bookmarkEnd w:id="207"/>
      <w:bookmarkStart w:id="208" w:name="_Toc184313299"/>
      <w:bookmarkEnd w:id="208"/>
      <w:bookmarkStart w:id="209" w:name="_Toc184308042"/>
      <w:bookmarkEnd w:id="209"/>
      <w:bookmarkStart w:id="210" w:name="_Toc184308089"/>
      <w:bookmarkEnd w:id="210"/>
      <w:bookmarkStart w:id="211" w:name="_Toc184310282"/>
      <w:bookmarkEnd w:id="211"/>
      <w:bookmarkStart w:id="212" w:name="_Toc184314473"/>
      <w:bookmarkEnd w:id="212"/>
      <w:bookmarkStart w:id="213" w:name="_Toc184308062"/>
      <w:bookmarkEnd w:id="213"/>
      <w:bookmarkStart w:id="214" w:name="_Toc184314479"/>
      <w:bookmarkEnd w:id="214"/>
      <w:bookmarkStart w:id="215" w:name="_Toc184308103"/>
      <w:bookmarkEnd w:id="215"/>
      <w:bookmarkStart w:id="216" w:name="_Toc184312100"/>
      <w:bookmarkEnd w:id="216"/>
      <w:bookmarkStart w:id="217" w:name="_Toc184312127"/>
      <w:bookmarkEnd w:id="217"/>
      <w:bookmarkStart w:id="218" w:name="_Toc184314442"/>
      <w:bookmarkEnd w:id="218"/>
      <w:bookmarkStart w:id="219" w:name="_Toc184312129"/>
      <w:bookmarkEnd w:id="219"/>
      <w:bookmarkStart w:id="220" w:name="_Toc184314480"/>
      <w:bookmarkEnd w:id="220"/>
      <w:bookmarkStart w:id="221" w:name="_Toc184313264"/>
      <w:bookmarkEnd w:id="221"/>
      <w:bookmarkStart w:id="222" w:name="_Toc184310274"/>
      <w:bookmarkEnd w:id="222"/>
      <w:bookmarkStart w:id="223" w:name="_Toc184313254"/>
      <w:bookmarkEnd w:id="223"/>
      <w:bookmarkStart w:id="224" w:name="_Toc184308105"/>
      <w:bookmarkEnd w:id="224"/>
      <w:bookmarkStart w:id="225" w:name="_Toc184312071"/>
      <w:bookmarkEnd w:id="225"/>
      <w:bookmarkStart w:id="226" w:name="_Toc184314447"/>
      <w:bookmarkEnd w:id="226"/>
      <w:bookmarkStart w:id="227" w:name="_Toc184308094"/>
      <w:bookmarkEnd w:id="227"/>
      <w:bookmarkStart w:id="228" w:name="_Toc184310337"/>
      <w:bookmarkEnd w:id="228"/>
      <w:bookmarkStart w:id="229" w:name="_Toc184312107"/>
      <w:bookmarkEnd w:id="229"/>
      <w:bookmarkStart w:id="230" w:name="_Toc184312073"/>
      <w:bookmarkEnd w:id="230"/>
      <w:bookmarkStart w:id="231" w:name="_Toc184308067"/>
      <w:bookmarkEnd w:id="231"/>
      <w:bookmarkStart w:id="232" w:name="_Toc184310287"/>
      <w:bookmarkEnd w:id="232"/>
      <w:bookmarkStart w:id="233" w:name="_Toc184308059"/>
      <w:bookmarkEnd w:id="233"/>
      <w:bookmarkStart w:id="234" w:name="_Toc184314462"/>
      <w:bookmarkEnd w:id="234"/>
      <w:bookmarkStart w:id="235" w:name="_Toc184314438"/>
      <w:bookmarkEnd w:id="235"/>
      <w:bookmarkStart w:id="236" w:name="_Toc184314482"/>
      <w:bookmarkEnd w:id="236"/>
      <w:bookmarkStart w:id="237" w:name="_Toc184313269"/>
      <w:bookmarkEnd w:id="237"/>
      <w:bookmarkStart w:id="238" w:name="_Toc184313238"/>
      <w:bookmarkEnd w:id="238"/>
      <w:bookmarkStart w:id="239" w:name="_Toc184308049"/>
      <w:bookmarkEnd w:id="239"/>
      <w:bookmarkStart w:id="240" w:name="_Toc184313293"/>
      <w:bookmarkEnd w:id="240"/>
      <w:bookmarkStart w:id="241" w:name="_Toc184313307"/>
      <w:bookmarkEnd w:id="241"/>
      <w:bookmarkStart w:id="242" w:name="_Toc184314437"/>
      <w:bookmarkEnd w:id="242"/>
      <w:bookmarkStart w:id="243" w:name="_Toc184312090"/>
      <w:bookmarkEnd w:id="243"/>
      <w:bookmarkStart w:id="244" w:name="_Toc184314468"/>
      <w:bookmarkEnd w:id="244"/>
      <w:bookmarkStart w:id="245" w:name="_Toc184314450"/>
      <w:bookmarkEnd w:id="245"/>
      <w:bookmarkStart w:id="246" w:name="_Toc184312106"/>
      <w:bookmarkEnd w:id="246"/>
      <w:bookmarkStart w:id="247" w:name="_Toc184314456"/>
      <w:bookmarkEnd w:id="247"/>
      <w:bookmarkStart w:id="248" w:name="_Toc184310338"/>
      <w:bookmarkEnd w:id="248"/>
      <w:bookmarkStart w:id="249" w:name="_Toc184313285"/>
      <w:bookmarkEnd w:id="249"/>
      <w:bookmarkStart w:id="250" w:name="_Toc184314435"/>
      <w:bookmarkEnd w:id="250"/>
      <w:bookmarkStart w:id="251" w:name="_Toc184313258"/>
      <w:bookmarkEnd w:id="251"/>
      <w:bookmarkStart w:id="252" w:name="_Toc184314436"/>
      <w:bookmarkEnd w:id="252"/>
      <w:bookmarkStart w:id="253" w:name="_Toc184313273"/>
      <w:bookmarkEnd w:id="253"/>
      <w:bookmarkStart w:id="254" w:name="_Toc184313281"/>
      <w:bookmarkEnd w:id="254"/>
      <w:bookmarkStart w:id="255" w:name="_Toc184313305"/>
      <w:bookmarkEnd w:id="255"/>
      <w:bookmarkStart w:id="256" w:name="_Toc184314449"/>
      <w:bookmarkEnd w:id="256"/>
      <w:bookmarkStart w:id="257" w:name="_Toc184313291"/>
      <w:bookmarkEnd w:id="257"/>
      <w:bookmarkStart w:id="258" w:name="_Toc184312098"/>
      <w:bookmarkEnd w:id="258"/>
      <w:bookmarkStart w:id="259" w:name="_Toc184314460"/>
      <w:bookmarkEnd w:id="259"/>
      <w:bookmarkStart w:id="260" w:name="_Toc184310330"/>
      <w:bookmarkEnd w:id="260"/>
      <w:bookmarkStart w:id="261" w:name="_Toc184313249"/>
      <w:bookmarkEnd w:id="261"/>
      <w:bookmarkStart w:id="262" w:name="_Toc184310312"/>
      <w:bookmarkEnd w:id="262"/>
      <w:bookmarkStart w:id="263" w:name="_Toc184312074"/>
      <w:bookmarkEnd w:id="263"/>
      <w:bookmarkStart w:id="264" w:name="_Toc184314430"/>
      <w:bookmarkEnd w:id="264"/>
      <w:bookmarkStart w:id="265" w:name="_Toc184314428"/>
      <w:bookmarkEnd w:id="265"/>
      <w:bookmarkStart w:id="266" w:name="_Toc184308052"/>
      <w:bookmarkEnd w:id="266"/>
      <w:bookmarkStart w:id="267" w:name="_Toc184314455"/>
      <w:bookmarkEnd w:id="267"/>
      <w:bookmarkStart w:id="268" w:name="_Toc184312067"/>
      <w:bookmarkEnd w:id="268"/>
      <w:bookmarkStart w:id="269" w:name="_Toc184313256"/>
      <w:bookmarkEnd w:id="269"/>
      <w:bookmarkStart w:id="270" w:name="_Toc184310290"/>
      <w:bookmarkEnd w:id="270"/>
      <w:bookmarkStart w:id="271" w:name="_Toc184313283"/>
      <w:bookmarkEnd w:id="271"/>
      <w:bookmarkStart w:id="272" w:name="_Toc184314410"/>
      <w:bookmarkEnd w:id="272"/>
      <w:bookmarkStart w:id="273" w:name="_Toc184308044"/>
      <w:bookmarkEnd w:id="273"/>
      <w:bookmarkStart w:id="274" w:name="_Toc184314459"/>
      <w:bookmarkEnd w:id="274"/>
      <w:bookmarkStart w:id="275" w:name="_Toc184314461"/>
      <w:bookmarkEnd w:id="275"/>
      <w:bookmarkStart w:id="276" w:name="_Toc184312115"/>
      <w:bookmarkEnd w:id="276"/>
      <w:bookmarkStart w:id="277" w:name="_Toc184310316"/>
      <w:bookmarkEnd w:id="277"/>
      <w:bookmarkStart w:id="278" w:name="_Toc184314418"/>
      <w:bookmarkEnd w:id="278"/>
      <w:bookmarkStart w:id="279" w:name="_Toc184312132"/>
      <w:bookmarkEnd w:id="279"/>
      <w:bookmarkStart w:id="280" w:name="_Toc184312070"/>
      <w:bookmarkEnd w:id="280"/>
      <w:bookmarkStart w:id="281" w:name="_Toc184314420"/>
      <w:bookmarkEnd w:id="281"/>
      <w:bookmarkStart w:id="282" w:name="_Toc184312103"/>
      <w:bookmarkEnd w:id="282"/>
      <w:bookmarkStart w:id="283" w:name="_Toc184310320"/>
      <w:bookmarkEnd w:id="283"/>
      <w:bookmarkStart w:id="284" w:name="_Toc184310318"/>
      <w:bookmarkEnd w:id="284"/>
      <w:bookmarkStart w:id="285" w:name="_Toc184310283"/>
      <w:bookmarkEnd w:id="285"/>
      <w:bookmarkStart w:id="286" w:name="_Toc184313271"/>
      <w:bookmarkEnd w:id="286"/>
      <w:bookmarkStart w:id="287" w:name="_Toc184310289"/>
      <w:bookmarkEnd w:id="287"/>
      <w:bookmarkStart w:id="288" w:name="_Toc184313244"/>
      <w:bookmarkEnd w:id="288"/>
      <w:bookmarkStart w:id="289" w:name="_Toc184312101"/>
      <w:bookmarkEnd w:id="289"/>
      <w:bookmarkStart w:id="290" w:name="_Toc184310343"/>
      <w:bookmarkEnd w:id="290"/>
      <w:bookmarkStart w:id="291" w:name="_Toc184312095"/>
      <w:bookmarkEnd w:id="291"/>
      <w:bookmarkStart w:id="292" w:name="_Toc184314414"/>
      <w:bookmarkEnd w:id="292"/>
      <w:bookmarkStart w:id="293" w:name="_Toc184310342"/>
      <w:bookmarkEnd w:id="293"/>
      <w:bookmarkStart w:id="294" w:name="_Toc184310277"/>
      <w:bookmarkEnd w:id="294"/>
      <w:bookmarkStart w:id="295" w:name="_Toc184310302"/>
      <w:bookmarkEnd w:id="295"/>
      <w:bookmarkStart w:id="296" w:name="_Toc184313274"/>
      <w:bookmarkEnd w:id="296"/>
      <w:bookmarkStart w:id="297" w:name="_Toc184308063"/>
      <w:bookmarkEnd w:id="297"/>
      <w:bookmarkStart w:id="298" w:name="_Toc184312078"/>
      <w:bookmarkEnd w:id="298"/>
      <w:bookmarkStart w:id="299" w:name="_Toc184314416"/>
      <w:bookmarkEnd w:id="299"/>
      <w:bookmarkStart w:id="300" w:name="_Toc184312102"/>
      <w:bookmarkEnd w:id="300"/>
      <w:bookmarkStart w:id="301" w:name="_Toc184312085"/>
      <w:bookmarkEnd w:id="301"/>
      <w:bookmarkStart w:id="302" w:name="_Toc184314433"/>
      <w:bookmarkEnd w:id="302"/>
      <w:bookmarkStart w:id="303" w:name="_Toc184313295"/>
      <w:bookmarkEnd w:id="303"/>
      <w:bookmarkStart w:id="304" w:name="_Toc184313260"/>
      <w:bookmarkEnd w:id="304"/>
      <w:bookmarkStart w:id="305" w:name="_Toc184313261"/>
      <w:bookmarkEnd w:id="305"/>
      <w:bookmarkStart w:id="306" w:name="_Toc184310284"/>
      <w:bookmarkEnd w:id="306"/>
      <w:bookmarkStart w:id="307" w:name="_Toc184310276"/>
      <w:bookmarkEnd w:id="307"/>
      <w:bookmarkStart w:id="308" w:name="_Toc184310333"/>
      <w:bookmarkEnd w:id="308"/>
      <w:bookmarkStart w:id="309" w:name="_Toc184310314"/>
      <w:bookmarkEnd w:id="309"/>
      <w:bookmarkStart w:id="310" w:name="_Toc184314421"/>
      <w:bookmarkEnd w:id="310"/>
      <w:bookmarkStart w:id="311" w:name="_Toc184313275"/>
      <w:bookmarkEnd w:id="311"/>
      <w:bookmarkStart w:id="312" w:name="_Toc184313294"/>
      <w:bookmarkEnd w:id="312"/>
      <w:bookmarkStart w:id="313" w:name="_Toc184310321"/>
      <w:bookmarkEnd w:id="313"/>
      <w:bookmarkStart w:id="314" w:name="_Toc184312139"/>
      <w:bookmarkEnd w:id="314"/>
      <w:bookmarkStart w:id="315" w:name="_Toc184310339"/>
      <w:bookmarkEnd w:id="315"/>
      <w:bookmarkStart w:id="316" w:name="_Toc184313277"/>
      <w:bookmarkEnd w:id="316"/>
      <w:bookmarkStart w:id="317" w:name="_Toc184310310"/>
      <w:bookmarkEnd w:id="317"/>
      <w:bookmarkStart w:id="318" w:name="_Toc184310322"/>
      <w:bookmarkEnd w:id="318"/>
      <w:bookmarkStart w:id="319" w:name="_Toc184314427"/>
      <w:bookmarkEnd w:id="319"/>
      <w:bookmarkStart w:id="320" w:name="_Toc184308056"/>
      <w:bookmarkEnd w:id="320"/>
      <w:bookmarkStart w:id="321" w:name="_Toc184314431"/>
      <w:bookmarkEnd w:id="321"/>
      <w:bookmarkStart w:id="322" w:name="_Toc184308078"/>
      <w:bookmarkEnd w:id="322"/>
      <w:bookmarkStart w:id="323" w:name="_Toc184308091"/>
      <w:bookmarkEnd w:id="323"/>
      <w:bookmarkStart w:id="324" w:name="_Toc184313252"/>
      <w:bookmarkEnd w:id="324"/>
      <w:bookmarkStart w:id="325" w:name="_Toc184310288"/>
      <w:bookmarkEnd w:id="325"/>
      <w:bookmarkStart w:id="326" w:name="_Toc184314472"/>
      <w:bookmarkEnd w:id="326"/>
      <w:bookmarkStart w:id="327" w:name="_Toc184310297"/>
      <w:bookmarkEnd w:id="327"/>
      <w:bookmarkStart w:id="328" w:name="_Toc184312124"/>
      <w:bookmarkEnd w:id="328"/>
      <w:bookmarkStart w:id="329" w:name="_Toc184314415"/>
      <w:bookmarkEnd w:id="329"/>
      <w:bookmarkStart w:id="330" w:name="_Toc184308066"/>
      <w:bookmarkEnd w:id="330"/>
      <w:bookmarkStart w:id="331" w:name="_Toc184308083"/>
      <w:bookmarkEnd w:id="331"/>
      <w:bookmarkStart w:id="332" w:name="_Toc184312099"/>
      <w:bookmarkEnd w:id="332"/>
      <w:bookmarkStart w:id="333" w:name="_Toc184313270"/>
      <w:bookmarkEnd w:id="333"/>
      <w:bookmarkStart w:id="334" w:name="_Toc184308071"/>
      <w:bookmarkEnd w:id="334"/>
      <w:bookmarkStart w:id="335" w:name="_Toc184310285"/>
      <w:bookmarkEnd w:id="335"/>
      <w:bookmarkStart w:id="336" w:name="_Toc184310311"/>
      <w:bookmarkEnd w:id="336"/>
      <w:bookmarkStart w:id="337" w:name="_Toc184308079"/>
      <w:bookmarkEnd w:id="337"/>
      <w:bookmarkStart w:id="338" w:name="_Toc184310291"/>
      <w:bookmarkEnd w:id="338"/>
      <w:bookmarkStart w:id="339" w:name="_Toc184310344"/>
      <w:bookmarkEnd w:id="339"/>
      <w:bookmarkStart w:id="340" w:name="_Toc184308108"/>
      <w:bookmarkEnd w:id="340"/>
      <w:bookmarkStart w:id="341" w:name="_Toc184312081"/>
      <w:bookmarkEnd w:id="341"/>
      <w:bookmarkStart w:id="342" w:name="_Toc184308100"/>
      <w:bookmarkEnd w:id="342"/>
      <w:bookmarkStart w:id="343" w:name="_Toc184308041"/>
      <w:bookmarkEnd w:id="343"/>
      <w:bookmarkStart w:id="344" w:name="_Toc184312111"/>
      <w:bookmarkEnd w:id="344"/>
      <w:bookmarkStart w:id="345" w:name="_Toc184314457"/>
      <w:bookmarkEnd w:id="345"/>
      <w:bookmarkStart w:id="346" w:name="_Toc184314478"/>
      <w:bookmarkEnd w:id="346"/>
      <w:bookmarkStart w:id="347" w:name="_Toc184313301"/>
      <w:bookmarkEnd w:id="347"/>
      <w:bookmarkStart w:id="348" w:name="_Toc184310306"/>
      <w:bookmarkEnd w:id="348"/>
      <w:bookmarkStart w:id="349" w:name="_Toc184313263"/>
      <w:bookmarkEnd w:id="349"/>
      <w:bookmarkStart w:id="350" w:name="_Toc184313243"/>
      <w:bookmarkEnd w:id="350"/>
      <w:bookmarkStart w:id="351" w:name="_Toc184308080"/>
      <w:bookmarkEnd w:id="351"/>
      <w:bookmarkStart w:id="352" w:name="_Toc184314445"/>
      <w:bookmarkEnd w:id="352"/>
      <w:bookmarkStart w:id="353" w:name="_Toc184312122"/>
      <w:bookmarkEnd w:id="353"/>
      <w:bookmarkStart w:id="354" w:name="_Toc184308069"/>
      <w:bookmarkEnd w:id="354"/>
      <w:bookmarkStart w:id="355" w:name="_Toc184310278"/>
      <w:bookmarkEnd w:id="355"/>
      <w:bookmarkStart w:id="356" w:name="_Toc184310292"/>
      <w:bookmarkEnd w:id="356"/>
      <w:bookmarkStart w:id="357" w:name="_Toc184313253"/>
      <w:bookmarkEnd w:id="357"/>
      <w:bookmarkStart w:id="358" w:name="_Toc184310323"/>
      <w:bookmarkEnd w:id="358"/>
      <w:bookmarkStart w:id="359" w:name="_Toc184308104"/>
      <w:bookmarkEnd w:id="359"/>
      <w:bookmarkStart w:id="360" w:name="_Toc184310305"/>
      <w:bookmarkEnd w:id="360"/>
      <w:bookmarkStart w:id="361" w:name="_Toc184308077"/>
      <w:bookmarkEnd w:id="361"/>
      <w:bookmarkStart w:id="362" w:name="_Toc184313246"/>
      <w:bookmarkEnd w:id="362"/>
      <w:bookmarkStart w:id="363" w:name="_Toc184308086"/>
      <w:bookmarkEnd w:id="363"/>
      <w:bookmarkStart w:id="364" w:name="_Toc184312097"/>
      <w:bookmarkEnd w:id="364"/>
      <w:bookmarkStart w:id="365" w:name="_Toc184310309"/>
      <w:bookmarkEnd w:id="365"/>
      <w:bookmarkStart w:id="366" w:name="_Toc184310336"/>
      <w:bookmarkEnd w:id="366"/>
      <w:bookmarkStart w:id="367" w:name="_Toc184313240"/>
      <w:bookmarkEnd w:id="367"/>
      <w:bookmarkStart w:id="368" w:name="_Toc184312126"/>
      <w:bookmarkEnd w:id="368"/>
      <w:bookmarkStart w:id="369" w:name="_Toc184312138"/>
      <w:bookmarkEnd w:id="369"/>
      <w:bookmarkStart w:id="370" w:name="_Toc184312105"/>
      <w:bookmarkEnd w:id="370"/>
      <w:bookmarkStart w:id="371" w:name="_Toc184312080"/>
      <w:bookmarkEnd w:id="371"/>
      <w:bookmarkStart w:id="372" w:name="_Toc184314441"/>
      <w:bookmarkEnd w:id="372"/>
      <w:bookmarkStart w:id="373" w:name="_Toc184314451"/>
      <w:bookmarkEnd w:id="373"/>
      <w:bookmarkStart w:id="374" w:name="_Toc184310313"/>
      <w:bookmarkEnd w:id="374"/>
      <w:bookmarkStart w:id="375" w:name="_Toc184312136"/>
      <w:bookmarkEnd w:id="375"/>
      <w:bookmarkStart w:id="376" w:name="_Toc184314454"/>
      <w:bookmarkEnd w:id="376"/>
      <w:bookmarkStart w:id="377" w:name="_Toc184313290"/>
      <w:bookmarkEnd w:id="377"/>
      <w:bookmarkStart w:id="378" w:name="_Toc184308060"/>
      <w:bookmarkEnd w:id="378"/>
      <w:bookmarkStart w:id="379" w:name="_Toc184314476"/>
      <w:bookmarkEnd w:id="379"/>
      <w:bookmarkStart w:id="380" w:name="_Toc184312076"/>
      <w:bookmarkEnd w:id="380"/>
      <w:bookmarkStart w:id="381" w:name="_Toc184310298"/>
      <w:bookmarkEnd w:id="381"/>
      <w:bookmarkStart w:id="382" w:name="_Toc184313287"/>
      <w:bookmarkEnd w:id="382"/>
      <w:bookmarkStart w:id="383" w:name="_Toc184310294"/>
      <w:bookmarkEnd w:id="383"/>
      <w:bookmarkStart w:id="384" w:name="_Toc184314471"/>
      <w:bookmarkEnd w:id="384"/>
      <w:bookmarkStart w:id="385" w:name="_Toc184308051"/>
      <w:bookmarkEnd w:id="385"/>
      <w:bookmarkStart w:id="386" w:name="_Toc184310307"/>
      <w:bookmarkEnd w:id="386"/>
      <w:bookmarkStart w:id="387" w:name="_Toc184310326"/>
      <w:bookmarkEnd w:id="387"/>
      <w:bookmarkStart w:id="388" w:name="_Toc184310334"/>
      <w:bookmarkEnd w:id="388"/>
      <w:bookmarkStart w:id="389" w:name="_Toc184312093"/>
      <w:bookmarkEnd w:id="389"/>
      <w:bookmarkStart w:id="390" w:name="_Toc184308102"/>
      <w:bookmarkEnd w:id="390"/>
      <w:bookmarkStart w:id="391" w:name="_Toc184314466"/>
      <w:bookmarkEnd w:id="391"/>
      <w:bookmarkStart w:id="392" w:name="_Toc184308053"/>
      <w:bookmarkEnd w:id="392"/>
      <w:bookmarkStart w:id="393" w:name="_Toc184310279"/>
      <w:bookmarkEnd w:id="393"/>
      <w:bookmarkStart w:id="394" w:name="_Toc184313251"/>
      <w:bookmarkEnd w:id="394"/>
      <w:bookmarkStart w:id="395" w:name="_Toc184313266"/>
      <w:bookmarkEnd w:id="395"/>
      <w:bookmarkStart w:id="396" w:name="_Toc184308082"/>
      <w:bookmarkEnd w:id="396"/>
      <w:bookmarkStart w:id="397" w:name="_Toc184313297"/>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602"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632"/>
        <w:gridCol w:w="8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632"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870"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权重（分值）</w:t>
            </w:r>
          </w:p>
        </w:tc>
        <w:tc>
          <w:tcPr>
            <w:tcW w:w="1635" w:type="dxa"/>
          </w:tcPr>
          <w:p>
            <w:pPr>
              <w:snapToGrid w:val="0"/>
              <w:spacing w:line="360" w:lineRule="auto"/>
              <w:jc w:val="center"/>
              <w:rPr>
                <w:rFonts w:hint="eastAsia" w:ascii="宋体" w:hAnsi="宋体" w:eastAsia="宋体" w:cs="宋体"/>
                <w:color w:val="0000FF"/>
                <w:sz w:val="24"/>
                <w:szCs w:val="24"/>
              </w:rPr>
            </w:pPr>
            <w:r>
              <w:rPr>
                <w:rFonts w:hint="eastAsia" w:ascii="宋体" w:hAnsi="宋体" w:eastAsia="宋体" w:cs="宋体"/>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rPr>
              <w:t>1</w:t>
            </w:r>
          </w:p>
        </w:tc>
        <w:tc>
          <w:tcPr>
            <w:tcW w:w="5632" w:type="dxa"/>
          </w:tcPr>
          <w:p>
            <w:pPr>
              <w:snapToGrid w:val="0"/>
              <w:spacing w:line="360" w:lineRule="auto"/>
              <w:jc w:val="left"/>
              <w:rPr>
                <w:rFonts w:hint="eastAsia" w:ascii="宋体" w:hAnsi="宋体" w:eastAsia="宋体" w:cs="宋体"/>
                <w:sz w:val="24"/>
                <w:szCs w:val="24"/>
              </w:rPr>
            </w:pPr>
            <w:r>
              <w:rPr>
                <w:rFonts w:hint="eastAsia" w:ascii="宋体" w:hAnsi="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rPr>
              <w:t>具有ISO9001质量体系认证、ISO14001环境管理体系认证、</w:t>
            </w:r>
            <w:r>
              <w:rPr>
                <w:rFonts w:hint="eastAsia" w:ascii="宋体" w:hAnsi="宋体" w:eastAsia="宋体" w:cs="宋体"/>
                <w:color w:val="000000"/>
                <w:kern w:val="0"/>
                <w:sz w:val="24"/>
                <w:szCs w:val="24"/>
                <w:highlight w:val="none"/>
                <w:lang w:val="en-US" w:eastAsia="zh-CN"/>
              </w:rPr>
              <w:t>ISO45001</w:t>
            </w:r>
            <w:r>
              <w:rPr>
                <w:rFonts w:hint="eastAsia" w:ascii="宋体" w:hAnsi="宋体" w:eastAsia="宋体" w:cs="宋体"/>
                <w:color w:val="000000"/>
                <w:kern w:val="0"/>
                <w:sz w:val="24"/>
                <w:szCs w:val="24"/>
                <w:highlight w:val="none"/>
              </w:rPr>
              <w:t>职业健康安全管理体系认证，每具有一项体系认证证书得1分，没有不得分，最高得3分。</w:t>
            </w:r>
          </w:p>
        </w:tc>
        <w:tc>
          <w:tcPr>
            <w:tcW w:w="870"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635" w:type="dxa"/>
            <w:vAlign w:val="center"/>
          </w:tcPr>
          <w:p>
            <w:pPr>
              <w:snapToGrid w:val="0"/>
              <w:jc w:val="center"/>
              <w:rPr>
                <w:rFonts w:hint="eastAsia" w:ascii="宋体" w:hAnsi="宋体" w:eastAsia="宋体" w:cs="宋体"/>
                <w:sz w:val="24"/>
                <w:szCs w:val="24"/>
              </w:rPr>
            </w:pPr>
          </w:p>
          <w:p>
            <w:pPr>
              <w:snapToGrid w:val="0"/>
              <w:jc w:val="center"/>
              <w:rPr>
                <w:rFonts w:hint="eastAsia" w:ascii="宋体" w:hAnsi="宋体" w:eastAsia="宋体" w:cs="宋体"/>
                <w:sz w:val="24"/>
                <w:szCs w:val="24"/>
              </w:rPr>
            </w:pPr>
            <w:r>
              <w:rPr>
                <w:rFonts w:hint="eastAsia" w:ascii="宋体" w:hAnsi="宋体" w:eastAsia="宋体" w:cs="宋体"/>
                <w:sz w:val="24"/>
                <w:szCs w:val="24"/>
              </w:rPr>
              <w:t>认证证书</w:t>
            </w:r>
          </w:p>
          <w:p>
            <w:pPr>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5632" w:type="dxa"/>
          </w:tcPr>
          <w:p>
            <w:pPr>
              <w:snapToGri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投标人自20</w:t>
            </w:r>
            <w:r>
              <w:rPr>
                <w:rFonts w:hint="default" w:ascii="宋体" w:hAnsi="宋体" w:cs="宋体"/>
                <w:sz w:val="24"/>
                <w:szCs w:val="24"/>
                <w:highlight w:val="none"/>
                <w:lang w:val="en-US"/>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年1月1日以来完成的同类案例。每个案例需提供</w:t>
            </w:r>
            <w:r>
              <w:rPr>
                <w:rFonts w:hint="eastAsia" w:ascii="宋体" w:hAnsi="宋体" w:eastAsia="宋体" w:cs="宋体"/>
                <w:b/>
                <w:bCs/>
                <w:sz w:val="24"/>
                <w:szCs w:val="24"/>
                <w:highlight w:val="none"/>
              </w:rPr>
              <w:t>合同</w:t>
            </w:r>
            <w:r>
              <w:rPr>
                <w:rFonts w:hint="eastAsia" w:ascii="宋体" w:hAnsi="宋体" w:cs="宋体"/>
                <w:b/>
                <w:bCs/>
                <w:sz w:val="24"/>
                <w:szCs w:val="24"/>
                <w:highlight w:val="none"/>
                <w:lang w:val="en-US" w:eastAsia="zh-CN"/>
              </w:rPr>
              <w:t>和</w:t>
            </w:r>
            <w:r>
              <w:rPr>
                <w:rFonts w:hint="eastAsia" w:ascii="宋体" w:hAnsi="宋体" w:eastAsia="宋体" w:cs="宋体"/>
                <w:b/>
                <w:bCs/>
                <w:sz w:val="24"/>
                <w:szCs w:val="24"/>
                <w:highlight w:val="none"/>
              </w:rPr>
              <w:t>验收报告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w:t>
            </w:r>
            <w:r>
              <w:rPr>
                <w:rFonts w:hint="eastAsia" w:ascii="宋体" w:hAnsi="宋体" w:eastAsia="宋体" w:cs="宋体"/>
                <w:sz w:val="24"/>
                <w:szCs w:val="24"/>
                <w:highlight w:val="none"/>
                <w:lang w:val="en-US" w:eastAsia="zh-CN"/>
              </w:rPr>
              <w:t>案例</w:t>
            </w:r>
            <w:r>
              <w:rPr>
                <w:rFonts w:hint="eastAsia" w:ascii="宋体" w:hAnsi="宋体" w:eastAsia="宋体" w:cs="宋体"/>
                <w:sz w:val="24"/>
                <w:szCs w:val="24"/>
                <w:highlight w:val="none"/>
              </w:rPr>
              <w:t>得1分，最高得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否则不得分。</w:t>
            </w:r>
            <w:r>
              <w:rPr>
                <w:rFonts w:hint="eastAsia" w:ascii="宋体" w:hAnsi="宋体" w:eastAsia="宋体" w:cs="宋体"/>
                <w:b w:val="0"/>
                <w:bCs/>
                <w:sz w:val="24"/>
                <w:szCs w:val="24"/>
                <w:highlight w:val="none"/>
              </w:rPr>
              <w:t>（同类案例是指与采购标的同品类的产品案例）</w:t>
            </w:r>
          </w:p>
        </w:tc>
        <w:tc>
          <w:tcPr>
            <w:tcW w:w="870" w:type="dxa"/>
            <w:vAlign w:val="center"/>
          </w:tcPr>
          <w:p>
            <w:pPr>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635" w:type="dxa"/>
            <w:vAlign w:val="center"/>
          </w:tcPr>
          <w:p>
            <w:pPr>
              <w:tabs>
                <w:tab w:val="left" w:pos="483"/>
              </w:tabs>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default" w:ascii="宋体" w:hAnsi="宋体" w:eastAsia="宋体" w:cs="宋体"/>
                <w:sz w:val="24"/>
                <w:szCs w:val="24"/>
                <w:lang w:val="en-US"/>
              </w:rPr>
            </w:pPr>
            <w:r>
              <w:rPr>
                <w:rFonts w:hint="default" w:ascii="宋体" w:hAnsi="宋体" w:cs="宋体"/>
                <w:sz w:val="24"/>
                <w:szCs w:val="24"/>
                <w:lang w:val="en-US"/>
              </w:rPr>
              <w:t>3</w:t>
            </w:r>
          </w:p>
        </w:tc>
        <w:tc>
          <w:tcPr>
            <w:tcW w:w="5632" w:type="dxa"/>
          </w:tcPr>
          <w:p>
            <w:pPr>
              <w:spacing w:line="360" w:lineRule="auto"/>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投标人提供的</w:t>
            </w:r>
            <w:r>
              <w:rPr>
                <w:rFonts w:hint="eastAsia" w:ascii="宋体" w:hAnsi="宋体" w:eastAsia="宋体" w:cs="宋体"/>
                <w:sz w:val="24"/>
                <w:highlight w:val="none"/>
                <w:lang w:val="en-US" w:eastAsia="zh-CN"/>
              </w:rPr>
              <w:t>空调</w:t>
            </w:r>
            <w:r>
              <w:rPr>
                <w:rFonts w:hint="eastAsia" w:ascii="宋体" w:hAnsi="宋体" w:eastAsia="宋体" w:cs="宋体"/>
                <w:sz w:val="24"/>
                <w:highlight w:val="none"/>
                <w:lang w:eastAsia="zh-CN"/>
              </w:rPr>
              <w:t>产品（</w:t>
            </w:r>
            <w:r>
              <w:rPr>
                <w:rFonts w:hint="eastAsia" w:ascii="宋体" w:hAnsi="宋体" w:eastAsia="宋体" w:cs="宋体"/>
                <w:sz w:val="24"/>
                <w:highlight w:val="none"/>
                <w:lang w:val="en-US" w:eastAsia="zh-CN"/>
              </w:rPr>
              <w:t>多联机室外机</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都</w:t>
            </w:r>
            <w:r>
              <w:rPr>
                <w:rFonts w:hint="eastAsia" w:ascii="宋体" w:hAnsi="宋体" w:eastAsia="宋体" w:cs="宋体"/>
                <w:b w:val="0"/>
                <w:bCs w:val="0"/>
                <w:sz w:val="24"/>
                <w:highlight w:val="none"/>
              </w:rPr>
              <w:t>具有</w:t>
            </w:r>
            <w:r>
              <w:rPr>
                <w:rFonts w:hint="eastAsia" w:ascii="宋体" w:hAnsi="宋体" w:eastAsia="宋体" w:cs="宋体"/>
                <w:sz w:val="24"/>
                <w:highlight w:val="none"/>
              </w:rPr>
              <w:t>国家确定的认证机构出具的、处于有效期之内的环境标志产品认证证书的，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否则不得分</w:t>
            </w:r>
            <w:r>
              <w:rPr>
                <w:rFonts w:hint="eastAsia" w:ascii="宋体" w:hAnsi="宋体" w:cs="宋体"/>
                <w:color w:val="auto"/>
                <w:kern w:val="0"/>
                <w:sz w:val="24"/>
                <w:highlight w:val="none"/>
                <w:lang w:eastAsia="zh-CN"/>
              </w:rPr>
              <w:t>。</w:t>
            </w:r>
            <w:r>
              <w:rPr>
                <w:rFonts w:hint="eastAsia" w:ascii="宋体" w:hAnsi="宋体" w:eastAsia="宋体" w:cs="宋体"/>
                <w:b/>
                <w:bCs/>
                <w:sz w:val="24"/>
                <w:highlight w:val="none"/>
              </w:rPr>
              <w:t>（提供相关证明材料扫描件）</w:t>
            </w:r>
          </w:p>
        </w:tc>
        <w:tc>
          <w:tcPr>
            <w:tcW w:w="870"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35" w:type="dxa"/>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cs="宋体"/>
                <w:b w:val="0"/>
                <w:bCs w:val="0"/>
                <w:color w:val="auto"/>
                <w:sz w:val="24"/>
                <w:highlight w:val="none"/>
                <w:lang w:eastAsia="zh-CN"/>
              </w:rPr>
              <w:t>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465" w:type="dxa"/>
            <w:vAlign w:val="center"/>
          </w:tcPr>
          <w:p>
            <w:pPr>
              <w:snapToGrid w:val="0"/>
              <w:spacing w:line="360" w:lineRule="auto"/>
              <w:jc w:val="center"/>
              <w:rPr>
                <w:rFonts w:hint="eastAsia" w:ascii="宋体" w:hAnsi="宋体" w:eastAsia="宋体" w:cs="宋体"/>
                <w:sz w:val="24"/>
                <w:szCs w:val="24"/>
              </w:rPr>
            </w:pPr>
            <w:r>
              <w:rPr>
                <w:rFonts w:hint="default" w:ascii="宋体" w:hAnsi="宋体" w:cs="宋体"/>
                <w:sz w:val="24"/>
                <w:szCs w:val="24"/>
                <w:lang w:val="en-US"/>
              </w:rPr>
              <w:t>4</w:t>
            </w:r>
          </w:p>
        </w:tc>
        <w:tc>
          <w:tcPr>
            <w:tcW w:w="5632" w:type="dxa"/>
          </w:tcPr>
          <w:p>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投标产品的基本功能、技术指标与需求的吻合程度和偏差情况：招标文件中要求提供的相关证明材料，必须提供，否则一律视为负偏离。</w:t>
            </w:r>
          </w:p>
          <w:p>
            <w:pPr>
              <w:spacing w:line="360" w:lineRule="auto"/>
              <w:jc w:val="left"/>
              <w:rPr>
                <w:rFonts w:hint="eastAsia" w:ascii="宋体" w:hAnsi="宋体" w:eastAsia="宋体" w:cs="宋体"/>
                <w:sz w:val="24"/>
                <w:szCs w:val="24"/>
              </w:rPr>
            </w:pPr>
            <w:r>
              <w:rPr>
                <w:rFonts w:hint="eastAsia" w:ascii="宋体" w:hAnsi="宋体" w:eastAsia="宋体" w:cs="宋体"/>
                <w:sz w:val="24"/>
              </w:rPr>
              <w:t>其中加“▲”的技术参数为实质性要求，不符合的投标文件无效</w:t>
            </w:r>
            <w:r>
              <w:rPr>
                <w:rFonts w:hint="eastAsia" w:ascii="宋体" w:hAnsi="宋体" w:eastAsia="宋体" w:cs="宋体"/>
                <w:sz w:val="24"/>
                <w:lang w:eastAsia="zh-CN"/>
              </w:rPr>
              <w:t>；</w:t>
            </w:r>
            <w:r>
              <w:rPr>
                <w:rFonts w:hint="eastAsia" w:ascii="宋体" w:hAnsi="宋体" w:cs="宋体"/>
                <w:sz w:val="24"/>
                <w:szCs w:val="24"/>
                <w:lang w:val="en-US" w:eastAsia="zh-CN"/>
              </w:rPr>
              <w:t>加</w:t>
            </w:r>
            <w:r>
              <w:rPr>
                <w:rFonts w:hint="eastAsia" w:ascii="宋体" w:hAnsi="宋体" w:eastAsia="宋体" w:cs="宋体"/>
                <w:sz w:val="24"/>
                <w:szCs w:val="24"/>
              </w:rPr>
              <w:t>“★”的技术指标负偏离</w:t>
            </w:r>
            <w:r>
              <w:rPr>
                <w:rFonts w:hint="eastAsia" w:ascii="宋体" w:hAnsi="宋体" w:eastAsia="宋体" w:cs="宋体"/>
                <w:sz w:val="24"/>
                <w:szCs w:val="24"/>
                <w:lang w:val="en-US" w:eastAsia="zh-CN"/>
              </w:rPr>
              <w:t>每一</w:t>
            </w:r>
            <w:r>
              <w:rPr>
                <w:rFonts w:hint="eastAsia" w:ascii="宋体" w:hAnsi="宋体" w:eastAsia="宋体" w:cs="宋体"/>
                <w:sz w:val="24"/>
                <w:szCs w:val="24"/>
              </w:rPr>
              <w:t>项扣</w:t>
            </w:r>
            <w:r>
              <w:rPr>
                <w:rFonts w:hint="eastAsia" w:ascii="宋体" w:hAnsi="宋体" w:eastAsia="宋体" w:cs="宋体"/>
                <w:sz w:val="24"/>
                <w:szCs w:val="24"/>
                <w:lang w:val="en-US" w:eastAsia="zh-CN"/>
              </w:rPr>
              <w:t>减</w:t>
            </w:r>
            <w:r>
              <w:rPr>
                <w:rFonts w:hint="eastAsia" w:ascii="宋体" w:hAnsi="宋体" w:eastAsia="宋体" w:cs="宋体"/>
                <w:sz w:val="24"/>
                <w:szCs w:val="24"/>
                <w:highlight w:val="none"/>
              </w:rPr>
              <w:t>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其他技术指标负偏离每一项扣减1分，扣完为止。</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635"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65"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632" w:type="dxa"/>
            <w:vAlign w:val="center"/>
          </w:tcPr>
          <w:p>
            <w:pPr>
              <w:snapToGrid w:val="0"/>
              <w:spacing w:line="360" w:lineRule="auto"/>
              <w:jc w:val="left"/>
              <w:rPr>
                <w:rFonts w:hint="default"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根据本次投标产品的</w:t>
            </w:r>
            <w:r>
              <w:rPr>
                <w:rFonts w:hint="eastAsia" w:ascii="宋体" w:hAnsi="宋体" w:cs="宋体"/>
                <w:b w:val="0"/>
                <w:bCs w:val="0"/>
                <w:color w:val="auto"/>
                <w:sz w:val="24"/>
                <w:highlight w:val="none"/>
                <w:lang w:val="en-US" w:eastAsia="zh-CN"/>
              </w:rPr>
              <w:t>所有室外机的APF值</w:t>
            </w:r>
            <w:r>
              <w:rPr>
                <w:rFonts w:hint="eastAsia" w:ascii="宋体" w:hAnsi="宋体" w:cs="宋体"/>
                <w:color w:val="auto"/>
                <w:sz w:val="24"/>
                <w:highlight w:val="none"/>
                <w:lang w:val="en-US" w:eastAsia="zh-CN"/>
              </w:rPr>
              <w:t>进行综合评比，</w:t>
            </w:r>
            <w:r>
              <w:rPr>
                <w:rFonts w:hint="eastAsia" w:ascii="宋体" w:hAnsi="宋体" w:cs="宋体"/>
                <w:color w:val="auto"/>
                <w:sz w:val="24"/>
                <w:highlight w:val="none"/>
              </w:rPr>
              <w:t>APF值≥4.45得3分，APF值≥4.2得1分，APF值＜4.2不得分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两台室外机全部满足才得分，否则不得分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w:t>
            </w:r>
          </w:p>
          <w:p>
            <w:pPr>
              <w:snapToGrid w:val="0"/>
              <w:spacing w:line="360" w:lineRule="auto"/>
              <w:jc w:val="left"/>
              <w:rPr>
                <w:rFonts w:hint="default"/>
                <w:lang w:val="en-US" w:eastAsia="zh-CN"/>
              </w:rPr>
            </w:pPr>
            <w:r>
              <w:rPr>
                <w:rFonts w:hint="eastAsia" w:ascii="宋体" w:hAnsi="宋体" w:cs="宋体"/>
                <w:b/>
                <w:bCs/>
                <w:sz w:val="24"/>
                <w:highlight w:val="none"/>
                <w:lang w:val="en-US" w:eastAsia="zh-CN"/>
              </w:rPr>
              <w:t>提供能效标识网截图和相关证明材料并加盖公章</w:t>
            </w:r>
          </w:p>
        </w:tc>
        <w:tc>
          <w:tcPr>
            <w:tcW w:w="870" w:type="dxa"/>
            <w:vAlign w:val="center"/>
          </w:tcPr>
          <w:p>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635"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投标产品的APF值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5632" w:type="dxa"/>
            <w:vAlign w:val="center"/>
          </w:tcPr>
          <w:p>
            <w:pPr>
              <w:snapToGrid w:val="0"/>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投标</w:t>
            </w:r>
            <w:r>
              <w:rPr>
                <w:rFonts w:hint="eastAsia" w:ascii="宋体" w:hAnsi="宋体" w:cs="宋体"/>
                <w:b/>
                <w:bCs/>
                <w:color w:val="auto"/>
                <w:sz w:val="24"/>
                <w:highlight w:val="none"/>
                <w:lang w:val="en-US" w:eastAsia="zh-CN"/>
              </w:rPr>
              <w:t>产品或同系列产品</w:t>
            </w:r>
            <w:r>
              <w:rPr>
                <w:rFonts w:hint="eastAsia" w:ascii="宋体" w:hAnsi="宋体" w:cs="宋体"/>
                <w:color w:val="auto"/>
                <w:sz w:val="24"/>
                <w:highlight w:val="none"/>
                <w:lang w:val="en-US" w:eastAsia="zh-CN"/>
              </w:rPr>
              <w:t>所在的多联机品牌</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以往</w:t>
            </w:r>
            <w:r>
              <w:rPr>
                <w:rFonts w:hint="eastAsia" w:ascii="宋体" w:hAnsi="宋体" w:cs="宋体"/>
                <w:color w:val="auto"/>
                <w:sz w:val="24"/>
                <w:highlight w:val="none"/>
              </w:rPr>
              <w:t>实际案例的节能性评价</w:t>
            </w:r>
            <w:r>
              <w:rPr>
                <w:rFonts w:hint="eastAsia" w:ascii="宋体" w:hAnsi="宋体" w:cs="宋体"/>
                <w:color w:val="auto"/>
                <w:sz w:val="24"/>
                <w:highlight w:val="none"/>
                <w:lang w:eastAsia="zh-CN"/>
              </w:rPr>
              <w:t>：</w:t>
            </w:r>
            <w:r>
              <w:rPr>
                <w:rFonts w:hint="eastAsia" w:ascii="宋体" w:hAnsi="宋体" w:cs="宋体"/>
                <w:color w:val="auto"/>
                <w:sz w:val="24"/>
                <w:highlight w:val="none"/>
              </w:rPr>
              <w:t>取得的节能在役证书数量≥</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份的得6分，</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份＞证书数量≥</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份的得3分，</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份＞证书数量≥</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份的得1分，小于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份的不得分。</w:t>
            </w:r>
          </w:p>
          <w:p>
            <w:pPr>
              <w:snapToGrid w:val="0"/>
              <w:spacing w:line="360" w:lineRule="auto"/>
              <w:jc w:val="left"/>
              <w:rPr>
                <w:rFonts w:hint="eastAsia" w:ascii="宋体" w:hAnsi="宋体" w:eastAsia="宋体" w:cs="宋体"/>
                <w:b/>
                <w:bCs/>
                <w:color w:val="000000"/>
                <w:kern w:val="0"/>
                <w:sz w:val="24"/>
                <w:szCs w:val="24"/>
                <w:highlight w:val="yellow"/>
                <w:lang w:eastAsia="zh-CN"/>
              </w:rPr>
            </w:pPr>
            <w:r>
              <w:rPr>
                <w:rFonts w:hint="eastAsia" w:ascii="宋体" w:hAnsi="宋体" w:cs="宋体"/>
                <w:b/>
                <w:bCs/>
                <w:color w:val="auto"/>
                <w:kern w:val="0"/>
                <w:sz w:val="24"/>
                <w:highlight w:val="none"/>
              </w:rPr>
              <w:t>提供中央空调系统节能工程在役跟踪检查合格证书复印件</w:t>
            </w:r>
          </w:p>
        </w:tc>
        <w:tc>
          <w:tcPr>
            <w:tcW w:w="870"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635"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highlight w:val="none"/>
                <w:lang w:val="en-US" w:eastAsia="zh-CN"/>
              </w:rPr>
              <w:t>投标产品的节能性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5632" w:type="dxa"/>
            <w:vAlign w:val="center"/>
          </w:tcPr>
          <w:p>
            <w:pPr>
              <w:pStyle w:val="25"/>
              <w:spacing w:line="36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投标产品</w:t>
            </w:r>
            <w:r>
              <w:rPr>
                <w:rFonts w:hint="default" w:ascii="宋体" w:hAnsi="宋体" w:eastAsia="宋体" w:cs="宋体"/>
                <w:color w:val="auto"/>
                <w:highlight w:val="none"/>
                <w:lang w:val="en-US" w:eastAsia="zh-CN"/>
              </w:rPr>
              <w:t>多联机</w:t>
            </w:r>
            <w:r>
              <w:rPr>
                <w:rFonts w:hint="eastAsia" w:ascii="宋体" w:hAnsi="宋体" w:eastAsia="宋体" w:cs="宋体"/>
                <w:color w:val="auto"/>
                <w:highlight w:val="none"/>
                <w:lang w:val="en-US" w:eastAsia="zh-CN"/>
              </w:rPr>
              <w:t>顶出风室外机通信线可任意拓扑，实现多种连接方式的得3分，只能手拉手串联的得1分，其他不得分；</w:t>
            </w:r>
          </w:p>
          <w:p>
            <w:pPr>
              <w:pStyle w:val="25"/>
              <w:spacing w:line="360" w:lineRule="auto"/>
              <w:ind w:firstLine="0" w:firstLineChars="0"/>
              <w:rPr>
                <w:rFonts w:hint="eastAsia" w:ascii="宋体" w:hAnsi="宋体" w:eastAsia="宋体" w:cs="宋体"/>
                <w:color w:val="000000"/>
                <w:kern w:val="0"/>
                <w:sz w:val="24"/>
                <w:szCs w:val="24"/>
                <w:highlight w:val="yellow"/>
                <w:lang w:val="en-US" w:eastAsia="zh-CN" w:bidi="ar-SA"/>
              </w:rPr>
            </w:pPr>
            <w:r>
              <w:rPr>
                <w:rFonts w:hint="eastAsia" w:ascii="宋体" w:hAnsi="宋体" w:eastAsia="宋体" w:cs="宋体"/>
                <w:b/>
                <w:bCs/>
                <w:color w:val="auto"/>
                <w:highlight w:val="none"/>
                <w:lang w:val="en-US" w:eastAsia="zh-CN"/>
              </w:rPr>
              <w:t>提供《多联机通信线任意拓扑自由连接一级》证书扫描件加盖公章，否则不得分</w:t>
            </w:r>
          </w:p>
        </w:tc>
        <w:tc>
          <w:tcPr>
            <w:tcW w:w="870"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635" w:type="dxa"/>
            <w:vAlign w:val="center"/>
          </w:tcPr>
          <w:p>
            <w:pPr>
              <w:snapToGrid w:val="0"/>
              <w:spacing w:line="360" w:lineRule="auto"/>
              <w:jc w:val="center"/>
              <w:rPr>
                <w:rFonts w:hint="default" w:ascii="宋体" w:hAnsi="宋体" w:eastAsia="宋体" w:cs="宋体"/>
                <w:sz w:val="24"/>
                <w:szCs w:val="24"/>
                <w:lang w:val="en-US"/>
              </w:rPr>
            </w:pPr>
            <w:r>
              <w:rPr>
                <w:rFonts w:hint="eastAsia" w:ascii="宋体" w:hAnsi="宋体" w:cs="宋体"/>
                <w:sz w:val="24"/>
                <w:highlight w:val="none"/>
                <w:lang w:val="en-US" w:eastAsia="zh-CN"/>
              </w:rPr>
              <w:t>投标产品的技术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65"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5632" w:type="dxa"/>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投标多联机压缩机的先进性：</w:t>
            </w:r>
          </w:p>
          <w:p>
            <w:pPr>
              <w:pStyle w:val="25"/>
              <w:spacing w:line="360" w:lineRule="auto"/>
              <w:ind w:firstLine="0" w:firstLineChars="0"/>
              <w:rPr>
                <w:rFonts w:cs="宋体"/>
                <w:color w:val="auto"/>
                <w:highlight w:val="none"/>
              </w:rPr>
            </w:pPr>
            <w:r>
              <w:rPr>
                <w:rFonts w:hint="eastAsia" w:cs="宋体"/>
                <w:color w:val="auto"/>
                <w:highlight w:val="none"/>
              </w:rPr>
              <w:t>（1）</w:t>
            </w:r>
            <w:r>
              <w:rPr>
                <w:rFonts w:hint="eastAsia" w:cs="宋体"/>
                <w:color w:val="auto"/>
                <w:highlight w:val="none"/>
                <w:lang w:val="en-US" w:eastAsia="zh-CN"/>
              </w:rPr>
              <w:t>室外机</w:t>
            </w:r>
            <w:r>
              <w:rPr>
                <w:rFonts w:hint="eastAsia" w:cs="宋体"/>
                <w:color w:val="auto"/>
                <w:highlight w:val="none"/>
              </w:rPr>
              <w:t>压缩机与</w:t>
            </w:r>
            <w:r>
              <w:rPr>
                <w:rFonts w:hint="eastAsia" w:cs="宋体"/>
                <w:color w:val="auto"/>
                <w:highlight w:val="none"/>
                <w:lang w:val="en-US" w:eastAsia="zh-CN"/>
              </w:rPr>
              <w:t>主机</w:t>
            </w:r>
            <w:r>
              <w:rPr>
                <w:rFonts w:hint="eastAsia" w:cs="宋体"/>
                <w:color w:val="auto"/>
                <w:highlight w:val="none"/>
              </w:rPr>
              <w:t>品牌一致，满足的得3分，否则不得分。</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kern w:val="2"/>
                <w:sz w:val="24"/>
                <w:szCs w:val="24"/>
                <w:highlight w:val="none"/>
                <w:lang w:val="en-US" w:eastAsia="zh-CN" w:bidi="ar-SA"/>
              </w:rPr>
              <w:t>）室外机</w:t>
            </w:r>
            <w:r>
              <w:rPr>
                <w:rFonts w:hint="eastAsia" w:ascii="宋体" w:hAnsi="宋体" w:eastAsia="宋体" w:cs="宋体"/>
                <w:color w:val="auto"/>
                <w:kern w:val="2"/>
                <w:sz w:val="24"/>
                <w:szCs w:val="24"/>
                <w:highlight w:val="none"/>
                <w:lang w:val="zh-CN" w:eastAsia="zh-CN" w:bidi="ar-SA"/>
              </w:rPr>
              <w:t>压缩机具有喷气增焓技术的</w:t>
            </w:r>
            <w:r>
              <w:rPr>
                <w:rFonts w:hint="eastAsia" w:ascii="宋体" w:hAnsi="宋体" w:eastAsia="宋体" w:cs="宋体"/>
                <w:color w:val="auto"/>
                <w:kern w:val="2"/>
                <w:sz w:val="24"/>
                <w:szCs w:val="24"/>
                <w:highlight w:val="none"/>
                <w:lang w:val="en-US" w:eastAsia="zh-CN" w:bidi="ar-SA"/>
              </w:rPr>
              <w:t>得1分</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否则不</w:t>
            </w:r>
            <w:r>
              <w:rPr>
                <w:rFonts w:hint="eastAsia" w:ascii="宋体" w:hAnsi="宋体" w:cs="宋体"/>
                <w:color w:val="auto"/>
                <w:sz w:val="24"/>
                <w:highlight w:val="none"/>
              </w:rPr>
              <w:t>得分。</w:t>
            </w:r>
          </w:p>
          <w:p>
            <w:pPr>
              <w:pStyle w:val="25"/>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室外机压缩机全部采用变频涡旋式压缩机的得2分，</w:t>
            </w:r>
            <w:r>
              <w:rPr>
                <w:rFonts w:hint="eastAsia" w:ascii="宋体" w:hAnsi="宋体" w:eastAsia="宋体" w:cs="宋体"/>
                <w:color w:val="auto"/>
                <w:kern w:val="2"/>
                <w:sz w:val="24"/>
                <w:szCs w:val="24"/>
                <w:highlight w:val="none"/>
                <w:lang w:val="en-US" w:eastAsia="zh-CN" w:bidi="ar-SA"/>
              </w:rPr>
              <w:t>否则不</w:t>
            </w:r>
            <w:r>
              <w:rPr>
                <w:rFonts w:hint="eastAsia" w:ascii="宋体" w:hAnsi="宋体" w:cs="宋体"/>
                <w:color w:val="auto"/>
                <w:sz w:val="24"/>
                <w:highlight w:val="none"/>
              </w:rPr>
              <w:t>得分。</w:t>
            </w:r>
          </w:p>
          <w:p>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b/>
                <w:bCs/>
                <w:color w:val="auto"/>
                <w:kern w:val="0"/>
                <w:sz w:val="24"/>
                <w:highlight w:val="none"/>
              </w:rPr>
              <w:t>提供投标产品节能认证试验报告复印件并加盖公章。</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highlight w:val="none"/>
                <w:lang w:val="en-US" w:eastAsia="zh-CN"/>
              </w:rPr>
              <w:t>投标产品的技术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5"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5632" w:type="dxa"/>
            <w:vAlign w:val="center"/>
          </w:tcPr>
          <w:p>
            <w:pPr>
              <w:autoSpaceDE w:val="0"/>
              <w:autoSpaceDN w:val="0"/>
              <w:spacing w:line="360" w:lineRule="auto"/>
              <w:rPr>
                <w:rFonts w:hint="eastAsia" w:ascii="宋体" w:hAnsi="宋体" w:eastAsia="宋体" w:cs="宋体"/>
                <w:b/>
                <w:bCs/>
                <w:sz w:val="24"/>
                <w:highlight w:val="none"/>
                <w:lang w:val="en-US" w:eastAsia="zh-CN"/>
              </w:rPr>
            </w:pPr>
            <w:r>
              <w:rPr>
                <w:rFonts w:hint="eastAsia" w:ascii="宋体" w:hAnsi="宋体" w:eastAsia="宋体" w:cs="宋体"/>
                <w:sz w:val="24"/>
                <w:highlight w:val="none"/>
                <w:lang w:val="en-US" w:eastAsia="zh-CN"/>
              </w:rPr>
              <w:t>（1）投标产品多联机室内机标配冷凝水提升泵，且具备冷凝水排水泵故障可检测特性的得2分</w:t>
            </w:r>
            <w:r>
              <w:rPr>
                <w:rFonts w:hint="eastAsia" w:ascii="宋体" w:hAnsi="宋体" w:cs="宋体"/>
                <w:sz w:val="24"/>
                <w:highlight w:val="none"/>
                <w:lang w:val="en-US" w:eastAsia="zh-CN"/>
              </w:rPr>
              <w:t>，</w:t>
            </w:r>
            <w:r>
              <w:rPr>
                <w:rFonts w:hint="eastAsia" w:ascii="宋体" w:hAnsi="宋体" w:eastAsia="宋体" w:cs="宋体"/>
                <w:color w:val="auto"/>
                <w:kern w:val="2"/>
                <w:sz w:val="24"/>
                <w:szCs w:val="24"/>
                <w:highlight w:val="none"/>
                <w:lang w:val="en-US" w:eastAsia="zh-CN" w:bidi="ar-SA"/>
              </w:rPr>
              <w:t>否则不</w:t>
            </w:r>
            <w:r>
              <w:rPr>
                <w:rFonts w:hint="eastAsia" w:ascii="宋体" w:hAnsi="宋体" w:cs="宋体"/>
                <w:color w:val="auto"/>
                <w:sz w:val="24"/>
                <w:highlight w:val="none"/>
              </w:rPr>
              <w:t>得分。</w:t>
            </w:r>
            <w:r>
              <w:rPr>
                <w:rFonts w:hint="eastAsia" w:ascii="宋体" w:hAnsi="宋体" w:eastAsia="宋体" w:cs="宋体"/>
                <w:b/>
                <w:bCs/>
                <w:sz w:val="24"/>
                <w:highlight w:val="none"/>
                <w:lang w:val="en-US" w:eastAsia="zh-CN"/>
              </w:rPr>
              <w:t>（提供第三方检测报告复印件并加盖公章）</w:t>
            </w:r>
          </w:p>
          <w:p>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（2）投标产品多联机室内机具有制冷运行室内温度精准预测特性的得2分，</w:t>
            </w:r>
            <w:r>
              <w:rPr>
                <w:rFonts w:hint="eastAsia" w:ascii="宋体" w:hAnsi="宋体" w:eastAsia="宋体" w:cs="宋体"/>
                <w:color w:val="auto"/>
                <w:kern w:val="2"/>
                <w:sz w:val="24"/>
                <w:szCs w:val="24"/>
                <w:highlight w:val="none"/>
                <w:lang w:val="en-US" w:eastAsia="zh-CN" w:bidi="ar-SA"/>
              </w:rPr>
              <w:t>否则不</w:t>
            </w:r>
            <w:r>
              <w:rPr>
                <w:rFonts w:hint="eastAsia" w:ascii="宋体" w:hAnsi="宋体" w:cs="宋体"/>
                <w:color w:val="auto"/>
                <w:sz w:val="24"/>
                <w:highlight w:val="none"/>
              </w:rPr>
              <w:t>得分。</w:t>
            </w:r>
            <w:r>
              <w:rPr>
                <w:rFonts w:hint="eastAsia" w:ascii="宋体" w:hAnsi="宋体" w:eastAsia="宋体" w:cs="宋体"/>
                <w:b/>
                <w:bCs/>
                <w:sz w:val="24"/>
                <w:highlight w:val="none"/>
                <w:lang w:val="en-US" w:eastAsia="zh-CN"/>
              </w:rPr>
              <w:t>（提供第三方检测报告复印件加盖公章）</w:t>
            </w:r>
          </w:p>
        </w:tc>
        <w:tc>
          <w:tcPr>
            <w:tcW w:w="870"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635" w:type="dxa"/>
            <w:vAlign w:val="center"/>
          </w:tcPr>
          <w:p>
            <w:pPr>
              <w:snapToGrid w:val="0"/>
              <w:spacing w:line="360" w:lineRule="auto"/>
              <w:jc w:val="center"/>
              <w:rPr>
                <w:rFonts w:hint="eastAsia" w:ascii="宋体" w:hAnsi="宋体" w:cs="宋体"/>
                <w:kern w:val="0"/>
                <w:sz w:val="24"/>
                <w:szCs w:val="24"/>
                <w:lang w:val="en-US" w:eastAsia="zh-CN"/>
              </w:rPr>
            </w:pPr>
            <w:r>
              <w:rPr>
                <w:rFonts w:hint="eastAsia" w:ascii="宋体" w:hAnsi="宋体" w:cs="宋体"/>
                <w:sz w:val="24"/>
                <w:highlight w:val="none"/>
                <w:lang w:val="en-US" w:eastAsia="zh-CN"/>
              </w:rPr>
              <w:t>投标产品的技术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6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632" w:type="dxa"/>
            <w:vAlign w:val="center"/>
          </w:tcPr>
          <w:p>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安装材料、辅助材料</w:t>
            </w:r>
            <w:r>
              <w:rPr>
                <w:rFonts w:ascii="宋体" w:hAnsi="宋体" w:eastAsia="宋体" w:cs="宋体"/>
                <w:sz w:val="24"/>
                <w:highlight w:val="none"/>
              </w:rPr>
              <w:t>:</w:t>
            </w:r>
          </w:p>
          <w:p>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1）</w:t>
            </w:r>
            <w:r>
              <w:rPr>
                <w:rFonts w:hint="eastAsia" w:ascii="宋体" w:hAnsi="宋体" w:eastAsia="宋体" w:cs="宋体"/>
                <w:sz w:val="24"/>
                <w:highlight w:val="none"/>
              </w:rPr>
              <w:t>铜管、支架满足招标文件要求及国标标准得</w:t>
            </w:r>
            <w:r>
              <w:rPr>
                <w:rFonts w:ascii="宋体" w:hAnsi="宋体" w:eastAsia="宋体" w:cs="宋体"/>
                <w:sz w:val="24"/>
                <w:highlight w:val="none"/>
              </w:rPr>
              <w:t xml:space="preserve">1分，提供相关证明文件， </w:t>
            </w:r>
            <w:r>
              <w:rPr>
                <w:rFonts w:hint="eastAsia" w:ascii="宋体" w:hAnsi="宋体" w:eastAsia="宋体" w:cs="宋体"/>
                <w:sz w:val="24"/>
                <w:highlight w:val="none"/>
              </w:rPr>
              <w:t>否则不得分。</w:t>
            </w:r>
          </w:p>
          <w:p>
            <w:pPr>
              <w:autoSpaceDE w:val="0"/>
              <w:autoSpaceDN w:val="0"/>
              <w:spacing w:line="360" w:lineRule="auto"/>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w:t>
            </w:r>
            <w:r>
              <w:rPr>
                <w:rFonts w:hint="eastAsia" w:hAnsi="宋体" w:cs="宋体"/>
                <w:sz w:val="24"/>
                <w:highlight w:val="none"/>
              </w:rPr>
              <w:t>冷凝水管系统</w:t>
            </w:r>
            <w:r>
              <w:rPr>
                <w:rFonts w:hint="eastAsia" w:ascii="宋体" w:hAnsi="宋体" w:eastAsia="宋体" w:cs="宋体"/>
                <w:sz w:val="24"/>
                <w:highlight w:val="none"/>
              </w:rPr>
              <w:t>满足招标文件要求得</w:t>
            </w:r>
            <w:r>
              <w:rPr>
                <w:rFonts w:ascii="宋体" w:hAnsi="宋体" w:eastAsia="宋体" w:cs="宋体"/>
                <w:sz w:val="24"/>
                <w:highlight w:val="none"/>
              </w:rPr>
              <w:t>1分，</w:t>
            </w:r>
            <w:r>
              <w:rPr>
                <w:rFonts w:hint="eastAsia" w:ascii="宋体" w:hAnsi="宋体" w:eastAsia="宋体" w:cs="宋体"/>
                <w:sz w:val="24"/>
                <w:highlight w:val="none"/>
              </w:rPr>
              <w:t>提供相关证明文件，否则不得分。</w:t>
            </w:r>
          </w:p>
          <w:p>
            <w:pPr>
              <w:snapToGrid w:val="0"/>
              <w:spacing w:line="360" w:lineRule="auto"/>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rPr>
              <w:t>（</w:t>
            </w:r>
            <w:r>
              <w:rPr>
                <w:rFonts w:ascii="宋体" w:hAnsi="宋体" w:eastAsia="宋体" w:cs="宋体"/>
                <w:sz w:val="24"/>
                <w:highlight w:val="none"/>
              </w:rPr>
              <w:t>3）</w:t>
            </w:r>
            <w:r>
              <w:rPr>
                <w:rFonts w:hint="eastAsia" w:ascii="宋体" w:hAnsi="宋体" w:eastAsia="宋体" w:cs="宋体"/>
                <w:sz w:val="24"/>
                <w:highlight w:val="none"/>
              </w:rPr>
              <w:t>空调保温材料符合招标文件要求得</w:t>
            </w:r>
            <w:r>
              <w:rPr>
                <w:rFonts w:ascii="宋体" w:hAnsi="宋体" w:eastAsia="宋体" w:cs="宋体"/>
                <w:sz w:val="24"/>
                <w:highlight w:val="none"/>
              </w:rPr>
              <w:t>1分，</w:t>
            </w:r>
            <w:r>
              <w:rPr>
                <w:rFonts w:ascii="宋体" w:hAnsi="宋体" w:eastAsia="宋体" w:cs="宋体"/>
                <w:b w:val="0"/>
                <w:bCs w:val="0"/>
                <w:sz w:val="24"/>
                <w:highlight w:val="none"/>
              </w:rPr>
              <w:t>提供相关证明文件，否则不得分。</w:t>
            </w:r>
          </w:p>
        </w:tc>
        <w:tc>
          <w:tcPr>
            <w:tcW w:w="870" w:type="dxa"/>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安装材料、辅助材料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6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5632" w:type="dxa"/>
            <w:vAlign w:val="center"/>
          </w:tcPr>
          <w:p>
            <w:pPr>
              <w:numPr>
                <w:ilvl w:val="0"/>
                <w:numId w:val="0"/>
              </w:numPr>
              <w:snapToGrid w:val="0"/>
              <w:spacing w:line="360" w:lineRule="auto"/>
              <w:jc w:val="left"/>
              <w:rPr>
                <w:rFonts w:hint="eastAsia" w:ascii="宋体" w:hAnsi="宋体" w:eastAsia="宋体" w:cs="宋体"/>
                <w:color w:val="auto"/>
                <w:sz w:val="24"/>
                <w:szCs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团队人员技术能力含有与项目实施相关的设备安装、质量管控、资料管理、材料管理、安全管理、高空作业的售后人员等并提供相关证明材料，</w:t>
            </w:r>
            <w:r>
              <w:rPr>
                <w:rFonts w:hint="eastAsia" w:ascii="宋体" w:hAnsi="宋体" w:cs="仿宋"/>
                <w:color w:val="auto"/>
                <w:sz w:val="24"/>
                <w:highlight w:val="none"/>
                <w:lang w:val="en-US" w:eastAsia="zh-CN"/>
              </w:rPr>
              <w:t>每提供一个证明材料得0.5分，最高得2分</w:t>
            </w:r>
            <w:r>
              <w:rPr>
                <w:rFonts w:hint="eastAsia" w:ascii="宋体" w:hAnsi="宋体" w:cs="仿宋"/>
                <w:color w:val="auto"/>
                <w:sz w:val="24"/>
                <w:highlight w:val="none"/>
              </w:rPr>
              <w:t xml:space="preserve">； </w:t>
            </w:r>
          </w:p>
          <w:p>
            <w:pPr>
              <w:numPr>
                <w:ilvl w:val="0"/>
                <w:numId w:val="0"/>
              </w:numPr>
              <w:snapToGrid w:val="0"/>
              <w:spacing w:line="360" w:lineRule="auto"/>
              <w:jc w:val="left"/>
              <w:rPr>
                <w:rFonts w:hint="eastAsia" w:ascii="宋体" w:hAnsi="宋体" w:eastAsia="宋体" w:cs="宋体"/>
                <w:color w:val="auto"/>
                <w:sz w:val="24"/>
                <w:szCs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团队人员数量配置大于等于</w:t>
            </w:r>
            <w:r>
              <w:rPr>
                <w:rFonts w:hint="eastAsia" w:ascii="宋体" w:hAnsi="宋体" w:cs="仿宋"/>
                <w:color w:val="auto"/>
                <w:sz w:val="24"/>
                <w:highlight w:val="none"/>
                <w:lang w:val="en-US" w:eastAsia="zh-CN"/>
              </w:rPr>
              <w:t>19</w:t>
            </w:r>
            <w:r>
              <w:rPr>
                <w:rFonts w:hint="eastAsia" w:ascii="宋体" w:hAnsi="宋体" w:cs="仿宋"/>
                <w:color w:val="auto"/>
                <w:sz w:val="24"/>
                <w:highlight w:val="none"/>
              </w:rPr>
              <w:t>人的得</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分，人员数量配置10至1</w:t>
            </w:r>
            <w:r>
              <w:rPr>
                <w:rFonts w:hint="eastAsia" w:ascii="宋体" w:hAnsi="宋体" w:cs="仿宋"/>
                <w:color w:val="auto"/>
                <w:sz w:val="24"/>
                <w:highlight w:val="none"/>
                <w:lang w:val="en-US" w:eastAsia="zh-CN"/>
              </w:rPr>
              <w:t>8</w:t>
            </w:r>
            <w:r>
              <w:rPr>
                <w:rFonts w:hint="eastAsia" w:ascii="宋体" w:hAnsi="宋体" w:cs="仿宋"/>
                <w:color w:val="auto"/>
                <w:sz w:val="24"/>
                <w:highlight w:val="none"/>
              </w:rPr>
              <w:t>人的得</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分，人员数量配置少于10人的不得分。</w:t>
            </w:r>
          </w:p>
          <w:p>
            <w:pPr>
              <w:numPr>
                <w:ilvl w:val="0"/>
                <w:numId w:val="0"/>
              </w:numPr>
              <w:snapToGrid w:val="0"/>
              <w:spacing w:line="360" w:lineRule="auto"/>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cs="仿宋"/>
                <w:b/>
                <w:bCs/>
                <w:color w:val="auto"/>
                <w:sz w:val="24"/>
                <w:highlight w:val="none"/>
              </w:rPr>
              <w:t>以上需同时提供人员相关证明材料及在投标人单位的社保缴纳证明方有效，否则此项不得分。</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5" w:type="dxa"/>
            <w:vAlign w:val="center"/>
          </w:tcPr>
          <w:p>
            <w:pPr>
              <w:snapToGrid w:val="0"/>
              <w:spacing w:line="360" w:lineRule="auto"/>
              <w:jc w:val="center"/>
              <w:rPr>
                <w:rFonts w:hint="default" w:eastAsia="宋体"/>
                <w:lang w:val="en-US" w:eastAsia="zh-CN"/>
              </w:rPr>
            </w:pPr>
            <w:r>
              <w:rPr>
                <w:rFonts w:hint="eastAsia" w:ascii="宋体" w:hAnsi="宋体" w:cs="宋体"/>
                <w:sz w:val="24"/>
                <w:szCs w:val="24"/>
                <w:lang w:val="en-US" w:eastAsia="zh-CN"/>
              </w:rPr>
              <w:t>12</w:t>
            </w:r>
          </w:p>
        </w:tc>
        <w:tc>
          <w:tcPr>
            <w:tcW w:w="5632" w:type="dxa"/>
            <w:vAlign w:val="center"/>
          </w:tcPr>
          <w:p>
            <w:pPr>
              <w:snapToGrid w:val="0"/>
              <w:spacing w:line="360" w:lineRule="auto"/>
              <w:jc w:val="left"/>
              <w:rPr>
                <w:rFonts w:hint="eastAsia" w:ascii="宋体" w:hAnsi="宋体" w:eastAsia="宋体" w:cs="宋体"/>
                <w:sz w:val="24"/>
                <w:highlight w:val="none"/>
              </w:rPr>
            </w:pPr>
            <w:r>
              <w:rPr>
                <w:rFonts w:hint="eastAsia" w:ascii="宋体" w:hAnsi="宋体" w:cs="宋体"/>
                <w:sz w:val="24"/>
                <w:highlight w:val="none"/>
                <w:lang w:val="en-US" w:eastAsia="zh-CN"/>
              </w:rPr>
              <w:t>投标人根据采购需求提供</w:t>
            </w:r>
            <w:r>
              <w:rPr>
                <w:rFonts w:hint="eastAsia" w:ascii="宋体" w:hAnsi="宋体" w:eastAsia="宋体" w:cs="宋体"/>
                <w:sz w:val="24"/>
                <w:highlight w:val="none"/>
              </w:rPr>
              <w:t>项目组织实施方案：（1）提供项目实施、安装方案；（2）提供功能测试、试运行及验收方案；（3）提供培训人员</w:t>
            </w:r>
            <w:r>
              <w:rPr>
                <w:rFonts w:hint="eastAsia" w:ascii="宋体" w:hAnsi="宋体" w:cs="宋体"/>
                <w:sz w:val="24"/>
                <w:highlight w:val="none"/>
                <w:lang w:val="en-US" w:eastAsia="zh-CN"/>
              </w:rPr>
              <w:t>及</w:t>
            </w:r>
            <w:r>
              <w:rPr>
                <w:rFonts w:hint="eastAsia" w:ascii="宋体" w:hAnsi="宋体" w:eastAsia="宋体" w:cs="宋体"/>
                <w:sz w:val="24"/>
                <w:highlight w:val="none"/>
              </w:rPr>
              <w:t>培训方案；（4）供货进度实施及进度保障措施方案。</w:t>
            </w:r>
          </w:p>
          <w:p>
            <w:pPr>
              <w:pStyle w:val="21"/>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以上</w:t>
            </w:r>
            <w:r>
              <w:rPr>
                <w:rFonts w:hint="eastAsia" w:ascii="宋体" w:hAnsi="宋体" w:cs="宋体"/>
                <w:sz w:val="24"/>
                <w:highlight w:val="none"/>
                <w:lang w:val="en-US" w:eastAsia="zh-CN"/>
              </w:rPr>
              <w:t>每条</w:t>
            </w:r>
            <w:r>
              <w:rPr>
                <w:rFonts w:hint="eastAsia" w:ascii="宋体" w:hAnsi="宋体" w:eastAsia="宋体" w:cs="宋体"/>
                <w:sz w:val="24"/>
                <w:highlight w:val="none"/>
              </w:rPr>
              <w:t>，工作思路和要点内容完全符合得1分；部分符合得0.5分；不符合得0分。</w:t>
            </w:r>
          </w:p>
        </w:tc>
        <w:tc>
          <w:tcPr>
            <w:tcW w:w="870" w:type="dxa"/>
            <w:vAlign w:val="center"/>
          </w:tcPr>
          <w:p>
            <w:pPr>
              <w:snapToGrid w:val="0"/>
              <w:spacing w:line="360" w:lineRule="auto"/>
              <w:jc w:val="center"/>
              <w:rPr>
                <w:rFonts w:hint="default" w:ascii="宋体" w:hAnsi="宋体" w:cs="宋体"/>
                <w:b/>
                <w:bCs/>
                <w:sz w:val="24"/>
                <w:lang w:val="en-US" w:eastAsia="zh-CN"/>
              </w:rPr>
            </w:pPr>
            <w:r>
              <w:rPr>
                <w:rFonts w:hint="eastAsia" w:ascii="宋体" w:hAnsi="宋体" w:cs="宋体"/>
                <w:b w:val="0"/>
                <w:bCs w:val="0"/>
                <w:sz w:val="24"/>
                <w:lang w:val="en-US" w:eastAsia="zh-CN"/>
              </w:rPr>
              <w:t>4</w:t>
            </w:r>
          </w:p>
        </w:tc>
        <w:tc>
          <w:tcPr>
            <w:tcW w:w="1635" w:type="dxa"/>
            <w:vAlign w:val="center"/>
          </w:tcPr>
          <w:p>
            <w:pPr>
              <w:snapToGrid w:val="0"/>
              <w:spacing w:line="360" w:lineRule="auto"/>
              <w:jc w:val="center"/>
              <w:rPr>
                <w:rFonts w:hint="default" w:ascii="宋体" w:hAnsi="宋体" w:cs="宋体"/>
                <w:b/>
                <w:bCs/>
                <w:sz w:val="24"/>
                <w:lang w:val="en-US" w:eastAsia="zh-CN"/>
              </w:rPr>
            </w:pPr>
            <w:r>
              <w:rPr>
                <w:rFonts w:hint="eastAsia" w:ascii="宋体" w:hAnsi="宋体" w:cs="宋体"/>
                <w:b w:val="0"/>
                <w:bCs w:val="0"/>
                <w:sz w:val="24"/>
                <w:lang w:val="en-US" w:eastAsia="zh-CN"/>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5632" w:type="dxa"/>
            <w:vAlign w:val="top"/>
          </w:tcPr>
          <w:p>
            <w:p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color w:val="auto"/>
                <w:sz w:val="24"/>
                <w:highlight w:val="none"/>
              </w:rPr>
              <w:t>项目实施方案：投标人提供科学、合理、</w:t>
            </w:r>
            <w:r>
              <w:rPr>
                <w:rFonts w:hint="eastAsia" w:ascii="宋体" w:hAnsi="宋体" w:cs="宋体"/>
                <w:color w:val="auto"/>
                <w:sz w:val="24"/>
                <w:highlight w:val="none"/>
                <w:lang w:eastAsia="zh-CN"/>
              </w:rPr>
              <w:t>可操作的</w:t>
            </w:r>
            <w:r>
              <w:rPr>
                <w:rFonts w:hint="eastAsia" w:ascii="宋体" w:hAnsi="宋体" w:cs="宋体"/>
                <w:color w:val="auto"/>
                <w:sz w:val="24"/>
                <w:highlight w:val="none"/>
              </w:rPr>
              <w:t>具体项目整体实施方案，包括①项目实施计划进度②项目实施保障措施③项目</w:t>
            </w:r>
            <w:r>
              <w:rPr>
                <w:rFonts w:hint="eastAsia" w:ascii="宋体" w:hAnsi="宋体" w:cs="宋体"/>
                <w:color w:val="auto"/>
                <w:sz w:val="24"/>
                <w:highlight w:val="none"/>
                <w:lang w:eastAsia="zh-CN"/>
              </w:rPr>
              <w:t>质量控制</w:t>
            </w:r>
            <w:r>
              <w:rPr>
                <w:rFonts w:hint="eastAsia" w:ascii="宋体" w:hAnsi="宋体" w:cs="宋体"/>
                <w:color w:val="auto"/>
                <w:sz w:val="24"/>
                <w:highlight w:val="none"/>
              </w:rPr>
              <w:t>方案④项目</w:t>
            </w:r>
            <w:r>
              <w:rPr>
                <w:rFonts w:hint="eastAsia" w:ascii="宋体" w:hAnsi="宋体" w:cs="宋体"/>
                <w:color w:val="auto"/>
                <w:sz w:val="24"/>
                <w:highlight w:val="none"/>
                <w:lang w:eastAsia="zh-CN"/>
              </w:rPr>
              <w:t>安装</w:t>
            </w:r>
            <w:r>
              <w:rPr>
                <w:rFonts w:hint="eastAsia" w:ascii="宋体" w:hAnsi="宋体" w:cs="宋体"/>
                <w:color w:val="auto"/>
                <w:sz w:val="24"/>
                <w:highlight w:val="none"/>
              </w:rPr>
              <w:t>方案⑤</w:t>
            </w:r>
            <w:r>
              <w:rPr>
                <w:rFonts w:hint="eastAsia" w:ascii="宋体" w:hAnsi="宋体" w:cs="宋体"/>
                <w:color w:val="auto"/>
                <w:sz w:val="24"/>
                <w:highlight w:val="none"/>
                <w:lang w:eastAsia="zh-CN"/>
              </w:rPr>
              <w:t>项目验收方案。</w:t>
            </w:r>
            <w:r>
              <w:rPr>
                <w:rFonts w:hint="eastAsia" w:ascii="宋体" w:hAnsi="宋体" w:eastAsia="宋体" w:cs="仿宋"/>
                <w:sz w:val="24"/>
                <w:highlight w:val="none"/>
              </w:rPr>
              <w:t>方案完整、合理，有针对性视为符合要求；</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0.5</w:t>
            </w:r>
            <w:r>
              <w:rPr>
                <w:rFonts w:hint="eastAsia" w:ascii="宋体" w:hAnsi="宋体" w:cs="宋体"/>
                <w:sz w:val="24"/>
                <w:szCs w:val="24"/>
                <w:highlight w:val="none"/>
                <w:lang w:eastAsia="zh-CN"/>
              </w:rPr>
              <w:t>分，不符合不得分。</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635" w:type="dxa"/>
            <w:vAlign w:val="center"/>
          </w:tcPr>
          <w:p>
            <w:pPr>
              <w:snapToGrid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5632" w:type="dxa"/>
            <w:vAlign w:val="top"/>
          </w:tcPr>
          <w:p>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lang w:val="en-US" w:eastAsia="zh-CN"/>
              </w:rPr>
              <w:t>投标人满足</w:t>
            </w:r>
            <w:r>
              <w:rPr>
                <w:rFonts w:hint="eastAsia" w:ascii="宋体" w:hAnsi="宋体" w:cs="宋体"/>
                <w:b w:val="0"/>
                <w:bCs w:val="0"/>
                <w:sz w:val="24"/>
                <w:highlight w:val="none"/>
              </w:rPr>
              <w:t>所有（整机）免费质保</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年</w:t>
            </w:r>
            <w:r>
              <w:rPr>
                <w:rFonts w:hint="eastAsia" w:ascii="宋体" w:hAnsi="宋体" w:cs="宋体"/>
                <w:b w:val="0"/>
                <w:bCs w:val="0"/>
                <w:sz w:val="24"/>
                <w:highlight w:val="none"/>
                <w:lang w:val="en-US" w:eastAsia="zh-CN"/>
              </w:rPr>
              <w:t>的前提下</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每增加一年质保得1分，最多得2分</w:t>
            </w:r>
            <w:r>
              <w:rPr>
                <w:rFonts w:hint="eastAsia" w:ascii="宋体" w:hAnsi="宋体" w:cs="宋体"/>
                <w:b/>
                <w:bCs/>
                <w:sz w:val="24"/>
                <w:highlight w:val="none"/>
                <w:lang w:val="en-US" w:eastAsia="zh-CN"/>
              </w:rPr>
              <w:t>（提供承诺函）</w:t>
            </w:r>
            <w:r>
              <w:rPr>
                <w:rFonts w:hint="eastAsia" w:ascii="宋体" w:hAnsi="宋体" w:cs="宋体"/>
                <w:b w:val="0"/>
                <w:bCs w:val="0"/>
                <w:sz w:val="24"/>
                <w:highlight w:val="none"/>
                <w:lang w:val="en-US" w:eastAsia="zh-CN"/>
              </w:rPr>
              <w:t>。</w:t>
            </w:r>
          </w:p>
        </w:tc>
        <w:tc>
          <w:tcPr>
            <w:tcW w:w="870" w:type="dxa"/>
            <w:vMerge w:val="restart"/>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635" w:type="dxa"/>
            <w:vMerge w:val="restart"/>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vAlign w:val="center"/>
          </w:tcPr>
          <w:p>
            <w:pPr>
              <w:snapToGrid w:val="0"/>
              <w:spacing w:line="360" w:lineRule="auto"/>
              <w:jc w:val="center"/>
              <w:rPr>
                <w:rFonts w:hint="default" w:ascii="宋体" w:hAnsi="宋体" w:eastAsia="宋体" w:cs="宋体"/>
                <w:sz w:val="24"/>
                <w:szCs w:val="24"/>
                <w:lang w:val="en-US" w:eastAsia="zh-CN"/>
              </w:rPr>
            </w:pPr>
          </w:p>
        </w:tc>
        <w:tc>
          <w:tcPr>
            <w:tcW w:w="5632" w:type="dxa"/>
            <w:vAlign w:val="top"/>
          </w:tcPr>
          <w:p>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i w:val="0"/>
                <w:iCs w:val="0"/>
                <w:color w:val="auto"/>
                <w:kern w:val="2"/>
                <w:sz w:val="24"/>
                <w:szCs w:val="24"/>
                <w:highlight w:val="none"/>
                <w:lang w:val="en-US" w:eastAsia="zh-CN" w:bidi="ar-SA"/>
              </w:rPr>
              <w:t>投标人所提供的的售后技术支持和维修响应时间（供应商在1小时以内响应，2小时到达现场维修）是否满足采购需求，完全满足的得</w:t>
            </w:r>
            <w:r>
              <w:rPr>
                <w:rFonts w:hint="default" w:ascii="宋体" w:hAnsi="宋体" w:cs="宋体"/>
                <w:b w:val="0"/>
                <w:bCs w:val="0"/>
                <w:i w:val="0"/>
                <w:iCs w:val="0"/>
                <w:color w:val="auto"/>
                <w:kern w:val="2"/>
                <w:sz w:val="24"/>
                <w:szCs w:val="24"/>
                <w:highlight w:val="none"/>
                <w:lang w:val="en-US" w:eastAsia="zh-CN" w:bidi="ar-SA"/>
              </w:rPr>
              <w:t>2</w:t>
            </w:r>
            <w:r>
              <w:rPr>
                <w:rFonts w:hint="eastAsia" w:ascii="宋体" w:hAnsi="宋体" w:cs="宋体"/>
                <w:b w:val="0"/>
                <w:bCs w:val="0"/>
                <w:i w:val="0"/>
                <w:iCs w:val="0"/>
                <w:color w:val="auto"/>
                <w:kern w:val="2"/>
                <w:sz w:val="24"/>
                <w:szCs w:val="24"/>
                <w:highlight w:val="none"/>
                <w:lang w:val="en-US" w:eastAsia="zh-CN" w:bidi="ar-SA"/>
              </w:rPr>
              <w:t>分，部分满足得1分，不满足或不提供的不得分。</w:t>
            </w:r>
          </w:p>
        </w:tc>
        <w:tc>
          <w:tcPr>
            <w:tcW w:w="870" w:type="dxa"/>
            <w:vMerge w:val="continue"/>
            <w:vAlign w:val="center"/>
          </w:tcPr>
          <w:p>
            <w:pPr>
              <w:snapToGrid w:val="0"/>
              <w:spacing w:line="360" w:lineRule="auto"/>
              <w:jc w:val="center"/>
              <w:rPr>
                <w:rFonts w:hint="eastAsia" w:ascii="宋体" w:hAnsi="宋体" w:eastAsia="宋体" w:cs="宋体"/>
                <w:sz w:val="24"/>
                <w:szCs w:val="24"/>
                <w:lang w:val="en-US" w:eastAsia="zh-CN"/>
              </w:rPr>
            </w:pPr>
          </w:p>
        </w:tc>
        <w:tc>
          <w:tcPr>
            <w:tcW w:w="1635" w:type="dxa"/>
            <w:vMerge w:val="continue"/>
            <w:vAlign w:val="center"/>
          </w:tcPr>
          <w:p>
            <w:pPr>
              <w:snapToGrid w:val="0"/>
              <w:spacing w:line="360" w:lineRule="auto"/>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5632" w:type="dxa"/>
            <w:vAlign w:val="top"/>
          </w:tcPr>
          <w:p>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rPr>
              <w:t>30</w:t>
            </w:r>
            <w:r>
              <w:rPr>
                <w:rFonts w:hint="eastAsia" w:ascii="宋体" w:hAnsi="宋体" w:eastAsia="宋体" w:cs="宋体"/>
                <w:sz w:val="24"/>
                <w:szCs w:val="24"/>
                <w:highlight w:val="none"/>
              </w:rPr>
              <w:t>］的计算公式计算。</w:t>
            </w:r>
          </w:p>
          <w:p>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sz w:val="24"/>
                <w:szCs w:val="24"/>
                <w:highlight w:val="none"/>
                <w:u w:val="single"/>
                <w:lang w:val="en-US"/>
              </w:rPr>
              <w:t>2</w:t>
            </w:r>
            <w:r>
              <w:rPr>
                <w:rFonts w:hint="eastAsia" w:ascii="宋体" w:hAnsi="宋体" w:eastAsia="宋体" w:cs="宋体"/>
                <w:b/>
                <w:sz w:val="24"/>
                <w:szCs w:val="24"/>
                <w:highlight w:val="none"/>
                <w:u w:val="single"/>
              </w:rPr>
              <w:t>0%</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sz w:val="24"/>
                <w:szCs w:val="24"/>
                <w:highlight w:val="none"/>
                <w:u w:val="single"/>
                <w:lang w:val="en-US"/>
              </w:rPr>
              <w:t>6</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的扣除，用扣除后的价格参加评审。</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highlight w:val="none"/>
        </w:rPr>
        <w:t>14</w:t>
      </w:r>
      <w:r>
        <w:rPr>
          <w:rFonts w:hint="eastAsia" w:ascii="宋体" w:hAnsi="宋体" w:cs="宋体"/>
          <w:color w:val="auto"/>
          <w:kern w:val="0"/>
          <w:sz w:val="24"/>
        </w:rPr>
        <w:t xml:space="preserve">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highlight w:val="none"/>
        </w:rPr>
        <w:t>15</w:t>
      </w:r>
      <w:r>
        <w:rPr>
          <w:rFonts w:hint="eastAsia" w:ascii="宋体" w:hAnsi="宋体" w:cs="宋体"/>
          <w:color w:val="auto"/>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废标后，采购机构应当将废标理由通知所有投标人。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p>
      <w:pPr>
        <w:pStyle w:val="26"/>
        <w:rPr>
          <w:rFonts w:cs="宋体"/>
          <w:color w:val="auto"/>
        </w:rPr>
      </w:pPr>
    </w:p>
    <w:p>
      <w:pPr>
        <w:rPr>
          <w:rFonts w:cs="宋体"/>
          <w:color w:val="auto"/>
        </w:rPr>
      </w:pPr>
    </w:p>
    <w:p>
      <w:pPr>
        <w:pStyle w:val="26"/>
        <w:rPr>
          <w:rFonts w:cs="宋体"/>
          <w:color w:val="auto"/>
        </w:rPr>
      </w:pPr>
    </w:p>
    <w:p/>
    <w:bookmarkEnd w:id="31"/>
    <w:p>
      <w:pPr>
        <w:rPr>
          <w:rFonts w:hint="eastAsia" w:ascii="宋体" w:hAnsi="宋体" w:cs="宋体"/>
          <w:b/>
          <w:color w:val="auto"/>
          <w:sz w:val="36"/>
          <w:szCs w:val="36"/>
        </w:rPr>
      </w:pPr>
      <w:bookmarkStart w:id="398" w:name="第五部分"/>
      <w:bookmarkStart w:id="399" w:name="_Toc86217003"/>
    </w:p>
    <w:p>
      <w:pPr>
        <w:pStyle w:val="5"/>
        <w:rPr>
          <w:rFonts w:hint="eastAsia" w:ascii="宋体" w:hAnsi="宋体" w:cs="宋体"/>
          <w:b/>
          <w:color w:val="auto"/>
          <w:sz w:val="36"/>
          <w:szCs w:val="36"/>
        </w:rPr>
      </w:pPr>
    </w:p>
    <w:p>
      <w:pPr>
        <w:rPr>
          <w:rFonts w:hint="eastAsia" w:ascii="宋体" w:hAnsi="宋体" w:cs="宋体"/>
          <w:b/>
          <w:color w:val="auto"/>
          <w:sz w:val="36"/>
          <w:szCs w:val="36"/>
        </w:rPr>
      </w:pPr>
    </w:p>
    <w:p>
      <w:pPr>
        <w:pStyle w:val="5"/>
        <w:rPr>
          <w:rFonts w:hint="eastAsia" w:ascii="宋体" w:hAnsi="宋体" w:cs="宋体"/>
          <w:b/>
          <w:color w:val="auto"/>
          <w:sz w:val="36"/>
          <w:szCs w:val="36"/>
        </w:rPr>
      </w:pPr>
    </w:p>
    <w:p>
      <w:pPr>
        <w:rPr>
          <w:rFonts w:hint="eastAsia" w:ascii="宋体" w:hAnsi="宋体" w:cs="宋体"/>
          <w:b/>
          <w:color w:val="auto"/>
          <w:sz w:val="36"/>
          <w:szCs w:val="36"/>
        </w:rPr>
      </w:pPr>
    </w:p>
    <w:p>
      <w:pPr>
        <w:pStyle w:val="5"/>
        <w:rPr>
          <w:rFonts w:hint="eastAsia" w:ascii="宋体" w:hAnsi="宋体" w:cs="宋体"/>
          <w:b/>
          <w:color w:val="auto"/>
          <w:sz w:val="36"/>
          <w:szCs w:val="36"/>
        </w:rPr>
      </w:pPr>
    </w:p>
    <w:p>
      <w:pPr>
        <w:rPr>
          <w:rFonts w:hint="eastAsia" w:ascii="宋体" w:hAnsi="宋体" w:cs="宋体"/>
          <w:b/>
          <w:color w:val="auto"/>
          <w:sz w:val="36"/>
          <w:szCs w:val="36"/>
        </w:rPr>
      </w:pPr>
    </w:p>
    <w:p>
      <w:pPr>
        <w:pStyle w:val="5"/>
        <w:ind w:left="0" w:leftChars="0" w:firstLine="0" w:firstLineChars="0"/>
        <w:rPr>
          <w:rFonts w:hint="eastAsia" w:ascii="宋体" w:hAnsi="宋体" w:cs="宋体"/>
          <w:b/>
          <w:color w:val="auto"/>
          <w:sz w:val="36"/>
          <w:szCs w:val="36"/>
        </w:rPr>
      </w:pPr>
    </w:p>
    <w:p>
      <w:pPr>
        <w:rPr>
          <w:rFonts w:hint="eastAsia"/>
        </w:rPr>
      </w:pPr>
    </w:p>
    <w:p>
      <w:pPr>
        <w:pStyle w:val="5"/>
        <w:rPr>
          <w:rFonts w:hint="eastAsia"/>
        </w:rPr>
      </w:pPr>
    </w:p>
    <w:p>
      <w:pPr>
        <w:rPr>
          <w:rFonts w:hint="eastAsia"/>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276" w:right="1814" w:bottom="1474" w:left="139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杭州市西湖区人民法院</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杭州市西湖区人民法院10楼空调设备第三次采购项目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杭州市西湖区人民法院</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3029"/>
      <w:bookmarkStart w:id="401" w:name="_Toc24059"/>
      <w:bookmarkStart w:id="402" w:name="_Toc2232"/>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7126"/>
      <w:bookmarkStart w:id="404" w:name="_Toc24300"/>
      <w:bookmarkStart w:id="405" w:name="_Toc21295"/>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6" w:name="_Toc23292"/>
      <w:bookmarkStart w:id="407" w:name="_Toc21631"/>
      <w:bookmarkStart w:id="408" w:name="_Toc2155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9" w:name="_Toc22618"/>
      <w:bookmarkStart w:id="410" w:name="_Toc10340"/>
      <w:bookmarkStart w:id="411" w:name="_Toc1814"/>
      <w:r>
        <w:rPr>
          <w:rFonts w:hint="eastAsia" w:ascii="宋体" w:hAnsi="宋体" w:cs="宋体"/>
          <w:b/>
          <w:sz w:val="24"/>
        </w:rPr>
        <w:t>1.4 付款</w:t>
      </w:r>
      <w:bookmarkEnd w:id="409"/>
      <w:bookmarkEnd w:id="410"/>
      <w:bookmarkEnd w:id="411"/>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12" w:name="_Toc19304"/>
      <w:bookmarkStart w:id="413" w:name="_Toc2846"/>
      <w:bookmarkStart w:id="414" w:name="_Toc32071"/>
      <w:r>
        <w:rPr>
          <w:rFonts w:hint="eastAsia" w:ascii="宋体" w:hAnsi="宋体" w:cs="宋体"/>
          <w:b/>
          <w:sz w:val="24"/>
        </w:rPr>
        <w:t>1.5 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7250"/>
      <w:bookmarkStart w:id="416" w:name="_Toc19554"/>
      <w:bookmarkStart w:id="417" w:name="_Toc21423"/>
      <w:r>
        <w:rPr>
          <w:rFonts w:hint="eastAsia" w:ascii="宋体" w:hAnsi="宋体" w:cs="宋体"/>
          <w:b/>
          <w:sz w:val="24"/>
        </w:rPr>
        <w:t>1.6 违约责任</w:t>
      </w:r>
      <w:bookmarkEnd w:id="415"/>
      <w:bookmarkEnd w:id="416"/>
      <w:bookmarkEnd w:id="417"/>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8" w:name="_Toc28375"/>
      <w:bookmarkStart w:id="419" w:name="_Toc15583"/>
      <w:bookmarkStart w:id="420" w:name="_Toc16021"/>
      <w:r>
        <w:rPr>
          <w:rFonts w:hint="eastAsia" w:ascii="宋体" w:hAnsi="宋体" w:cs="宋体"/>
          <w:b/>
          <w:sz w:val="24"/>
        </w:rPr>
        <w:t>1.7 合同争议的解决</w:t>
      </w:r>
      <w:bookmarkEnd w:id="418"/>
      <w:bookmarkEnd w:id="419"/>
      <w:bookmarkEnd w:id="42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1" w:name="_Toc7245"/>
      <w:bookmarkStart w:id="422" w:name="_Toc15322"/>
      <w:bookmarkStart w:id="423" w:name="_Toc11173"/>
      <w:r>
        <w:rPr>
          <w:rFonts w:hint="eastAsia" w:ascii="宋体" w:hAnsi="宋体" w:cs="宋体"/>
          <w:b/>
          <w:sz w:val="24"/>
        </w:rPr>
        <w:t>1.8 合同生效</w:t>
      </w:r>
      <w:bookmarkEnd w:id="421"/>
      <w:bookmarkEnd w:id="422"/>
      <w:bookmarkEnd w:id="423"/>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4"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4"/>
    </w:p>
    <w:p>
      <w:pPr>
        <w:spacing w:line="560" w:lineRule="exact"/>
        <w:ind w:firstLine="482" w:firstLineChars="200"/>
        <w:outlineLvl w:val="0"/>
        <w:rPr>
          <w:rFonts w:ascii="宋体" w:hAnsi="宋体" w:cs="宋体"/>
          <w:b/>
          <w:sz w:val="24"/>
        </w:rPr>
      </w:pPr>
      <w:bookmarkStart w:id="425" w:name="_Toc487900349"/>
      <w:bookmarkStart w:id="426" w:name="_Ref467379225"/>
      <w:bookmarkStart w:id="427" w:name="_Ref467379214"/>
      <w:bookmarkStart w:id="428" w:name="_Ref467379101"/>
      <w:bookmarkStart w:id="429" w:name="_Ref467378404"/>
      <w:bookmarkStart w:id="430" w:name="_Ref467379205"/>
      <w:bookmarkStart w:id="431" w:name="_Toc279701240"/>
      <w:bookmarkStart w:id="432" w:name="_Ref467379195"/>
      <w:bookmarkStart w:id="433" w:name="_Toc19614"/>
      <w:bookmarkStart w:id="434" w:name="_Toc259093669"/>
      <w:bookmarkStart w:id="435" w:name="_Toc28763"/>
      <w:bookmarkStart w:id="436" w:name="_Ref467379109"/>
      <w:bookmarkStart w:id="437" w:name="_Ref467378463"/>
      <w:bookmarkStart w:id="438" w:name="_Ref467379094"/>
      <w:bookmarkStart w:id="439" w:name="_Ref467378499"/>
      <w:bookmarkStart w:id="440" w:name="_Toc16917"/>
      <w:r>
        <w:rPr>
          <w:rFonts w:hint="eastAsia" w:ascii="宋体" w:hAnsi="宋体" w:cs="宋体"/>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1" w:name="_Ref467378840"/>
      <w:r>
        <w:rPr>
          <w:rFonts w:hint="eastAsia" w:ascii="宋体" w:hAnsi="宋体" w:cs="宋体"/>
          <w:sz w:val="24"/>
        </w:rPr>
        <w:t>2.1.4 “甲方”系指与中标供应商签署合同的采购人</w:t>
      </w:r>
      <w:bookmarkEnd w:id="441"/>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2" w:name="_Ref467379400"/>
      <w:r>
        <w:rPr>
          <w:rFonts w:hint="eastAsia" w:ascii="宋体" w:hAnsi="宋体" w:cs="宋体"/>
          <w:sz w:val="24"/>
        </w:rPr>
        <w:t>2.1.5 “乙方”系指根据合同约定交付货物的中标供应商</w:t>
      </w:r>
      <w:bookmarkEnd w:id="44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3" w:name="_Ref467379436"/>
      <w:r>
        <w:rPr>
          <w:rFonts w:hint="eastAsia" w:ascii="宋体" w:hAnsi="宋体" w:cs="宋体"/>
          <w:sz w:val="24"/>
        </w:rPr>
        <w:t>2.1.6 “现场”系指合同约定货物将要运至或者安装的地点。</w:t>
      </w:r>
      <w:bookmarkEnd w:id="443"/>
    </w:p>
    <w:p>
      <w:pPr>
        <w:spacing w:line="560" w:lineRule="exact"/>
        <w:ind w:firstLine="482" w:firstLineChars="200"/>
        <w:outlineLvl w:val="0"/>
        <w:rPr>
          <w:rFonts w:ascii="宋体" w:hAnsi="宋体" w:cs="宋体"/>
          <w:b/>
          <w:sz w:val="24"/>
        </w:rPr>
      </w:pPr>
      <w:bookmarkStart w:id="444" w:name="_Toc487900350"/>
      <w:bookmarkStart w:id="445" w:name="_Toc279701241"/>
      <w:bookmarkStart w:id="446" w:name="_Toc259093670"/>
      <w:bookmarkStart w:id="447" w:name="_Toc32504"/>
      <w:bookmarkStart w:id="448" w:name="_Toc13336"/>
      <w:bookmarkStart w:id="449" w:name="_Toc27635"/>
      <w:r>
        <w:rPr>
          <w:rFonts w:hint="eastAsia" w:ascii="宋体" w:hAnsi="宋体" w:cs="宋体"/>
          <w:b/>
          <w:sz w:val="24"/>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0" w:name="_Toc31634"/>
      <w:bookmarkStart w:id="451" w:name="_Toc279701242"/>
      <w:bookmarkStart w:id="452" w:name="_Toc259093671"/>
      <w:bookmarkStart w:id="453" w:name="_Toc27853"/>
      <w:bookmarkStart w:id="454" w:name="_Toc9829"/>
      <w:bookmarkStart w:id="455" w:name="_Toc487900351"/>
      <w:r>
        <w:rPr>
          <w:rFonts w:hint="eastAsia" w:ascii="宋体" w:hAnsi="宋体" w:cs="宋体"/>
          <w:b/>
          <w:sz w:val="24"/>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Toc29149"/>
      <w:bookmarkStart w:id="457" w:name="_Toc11932"/>
      <w:bookmarkStart w:id="458" w:name="_Toc4194"/>
      <w:r>
        <w:rPr>
          <w:rFonts w:hint="eastAsia" w:ascii="宋体" w:hAnsi="宋体" w:cs="宋体"/>
          <w:b/>
          <w:sz w:val="24"/>
        </w:rPr>
        <w:t>2.4 包装和装运</w:t>
      </w:r>
      <w:bookmarkEnd w:id="456"/>
      <w:bookmarkEnd w:id="457"/>
      <w:bookmarkEnd w:id="458"/>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9" w:name="_Ref467379542"/>
      <w:bookmarkStart w:id="460" w:name="_Ref467378541"/>
      <w:bookmarkStart w:id="461" w:name="_Toc259093674"/>
      <w:bookmarkStart w:id="462" w:name="_Toc279701245"/>
      <w:bookmarkStart w:id="463" w:name="_Ref467379536"/>
      <w:bookmarkStart w:id="464" w:name="_Ref467379527"/>
      <w:bookmarkStart w:id="465" w:name="_Ref467378591"/>
      <w:bookmarkStart w:id="466" w:name="_Toc487900354"/>
      <w:bookmarkStart w:id="467" w:name="_Toc26182"/>
      <w:bookmarkStart w:id="468" w:name="_Toc19074"/>
      <w:bookmarkStart w:id="469" w:name="_Toc30272"/>
      <w:r>
        <w:rPr>
          <w:rFonts w:hint="eastAsia" w:ascii="宋体" w:hAnsi="宋体" w:cs="宋体"/>
          <w:b/>
          <w:sz w:val="24"/>
        </w:rPr>
        <w:t>2.</w:t>
      </w:r>
      <w:bookmarkEnd w:id="459"/>
      <w:bookmarkEnd w:id="460"/>
      <w:bookmarkEnd w:id="461"/>
      <w:bookmarkEnd w:id="462"/>
      <w:bookmarkEnd w:id="463"/>
      <w:bookmarkEnd w:id="464"/>
      <w:bookmarkEnd w:id="465"/>
      <w:bookmarkEnd w:id="466"/>
      <w:r>
        <w:rPr>
          <w:rFonts w:hint="eastAsia" w:ascii="宋体" w:hAnsi="宋体" w:cs="宋体"/>
          <w:b/>
          <w:sz w:val="24"/>
        </w:rPr>
        <w:t>5 履约检查和问题反馈</w:t>
      </w:r>
      <w:bookmarkEnd w:id="467"/>
      <w:bookmarkEnd w:id="468"/>
      <w:bookmarkEnd w:id="469"/>
    </w:p>
    <w:p>
      <w:pPr>
        <w:spacing w:line="560" w:lineRule="exact"/>
        <w:ind w:firstLine="480" w:firstLineChars="200"/>
        <w:rPr>
          <w:rFonts w:ascii="宋体" w:hAnsi="宋体" w:cs="宋体"/>
          <w:sz w:val="24"/>
        </w:rPr>
      </w:pPr>
      <w:bookmarkStart w:id="470" w:name="_Ref467379657"/>
      <w:r>
        <w:rPr>
          <w:rFonts w:hint="eastAsia" w:ascii="宋体" w:hAnsi="宋体" w:cs="宋体"/>
          <w:sz w:val="24"/>
        </w:rPr>
        <w:t>2.5.1</w:t>
      </w:r>
      <w:bookmarkEnd w:id="470"/>
      <w:bookmarkStart w:id="471" w:name="_Toc186431854"/>
      <w:bookmarkStart w:id="472" w:name="_Toc487900357"/>
      <w:bookmarkStart w:id="473" w:name="_Toc259093676"/>
      <w:bookmarkStart w:id="474" w:name="_Ref467379793"/>
      <w:bookmarkStart w:id="475" w:name="_Toc279701247"/>
      <w:bookmarkStart w:id="476"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sz w:val="24"/>
        </w:rPr>
      </w:pPr>
      <w:bookmarkStart w:id="478" w:name="_Toc259093677"/>
      <w:bookmarkStart w:id="479" w:name="_Toc279701248"/>
      <w:bookmarkStart w:id="480" w:name="_Ref467379863"/>
      <w:bookmarkStart w:id="481" w:name="_Ref467379852"/>
      <w:bookmarkStart w:id="482" w:name="_Toc487900358"/>
      <w:bookmarkStart w:id="483" w:name="_Ref467379923"/>
      <w:bookmarkStart w:id="484" w:name="_Toc774"/>
      <w:bookmarkStart w:id="485" w:name="_Toc16110"/>
      <w:bookmarkStart w:id="486" w:name="_Toc3225"/>
      <w:r>
        <w:rPr>
          <w:rFonts w:hint="eastAsia" w:ascii="宋体" w:hAnsi="宋体" w:cs="宋体"/>
          <w:b/>
          <w:sz w:val="24"/>
        </w:rPr>
        <w:t>2.6 技术资料</w:t>
      </w:r>
      <w:bookmarkEnd w:id="478"/>
      <w:bookmarkEnd w:id="479"/>
      <w:bookmarkEnd w:id="480"/>
      <w:bookmarkEnd w:id="481"/>
      <w:bookmarkEnd w:id="482"/>
      <w:bookmarkEnd w:id="483"/>
      <w:r>
        <w:rPr>
          <w:rFonts w:hint="eastAsia" w:ascii="宋体" w:hAnsi="宋体" w:cs="宋体"/>
          <w:b/>
          <w:sz w:val="24"/>
        </w:rPr>
        <w:t>和保密义务</w:t>
      </w:r>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7" w:name="_Toc7860"/>
      <w:r>
        <w:rPr>
          <w:rFonts w:hint="eastAsia" w:ascii="宋体" w:hAnsi="宋体" w:cs="宋体"/>
          <w:b/>
          <w:sz w:val="24"/>
        </w:rPr>
        <w:t>2.7 质量保证</w:t>
      </w:r>
      <w:bookmarkEnd w:id="487"/>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8" w:name="_Toc17244"/>
      <w:bookmarkStart w:id="489" w:name="_Toc487900362"/>
      <w:bookmarkStart w:id="490" w:name="_Toc259093681"/>
      <w:bookmarkStart w:id="491" w:name="_Toc279701252"/>
      <w:r>
        <w:rPr>
          <w:rFonts w:hint="eastAsia" w:ascii="宋体" w:hAnsi="宋体" w:cs="宋体"/>
          <w:b/>
          <w:sz w:val="24"/>
        </w:rPr>
        <w:t>2.8 货物的风险负担</w:t>
      </w:r>
      <w:bookmarkEnd w:id="488"/>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2" w:name="_Toc14055"/>
      <w:r>
        <w:rPr>
          <w:rFonts w:hint="eastAsia" w:ascii="宋体" w:hAnsi="宋体" w:cs="宋体"/>
          <w:b/>
          <w:sz w:val="24"/>
        </w:rPr>
        <w:t>2.9 延迟交货</w:t>
      </w:r>
      <w:bookmarkEnd w:id="489"/>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3" w:name="_Toc7502"/>
      <w:bookmarkStart w:id="494" w:name="_Toc279701254"/>
      <w:bookmarkStart w:id="495" w:name="_Ref467378121"/>
      <w:bookmarkStart w:id="496" w:name="_Toc487900364"/>
      <w:bookmarkStart w:id="497" w:name="_Toc259093683"/>
      <w:r>
        <w:rPr>
          <w:rFonts w:hint="eastAsia" w:ascii="宋体" w:hAnsi="宋体" w:cs="宋体"/>
          <w:b/>
          <w:sz w:val="24"/>
        </w:rPr>
        <w:t>2.10 合同变更</w:t>
      </w:r>
      <w:bookmarkEnd w:id="493"/>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279701259"/>
      <w:bookmarkStart w:id="500" w:name="_Toc487900369"/>
    </w:p>
    <w:p>
      <w:pPr>
        <w:spacing w:line="560" w:lineRule="exact"/>
        <w:ind w:firstLine="482" w:firstLineChars="200"/>
        <w:outlineLvl w:val="0"/>
        <w:rPr>
          <w:rFonts w:ascii="宋体" w:hAnsi="宋体" w:cs="宋体"/>
          <w:b/>
          <w:sz w:val="24"/>
        </w:rPr>
      </w:pPr>
      <w:bookmarkStart w:id="501" w:name="_Toc10366"/>
      <w:bookmarkStart w:id="502" w:name="_Toc22955"/>
      <w:bookmarkStart w:id="503" w:name="_Toc15237"/>
      <w:r>
        <w:rPr>
          <w:rFonts w:hint="eastAsia" w:ascii="宋体" w:hAnsi="宋体" w:cs="宋体"/>
          <w:b/>
          <w:sz w:val="24"/>
        </w:rPr>
        <w:t>2.11 合同转让</w:t>
      </w:r>
      <w:bookmarkEnd w:id="498"/>
      <w:bookmarkEnd w:id="499"/>
      <w:bookmarkEnd w:id="500"/>
      <w:r>
        <w:rPr>
          <w:rFonts w:hint="eastAsia" w:ascii="宋体" w:hAnsi="宋体" w:cs="宋体"/>
          <w:b/>
          <w:sz w:val="24"/>
        </w:rPr>
        <w:t>和分包</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4" w:name="_Toc14066"/>
      <w:bookmarkStart w:id="505" w:name="_Toc16508"/>
      <w:bookmarkStart w:id="506" w:name="_Toc13566"/>
      <w:r>
        <w:rPr>
          <w:rFonts w:hint="eastAsia" w:ascii="宋体" w:hAnsi="宋体" w:cs="宋体"/>
          <w:b/>
          <w:sz w:val="24"/>
        </w:rPr>
        <w:t>2.12 不可抗力</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7" w:name="_Toc30676"/>
      <w:bookmarkStart w:id="508" w:name="_Toc6969"/>
      <w:bookmarkStart w:id="509" w:name="_Toc487900365"/>
      <w:bookmarkStart w:id="510" w:name="_Toc689"/>
      <w:bookmarkStart w:id="511" w:name="_Toc279701255"/>
      <w:bookmarkStart w:id="512" w:name="_Toc259093684"/>
      <w:r>
        <w:rPr>
          <w:rFonts w:hint="eastAsia" w:ascii="宋体" w:hAnsi="宋体" w:cs="宋体"/>
          <w:b/>
          <w:sz w:val="24"/>
        </w:rPr>
        <w:t>2.13 税费</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3" w:name="_Toc279701258"/>
      <w:bookmarkStart w:id="514" w:name="_Toc7102"/>
      <w:bookmarkStart w:id="515" w:name="_Toc8298"/>
      <w:bookmarkStart w:id="516" w:name="_Toc487900368"/>
      <w:bookmarkStart w:id="517" w:name="_Toc259093687"/>
      <w:bookmarkStart w:id="518" w:name="_Toc16959"/>
      <w:r>
        <w:rPr>
          <w:rFonts w:hint="eastAsia" w:ascii="宋体" w:hAnsi="宋体" w:cs="宋体"/>
          <w:b/>
          <w:sz w:val="24"/>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9" w:name="_Toc29333"/>
      <w:bookmarkStart w:id="520" w:name="_Toc15387"/>
      <w:bookmarkStart w:id="521" w:name="_Toc6134"/>
      <w:r>
        <w:rPr>
          <w:rFonts w:hint="eastAsia" w:ascii="宋体" w:hAnsi="宋体" w:cs="宋体"/>
          <w:b/>
          <w:sz w:val="24"/>
        </w:rPr>
        <w:t>2.15 合同中止、终止</w:t>
      </w:r>
      <w:bookmarkEnd w:id="519"/>
      <w:bookmarkEnd w:id="520"/>
      <w:bookmarkEnd w:id="521"/>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2" w:name="_Toc6596"/>
      <w:bookmarkStart w:id="523" w:name="_Toc1125"/>
      <w:bookmarkStart w:id="524" w:name="_Toc14563"/>
      <w:r>
        <w:rPr>
          <w:rFonts w:hint="eastAsia" w:ascii="宋体" w:hAnsi="宋体" w:cs="宋体"/>
          <w:b/>
          <w:sz w:val="24"/>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4"/>
    <w:bookmarkEnd w:id="495"/>
    <w:bookmarkEnd w:id="496"/>
    <w:bookmarkEnd w:id="497"/>
    <w:p>
      <w:pPr>
        <w:spacing w:line="560" w:lineRule="exact"/>
        <w:ind w:firstLine="482" w:firstLineChars="200"/>
        <w:outlineLvl w:val="0"/>
        <w:rPr>
          <w:rFonts w:ascii="宋体" w:hAnsi="宋体" w:cs="宋体"/>
          <w:b/>
          <w:sz w:val="24"/>
        </w:rPr>
      </w:pPr>
      <w:bookmarkStart w:id="525" w:name="_Toc279701261"/>
      <w:bookmarkStart w:id="526" w:name="_Toc487900371"/>
      <w:bookmarkStart w:id="527" w:name="_Toc259093690"/>
      <w:bookmarkStart w:id="528" w:name="_Toc25182"/>
      <w:bookmarkStart w:id="529" w:name="_Toc19604"/>
      <w:bookmarkStart w:id="530" w:name="_Toc11284"/>
      <w:r>
        <w:rPr>
          <w:rFonts w:hint="eastAsia" w:ascii="宋体" w:hAnsi="宋体" w:cs="宋体"/>
          <w:b/>
          <w:sz w:val="24"/>
        </w:rPr>
        <w:t>2.17 通知</w:t>
      </w:r>
      <w:bookmarkEnd w:id="525"/>
      <w:bookmarkEnd w:id="526"/>
      <w:bookmarkEnd w:id="527"/>
      <w:r>
        <w:rPr>
          <w:rFonts w:hint="eastAsia" w:ascii="宋体" w:hAnsi="宋体" w:cs="宋体"/>
          <w:b/>
          <w:sz w:val="24"/>
        </w:rPr>
        <w:t>和送达</w:t>
      </w:r>
      <w:bookmarkEnd w:id="528"/>
      <w:bookmarkEnd w:id="529"/>
      <w:bookmarkEnd w:id="530"/>
    </w:p>
    <w:p>
      <w:pPr>
        <w:spacing w:line="560" w:lineRule="exact"/>
        <w:ind w:firstLine="480" w:firstLineChars="200"/>
        <w:rPr>
          <w:rFonts w:ascii="宋体" w:hAnsi="宋体" w:cs="宋体"/>
          <w:sz w:val="24"/>
        </w:rPr>
      </w:pPr>
      <w:bookmarkStart w:id="531" w:name="_Toc6698"/>
      <w:bookmarkStart w:id="532" w:name="_Toc3135"/>
      <w:bookmarkStart w:id="533" w:name="_Toc279701262"/>
      <w:bookmarkStart w:id="534" w:name="_Toc487900372"/>
      <w:bookmarkStart w:id="535"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sz w:val="24"/>
        </w:rPr>
      </w:pPr>
      <w:bookmarkStart w:id="536" w:name="_Toc23128"/>
      <w:bookmarkStart w:id="537"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sz w:val="24"/>
        </w:rPr>
      </w:pPr>
      <w:bookmarkStart w:id="538" w:name="_Toc18540"/>
      <w:bookmarkStart w:id="539" w:name="_Toc4355"/>
      <w:bookmarkStart w:id="540" w:name="_Toc30599"/>
      <w:r>
        <w:rPr>
          <w:rFonts w:hint="eastAsia" w:ascii="宋体" w:hAnsi="宋体" w:cs="宋体"/>
          <w:b/>
          <w:sz w:val="24"/>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1" w:name="_Toc487900373"/>
      <w:bookmarkStart w:id="542" w:name="_Toc259093692"/>
      <w:bookmarkStart w:id="543" w:name="_Toc279701263"/>
      <w:bookmarkStart w:id="544" w:name="_Toc18567"/>
      <w:bookmarkStart w:id="545" w:name="_Toc10330"/>
      <w:bookmarkStart w:id="546" w:name="_Toc12773"/>
      <w:r>
        <w:rPr>
          <w:rFonts w:hint="eastAsia" w:ascii="宋体" w:hAnsi="宋体" w:cs="宋体"/>
          <w:b/>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7" w:name="_Toc16673"/>
      <w:bookmarkStart w:id="548" w:name="_Toc3148"/>
      <w:bookmarkStart w:id="549" w:name="_Toc259093693"/>
      <w:bookmarkStart w:id="550" w:name="_Toc12004"/>
      <w:bookmarkStart w:id="551" w:name="_Toc279701264"/>
      <w:bookmarkStart w:id="552" w:name="_Toc487900374"/>
      <w:r>
        <w:rPr>
          <w:rFonts w:hint="eastAsia" w:ascii="宋体" w:hAnsi="宋体" w:cs="宋体"/>
          <w:b/>
          <w:sz w:val="24"/>
        </w:rPr>
        <w:t>2.20 履约保证金</w:t>
      </w:r>
      <w:bookmarkEnd w:id="547"/>
      <w:bookmarkEnd w:id="548"/>
      <w:bookmarkEnd w:id="549"/>
      <w:bookmarkEnd w:id="550"/>
      <w:bookmarkEnd w:id="551"/>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2"/>
    <w:p>
      <w:pPr>
        <w:spacing w:line="560" w:lineRule="exact"/>
        <w:ind w:firstLine="482" w:firstLineChars="200"/>
        <w:outlineLvl w:val="0"/>
        <w:rPr>
          <w:rFonts w:ascii="宋体" w:hAnsi="宋体" w:cs="宋体"/>
          <w:b/>
          <w:sz w:val="24"/>
        </w:rPr>
      </w:pPr>
      <w:bookmarkStart w:id="553" w:name="_Toc19890"/>
      <w:bookmarkStart w:id="554" w:name="_Toc6885"/>
      <w:bookmarkStart w:id="555" w:name="_Toc14001"/>
      <w:r>
        <w:rPr>
          <w:rFonts w:hint="eastAsia" w:ascii="宋体" w:hAnsi="宋体" w:cs="宋体"/>
          <w:b/>
          <w:sz w:val="24"/>
        </w:rPr>
        <w:t>2.22合同份数</w:t>
      </w:r>
      <w:bookmarkEnd w:id="553"/>
      <w:bookmarkEnd w:id="554"/>
      <w:bookmarkEnd w:id="55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6" w:name="_Toc331685784"/>
      <w:r>
        <w:rPr>
          <w:rFonts w:hint="eastAsia" w:ascii="宋体" w:hAnsi="宋体" w:cs="宋体"/>
          <w:b/>
          <w:sz w:val="32"/>
          <w:szCs w:val="20"/>
        </w:rPr>
        <w:t xml:space="preserve"> </w:t>
      </w:r>
      <w:bookmarkEnd w:id="556"/>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3" w:type="pct"/>
            <w:vAlign w:val="center"/>
          </w:tcPr>
          <w:p>
            <w:pPr>
              <w:spacing w:line="360" w:lineRule="auto"/>
              <w:rPr>
                <w:rFonts w:hint="eastAsia" w:ascii="宋体" w:hAnsi="宋体" w:cs="宋体"/>
                <w:sz w:val="24"/>
                <w:highlight w:val="none"/>
              </w:rPr>
            </w:pPr>
            <w:r>
              <w:rPr>
                <w:rFonts w:hint="eastAsia" w:ascii="宋体" w:hAnsi="宋体" w:cs="宋体"/>
                <w:sz w:val="24"/>
                <w:highlight w:val="none"/>
              </w:rPr>
              <w:t>资金支付的方式、时间和条件：本次项目合同总价为大写人民币            （￥    元），付款方式，具体如下：</w:t>
            </w:r>
          </w:p>
          <w:p>
            <w:pPr>
              <w:spacing w:line="360" w:lineRule="auto"/>
              <w:rPr>
                <w:rFonts w:ascii="宋体" w:hAnsi="宋体" w:cs="宋体"/>
                <w:sz w:val="24"/>
              </w:rPr>
            </w:pPr>
            <w:r>
              <w:rPr>
                <w:rFonts w:hint="eastAsia" w:ascii="宋体" w:hAnsi="宋体" w:cs="宋体"/>
                <w:sz w:val="24"/>
                <w:highlight w:val="none"/>
              </w:rPr>
              <w:t>签订合同之后支付合同总价的1%作为履约保证金，合同签订生效后7个工作日内支付合同金额的40％预付款，安装调试验收合格，经采购单位确认后于一周内支付100%货款</w:t>
            </w:r>
            <w:r>
              <w:rPr>
                <w:rFonts w:hint="eastAsia" w:ascii="宋体" w:hAnsi="宋体" w:cs="宋体"/>
                <w:sz w:val="24"/>
                <w:highlight w:val="none"/>
                <w:lang w:eastAsia="zh-CN"/>
              </w:rPr>
              <w:t>，</w:t>
            </w:r>
            <w:r>
              <w:rPr>
                <w:rFonts w:hint="eastAsia" w:ascii="宋体" w:hAnsi="宋体" w:cs="宋体"/>
                <w:sz w:val="24"/>
                <w:highlight w:val="none"/>
                <w:lang w:val="en-US" w:eastAsia="zh-CN"/>
              </w:rPr>
              <w:t>并退还履约保证金</w:t>
            </w: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pPr>
              <w:pStyle w:val="59"/>
              <w:snapToGrid w:val="0"/>
              <w:spacing w:before="0" w:beforeAutospacing="0" w:after="0" w:afterAutospacing="0" w:line="300" w:lineRule="auto"/>
            </w:pPr>
            <w:r>
              <w:rPr>
                <w:rFonts w:hint="eastAsia" w:asciiTheme="minorEastAsia" w:hAnsiTheme="minorEastAsia" w:eastAsiaTheme="minorEastAsia" w:cstheme="minorEastAsia"/>
              </w:rPr>
              <w:t>接甲方通知之日起入场，</w:t>
            </w:r>
            <w:r>
              <w:rPr>
                <w:rFonts w:hint="eastAsia" w:asciiTheme="minorEastAsia" w:hAnsiTheme="minorEastAsia" w:eastAsiaTheme="minorEastAsia" w:cstheme="minorEastAsia"/>
                <w:lang w:val="en-US" w:eastAsia="zh-CN"/>
              </w:rPr>
              <w:t>180</w:t>
            </w:r>
            <w:r>
              <w:rPr>
                <w:rFonts w:hint="eastAsia" w:asciiTheme="minorEastAsia" w:hAnsiTheme="minorEastAsia" w:eastAsiaTheme="minorEastAsia" w:cstheme="minorEastAsia"/>
              </w:rPr>
              <w:t>日历天</w:t>
            </w:r>
            <w:r>
              <w:rPr>
                <w:rFonts w:hint="eastAsia"/>
              </w:rPr>
              <w:t>内完成供货、安装和调试交付验收，如在规定的时间内由于乙方的原因不能完成安装和调试，乙方应承担由此给甲方造成的损失。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3" w:type="pct"/>
            <w:vAlign w:val="center"/>
          </w:tcPr>
          <w:p>
            <w:pPr>
              <w:adjustRightInd/>
              <w:spacing w:line="300" w:lineRule="auto"/>
              <w:rPr>
                <w:rFonts w:ascii="宋体" w:hAnsi="宋体"/>
                <w:kern w:val="0"/>
                <w:sz w:val="24"/>
              </w:rPr>
            </w:pPr>
            <w:r>
              <w:rPr>
                <w:rFonts w:hint="eastAsia" w:ascii="宋体" w:hAnsi="宋体"/>
                <w:kern w:val="0"/>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pPr>
              <w:adjustRightInd/>
              <w:spacing w:line="300" w:lineRule="auto"/>
              <w:rPr>
                <w:rFonts w:ascii="宋体" w:hAnsi="宋体"/>
                <w:kern w:val="0"/>
                <w:sz w:val="24"/>
              </w:rPr>
            </w:pPr>
            <w:r>
              <w:rPr>
                <w:rFonts w:hint="eastAsia" w:ascii="宋体" w:hAnsi="宋体"/>
                <w:kern w:val="0"/>
                <w:sz w:val="24"/>
              </w:rPr>
              <w:t>现场交付</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3" w:type="pct"/>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5"/>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5"/>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5"/>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5"/>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3" w:type="pct"/>
            <w:vAlign w:val="center"/>
          </w:tcPr>
          <w:p>
            <w:pPr>
              <w:spacing w:line="360" w:lineRule="auto"/>
              <w:rPr>
                <w:rFonts w:ascii="宋体" w:hAnsi="宋体" w:cs="宋体"/>
                <w:sz w:val="24"/>
              </w:rPr>
            </w:pPr>
            <w:r>
              <w:rPr>
                <w:rFonts w:hint="eastAsia" w:ascii="宋体" w:hAnsi="宋体" w:cs="宋体"/>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3" w:type="pct"/>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3" w:type="pct"/>
            <w:vAlign w:val="center"/>
          </w:tcPr>
          <w:p>
            <w:pPr>
              <w:spacing w:line="30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3" w:type="pct"/>
            <w:vAlign w:val="center"/>
          </w:tcPr>
          <w:p>
            <w:pPr>
              <w:spacing w:line="30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3" w:type="pct"/>
            <w:vAlign w:val="center"/>
          </w:tcPr>
          <w:p>
            <w:pPr>
              <w:spacing w:line="30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3" w:type="pct"/>
          </w:tcPr>
          <w:p>
            <w:pPr>
              <w:spacing w:line="30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3" w:type="pct"/>
            <w:vAlign w:val="center"/>
          </w:tcPr>
          <w:p>
            <w:pPr>
              <w:spacing w:line="300" w:lineRule="auto"/>
              <w:rPr>
                <w:rFonts w:ascii="宋体" w:hAnsi="宋体" w:cs="宋体"/>
                <w:sz w:val="24"/>
              </w:rPr>
            </w:pPr>
            <w:r>
              <w:rPr>
                <w:rFonts w:hint="eastAsia" w:ascii="宋体" w:hAnsi="宋体"/>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3" w:type="pct"/>
            <w:vAlign w:val="center"/>
          </w:tcPr>
          <w:p>
            <w:pPr>
              <w:spacing w:line="300" w:lineRule="auto"/>
              <w:rPr>
                <w:rFonts w:ascii="宋体" w:hAnsi="宋体" w:cs="宋体"/>
                <w:sz w:val="24"/>
              </w:rPr>
            </w:pPr>
            <w:r>
              <w:rPr>
                <w:rFonts w:hint="eastAsia" w:ascii="宋体" w:hAnsi="宋体"/>
                <w:sz w:val="24"/>
              </w:rPr>
              <w:t>不可抗力时间发生后7天内，14天内；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3" w:type="pct"/>
            <w:vAlign w:val="center"/>
          </w:tcPr>
          <w:p>
            <w:pPr>
              <w:spacing w:line="300" w:lineRule="auto"/>
              <w:rPr>
                <w:rFonts w:ascii="宋体" w:hAnsi="宋体" w:cs="宋体"/>
                <w:sz w:val="24"/>
              </w:rPr>
            </w:pPr>
            <w:r>
              <w:rPr>
                <w:rFonts w:hint="eastAsia" w:ascii="宋体" w:hAnsi="宋体" w:cs="宋体"/>
                <w:sz w:val="24"/>
              </w:rPr>
              <w:t>乙方提交验收申请</w:t>
            </w:r>
            <w:r>
              <w:rPr>
                <w:rFonts w:ascii="宋体" w:hAnsi="宋体" w:cs="宋体"/>
                <w:sz w:val="24"/>
              </w:rPr>
              <w:t>30天内组织验收会议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3" w:type="pct"/>
            <w:vAlign w:val="center"/>
          </w:tcPr>
          <w:p>
            <w:pPr>
              <w:spacing w:line="300" w:lineRule="auto"/>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3" w:type="pct"/>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3" w:type="pct"/>
            <w:vAlign w:val="center"/>
          </w:tcPr>
          <w:p>
            <w:pPr>
              <w:spacing w:line="360" w:lineRule="auto"/>
              <w:rPr>
                <w:rFonts w:ascii="宋体" w:hAnsi="宋体" w:cs="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2.23</w:t>
            </w:r>
          </w:p>
        </w:tc>
        <w:tc>
          <w:tcPr>
            <w:tcW w:w="4533" w:type="pct"/>
            <w:vAlign w:val="center"/>
          </w:tcPr>
          <w:p>
            <w:pPr>
              <w:tabs>
                <w:tab w:val="left" w:pos="0"/>
              </w:tabs>
              <w:spacing w:line="300" w:lineRule="auto"/>
              <w:ind w:firstLine="240" w:firstLineChars="100"/>
              <w:rPr>
                <w:rFonts w:ascii="宋体" w:hAnsi="宋体"/>
                <w:sz w:val="24"/>
              </w:rPr>
            </w:pPr>
            <w:r>
              <w:rPr>
                <w:rFonts w:hint="eastAsia" w:ascii="宋体" w:hAnsi="宋体"/>
                <w:sz w:val="24"/>
              </w:rPr>
              <w:t>甲乙双方的权利和义务</w:t>
            </w:r>
          </w:p>
          <w:p>
            <w:pPr>
              <w:tabs>
                <w:tab w:val="left" w:pos="0"/>
              </w:tabs>
              <w:spacing w:line="300" w:lineRule="auto"/>
              <w:ind w:firstLine="240" w:firstLineChars="100"/>
              <w:rPr>
                <w:sz w:val="24"/>
              </w:rPr>
            </w:pPr>
            <w:r>
              <w:rPr>
                <w:rFonts w:hint="eastAsia"/>
                <w:sz w:val="24"/>
              </w:rPr>
              <w:t>一、甲方</w:t>
            </w:r>
            <w:r>
              <w:rPr>
                <w:rFonts w:hint="eastAsia" w:ascii="宋体" w:hAnsi="宋体"/>
                <w:sz w:val="24"/>
              </w:rPr>
              <w:t>权利和义务</w:t>
            </w:r>
          </w:p>
          <w:p>
            <w:pPr>
              <w:tabs>
                <w:tab w:val="left" w:pos="0"/>
              </w:tabs>
              <w:spacing w:line="300" w:lineRule="auto"/>
              <w:ind w:firstLine="240" w:firstLineChars="100"/>
              <w:rPr>
                <w:rFonts w:ascii="宋体" w:hAnsi="宋体"/>
                <w:sz w:val="24"/>
              </w:rPr>
            </w:pPr>
            <w:r>
              <w:rPr>
                <w:rFonts w:hint="eastAsia" w:ascii="宋体" w:hAnsi="宋体"/>
                <w:sz w:val="24"/>
              </w:rPr>
              <w:t>1、为乙方工作提供良好的外部条件，并按照合同约定支付款项；</w:t>
            </w:r>
          </w:p>
          <w:p>
            <w:pPr>
              <w:tabs>
                <w:tab w:val="left" w:pos="0"/>
              </w:tabs>
              <w:spacing w:line="300" w:lineRule="auto"/>
              <w:ind w:firstLine="240" w:firstLineChars="100"/>
              <w:rPr>
                <w:rFonts w:ascii="宋体" w:hAnsi="宋体"/>
                <w:sz w:val="24"/>
              </w:rPr>
            </w:pPr>
            <w:r>
              <w:rPr>
                <w:rFonts w:hint="eastAsia" w:ascii="宋体" w:hAnsi="宋体"/>
                <w:sz w:val="24"/>
              </w:rPr>
              <w:t>2、甲方按双方约定的内容和时间，向乙方提供与项目有关的可以提供的资料；</w:t>
            </w:r>
          </w:p>
          <w:p>
            <w:pPr>
              <w:tabs>
                <w:tab w:val="left" w:pos="0"/>
              </w:tabs>
              <w:spacing w:line="300" w:lineRule="auto"/>
              <w:ind w:firstLine="240" w:firstLineChars="100"/>
              <w:rPr>
                <w:rFonts w:ascii="宋体" w:hAnsi="宋体"/>
                <w:sz w:val="24"/>
              </w:rPr>
            </w:pPr>
            <w:r>
              <w:rPr>
                <w:rFonts w:hint="eastAsia" w:ascii="宋体" w:hAnsi="宋体"/>
                <w:sz w:val="24"/>
              </w:rPr>
              <w:t>3、甲方授权一名熟悉本项目情况的代表，负责与乙方联系，更换代表前将提前通知乙方；</w:t>
            </w:r>
          </w:p>
          <w:p>
            <w:pPr>
              <w:tabs>
                <w:tab w:val="left" w:pos="0"/>
              </w:tabs>
              <w:spacing w:line="300" w:lineRule="auto"/>
              <w:ind w:firstLine="240" w:firstLineChars="100"/>
              <w:rPr>
                <w:rFonts w:ascii="宋体" w:hAnsi="宋体"/>
                <w:sz w:val="24"/>
              </w:rPr>
            </w:pPr>
            <w:r>
              <w:rPr>
                <w:rFonts w:hint="eastAsia" w:ascii="宋体" w:hAnsi="宋体"/>
                <w:sz w:val="24"/>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sz w:val="24"/>
              </w:rPr>
            </w:pPr>
            <w:r>
              <w:rPr>
                <w:rFonts w:hint="eastAsia" w:ascii="宋体" w:hAnsi="宋体"/>
                <w:sz w:val="24"/>
              </w:rPr>
              <w:t>5、根据实际情况，甲方有权要求乙方对已经确认的方案进行修改、变通，乙方应当配合执行，以保证项目顺利进行；</w:t>
            </w:r>
          </w:p>
          <w:p>
            <w:pPr>
              <w:tabs>
                <w:tab w:val="left" w:pos="0"/>
              </w:tabs>
              <w:spacing w:line="300" w:lineRule="auto"/>
              <w:ind w:firstLine="240" w:firstLineChars="100"/>
              <w:rPr>
                <w:rFonts w:ascii="宋体" w:hAnsi="宋体"/>
                <w:sz w:val="24"/>
              </w:rPr>
            </w:pPr>
            <w:r>
              <w:rPr>
                <w:rFonts w:hint="eastAsia" w:ascii="宋体" w:hAnsi="宋体"/>
                <w:sz w:val="24"/>
              </w:rPr>
              <w:t>6、甲方有权对质量不合格产品进行拒收。</w:t>
            </w:r>
          </w:p>
          <w:p>
            <w:pPr>
              <w:tabs>
                <w:tab w:val="left" w:pos="0"/>
              </w:tabs>
              <w:spacing w:line="300" w:lineRule="auto"/>
              <w:ind w:firstLine="240" w:firstLineChars="100"/>
              <w:rPr>
                <w:rFonts w:ascii="宋体" w:hAnsi="宋体"/>
                <w:sz w:val="24"/>
              </w:rPr>
            </w:pPr>
            <w:r>
              <w:rPr>
                <w:rFonts w:hint="eastAsia" w:ascii="宋体" w:hAnsi="宋体"/>
                <w:sz w:val="24"/>
              </w:rPr>
              <w:t>二、乙方权利和义务</w:t>
            </w:r>
          </w:p>
          <w:p>
            <w:pPr>
              <w:tabs>
                <w:tab w:val="left" w:pos="0"/>
              </w:tabs>
              <w:spacing w:line="300" w:lineRule="auto"/>
              <w:ind w:firstLine="240" w:firstLineChars="100"/>
              <w:rPr>
                <w:rFonts w:ascii="宋体" w:hAnsi="宋体"/>
                <w:sz w:val="24"/>
              </w:rPr>
            </w:pPr>
            <w:r>
              <w:rPr>
                <w:rFonts w:hint="eastAsia" w:ascii="宋体" w:hAnsi="宋体"/>
                <w:sz w:val="24"/>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ascii="宋体" w:hAnsi="宋体"/>
                <w:sz w:val="24"/>
              </w:rPr>
            </w:pPr>
            <w:r>
              <w:rPr>
                <w:rFonts w:hint="eastAsia" w:ascii="宋体" w:hAnsi="宋体"/>
                <w:sz w:val="24"/>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ascii="宋体" w:hAnsi="宋体"/>
                <w:sz w:val="24"/>
              </w:rPr>
            </w:pPr>
            <w:r>
              <w:rPr>
                <w:rFonts w:hint="eastAsia" w:ascii="宋体" w:hAnsi="宋体"/>
                <w:sz w:val="24"/>
              </w:rPr>
              <w:t>3、乙方应指派一名授权项目代表，负责与甲方的联络。代表更换应至少提前两天通知甲方。项目</w:t>
            </w:r>
            <w:r>
              <w:rPr>
                <w:rFonts w:hint="eastAsia"/>
                <w:sz w:val="24"/>
              </w:rPr>
              <w:t>负责人：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；邮箱：</w:t>
            </w:r>
            <w:r>
              <w:rPr>
                <w:rFonts w:hint="eastAsia"/>
                <w:sz w:val="24"/>
                <w:u w:val="single"/>
              </w:rPr>
              <w:t xml:space="preserve">     </w:t>
            </w:r>
            <w:r>
              <w:rPr>
                <w:rFonts w:hint="eastAsia"/>
                <w:sz w:val="24"/>
              </w:rPr>
              <w:t>。</w:t>
            </w:r>
          </w:p>
          <w:p>
            <w:pPr>
              <w:tabs>
                <w:tab w:val="left" w:pos="0"/>
              </w:tabs>
              <w:spacing w:line="300" w:lineRule="auto"/>
              <w:ind w:firstLine="240" w:firstLineChars="100"/>
              <w:rPr>
                <w:rFonts w:ascii="宋体" w:hAnsi="宋体"/>
                <w:sz w:val="24"/>
              </w:rPr>
            </w:pPr>
            <w:r>
              <w:rPr>
                <w:rFonts w:hint="eastAsia" w:ascii="宋体" w:hAnsi="宋体"/>
                <w:sz w:val="24"/>
              </w:rPr>
              <w:t>4、乙方承诺按照招标文件要求和投标文件承诺提供各项服务；</w:t>
            </w:r>
          </w:p>
          <w:p>
            <w:pPr>
              <w:tabs>
                <w:tab w:val="left" w:pos="0"/>
              </w:tabs>
              <w:spacing w:line="300" w:lineRule="auto"/>
              <w:ind w:firstLine="240" w:firstLineChars="100"/>
              <w:rPr>
                <w:rFonts w:ascii="宋体" w:hAnsi="宋体"/>
                <w:sz w:val="24"/>
              </w:rPr>
            </w:pPr>
            <w:r>
              <w:rPr>
                <w:rFonts w:hint="eastAsia" w:ascii="宋体" w:hAnsi="宋体"/>
                <w:sz w:val="24"/>
              </w:rPr>
              <w:t>5、乙方提供</w:t>
            </w:r>
            <w:r>
              <w:rPr>
                <w:rFonts w:ascii="宋体" w:hAnsi="宋体" w:cs="仿宋_GB2312"/>
                <w:sz w:val="24"/>
              </w:rPr>
              <w:t>通风场地进行货物存放，且保证货物质量，接到</w:t>
            </w:r>
            <w:r>
              <w:rPr>
                <w:rFonts w:hint="eastAsia" w:ascii="宋体" w:hAnsi="宋体" w:cs="仿宋_GB2312"/>
                <w:sz w:val="24"/>
              </w:rPr>
              <w:t>甲方</w:t>
            </w:r>
            <w:r>
              <w:rPr>
                <w:rFonts w:ascii="宋体" w:hAnsi="宋体" w:cs="仿宋_GB2312"/>
                <w:sz w:val="24"/>
              </w:rPr>
              <w:t>发货通知后配合发货及安装</w:t>
            </w:r>
            <w:r>
              <w:rPr>
                <w:rFonts w:hint="eastAsia" w:ascii="宋体" w:hAnsi="宋体" w:cs="仿宋_GB2312"/>
                <w:sz w:val="24"/>
              </w:rPr>
              <w:t>；</w:t>
            </w:r>
          </w:p>
          <w:p>
            <w:pPr>
              <w:tabs>
                <w:tab w:val="left" w:pos="0"/>
              </w:tabs>
              <w:spacing w:line="300" w:lineRule="auto"/>
              <w:ind w:firstLine="240" w:firstLineChars="100"/>
              <w:rPr>
                <w:rFonts w:ascii="宋体" w:hAnsi="宋体"/>
                <w:sz w:val="24"/>
              </w:rPr>
            </w:pPr>
            <w:r>
              <w:rPr>
                <w:rFonts w:hint="eastAsia" w:ascii="宋体" w:hAnsi="宋体"/>
                <w:sz w:val="24"/>
              </w:rPr>
              <w:t>6、乙方提供的所有产品均应符合质量合格标准；</w:t>
            </w:r>
          </w:p>
          <w:p>
            <w:pPr>
              <w:tabs>
                <w:tab w:val="left" w:pos="0"/>
              </w:tabs>
              <w:spacing w:line="300" w:lineRule="auto"/>
              <w:ind w:firstLine="240" w:firstLineChars="100"/>
              <w:rPr>
                <w:rFonts w:ascii="宋体" w:hAnsi="宋体"/>
                <w:sz w:val="24"/>
              </w:rPr>
            </w:pPr>
            <w:r>
              <w:rPr>
                <w:rFonts w:hint="eastAsia" w:ascii="宋体" w:hAnsi="宋体"/>
                <w:sz w:val="24"/>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2.24</w:t>
            </w:r>
          </w:p>
        </w:tc>
        <w:tc>
          <w:tcPr>
            <w:tcW w:w="4533" w:type="pct"/>
            <w:vAlign w:val="center"/>
          </w:tcPr>
          <w:p>
            <w:pPr>
              <w:spacing w:line="300" w:lineRule="auto"/>
              <w:rPr>
                <w:sz w:val="24"/>
              </w:rPr>
            </w:pPr>
            <w:r>
              <w:rPr>
                <w:rFonts w:hint="eastAsia"/>
                <w:sz w:val="24"/>
              </w:rPr>
              <w:t xml:space="preserve">质保期： </w:t>
            </w:r>
            <w:r>
              <w:rPr>
                <w:sz w:val="24"/>
              </w:rPr>
              <w:t>质保期为验收合格之日起</w:t>
            </w:r>
            <w:r>
              <w:rPr>
                <w:rFonts w:hint="eastAsia"/>
                <w:sz w:val="24"/>
                <w:u w:val="single"/>
              </w:rPr>
              <w:t xml:space="preserve">    </w:t>
            </w:r>
            <w:r>
              <w:rPr>
                <w:sz w:val="24"/>
              </w:rPr>
              <w:t>年。</w:t>
            </w:r>
          </w:p>
          <w:p>
            <w:pPr>
              <w:spacing w:line="300" w:lineRule="auto"/>
              <w:rPr>
                <w:sz w:val="24"/>
              </w:rPr>
            </w:pPr>
            <w:r>
              <w:rPr>
                <w:rFonts w:hint="eastAsia"/>
                <w:sz w:val="24"/>
              </w:rPr>
              <w:t>质保范围：</w:t>
            </w:r>
            <w:r>
              <w:rPr>
                <w:rFonts w:hint="eastAsia" w:ascii="宋体" w:hAnsi="宋体"/>
                <w:sz w:val="24"/>
              </w:rPr>
              <w:t>保修期内产品因设计、质量出现问题，均由乙方即时解决（包括更换配件耗材）。</w:t>
            </w:r>
          </w:p>
          <w:p>
            <w:pPr>
              <w:tabs>
                <w:tab w:val="left" w:pos="0"/>
              </w:tabs>
              <w:spacing w:line="300" w:lineRule="auto"/>
              <w:rPr>
                <w:rFonts w:ascii="宋体" w:hAnsi="宋体"/>
                <w:sz w:val="24"/>
              </w:rPr>
            </w:pPr>
            <w:r>
              <w:rPr>
                <w:rFonts w:hint="eastAsia"/>
                <w:sz w:val="24"/>
              </w:rPr>
              <w:t>售后服务内容：（根据投标响应补充）</w:t>
            </w:r>
          </w:p>
        </w:tc>
      </w:tr>
    </w:tbl>
    <w:p>
      <w:pPr>
        <w:pStyle w:val="5"/>
      </w:pPr>
    </w:p>
    <w:p>
      <w:pPr>
        <w:pStyle w:val="3"/>
        <w:rPr>
          <w:rFonts w:ascii="宋体" w:hAnsi="宋体" w:cs="宋体"/>
          <w:color w:val="auto"/>
          <w:sz w:val="24"/>
        </w:rPr>
      </w:pPr>
    </w:p>
    <w:p>
      <w:pPr>
        <w:rPr>
          <w:rFonts w:ascii="宋体" w:hAnsi="宋体" w:cs="宋体"/>
          <w:color w:val="auto"/>
          <w:sz w:val="24"/>
        </w:rPr>
      </w:pPr>
    </w:p>
    <w:p>
      <w:pPr>
        <w:pStyle w:val="5"/>
        <w:rPr>
          <w:rFonts w:ascii="宋体" w:hAnsi="宋体" w:cs="宋体"/>
          <w:color w:val="auto"/>
          <w:sz w:val="24"/>
        </w:rPr>
      </w:pPr>
    </w:p>
    <w:p>
      <w:pPr>
        <w:rPr>
          <w:rFonts w:ascii="宋体" w:hAnsi="宋体" w:cs="宋体"/>
          <w:color w:val="auto"/>
          <w:sz w:val="24"/>
        </w:rPr>
      </w:pPr>
    </w:p>
    <w:p>
      <w:pPr>
        <w:pStyle w:val="5"/>
        <w:rPr>
          <w:rFonts w:ascii="宋体" w:hAnsi="宋体" w:cs="宋体"/>
          <w:color w:val="auto"/>
          <w:sz w:val="24"/>
        </w:rPr>
      </w:pPr>
    </w:p>
    <w:p>
      <w:pPr>
        <w:rPr>
          <w:rFonts w:ascii="宋体" w:hAnsi="宋体" w:cs="宋体"/>
          <w:color w:val="auto"/>
          <w:sz w:val="24"/>
        </w:rPr>
      </w:pPr>
    </w:p>
    <w:p>
      <w:pPr>
        <w:pStyle w:val="5"/>
        <w:rPr>
          <w:rFonts w:ascii="宋体" w:hAnsi="宋体" w:cs="宋体"/>
          <w:color w:val="auto"/>
          <w:sz w:val="24"/>
        </w:rPr>
      </w:pPr>
    </w:p>
    <w:p>
      <w:pPr>
        <w:rPr>
          <w:rFonts w:ascii="宋体" w:hAnsi="宋体" w:cs="宋体"/>
          <w:color w:val="auto"/>
          <w:sz w:val="24"/>
        </w:rPr>
      </w:pPr>
    </w:p>
    <w:p>
      <w:pPr>
        <w:pStyle w:val="5"/>
      </w:pPr>
    </w:p>
    <w:p>
      <w:pPr>
        <w:pStyle w:val="3"/>
        <w:rPr>
          <w:rFonts w:ascii="宋体" w:hAnsi="宋体" w:cs="宋体"/>
          <w:color w:val="auto"/>
          <w:sz w:val="24"/>
        </w:rPr>
      </w:pPr>
    </w:p>
    <w:p>
      <w:pPr>
        <w:rPr>
          <w:rFonts w:ascii="宋体" w:hAnsi="宋体" w:cs="宋体"/>
          <w:color w:val="auto"/>
          <w:sz w:val="24"/>
        </w:rPr>
      </w:pPr>
    </w:p>
    <w:p>
      <w:pPr>
        <w:pStyle w:val="2"/>
      </w:pPr>
    </w:p>
    <w:p>
      <w:pPr>
        <w:pStyle w:val="3"/>
        <w:rPr>
          <w:rFonts w:ascii="宋体" w:hAnsi="宋体" w:cs="宋体"/>
          <w:color w:val="auto"/>
          <w:sz w:val="24"/>
        </w:rPr>
      </w:pPr>
    </w:p>
    <w:p>
      <w:pPr>
        <w:spacing w:line="360" w:lineRule="auto"/>
        <w:ind w:right="-420" w:rightChars="-200"/>
        <w:jc w:val="both"/>
        <w:outlineLvl w:val="0"/>
        <w:rPr>
          <w:rFonts w:ascii="宋体" w:hAnsi="宋体" w:cs="宋体"/>
          <w:color w:val="auto"/>
          <w:sz w:val="24"/>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sz w:val="24"/>
          <w:highlight w:val="none"/>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pStyle w:val="5"/>
        <w:ind w:left="0" w:leftChars="0" w:firstLine="0" w:firstLineChars="0"/>
        <w:rPr>
          <w:color w:val="auto"/>
        </w:rPr>
      </w:pPr>
    </w:p>
    <w:p>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5"/>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sz w:val="24"/>
          <w:highlight w:val="none"/>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sz w:val="24"/>
          <w:highlight w:val="none"/>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sz w:val="24"/>
          <w:highlight w:val="none"/>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firstLine="480" w:firstLineChars="200"/>
        <w:rPr>
          <w:rFonts w:ascii="宋体" w:hAnsi="宋体" w:cs="宋体"/>
          <w:color w:val="auto"/>
          <w:kern w:val="0"/>
          <w:sz w:val="24"/>
          <w:highlight w:val="cyan"/>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5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7"/>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5"/>
        <w:rPr>
          <w:color w:val="auto"/>
          <w:lang w:val="en-US"/>
        </w:rPr>
      </w:pPr>
    </w:p>
    <w:p>
      <w:pPr>
        <w:rPr>
          <w:color w:val="auto"/>
        </w:rPr>
      </w:pPr>
    </w:p>
    <w:p>
      <w:pPr>
        <w:pStyle w:val="5"/>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13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130"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335"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130" w:type="dxa"/>
          </w:tcPr>
          <w:p>
            <w:pPr>
              <w:jc w:val="center"/>
              <w:rPr>
                <w:rFonts w:ascii="宋体" w:hAnsi="宋体" w:cs="宋体"/>
                <w:b/>
                <w:color w:val="auto"/>
                <w:kern w:val="0"/>
                <w:sz w:val="32"/>
                <w:szCs w:val="32"/>
              </w:rPr>
            </w:pPr>
          </w:p>
        </w:tc>
        <w:tc>
          <w:tcPr>
            <w:tcW w:w="1335"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130" w:type="dxa"/>
          </w:tcPr>
          <w:p>
            <w:pPr>
              <w:jc w:val="center"/>
              <w:rPr>
                <w:rFonts w:ascii="宋体" w:hAnsi="宋体" w:cs="宋体"/>
                <w:b/>
                <w:color w:val="auto"/>
                <w:kern w:val="0"/>
                <w:sz w:val="32"/>
                <w:szCs w:val="32"/>
              </w:rPr>
            </w:pPr>
          </w:p>
        </w:tc>
        <w:tc>
          <w:tcPr>
            <w:tcW w:w="1335"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130" w:type="dxa"/>
          </w:tcPr>
          <w:p>
            <w:pPr>
              <w:jc w:val="center"/>
              <w:rPr>
                <w:rFonts w:ascii="宋体" w:hAnsi="宋体" w:cs="宋体"/>
                <w:b/>
                <w:color w:val="auto"/>
                <w:kern w:val="0"/>
                <w:sz w:val="32"/>
                <w:szCs w:val="32"/>
              </w:rPr>
            </w:pPr>
          </w:p>
        </w:tc>
        <w:tc>
          <w:tcPr>
            <w:tcW w:w="1335"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如果有</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杭州市西湖区人民法院</w:t>
      </w:r>
      <w:r>
        <w:rPr>
          <w:rFonts w:hint="eastAsia" w:ascii="宋体" w:hAnsi="宋体" w:cs="宋体"/>
          <w:color w:val="auto"/>
          <w:sz w:val="24"/>
        </w:rPr>
        <w:t>、</w:t>
      </w:r>
      <w:r>
        <w:rPr>
          <w:rFonts w:hint="eastAsia" w:ascii="宋体" w:hAnsi="宋体" w:cs="宋体"/>
          <w:color w:val="auto"/>
          <w:sz w:val="24"/>
          <w:lang w:eastAsia="zh-CN"/>
        </w:rPr>
        <w:t>杭州市西湖区政府采购中心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XHZFCG-2024-G-28</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是否为中小企业</w:t>
            </w:r>
          </w:p>
        </w:tc>
        <w:tc>
          <w:tcPr>
            <w:tcW w:w="7655" w:type="dxa"/>
            <w:gridSpan w:val="4"/>
            <w:vAlign w:val="center"/>
          </w:tcPr>
          <w:p>
            <w:pPr>
              <w:spacing w:line="360" w:lineRule="auto"/>
              <w:jc w:val="center"/>
              <w:rPr>
                <w:rFonts w:hint="eastAsia" w:ascii="宋体" w:hAnsi="宋体" w:eastAsia="宋体" w:cs="宋体"/>
                <w:color w:val="auto"/>
                <w:sz w:val="24"/>
                <w:lang w:val="en-US" w:eastAsia="zh-CN"/>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8" w:name="_Hlk101259491"/>
      <w:r>
        <w:rPr>
          <w:rFonts w:hint="eastAsia" w:ascii="宋体" w:hAnsi="宋体" w:eastAsia="宋体" w:cs="宋体"/>
          <w:color w:val="auto"/>
          <w:sz w:val="32"/>
          <w:szCs w:val="32"/>
        </w:rPr>
        <w:t>（如果有）</w:t>
      </w:r>
      <w:bookmarkEnd w:id="558"/>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9" w:name="_Toc465665161"/>
      <w:r>
        <w:rPr>
          <w:rFonts w:hint="eastAsia" w:ascii="宋体" w:hAnsi="宋体" w:cs="宋体"/>
          <w:color w:val="auto"/>
        </w:rPr>
        <w:t>附件</w:t>
      </w:r>
      <w:bookmarkEnd w:id="559"/>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60" w:name="OLE_LINK13"/>
      <w:bookmarkStart w:id="561" w:name="OLE_LINK14"/>
      <w:r>
        <w:rPr>
          <w:rFonts w:hint="eastAsia" w:ascii="宋体" w:hAnsi="宋体" w:cs="宋体"/>
          <w:b/>
          <w:color w:val="auto"/>
          <w:spacing w:val="6"/>
          <w:sz w:val="32"/>
          <w:szCs w:val="32"/>
        </w:rPr>
        <w:t>残疾人福利性单位声明函</w:t>
      </w:r>
    </w:p>
    <w:bookmarkEnd w:id="560"/>
    <w:bookmarkEnd w:id="56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杭州市西湖区人民法院</w:t>
      </w:r>
      <w:r>
        <w:rPr>
          <w:rFonts w:hint="eastAsia" w:ascii="宋体" w:hAnsi="宋体" w:cs="宋体"/>
          <w:color w:val="auto"/>
          <w:sz w:val="24"/>
        </w:rPr>
        <w:t>单位的</w:t>
      </w:r>
      <w:r>
        <w:rPr>
          <w:rFonts w:hint="eastAsia" w:ascii="宋体" w:hAnsi="宋体" w:cs="宋体"/>
          <w:color w:val="auto"/>
          <w:sz w:val="24"/>
          <w:u w:val="single"/>
          <w:lang w:eastAsia="zh-CN"/>
        </w:rPr>
        <w:t>杭州市西湖区人民法院10楼空调设备第三次采购项目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杭州市西湖区人民法院</w:t>
      </w:r>
      <w:r>
        <w:rPr>
          <w:rFonts w:hint="eastAsia" w:ascii="宋体" w:hAnsi="宋体" w:cs="宋体"/>
          <w:color w:val="auto"/>
          <w:sz w:val="24"/>
          <w:u w:val="single"/>
        </w:rPr>
        <w:t>、</w:t>
      </w:r>
      <w:r>
        <w:rPr>
          <w:rFonts w:hint="eastAsia" w:ascii="宋体" w:hAnsi="宋体" w:cs="宋体"/>
          <w:color w:val="auto"/>
          <w:sz w:val="24"/>
          <w:u w:val="single"/>
          <w:lang w:eastAsia="zh-CN"/>
        </w:rPr>
        <w:t>杭州市西湖区政府采购中心</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both"/>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6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2"/>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pStyle w:val="25"/>
        <w:rPr>
          <w:rFonts w:ascii="宋体" w:hAnsi="宋体" w:cs="宋体"/>
          <w:b/>
          <w:color w:val="auto"/>
          <w:spacing w:val="6"/>
          <w:sz w:val="32"/>
          <w:szCs w:val="32"/>
        </w:rPr>
      </w:pPr>
    </w:p>
    <w:p>
      <w:pPr>
        <w:pStyle w:val="26"/>
        <w:rPr>
          <w:rFonts w:ascii="宋体" w:hAnsi="宋体" w:cs="宋体"/>
          <w:b/>
          <w:color w:val="auto"/>
          <w:spacing w:val="6"/>
          <w:sz w:val="32"/>
          <w:szCs w:val="32"/>
        </w:rPr>
      </w:pPr>
    </w:p>
    <w:p>
      <w:pPr>
        <w:rPr>
          <w:rFonts w:ascii="宋体" w:hAnsi="宋体" w:cs="宋体"/>
          <w:b/>
          <w:color w:val="auto"/>
          <w:spacing w:val="6"/>
          <w:sz w:val="32"/>
          <w:szCs w:val="32"/>
        </w:rPr>
      </w:pPr>
    </w:p>
    <w:p>
      <w:pPr>
        <w:pStyle w:val="25"/>
        <w:rPr>
          <w:rFonts w:ascii="宋体" w:hAnsi="宋体" w:cs="宋体"/>
          <w:b/>
          <w:color w:val="auto"/>
          <w:spacing w:val="6"/>
          <w:sz w:val="32"/>
          <w:szCs w:val="32"/>
        </w:rPr>
      </w:pPr>
    </w:p>
    <w:p>
      <w:pPr>
        <w:pStyle w:val="26"/>
      </w:pPr>
    </w:p>
    <w:p>
      <w:pPr>
        <w:pStyle w:val="5"/>
        <w:ind w:left="0" w:leftChars="0" w:firstLine="0" w:firstLineChars="0"/>
        <w:rPr>
          <w:rFonts w:hint="eastAsia" w:eastAsia="仿宋_GB2312"/>
          <w:lang w:eastAsia="zh-CN"/>
        </w:rPr>
      </w:pPr>
    </w:p>
    <w:p>
      <w:pPr>
        <w:autoSpaceDE w:val="0"/>
        <w:autoSpaceDN w:val="0"/>
        <w:jc w:val="both"/>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杭州市西湖区人民法院10楼空调设备第三次采购项目</w:t>
      </w:r>
      <w:r>
        <w:rPr>
          <w:rFonts w:hint="eastAsia" w:ascii="宋体" w:hAnsi="宋体" w:cs="宋体"/>
          <w:color w:val="auto"/>
          <w:sz w:val="24"/>
        </w:rPr>
        <w:t>【招标编号：</w:t>
      </w:r>
      <w:r>
        <w:rPr>
          <w:rFonts w:hint="eastAsia" w:ascii="宋体" w:hAnsi="宋体" w:cs="宋体"/>
          <w:color w:val="auto"/>
          <w:sz w:val="24"/>
          <w:lang w:eastAsia="zh-CN"/>
        </w:rPr>
        <w:t>XHZFCG-2024-G-28</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中中小企业、其中小微企业合同金额应当达到的比例要求填写。</w:t>
      </w:r>
      <w:r>
        <w:rPr>
          <w:rFonts w:hint="eastAsia" w:ascii="宋体" w:hAnsi="宋体" w:cs="宋体"/>
          <w:b/>
          <w:bCs/>
          <w:color w:val="auto"/>
          <w:kern w:val="0"/>
          <w:sz w:val="24"/>
          <w:lang w:val="zh-CN"/>
        </w:rPr>
        <w:t>）</w:t>
      </w:r>
      <w:bookmarkEnd w:id="563"/>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杭州市西湖区人民法院</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杭州市西湖区人民法院10楼空调设备第三次采购项目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highlight w:val="none"/>
          <w:u w:val="single"/>
        </w:rPr>
        <w:t>（标的名称）</w:t>
      </w:r>
      <w:r>
        <w:rPr>
          <w:rFonts w:hint="eastAsia" w:ascii="宋体" w:hAnsi="宋体" w:cs="宋体"/>
          <w:color w:val="auto"/>
          <w:sz w:val="24"/>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highlight w:val="none"/>
          <w:u w:val="single"/>
        </w:rPr>
        <w:t>（标的名称）</w:t>
      </w:r>
      <w:r>
        <w:rPr>
          <w:rFonts w:hint="eastAsia" w:ascii="宋体" w:hAnsi="宋体" w:cs="宋体"/>
          <w:color w:val="auto"/>
          <w:sz w:val="24"/>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b/>
          <w:bCs/>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color w:val="auto"/>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4" w:name="_Toc164085800"/>
    <w:bookmarkStart w:id="565" w:name="_Toc91899912"/>
    <w:bookmarkStart w:id="566" w:name="_Toc36110187"/>
    <w:bookmarkStart w:id="567" w:name="_Toc13184514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eastAsia="zh-CN"/>
      </w:rPr>
      <w:t>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default"/>
        <w:lang w:val="en-US"/>
      </w:rPr>
      <w:t xml:space="preserve"> </w:t>
    </w:r>
    <w:r>
      <w:rPr>
        <w:rFonts w:hint="eastAsia"/>
        <w:lang w:eastAsia="zh-CN"/>
      </w:rPr>
      <w:t>西湖区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rPr>
        <w:rFonts w:hint="eastAsia"/>
        <w:lang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5B36"/>
    <w:multiLevelType w:val="singleLevel"/>
    <w:tmpl w:val="8FFC5B36"/>
    <w:lvl w:ilvl="0" w:tentative="0">
      <w:start w:val="1"/>
      <w:numFmt w:val="decimal"/>
      <w:suff w:val="nothing"/>
      <w:lvlText w:val="（%1）"/>
      <w:lvlJc w:val="left"/>
    </w:lvl>
  </w:abstractNum>
  <w:abstractNum w:abstractNumId="1">
    <w:nsid w:val="96DB0E57"/>
    <w:multiLevelType w:val="singleLevel"/>
    <w:tmpl w:val="96DB0E57"/>
    <w:lvl w:ilvl="0" w:tentative="0">
      <w:start w:val="3"/>
      <w:numFmt w:val="chineseCounting"/>
      <w:suff w:val="space"/>
      <w:lvlText w:val="第%1部分"/>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CA95678"/>
    <w:multiLevelType w:val="singleLevel"/>
    <w:tmpl w:val="0CA95678"/>
    <w:lvl w:ilvl="0" w:tentative="0">
      <w:start w:val="9"/>
      <w:numFmt w:val="chineseCounting"/>
      <w:suff w:val="nothing"/>
      <w:lvlText w:val="%1、"/>
      <w:lvlJc w:val="left"/>
      <w:rPr>
        <w:rFonts w:hint="eastAsia"/>
      </w:rPr>
    </w:lvl>
  </w:abstractNum>
  <w:abstractNum w:abstractNumId="4">
    <w:nsid w:val="1ED75EF4"/>
    <w:multiLevelType w:val="multilevel"/>
    <w:tmpl w:val="1ED75EF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789"/>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51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61381"/>
    <w:rsid w:val="011C32AB"/>
    <w:rsid w:val="011F6449"/>
    <w:rsid w:val="01236AFB"/>
    <w:rsid w:val="01541149"/>
    <w:rsid w:val="015A6250"/>
    <w:rsid w:val="017716F4"/>
    <w:rsid w:val="019F7441"/>
    <w:rsid w:val="01A8449D"/>
    <w:rsid w:val="01B37585"/>
    <w:rsid w:val="01D55165"/>
    <w:rsid w:val="01DF6BF8"/>
    <w:rsid w:val="01EC2C57"/>
    <w:rsid w:val="020042DE"/>
    <w:rsid w:val="025F0711"/>
    <w:rsid w:val="026B2E25"/>
    <w:rsid w:val="026E27BD"/>
    <w:rsid w:val="02824D4D"/>
    <w:rsid w:val="02832A46"/>
    <w:rsid w:val="02BF44C0"/>
    <w:rsid w:val="02DC4B10"/>
    <w:rsid w:val="02DD76CE"/>
    <w:rsid w:val="02F36323"/>
    <w:rsid w:val="02F5619C"/>
    <w:rsid w:val="0326446A"/>
    <w:rsid w:val="032D5555"/>
    <w:rsid w:val="033339B0"/>
    <w:rsid w:val="034304B1"/>
    <w:rsid w:val="036634D2"/>
    <w:rsid w:val="03BE6034"/>
    <w:rsid w:val="03DD35E4"/>
    <w:rsid w:val="04076900"/>
    <w:rsid w:val="041A5A3B"/>
    <w:rsid w:val="042311BA"/>
    <w:rsid w:val="04291FE2"/>
    <w:rsid w:val="042B157A"/>
    <w:rsid w:val="044D2C6F"/>
    <w:rsid w:val="046720D6"/>
    <w:rsid w:val="048F763B"/>
    <w:rsid w:val="049F330E"/>
    <w:rsid w:val="04AA775C"/>
    <w:rsid w:val="04AF1889"/>
    <w:rsid w:val="04DC3E6F"/>
    <w:rsid w:val="04F66F48"/>
    <w:rsid w:val="05251E14"/>
    <w:rsid w:val="058014BF"/>
    <w:rsid w:val="058D4998"/>
    <w:rsid w:val="05A16594"/>
    <w:rsid w:val="05A7762D"/>
    <w:rsid w:val="05BA7B35"/>
    <w:rsid w:val="060E5941"/>
    <w:rsid w:val="06110FAF"/>
    <w:rsid w:val="06493CA7"/>
    <w:rsid w:val="065A6178"/>
    <w:rsid w:val="066F1CF3"/>
    <w:rsid w:val="06930BB8"/>
    <w:rsid w:val="069F5975"/>
    <w:rsid w:val="07245D42"/>
    <w:rsid w:val="07264C62"/>
    <w:rsid w:val="073C48B4"/>
    <w:rsid w:val="0779354C"/>
    <w:rsid w:val="07954D83"/>
    <w:rsid w:val="08061376"/>
    <w:rsid w:val="08167E10"/>
    <w:rsid w:val="08452D77"/>
    <w:rsid w:val="086401F8"/>
    <w:rsid w:val="08751CAA"/>
    <w:rsid w:val="087E4C40"/>
    <w:rsid w:val="08A871D0"/>
    <w:rsid w:val="08CC1098"/>
    <w:rsid w:val="08D66AD6"/>
    <w:rsid w:val="08DA33A3"/>
    <w:rsid w:val="08DE4CB4"/>
    <w:rsid w:val="08E80F13"/>
    <w:rsid w:val="08ED32D1"/>
    <w:rsid w:val="091F118A"/>
    <w:rsid w:val="09335624"/>
    <w:rsid w:val="0944690F"/>
    <w:rsid w:val="09535675"/>
    <w:rsid w:val="0953783B"/>
    <w:rsid w:val="095F057D"/>
    <w:rsid w:val="095F763D"/>
    <w:rsid w:val="09642282"/>
    <w:rsid w:val="09733572"/>
    <w:rsid w:val="09772C16"/>
    <w:rsid w:val="098353B5"/>
    <w:rsid w:val="09A92330"/>
    <w:rsid w:val="09B0580D"/>
    <w:rsid w:val="09B06B87"/>
    <w:rsid w:val="09C13146"/>
    <w:rsid w:val="09E04166"/>
    <w:rsid w:val="0A0C33AA"/>
    <w:rsid w:val="0A17302B"/>
    <w:rsid w:val="0A1C0718"/>
    <w:rsid w:val="0A3E7710"/>
    <w:rsid w:val="0A5B7E63"/>
    <w:rsid w:val="0A960E3D"/>
    <w:rsid w:val="0AA374A5"/>
    <w:rsid w:val="0AAB7649"/>
    <w:rsid w:val="0ABC5606"/>
    <w:rsid w:val="0B30404E"/>
    <w:rsid w:val="0B4C6C14"/>
    <w:rsid w:val="0B547599"/>
    <w:rsid w:val="0B631A88"/>
    <w:rsid w:val="0B683D45"/>
    <w:rsid w:val="0B7768AB"/>
    <w:rsid w:val="0B7F3F11"/>
    <w:rsid w:val="0B884417"/>
    <w:rsid w:val="0B9E76D1"/>
    <w:rsid w:val="0BBE2D2D"/>
    <w:rsid w:val="0BF6188C"/>
    <w:rsid w:val="0BF73C91"/>
    <w:rsid w:val="0C0370FE"/>
    <w:rsid w:val="0C170175"/>
    <w:rsid w:val="0C571A41"/>
    <w:rsid w:val="0C5C1171"/>
    <w:rsid w:val="0C5E1CBC"/>
    <w:rsid w:val="0C615B50"/>
    <w:rsid w:val="0C743B3F"/>
    <w:rsid w:val="0C8445DA"/>
    <w:rsid w:val="0C87121B"/>
    <w:rsid w:val="0CC007F7"/>
    <w:rsid w:val="0CC617AC"/>
    <w:rsid w:val="0CE618DF"/>
    <w:rsid w:val="0CFE707A"/>
    <w:rsid w:val="0D063BDA"/>
    <w:rsid w:val="0D08375F"/>
    <w:rsid w:val="0D184CFB"/>
    <w:rsid w:val="0D2E35B9"/>
    <w:rsid w:val="0D4A7419"/>
    <w:rsid w:val="0D7A1432"/>
    <w:rsid w:val="0D827401"/>
    <w:rsid w:val="0D84094E"/>
    <w:rsid w:val="0D8A00E9"/>
    <w:rsid w:val="0D8D589E"/>
    <w:rsid w:val="0D9C59EA"/>
    <w:rsid w:val="0DA01C73"/>
    <w:rsid w:val="0DD63300"/>
    <w:rsid w:val="0DF50604"/>
    <w:rsid w:val="0DF702FE"/>
    <w:rsid w:val="0E060E51"/>
    <w:rsid w:val="0E5604B2"/>
    <w:rsid w:val="0E6D5D79"/>
    <w:rsid w:val="0E9D0089"/>
    <w:rsid w:val="0EB803EE"/>
    <w:rsid w:val="0EEE180C"/>
    <w:rsid w:val="0EF94D4B"/>
    <w:rsid w:val="0F4958DC"/>
    <w:rsid w:val="0F515DF7"/>
    <w:rsid w:val="0F596BA8"/>
    <w:rsid w:val="0F6248D2"/>
    <w:rsid w:val="0F693536"/>
    <w:rsid w:val="0F7B0511"/>
    <w:rsid w:val="0F7B76D9"/>
    <w:rsid w:val="0F816ACD"/>
    <w:rsid w:val="0F9832DB"/>
    <w:rsid w:val="0FB87C99"/>
    <w:rsid w:val="0FBF3FD2"/>
    <w:rsid w:val="0FBF7FF3"/>
    <w:rsid w:val="0FC915BF"/>
    <w:rsid w:val="0FEE3B90"/>
    <w:rsid w:val="10646583"/>
    <w:rsid w:val="107D4B15"/>
    <w:rsid w:val="10863291"/>
    <w:rsid w:val="108A3C80"/>
    <w:rsid w:val="10A047C3"/>
    <w:rsid w:val="10A87B1C"/>
    <w:rsid w:val="10BB15FD"/>
    <w:rsid w:val="10C26171"/>
    <w:rsid w:val="10C70674"/>
    <w:rsid w:val="10C761F4"/>
    <w:rsid w:val="10CD54FC"/>
    <w:rsid w:val="10F33360"/>
    <w:rsid w:val="10FC16EA"/>
    <w:rsid w:val="110F1D40"/>
    <w:rsid w:val="111D5782"/>
    <w:rsid w:val="11266F33"/>
    <w:rsid w:val="1182211B"/>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717E"/>
    <w:rsid w:val="146124BC"/>
    <w:rsid w:val="14675654"/>
    <w:rsid w:val="146D271E"/>
    <w:rsid w:val="14982588"/>
    <w:rsid w:val="149A5AD9"/>
    <w:rsid w:val="14A7619D"/>
    <w:rsid w:val="14C63248"/>
    <w:rsid w:val="15042609"/>
    <w:rsid w:val="150536C3"/>
    <w:rsid w:val="150C1963"/>
    <w:rsid w:val="151447A0"/>
    <w:rsid w:val="154A6454"/>
    <w:rsid w:val="15762120"/>
    <w:rsid w:val="1598015F"/>
    <w:rsid w:val="160D3FF7"/>
    <w:rsid w:val="16394074"/>
    <w:rsid w:val="165441AB"/>
    <w:rsid w:val="167E36CC"/>
    <w:rsid w:val="16A8729C"/>
    <w:rsid w:val="16AD69F8"/>
    <w:rsid w:val="16B33777"/>
    <w:rsid w:val="16BC70A7"/>
    <w:rsid w:val="16C6339E"/>
    <w:rsid w:val="171B1445"/>
    <w:rsid w:val="172F2D79"/>
    <w:rsid w:val="17557BEF"/>
    <w:rsid w:val="17BA5112"/>
    <w:rsid w:val="17C72D48"/>
    <w:rsid w:val="17D349C1"/>
    <w:rsid w:val="1830729E"/>
    <w:rsid w:val="183717E0"/>
    <w:rsid w:val="18534811"/>
    <w:rsid w:val="186A2BC9"/>
    <w:rsid w:val="1870062C"/>
    <w:rsid w:val="18817102"/>
    <w:rsid w:val="18830A15"/>
    <w:rsid w:val="18852B28"/>
    <w:rsid w:val="188B5321"/>
    <w:rsid w:val="18D3683E"/>
    <w:rsid w:val="196F7429"/>
    <w:rsid w:val="19932372"/>
    <w:rsid w:val="19934B12"/>
    <w:rsid w:val="19A20DD5"/>
    <w:rsid w:val="19AE03F1"/>
    <w:rsid w:val="19D150FA"/>
    <w:rsid w:val="19E971DB"/>
    <w:rsid w:val="1A071A03"/>
    <w:rsid w:val="1A0C56B9"/>
    <w:rsid w:val="1A1F16AE"/>
    <w:rsid w:val="1A2B5DAD"/>
    <w:rsid w:val="1A3B5C77"/>
    <w:rsid w:val="1A3D6B40"/>
    <w:rsid w:val="1A984BAD"/>
    <w:rsid w:val="1AB8220E"/>
    <w:rsid w:val="1AE4166C"/>
    <w:rsid w:val="1AF06CFB"/>
    <w:rsid w:val="1AF11B8D"/>
    <w:rsid w:val="1B1118DE"/>
    <w:rsid w:val="1B11359C"/>
    <w:rsid w:val="1B2A271F"/>
    <w:rsid w:val="1B530544"/>
    <w:rsid w:val="1B6537C0"/>
    <w:rsid w:val="1B713184"/>
    <w:rsid w:val="1B83082F"/>
    <w:rsid w:val="1BA209CF"/>
    <w:rsid w:val="1BA87030"/>
    <w:rsid w:val="1BB4777D"/>
    <w:rsid w:val="1BD75AB8"/>
    <w:rsid w:val="1C007E13"/>
    <w:rsid w:val="1C0459C2"/>
    <w:rsid w:val="1C1B3B4A"/>
    <w:rsid w:val="1C88086E"/>
    <w:rsid w:val="1CB11B06"/>
    <w:rsid w:val="1CB6711D"/>
    <w:rsid w:val="1CCE26B8"/>
    <w:rsid w:val="1D266CE1"/>
    <w:rsid w:val="1D3963AF"/>
    <w:rsid w:val="1D55566A"/>
    <w:rsid w:val="1D6A673C"/>
    <w:rsid w:val="1D9247AE"/>
    <w:rsid w:val="1DB567EC"/>
    <w:rsid w:val="1DBA49EB"/>
    <w:rsid w:val="1DE97BF0"/>
    <w:rsid w:val="1DF51A98"/>
    <w:rsid w:val="1E3D060F"/>
    <w:rsid w:val="1E3F7D2E"/>
    <w:rsid w:val="1E4134E4"/>
    <w:rsid w:val="1E5062B3"/>
    <w:rsid w:val="1E523514"/>
    <w:rsid w:val="1E714A66"/>
    <w:rsid w:val="1E7E1EBC"/>
    <w:rsid w:val="1E802593"/>
    <w:rsid w:val="1E8B6156"/>
    <w:rsid w:val="1E933BB9"/>
    <w:rsid w:val="1EA703CC"/>
    <w:rsid w:val="1EB7330C"/>
    <w:rsid w:val="1EF04097"/>
    <w:rsid w:val="1F0A0FF3"/>
    <w:rsid w:val="1F15637C"/>
    <w:rsid w:val="1F1D7927"/>
    <w:rsid w:val="1F5771FF"/>
    <w:rsid w:val="1FB143FF"/>
    <w:rsid w:val="1FE868A9"/>
    <w:rsid w:val="20034907"/>
    <w:rsid w:val="200B09FB"/>
    <w:rsid w:val="20173E4B"/>
    <w:rsid w:val="202251F5"/>
    <w:rsid w:val="20256A93"/>
    <w:rsid w:val="204E48BC"/>
    <w:rsid w:val="208921B3"/>
    <w:rsid w:val="20973DEB"/>
    <w:rsid w:val="20B26522"/>
    <w:rsid w:val="20B44310"/>
    <w:rsid w:val="20C424A1"/>
    <w:rsid w:val="211116EB"/>
    <w:rsid w:val="213D5397"/>
    <w:rsid w:val="216133FC"/>
    <w:rsid w:val="21D56769"/>
    <w:rsid w:val="21E52EF3"/>
    <w:rsid w:val="21FB5D7B"/>
    <w:rsid w:val="22015E94"/>
    <w:rsid w:val="220B1C3D"/>
    <w:rsid w:val="221D1D20"/>
    <w:rsid w:val="22334A87"/>
    <w:rsid w:val="22AB5A93"/>
    <w:rsid w:val="22BE6801"/>
    <w:rsid w:val="23051C9D"/>
    <w:rsid w:val="23333275"/>
    <w:rsid w:val="233500BF"/>
    <w:rsid w:val="23377FF7"/>
    <w:rsid w:val="23486D58"/>
    <w:rsid w:val="234926A2"/>
    <w:rsid w:val="234D3A9E"/>
    <w:rsid w:val="236553F8"/>
    <w:rsid w:val="236B425F"/>
    <w:rsid w:val="236F0FEC"/>
    <w:rsid w:val="23836192"/>
    <w:rsid w:val="23901F29"/>
    <w:rsid w:val="239C0061"/>
    <w:rsid w:val="23B908A4"/>
    <w:rsid w:val="23DA5285"/>
    <w:rsid w:val="23E95BEF"/>
    <w:rsid w:val="23FD0064"/>
    <w:rsid w:val="24476BBD"/>
    <w:rsid w:val="245375B0"/>
    <w:rsid w:val="24642C0A"/>
    <w:rsid w:val="249F3CC1"/>
    <w:rsid w:val="24B22173"/>
    <w:rsid w:val="24B95AD9"/>
    <w:rsid w:val="24BE24DA"/>
    <w:rsid w:val="24C32755"/>
    <w:rsid w:val="24CF5825"/>
    <w:rsid w:val="24D663E6"/>
    <w:rsid w:val="24D665B3"/>
    <w:rsid w:val="24D77F2B"/>
    <w:rsid w:val="254D1199"/>
    <w:rsid w:val="258B00E2"/>
    <w:rsid w:val="25A917A6"/>
    <w:rsid w:val="25AD01C7"/>
    <w:rsid w:val="25BE27CC"/>
    <w:rsid w:val="25C27D12"/>
    <w:rsid w:val="25CC175F"/>
    <w:rsid w:val="25E80F36"/>
    <w:rsid w:val="25F74A5C"/>
    <w:rsid w:val="2628662C"/>
    <w:rsid w:val="262D45DE"/>
    <w:rsid w:val="26871DC8"/>
    <w:rsid w:val="26A53EF9"/>
    <w:rsid w:val="26A94201"/>
    <w:rsid w:val="26AC274F"/>
    <w:rsid w:val="26B50F9F"/>
    <w:rsid w:val="27044A29"/>
    <w:rsid w:val="271D34C8"/>
    <w:rsid w:val="27406D45"/>
    <w:rsid w:val="276142BF"/>
    <w:rsid w:val="27687AED"/>
    <w:rsid w:val="27783712"/>
    <w:rsid w:val="27907362"/>
    <w:rsid w:val="27F76F67"/>
    <w:rsid w:val="281E0FFA"/>
    <w:rsid w:val="28333E1D"/>
    <w:rsid w:val="28454BD6"/>
    <w:rsid w:val="28455253"/>
    <w:rsid w:val="28551971"/>
    <w:rsid w:val="285B1C53"/>
    <w:rsid w:val="285C6DCA"/>
    <w:rsid w:val="289F7086"/>
    <w:rsid w:val="28A636E9"/>
    <w:rsid w:val="28C32028"/>
    <w:rsid w:val="28CA01D8"/>
    <w:rsid w:val="28CC490F"/>
    <w:rsid w:val="28DE40AA"/>
    <w:rsid w:val="28ED35C6"/>
    <w:rsid w:val="29345E77"/>
    <w:rsid w:val="29363ABF"/>
    <w:rsid w:val="294C65AD"/>
    <w:rsid w:val="29806583"/>
    <w:rsid w:val="298B3C4C"/>
    <w:rsid w:val="29C477D9"/>
    <w:rsid w:val="29D33E57"/>
    <w:rsid w:val="29DE7FE9"/>
    <w:rsid w:val="29F26D24"/>
    <w:rsid w:val="2A15033F"/>
    <w:rsid w:val="2A157B78"/>
    <w:rsid w:val="2A1662C1"/>
    <w:rsid w:val="2A1C7367"/>
    <w:rsid w:val="2A2815FA"/>
    <w:rsid w:val="2A570191"/>
    <w:rsid w:val="2A6D6092"/>
    <w:rsid w:val="2A7D76B4"/>
    <w:rsid w:val="2A9E2ED5"/>
    <w:rsid w:val="2AA5616D"/>
    <w:rsid w:val="2ABC4D4D"/>
    <w:rsid w:val="2B437463"/>
    <w:rsid w:val="2B4D3342"/>
    <w:rsid w:val="2B4D50F0"/>
    <w:rsid w:val="2B7807EE"/>
    <w:rsid w:val="2BA50BF7"/>
    <w:rsid w:val="2BA83950"/>
    <w:rsid w:val="2BBF00EC"/>
    <w:rsid w:val="2BC37CFD"/>
    <w:rsid w:val="2BD5237F"/>
    <w:rsid w:val="2BE536CE"/>
    <w:rsid w:val="2BE758D9"/>
    <w:rsid w:val="2C09049E"/>
    <w:rsid w:val="2C0A653C"/>
    <w:rsid w:val="2C191F85"/>
    <w:rsid w:val="2C5F4AA0"/>
    <w:rsid w:val="2C8366DD"/>
    <w:rsid w:val="2C872A37"/>
    <w:rsid w:val="2CA945A8"/>
    <w:rsid w:val="2CCD7D38"/>
    <w:rsid w:val="2CE82D6F"/>
    <w:rsid w:val="2CFF5663"/>
    <w:rsid w:val="2D343236"/>
    <w:rsid w:val="2D43771D"/>
    <w:rsid w:val="2DD15014"/>
    <w:rsid w:val="2DF72DE4"/>
    <w:rsid w:val="2E0220AF"/>
    <w:rsid w:val="2E106A37"/>
    <w:rsid w:val="2E112405"/>
    <w:rsid w:val="2E4B082A"/>
    <w:rsid w:val="2E5D4E86"/>
    <w:rsid w:val="2E5D790B"/>
    <w:rsid w:val="2E8E2765"/>
    <w:rsid w:val="2E9848D4"/>
    <w:rsid w:val="2E9A3C18"/>
    <w:rsid w:val="2EA119DB"/>
    <w:rsid w:val="2EBB0FEE"/>
    <w:rsid w:val="2EC63002"/>
    <w:rsid w:val="2EEB70FA"/>
    <w:rsid w:val="2EEE5B4C"/>
    <w:rsid w:val="2F0A6B38"/>
    <w:rsid w:val="2F946CCB"/>
    <w:rsid w:val="2FAD2209"/>
    <w:rsid w:val="2FD25781"/>
    <w:rsid w:val="2FDC745C"/>
    <w:rsid w:val="2FF72288"/>
    <w:rsid w:val="2FFD7934"/>
    <w:rsid w:val="301E0F15"/>
    <w:rsid w:val="30283D41"/>
    <w:rsid w:val="302A4D44"/>
    <w:rsid w:val="30733ACD"/>
    <w:rsid w:val="308C3862"/>
    <w:rsid w:val="309379D8"/>
    <w:rsid w:val="30A270F7"/>
    <w:rsid w:val="30B11C7D"/>
    <w:rsid w:val="30DF1478"/>
    <w:rsid w:val="30EC586F"/>
    <w:rsid w:val="30F77FD8"/>
    <w:rsid w:val="313678B1"/>
    <w:rsid w:val="314B26DB"/>
    <w:rsid w:val="31634B57"/>
    <w:rsid w:val="316655A5"/>
    <w:rsid w:val="31886E82"/>
    <w:rsid w:val="319C6071"/>
    <w:rsid w:val="31AC537E"/>
    <w:rsid w:val="31C6140A"/>
    <w:rsid w:val="31DC4238"/>
    <w:rsid w:val="31E3679B"/>
    <w:rsid w:val="31E732FD"/>
    <w:rsid w:val="324B0876"/>
    <w:rsid w:val="32517576"/>
    <w:rsid w:val="32563667"/>
    <w:rsid w:val="329927A4"/>
    <w:rsid w:val="32BE5C2C"/>
    <w:rsid w:val="32FB6478"/>
    <w:rsid w:val="33263B3F"/>
    <w:rsid w:val="333A1493"/>
    <w:rsid w:val="33482CD4"/>
    <w:rsid w:val="33492641"/>
    <w:rsid w:val="336963EB"/>
    <w:rsid w:val="33816EEB"/>
    <w:rsid w:val="33EB55CD"/>
    <w:rsid w:val="33EC4C02"/>
    <w:rsid w:val="340D2360"/>
    <w:rsid w:val="3410665D"/>
    <w:rsid w:val="34206BBA"/>
    <w:rsid w:val="34211214"/>
    <w:rsid w:val="342E63AB"/>
    <w:rsid w:val="349354A0"/>
    <w:rsid w:val="34950E68"/>
    <w:rsid w:val="34986E94"/>
    <w:rsid w:val="34AF62C9"/>
    <w:rsid w:val="34CB4388"/>
    <w:rsid w:val="34FA6E12"/>
    <w:rsid w:val="354D7158"/>
    <w:rsid w:val="35623A43"/>
    <w:rsid w:val="358D5588"/>
    <w:rsid w:val="35F5260C"/>
    <w:rsid w:val="363A3B40"/>
    <w:rsid w:val="365302AE"/>
    <w:rsid w:val="36607A0A"/>
    <w:rsid w:val="366E227C"/>
    <w:rsid w:val="366F2E0D"/>
    <w:rsid w:val="367B6A5C"/>
    <w:rsid w:val="369E361B"/>
    <w:rsid w:val="36A74ADA"/>
    <w:rsid w:val="36AD60D5"/>
    <w:rsid w:val="36B224F9"/>
    <w:rsid w:val="36C05F03"/>
    <w:rsid w:val="36EC0CC9"/>
    <w:rsid w:val="372A36CA"/>
    <w:rsid w:val="37377380"/>
    <w:rsid w:val="373F410B"/>
    <w:rsid w:val="376C0D02"/>
    <w:rsid w:val="37B502A5"/>
    <w:rsid w:val="37CE75B8"/>
    <w:rsid w:val="37EE7094"/>
    <w:rsid w:val="38296C89"/>
    <w:rsid w:val="383002EB"/>
    <w:rsid w:val="38586797"/>
    <w:rsid w:val="38AE3672"/>
    <w:rsid w:val="38BC0149"/>
    <w:rsid w:val="38D87D1C"/>
    <w:rsid w:val="39636459"/>
    <w:rsid w:val="396B7F6C"/>
    <w:rsid w:val="39875C71"/>
    <w:rsid w:val="39B417A9"/>
    <w:rsid w:val="39D77A44"/>
    <w:rsid w:val="39DA0497"/>
    <w:rsid w:val="39FC5695"/>
    <w:rsid w:val="3A006D8E"/>
    <w:rsid w:val="3A3651E5"/>
    <w:rsid w:val="3A4A2960"/>
    <w:rsid w:val="3A6B7341"/>
    <w:rsid w:val="3A744481"/>
    <w:rsid w:val="3A772A1D"/>
    <w:rsid w:val="3A7E0F6A"/>
    <w:rsid w:val="3A8C7BEF"/>
    <w:rsid w:val="3A906246"/>
    <w:rsid w:val="3A9A0913"/>
    <w:rsid w:val="3B2349B7"/>
    <w:rsid w:val="3B616CFF"/>
    <w:rsid w:val="3B6259F6"/>
    <w:rsid w:val="3B970012"/>
    <w:rsid w:val="3B976654"/>
    <w:rsid w:val="3BC01EFC"/>
    <w:rsid w:val="3BCA786A"/>
    <w:rsid w:val="3BCD546F"/>
    <w:rsid w:val="3BD31E2F"/>
    <w:rsid w:val="3BE5242C"/>
    <w:rsid w:val="3BF15831"/>
    <w:rsid w:val="3C105946"/>
    <w:rsid w:val="3C1D4F1F"/>
    <w:rsid w:val="3C471448"/>
    <w:rsid w:val="3C5F759A"/>
    <w:rsid w:val="3C6C525A"/>
    <w:rsid w:val="3CCE23CB"/>
    <w:rsid w:val="3CD17D17"/>
    <w:rsid w:val="3CDD38D2"/>
    <w:rsid w:val="3D3C7F39"/>
    <w:rsid w:val="3D440F09"/>
    <w:rsid w:val="3D4504A0"/>
    <w:rsid w:val="3D8734BB"/>
    <w:rsid w:val="3D9A11D4"/>
    <w:rsid w:val="3DA16D89"/>
    <w:rsid w:val="3DA364BE"/>
    <w:rsid w:val="3DCC459A"/>
    <w:rsid w:val="3DE041CB"/>
    <w:rsid w:val="3E0D48F6"/>
    <w:rsid w:val="3E1868B4"/>
    <w:rsid w:val="3E27162B"/>
    <w:rsid w:val="3E307392"/>
    <w:rsid w:val="3E377251"/>
    <w:rsid w:val="3E42664B"/>
    <w:rsid w:val="3E5A7334"/>
    <w:rsid w:val="3E7B5D6B"/>
    <w:rsid w:val="3E843E66"/>
    <w:rsid w:val="3E8F51FE"/>
    <w:rsid w:val="3E926F87"/>
    <w:rsid w:val="3E9A59DE"/>
    <w:rsid w:val="3EAE198B"/>
    <w:rsid w:val="3EAF4836"/>
    <w:rsid w:val="3EC33DFA"/>
    <w:rsid w:val="3F060E16"/>
    <w:rsid w:val="3F1D1096"/>
    <w:rsid w:val="3F2F0234"/>
    <w:rsid w:val="3F443960"/>
    <w:rsid w:val="3F6363FE"/>
    <w:rsid w:val="3F654CEB"/>
    <w:rsid w:val="3F756B8F"/>
    <w:rsid w:val="3F95482B"/>
    <w:rsid w:val="3FB157F6"/>
    <w:rsid w:val="3FD82C07"/>
    <w:rsid w:val="3FE74340"/>
    <w:rsid w:val="3FFD23E6"/>
    <w:rsid w:val="4019356B"/>
    <w:rsid w:val="404D7C4D"/>
    <w:rsid w:val="40592157"/>
    <w:rsid w:val="40644F5E"/>
    <w:rsid w:val="406E1CAE"/>
    <w:rsid w:val="40A0133A"/>
    <w:rsid w:val="40BF7F1B"/>
    <w:rsid w:val="40C31A53"/>
    <w:rsid w:val="40DD171A"/>
    <w:rsid w:val="40FD65BE"/>
    <w:rsid w:val="40FF545D"/>
    <w:rsid w:val="410067C8"/>
    <w:rsid w:val="414B11EE"/>
    <w:rsid w:val="418F0D2A"/>
    <w:rsid w:val="419E73F2"/>
    <w:rsid w:val="41D01505"/>
    <w:rsid w:val="42022339"/>
    <w:rsid w:val="42474939"/>
    <w:rsid w:val="424C3C57"/>
    <w:rsid w:val="42613FF3"/>
    <w:rsid w:val="42660D96"/>
    <w:rsid w:val="4275541F"/>
    <w:rsid w:val="428667D2"/>
    <w:rsid w:val="42CD1CE0"/>
    <w:rsid w:val="42D24EF0"/>
    <w:rsid w:val="42E1381E"/>
    <w:rsid w:val="42ED6459"/>
    <w:rsid w:val="42FE58DD"/>
    <w:rsid w:val="43174B3D"/>
    <w:rsid w:val="434B790E"/>
    <w:rsid w:val="4360274F"/>
    <w:rsid w:val="436A4639"/>
    <w:rsid w:val="43977AB6"/>
    <w:rsid w:val="439A302D"/>
    <w:rsid w:val="43A3342B"/>
    <w:rsid w:val="43C77C27"/>
    <w:rsid w:val="43DE09EE"/>
    <w:rsid w:val="43F565F9"/>
    <w:rsid w:val="44002FAD"/>
    <w:rsid w:val="44352E99"/>
    <w:rsid w:val="449101DD"/>
    <w:rsid w:val="44953938"/>
    <w:rsid w:val="44B877B7"/>
    <w:rsid w:val="44DE1391"/>
    <w:rsid w:val="44E70961"/>
    <w:rsid w:val="451B225C"/>
    <w:rsid w:val="452410C9"/>
    <w:rsid w:val="45317DFB"/>
    <w:rsid w:val="453411AE"/>
    <w:rsid w:val="45436E41"/>
    <w:rsid w:val="456D3CE4"/>
    <w:rsid w:val="4579042C"/>
    <w:rsid w:val="457F0571"/>
    <w:rsid w:val="45851176"/>
    <w:rsid w:val="45A54FE4"/>
    <w:rsid w:val="45A55DFD"/>
    <w:rsid w:val="45C63B94"/>
    <w:rsid w:val="460E7DA5"/>
    <w:rsid w:val="462656DA"/>
    <w:rsid w:val="46331C82"/>
    <w:rsid w:val="46422483"/>
    <w:rsid w:val="4659254A"/>
    <w:rsid w:val="465B0637"/>
    <w:rsid w:val="465E3F0D"/>
    <w:rsid w:val="465F014E"/>
    <w:rsid w:val="466A16E6"/>
    <w:rsid w:val="46893F2B"/>
    <w:rsid w:val="46B92149"/>
    <w:rsid w:val="46C422B2"/>
    <w:rsid w:val="46C4686E"/>
    <w:rsid w:val="46CC0FCD"/>
    <w:rsid w:val="475C24EB"/>
    <w:rsid w:val="47622908"/>
    <w:rsid w:val="477B778F"/>
    <w:rsid w:val="478203EC"/>
    <w:rsid w:val="47A83982"/>
    <w:rsid w:val="47B025FA"/>
    <w:rsid w:val="47C02A7A"/>
    <w:rsid w:val="4809698F"/>
    <w:rsid w:val="481132D5"/>
    <w:rsid w:val="4811697D"/>
    <w:rsid w:val="482753D3"/>
    <w:rsid w:val="486B3F71"/>
    <w:rsid w:val="487A3E25"/>
    <w:rsid w:val="488B5503"/>
    <w:rsid w:val="48937E21"/>
    <w:rsid w:val="489A0361"/>
    <w:rsid w:val="48A675B8"/>
    <w:rsid w:val="48B94FF3"/>
    <w:rsid w:val="48E37AAB"/>
    <w:rsid w:val="48FD4B4C"/>
    <w:rsid w:val="490938EF"/>
    <w:rsid w:val="490A68E0"/>
    <w:rsid w:val="491055FE"/>
    <w:rsid w:val="495F5B3E"/>
    <w:rsid w:val="496F77D7"/>
    <w:rsid w:val="497654FD"/>
    <w:rsid w:val="49965C7F"/>
    <w:rsid w:val="49B64211"/>
    <w:rsid w:val="49F6167F"/>
    <w:rsid w:val="49FA4B6B"/>
    <w:rsid w:val="4A064FA0"/>
    <w:rsid w:val="4A16615C"/>
    <w:rsid w:val="4A4424D7"/>
    <w:rsid w:val="4A585B54"/>
    <w:rsid w:val="4A6708DB"/>
    <w:rsid w:val="4A7845F6"/>
    <w:rsid w:val="4AAF5028"/>
    <w:rsid w:val="4AB82D0F"/>
    <w:rsid w:val="4AB84614"/>
    <w:rsid w:val="4AEB7664"/>
    <w:rsid w:val="4AFD7C19"/>
    <w:rsid w:val="4B0567D1"/>
    <w:rsid w:val="4B236AAE"/>
    <w:rsid w:val="4B26345D"/>
    <w:rsid w:val="4B3F19E6"/>
    <w:rsid w:val="4B445563"/>
    <w:rsid w:val="4B707271"/>
    <w:rsid w:val="4B9739F7"/>
    <w:rsid w:val="4BEE2503"/>
    <w:rsid w:val="4C121D12"/>
    <w:rsid w:val="4C245A30"/>
    <w:rsid w:val="4C86081A"/>
    <w:rsid w:val="4CB6685F"/>
    <w:rsid w:val="4CC367FE"/>
    <w:rsid w:val="4D077F3C"/>
    <w:rsid w:val="4D123355"/>
    <w:rsid w:val="4D20220D"/>
    <w:rsid w:val="4D2A3B31"/>
    <w:rsid w:val="4D312C52"/>
    <w:rsid w:val="4D7020FE"/>
    <w:rsid w:val="4D8409ED"/>
    <w:rsid w:val="4D905305"/>
    <w:rsid w:val="4D964A72"/>
    <w:rsid w:val="4D9C1254"/>
    <w:rsid w:val="4D9C6E2F"/>
    <w:rsid w:val="4E693057"/>
    <w:rsid w:val="4E793892"/>
    <w:rsid w:val="4E800872"/>
    <w:rsid w:val="4E845C10"/>
    <w:rsid w:val="4E8F31A6"/>
    <w:rsid w:val="4E977564"/>
    <w:rsid w:val="4EC569ED"/>
    <w:rsid w:val="4EC96F60"/>
    <w:rsid w:val="4ED50EA1"/>
    <w:rsid w:val="4ED51520"/>
    <w:rsid w:val="4EEC050C"/>
    <w:rsid w:val="4F104EC3"/>
    <w:rsid w:val="4F47354A"/>
    <w:rsid w:val="4F911C54"/>
    <w:rsid w:val="4FC81042"/>
    <w:rsid w:val="4FE625E0"/>
    <w:rsid w:val="5021480F"/>
    <w:rsid w:val="50226F4F"/>
    <w:rsid w:val="50962ECB"/>
    <w:rsid w:val="50A42E38"/>
    <w:rsid w:val="50A4577F"/>
    <w:rsid w:val="50AD2922"/>
    <w:rsid w:val="50B73D1F"/>
    <w:rsid w:val="50BD5BC9"/>
    <w:rsid w:val="50C11EEE"/>
    <w:rsid w:val="50C335DB"/>
    <w:rsid w:val="50E97CFC"/>
    <w:rsid w:val="50FA4028"/>
    <w:rsid w:val="510D65B7"/>
    <w:rsid w:val="511157AB"/>
    <w:rsid w:val="51143E36"/>
    <w:rsid w:val="5142540C"/>
    <w:rsid w:val="518832C8"/>
    <w:rsid w:val="51976F41"/>
    <w:rsid w:val="519D3C50"/>
    <w:rsid w:val="51A0432A"/>
    <w:rsid w:val="51A86090"/>
    <w:rsid w:val="51B7396D"/>
    <w:rsid w:val="51EC090F"/>
    <w:rsid w:val="522E4CC3"/>
    <w:rsid w:val="5244713B"/>
    <w:rsid w:val="52615633"/>
    <w:rsid w:val="526F4DE4"/>
    <w:rsid w:val="52977FD4"/>
    <w:rsid w:val="52A25790"/>
    <w:rsid w:val="52A96B6F"/>
    <w:rsid w:val="52B45975"/>
    <w:rsid w:val="52D94AA4"/>
    <w:rsid w:val="52EA3A62"/>
    <w:rsid w:val="52F50BB8"/>
    <w:rsid w:val="53097272"/>
    <w:rsid w:val="53544462"/>
    <w:rsid w:val="539354E6"/>
    <w:rsid w:val="5397158E"/>
    <w:rsid w:val="53AF0629"/>
    <w:rsid w:val="53BA107A"/>
    <w:rsid w:val="54013861"/>
    <w:rsid w:val="54176950"/>
    <w:rsid w:val="54487265"/>
    <w:rsid w:val="544D6070"/>
    <w:rsid w:val="54605E1E"/>
    <w:rsid w:val="54B3506A"/>
    <w:rsid w:val="54CA0D16"/>
    <w:rsid w:val="54CB4DB2"/>
    <w:rsid w:val="54D8042A"/>
    <w:rsid w:val="54DD4057"/>
    <w:rsid w:val="54E7490F"/>
    <w:rsid w:val="54F20FD1"/>
    <w:rsid w:val="550764A4"/>
    <w:rsid w:val="550B2BF6"/>
    <w:rsid w:val="55214EB5"/>
    <w:rsid w:val="552A2BBF"/>
    <w:rsid w:val="55364EFD"/>
    <w:rsid w:val="555D4828"/>
    <w:rsid w:val="557A4C8B"/>
    <w:rsid w:val="558931E1"/>
    <w:rsid w:val="55923347"/>
    <w:rsid w:val="55925180"/>
    <w:rsid w:val="55983B1B"/>
    <w:rsid w:val="559E4A28"/>
    <w:rsid w:val="55A8376B"/>
    <w:rsid w:val="55B57D4A"/>
    <w:rsid w:val="55DC29B6"/>
    <w:rsid w:val="55DD4241"/>
    <w:rsid w:val="566B6D1E"/>
    <w:rsid w:val="56870BD8"/>
    <w:rsid w:val="56A14FD8"/>
    <w:rsid w:val="56A7044E"/>
    <w:rsid w:val="56E91619"/>
    <w:rsid w:val="57032A2C"/>
    <w:rsid w:val="570452C9"/>
    <w:rsid w:val="570A2073"/>
    <w:rsid w:val="570F5219"/>
    <w:rsid w:val="570F7353"/>
    <w:rsid w:val="574D3BFE"/>
    <w:rsid w:val="575D12B5"/>
    <w:rsid w:val="575D27FE"/>
    <w:rsid w:val="57610A87"/>
    <w:rsid w:val="57671AF3"/>
    <w:rsid w:val="577B1140"/>
    <w:rsid w:val="577B7F21"/>
    <w:rsid w:val="577F181B"/>
    <w:rsid w:val="57921984"/>
    <w:rsid w:val="579737F0"/>
    <w:rsid w:val="57AB7B30"/>
    <w:rsid w:val="57AF5251"/>
    <w:rsid w:val="57B26373"/>
    <w:rsid w:val="57B63F04"/>
    <w:rsid w:val="57C321A9"/>
    <w:rsid w:val="57C52240"/>
    <w:rsid w:val="57CD20C2"/>
    <w:rsid w:val="57D675AB"/>
    <w:rsid w:val="57D95FDD"/>
    <w:rsid w:val="57E30C41"/>
    <w:rsid w:val="58917D2F"/>
    <w:rsid w:val="58922210"/>
    <w:rsid w:val="5894085C"/>
    <w:rsid w:val="58AE4F0C"/>
    <w:rsid w:val="58B85899"/>
    <w:rsid w:val="58E315AE"/>
    <w:rsid w:val="58E363A9"/>
    <w:rsid w:val="592245D0"/>
    <w:rsid w:val="595E1678"/>
    <w:rsid w:val="596D5BD4"/>
    <w:rsid w:val="597E3DD8"/>
    <w:rsid w:val="598D4786"/>
    <w:rsid w:val="59B50A98"/>
    <w:rsid w:val="59C56C0A"/>
    <w:rsid w:val="59E24AD2"/>
    <w:rsid w:val="59F80043"/>
    <w:rsid w:val="5A0013FC"/>
    <w:rsid w:val="5A09252F"/>
    <w:rsid w:val="5A0B2778"/>
    <w:rsid w:val="5A2A7C7B"/>
    <w:rsid w:val="5A3E2560"/>
    <w:rsid w:val="5A5D3B6E"/>
    <w:rsid w:val="5A637A76"/>
    <w:rsid w:val="5A6D33BA"/>
    <w:rsid w:val="5A792B1F"/>
    <w:rsid w:val="5A874767"/>
    <w:rsid w:val="5AA85BE2"/>
    <w:rsid w:val="5AAD6F28"/>
    <w:rsid w:val="5ACB3527"/>
    <w:rsid w:val="5AD63A24"/>
    <w:rsid w:val="5B2E1A1D"/>
    <w:rsid w:val="5B843A1C"/>
    <w:rsid w:val="5B873E3F"/>
    <w:rsid w:val="5BD60C69"/>
    <w:rsid w:val="5BD93498"/>
    <w:rsid w:val="5BEE35D1"/>
    <w:rsid w:val="5C02690E"/>
    <w:rsid w:val="5C196DA7"/>
    <w:rsid w:val="5C2A048C"/>
    <w:rsid w:val="5C3474DD"/>
    <w:rsid w:val="5C39281D"/>
    <w:rsid w:val="5C80234E"/>
    <w:rsid w:val="5C82259C"/>
    <w:rsid w:val="5C8A680C"/>
    <w:rsid w:val="5D0C4701"/>
    <w:rsid w:val="5D0F0395"/>
    <w:rsid w:val="5D221076"/>
    <w:rsid w:val="5D235B2D"/>
    <w:rsid w:val="5D397964"/>
    <w:rsid w:val="5D577585"/>
    <w:rsid w:val="5D5A391C"/>
    <w:rsid w:val="5D5F10C0"/>
    <w:rsid w:val="5D700646"/>
    <w:rsid w:val="5D732E9B"/>
    <w:rsid w:val="5D873027"/>
    <w:rsid w:val="5D891B7B"/>
    <w:rsid w:val="5DAD38EE"/>
    <w:rsid w:val="5DEF62A4"/>
    <w:rsid w:val="5DF9533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06F6C"/>
    <w:rsid w:val="5FCC5339"/>
    <w:rsid w:val="5FE07D05"/>
    <w:rsid w:val="5FE34A5B"/>
    <w:rsid w:val="5FFE1E36"/>
    <w:rsid w:val="60232584"/>
    <w:rsid w:val="60521868"/>
    <w:rsid w:val="607330CE"/>
    <w:rsid w:val="60825176"/>
    <w:rsid w:val="608623FD"/>
    <w:rsid w:val="60936B26"/>
    <w:rsid w:val="609F2AC4"/>
    <w:rsid w:val="60FA2EE8"/>
    <w:rsid w:val="61054A27"/>
    <w:rsid w:val="610A52BC"/>
    <w:rsid w:val="611D2366"/>
    <w:rsid w:val="61297622"/>
    <w:rsid w:val="61421856"/>
    <w:rsid w:val="61444B08"/>
    <w:rsid w:val="615227C4"/>
    <w:rsid w:val="61524EF4"/>
    <w:rsid w:val="61654E3F"/>
    <w:rsid w:val="6182292A"/>
    <w:rsid w:val="619C5EDD"/>
    <w:rsid w:val="619F7F92"/>
    <w:rsid w:val="61C64CD9"/>
    <w:rsid w:val="61F94C26"/>
    <w:rsid w:val="62000E56"/>
    <w:rsid w:val="622F38AF"/>
    <w:rsid w:val="624F3E49"/>
    <w:rsid w:val="62632286"/>
    <w:rsid w:val="626C3AD2"/>
    <w:rsid w:val="62885958"/>
    <w:rsid w:val="62B53117"/>
    <w:rsid w:val="62F40B65"/>
    <w:rsid w:val="62FC2CFE"/>
    <w:rsid w:val="63017A80"/>
    <w:rsid w:val="63024505"/>
    <w:rsid w:val="631C4705"/>
    <w:rsid w:val="635600A5"/>
    <w:rsid w:val="635B1DB5"/>
    <w:rsid w:val="63711FED"/>
    <w:rsid w:val="63880DDC"/>
    <w:rsid w:val="638D750D"/>
    <w:rsid w:val="63AC6CC0"/>
    <w:rsid w:val="63D74F7B"/>
    <w:rsid w:val="63F475D4"/>
    <w:rsid w:val="64055776"/>
    <w:rsid w:val="64240056"/>
    <w:rsid w:val="642F125B"/>
    <w:rsid w:val="64342178"/>
    <w:rsid w:val="643E143A"/>
    <w:rsid w:val="64491666"/>
    <w:rsid w:val="646905CB"/>
    <w:rsid w:val="648B6EEF"/>
    <w:rsid w:val="64C158BF"/>
    <w:rsid w:val="64CE2EAA"/>
    <w:rsid w:val="653C3090"/>
    <w:rsid w:val="65854376"/>
    <w:rsid w:val="658767BE"/>
    <w:rsid w:val="65892531"/>
    <w:rsid w:val="658B6D19"/>
    <w:rsid w:val="65F66A1B"/>
    <w:rsid w:val="65FB298F"/>
    <w:rsid w:val="66195831"/>
    <w:rsid w:val="661D0FE6"/>
    <w:rsid w:val="662E75B1"/>
    <w:rsid w:val="66342C2E"/>
    <w:rsid w:val="663E784C"/>
    <w:rsid w:val="666F1DE3"/>
    <w:rsid w:val="668B6A45"/>
    <w:rsid w:val="672C1DF6"/>
    <w:rsid w:val="672F3F24"/>
    <w:rsid w:val="673E055F"/>
    <w:rsid w:val="67551CE3"/>
    <w:rsid w:val="679D40C5"/>
    <w:rsid w:val="67A22552"/>
    <w:rsid w:val="67B22DCC"/>
    <w:rsid w:val="67BE71AA"/>
    <w:rsid w:val="67D90273"/>
    <w:rsid w:val="67DE5875"/>
    <w:rsid w:val="67E55852"/>
    <w:rsid w:val="67EB1AB4"/>
    <w:rsid w:val="67FA1285"/>
    <w:rsid w:val="67FA7F10"/>
    <w:rsid w:val="68142C42"/>
    <w:rsid w:val="683F2E80"/>
    <w:rsid w:val="6847785B"/>
    <w:rsid w:val="68551F4F"/>
    <w:rsid w:val="687C10C9"/>
    <w:rsid w:val="68840C16"/>
    <w:rsid w:val="68876EFB"/>
    <w:rsid w:val="68884654"/>
    <w:rsid w:val="689F444F"/>
    <w:rsid w:val="68B96DBB"/>
    <w:rsid w:val="68CA2805"/>
    <w:rsid w:val="68E937A3"/>
    <w:rsid w:val="69124386"/>
    <w:rsid w:val="6914776F"/>
    <w:rsid w:val="691B66FA"/>
    <w:rsid w:val="69270753"/>
    <w:rsid w:val="693E15D3"/>
    <w:rsid w:val="69555A5C"/>
    <w:rsid w:val="69627681"/>
    <w:rsid w:val="6977531D"/>
    <w:rsid w:val="698064A3"/>
    <w:rsid w:val="69CC2BFF"/>
    <w:rsid w:val="69CC61E8"/>
    <w:rsid w:val="69D322EC"/>
    <w:rsid w:val="69FD55B8"/>
    <w:rsid w:val="6A0B1C62"/>
    <w:rsid w:val="6A0D23C2"/>
    <w:rsid w:val="6A2406C8"/>
    <w:rsid w:val="6A3A2708"/>
    <w:rsid w:val="6A446266"/>
    <w:rsid w:val="6A6418A7"/>
    <w:rsid w:val="6A961994"/>
    <w:rsid w:val="6ADE0BD1"/>
    <w:rsid w:val="6AE96859"/>
    <w:rsid w:val="6B147746"/>
    <w:rsid w:val="6B24787C"/>
    <w:rsid w:val="6B573233"/>
    <w:rsid w:val="6B58006B"/>
    <w:rsid w:val="6B59096C"/>
    <w:rsid w:val="6B5B6274"/>
    <w:rsid w:val="6B935D53"/>
    <w:rsid w:val="6C196F71"/>
    <w:rsid w:val="6C226FCB"/>
    <w:rsid w:val="6C31226F"/>
    <w:rsid w:val="6C552F0B"/>
    <w:rsid w:val="6C7D102B"/>
    <w:rsid w:val="6C8C67B7"/>
    <w:rsid w:val="6C9D744C"/>
    <w:rsid w:val="6D167928"/>
    <w:rsid w:val="6D26299B"/>
    <w:rsid w:val="6D4772EC"/>
    <w:rsid w:val="6D757C56"/>
    <w:rsid w:val="6D9078AF"/>
    <w:rsid w:val="6DAA3FEF"/>
    <w:rsid w:val="6DBE0F5A"/>
    <w:rsid w:val="6DC0172B"/>
    <w:rsid w:val="6DCB690C"/>
    <w:rsid w:val="6DD41A5B"/>
    <w:rsid w:val="6DF43C2E"/>
    <w:rsid w:val="6DF51CA3"/>
    <w:rsid w:val="6E421B8B"/>
    <w:rsid w:val="6E4371C3"/>
    <w:rsid w:val="6E8335BD"/>
    <w:rsid w:val="6E846FFB"/>
    <w:rsid w:val="6E8E12EF"/>
    <w:rsid w:val="6E972936"/>
    <w:rsid w:val="6ED446C5"/>
    <w:rsid w:val="6EEF56D7"/>
    <w:rsid w:val="6EEF6B0D"/>
    <w:rsid w:val="6F2A7D94"/>
    <w:rsid w:val="6F8331F1"/>
    <w:rsid w:val="6FAA5C3A"/>
    <w:rsid w:val="6FAE1A09"/>
    <w:rsid w:val="6FD75BF8"/>
    <w:rsid w:val="6FDA7F93"/>
    <w:rsid w:val="6FFF1196"/>
    <w:rsid w:val="70345B3E"/>
    <w:rsid w:val="707723D0"/>
    <w:rsid w:val="709B2FBB"/>
    <w:rsid w:val="70CD0FA8"/>
    <w:rsid w:val="70EE7DA8"/>
    <w:rsid w:val="70F5661B"/>
    <w:rsid w:val="71193077"/>
    <w:rsid w:val="71360107"/>
    <w:rsid w:val="713B688E"/>
    <w:rsid w:val="71436346"/>
    <w:rsid w:val="714C2DB5"/>
    <w:rsid w:val="71B823D7"/>
    <w:rsid w:val="71D43752"/>
    <w:rsid w:val="71D46E35"/>
    <w:rsid w:val="71F1796A"/>
    <w:rsid w:val="72154626"/>
    <w:rsid w:val="72262B5D"/>
    <w:rsid w:val="72283FF7"/>
    <w:rsid w:val="722E7212"/>
    <w:rsid w:val="723A0474"/>
    <w:rsid w:val="724C7B4B"/>
    <w:rsid w:val="725923E4"/>
    <w:rsid w:val="72864BF7"/>
    <w:rsid w:val="729023FC"/>
    <w:rsid w:val="72E200F4"/>
    <w:rsid w:val="73BF77DA"/>
    <w:rsid w:val="73C0646E"/>
    <w:rsid w:val="73E3796C"/>
    <w:rsid w:val="742222F5"/>
    <w:rsid w:val="7435405B"/>
    <w:rsid w:val="744077DC"/>
    <w:rsid w:val="744523D5"/>
    <w:rsid w:val="74476126"/>
    <w:rsid w:val="74706664"/>
    <w:rsid w:val="747F3682"/>
    <w:rsid w:val="749C4185"/>
    <w:rsid w:val="74CB2427"/>
    <w:rsid w:val="75067759"/>
    <w:rsid w:val="752E6DCD"/>
    <w:rsid w:val="7551380D"/>
    <w:rsid w:val="75523424"/>
    <w:rsid w:val="75600BE5"/>
    <w:rsid w:val="7564475C"/>
    <w:rsid w:val="7583797F"/>
    <w:rsid w:val="758B5587"/>
    <w:rsid w:val="75D20F1D"/>
    <w:rsid w:val="75DA2C18"/>
    <w:rsid w:val="75F54412"/>
    <w:rsid w:val="761D08E0"/>
    <w:rsid w:val="765D347C"/>
    <w:rsid w:val="766A7A68"/>
    <w:rsid w:val="76826699"/>
    <w:rsid w:val="76C87133"/>
    <w:rsid w:val="76CD08D5"/>
    <w:rsid w:val="76DB4B92"/>
    <w:rsid w:val="76E97048"/>
    <w:rsid w:val="77025182"/>
    <w:rsid w:val="77052AA4"/>
    <w:rsid w:val="77136511"/>
    <w:rsid w:val="77340A39"/>
    <w:rsid w:val="77351FD0"/>
    <w:rsid w:val="77400C32"/>
    <w:rsid w:val="77472422"/>
    <w:rsid w:val="777D6C22"/>
    <w:rsid w:val="777F31F2"/>
    <w:rsid w:val="778313AD"/>
    <w:rsid w:val="778B00DA"/>
    <w:rsid w:val="77BD34BC"/>
    <w:rsid w:val="77CE7BCC"/>
    <w:rsid w:val="77D1700D"/>
    <w:rsid w:val="77EC04CC"/>
    <w:rsid w:val="7803238B"/>
    <w:rsid w:val="78775729"/>
    <w:rsid w:val="788F00C3"/>
    <w:rsid w:val="78970D25"/>
    <w:rsid w:val="78A42DB0"/>
    <w:rsid w:val="78A656AB"/>
    <w:rsid w:val="78B2245C"/>
    <w:rsid w:val="78E172CC"/>
    <w:rsid w:val="78EA1D1F"/>
    <w:rsid w:val="7904172F"/>
    <w:rsid w:val="790F7E27"/>
    <w:rsid w:val="792A231A"/>
    <w:rsid w:val="79316829"/>
    <w:rsid w:val="797E66A9"/>
    <w:rsid w:val="798518A4"/>
    <w:rsid w:val="79A11135"/>
    <w:rsid w:val="79A97383"/>
    <w:rsid w:val="79BD70A9"/>
    <w:rsid w:val="79E27E8B"/>
    <w:rsid w:val="79F850CE"/>
    <w:rsid w:val="79FD443C"/>
    <w:rsid w:val="7A1D1975"/>
    <w:rsid w:val="7A3E5150"/>
    <w:rsid w:val="7A401EF5"/>
    <w:rsid w:val="7A4670D6"/>
    <w:rsid w:val="7A534B63"/>
    <w:rsid w:val="7A615382"/>
    <w:rsid w:val="7A67303B"/>
    <w:rsid w:val="7A6A4483"/>
    <w:rsid w:val="7AAB1D04"/>
    <w:rsid w:val="7ABA4368"/>
    <w:rsid w:val="7ACF7BAC"/>
    <w:rsid w:val="7AD05746"/>
    <w:rsid w:val="7B257FFD"/>
    <w:rsid w:val="7B343476"/>
    <w:rsid w:val="7B5A2978"/>
    <w:rsid w:val="7B5A7E4C"/>
    <w:rsid w:val="7B667AF9"/>
    <w:rsid w:val="7B693797"/>
    <w:rsid w:val="7B7468F8"/>
    <w:rsid w:val="7B7F7F7B"/>
    <w:rsid w:val="7B897BA3"/>
    <w:rsid w:val="7BC205B9"/>
    <w:rsid w:val="7BEE0103"/>
    <w:rsid w:val="7C0A0FE4"/>
    <w:rsid w:val="7C1E5C5D"/>
    <w:rsid w:val="7C254906"/>
    <w:rsid w:val="7C3C5538"/>
    <w:rsid w:val="7C590818"/>
    <w:rsid w:val="7C6632D8"/>
    <w:rsid w:val="7C7C10F6"/>
    <w:rsid w:val="7C853BEA"/>
    <w:rsid w:val="7C881368"/>
    <w:rsid w:val="7C8D330F"/>
    <w:rsid w:val="7CE27788"/>
    <w:rsid w:val="7D0A7D18"/>
    <w:rsid w:val="7D0C32F1"/>
    <w:rsid w:val="7D0F408D"/>
    <w:rsid w:val="7D491C6C"/>
    <w:rsid w:val="7D5429C0"/>
    <w:rsid w:val="7D5524E5"/>
    <w:rsid w:val="7D6E6D43"/>
    <w:rsid w:val="7DB57A34"/>
    <w:rsid w:val="7DB632F2"/>
    <w:rsid w:val="7DC22078"/>
    <w:rsid w:val="7DE60973"/>
    <w:rsid w:val="7DEF0916"/>
    <w:rsid w:val="7E0929FF"/>
    <w:rsid w:val="7E1E5218"/>
    <w:rsid w:val="7E3231B3"/>
    <w:rsid w:val="7E580457"/>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360首行缩进"/>
    <w:basedOn w:val="1"/>
    <w:qFormat/>
    <w:uiPriority w:val="0"/>
    <w:pPr>
      <w:widowControl/>
      <w:spacing w:after="50" w:line="300" w:lineRule="auto"/>
      <w:ind w:firstLine="200" w:firstLineChars="200"/>
      <w:jc w:val="left"/>
    </w:pPr>
    <w:rPr>
      <w:rFonts w:ascii="Arial" w:hAnsi="Arial"/>
      <w:kern w:val="0"/>
      <w:szCs w:val="21"/>
    </w:rPr>
  </w:style>
  <w:style w:type="character" w:customStyle="1" w:styleId="963">
    <w:name w:val="font122"/>
    <w:basedOn w:val="69"/>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B2367-DA3D-4523-AE1D-B1C1C21D685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52140</Words>
  <Characters>56066</Characters>
  <Lines>287</Lines>
  <Paragraphs>81</Paragraphs>
  <TotalTime>13</TotalTime>
  <ScaleCrop>false</ScaleCrop>
  <LinksUpToDate>false</LinksUpToDate>
  <CharactersWithSpaces>61135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蒋晓峥</cp:lastModifiedBy>
  <cp:lastPrinted>2023-10-31T01:59:00Z</cp:lastPrinted>
  <dcterms:modified xsi:type="dcterms:W3CDTF">2024-05-31T06:13:39Z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2A1488EE2D8343AFA8E42C56F6AD394A</vt:lpwstr>
  </property>
</Properties>
</file>