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pStyle w:val="96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2"/>
          <w:szCs w:val="32"/>
          <w:highlight w:val="none"/>
        </w:rPr>
      </w:pPr>
    </w:p>
    <w:p>
      <w:pPr>
        <w:pStyle w:val="96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2024年-2025年盈丰街道路灯及道路景观灯养护运维服务采购项目</w:t>
      </w:r>
    </w:p>
    <w:p>
      <w:pPr>
        <w:adjustRightInd/>
        <w:spacing w:line="360" w:lineRule="auto"/>
        <w:jc w:val="center"/>
        <w:rPr>
          <w:rFonts w:hint="eastAsia" w:ascii="仿宋" w:hAnsi="仿宋" w:eastAsia="仿宋" w:cs="仿宋"/>
          <w:sz w:val="48"/>
          <w:szCs w:val="48"/>
          <w:highlight w:val="none"/>
        </w:rPr>
      </w:pPr>
    </w:p>
    <w:p>
      <w:pPr>
        <w:adjustRightIn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 xml:space="preserve">招标文件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（电子招投标）</w:t>
      </w:r>
    </w:p>
    <w:p>
      <w:pPr>
        <w:snapToGrid w:val="0"/>
        <w:spacing w:line="360" w:lineRule="auto"/>
        <w:jc w:val="center"/>
        <w:rPr>
          <w:rFonts w:hint="eastAsia" w:ascii="仿宋" w:hAnsi="仿宋" w:eastAsia="仿宋" w:cs="仿宋"/>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编号:YF-2024-JDGK-ZCY11</w:t>
      </w:r>
    </w:p>
    <w:p>
      <w:pPr>
        <w:adjustRightInd/>
        <w:spacing w:line="360" w:lineRule="auto"/>
        <w:rPr>
          <w:rFonts w:hint="eastAsia" w:ascii="仿宋" w:hAnsi="仿宋" w:eastAsia="仿宋" w:cs="仿宋"/>
          <w:sz w:val="28"/>
          <w:szCs w:val="20"/>
          <w:highlight w:val="none"/>
        </w:rPr>
      </w:pPr>
    </w:p>
    <w:p>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spacing w:line="360" w:lineRule="auto"/>
        <w:jc w:val="center"/>
        <w:rPr>
          <w:rFonts w:hint="eastAsia" w:ascii="仿宋" w:hAnsi="仿宋" w:eastAsia="仿宋" w:cs="仿宋"/>
          <w:b/>
          <w:sz w:val="44"/>
          <w:szCs w:val="44"/>
          <w:highlight w:val="none"/>
        </w:rPr>
      </w:pPr>
    </w:p>
    <w:p>
      <w:pPr>
        <w:spacing w:line="360" w:lineRule="auto"/>
        <w:rPr>
          <w:rFonts w:hint="eastAsia" w:ascii="仿宋" w:hAnsi="仿宋" w:eastAsia="仿宋" w:cs="仿宋"/>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杭州市萧山区人民政府盈丰街道办事处</w:t>
      </w: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浙江华夏工程管理有限公司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日</w:t>
      </w: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r>
        <w:rPr>
          <w:rFonts w:hint="eastAsia" w:ascii="仿宋" w:hAnsi="仿宋" w:eastAsia="仿宋" w:cs="仿宋"/>
          <w:highlight w:val="none"/>
        </w:rPr>
        <w:t>本招标文件为202</w:t>
      </w:r>
      <w:r>
        <w:rPr>
          <w:rFonts w:hint="eastAsia" w:ascii="仿宋" w:hAnsi="仿宋" w:eastAsia="仿宋" w:cs="仿宋"/>
          <w:highlight w:val="none"/>
          <w:lang w:val="en-US" w:eastAsia="zh-CN"/>
        </w:rPr>
        <w:t>3年5月1日稿</w:t>
      </w:r>
      <w:r>
        <w:rPr>
          <w:rFonts w:hint="eastAsia" w:ascii="仿宋" w:hAnsi="仿宋" w:eastAsia="仿宋" w:cs="仿宋"/>
          <w:highlight w:val="none"/>
        </w:rPr>
        <w:t>，请各位投标人详细阅读各项条款</w:t>
      </w:r>
    </w:p>
    <w:p>
      <w:pPr>
        <w:pStyle w:val="2"/>
        <w:rPr>
          <w:rFonts w:hint="eastAsia" w:ascii="仿宋" w:hAnsi="仿宋" w:eastAsia="仿宋" w:cs="仿宋"/>
          <w:highlight w:val="none"/>
        </w:rPr>
      </w:pP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pPr>
        <w:pStyle w:val="634"/>
        <w:rPr>
          <w:rFonts w:hint="eastAsia" w:ascii="仿宋" w:hAnsi="仿宋" w:eastAsia="仿宋" w:cs="仿宋"/>
          <w:highlight w:val="none"/>
        </w:rPr>
      </w:pPr>
    </w:p>
    <w:p>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p>
    <w:p>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color w:val="auto"/>
          <w:sz w:val="24"/>
          <w:highlight w:val="none"/>
          <w:u w:val="single"/>
          <w:lang w:eastAsia="zh-CN"/>
        </w:rPr>
        <w:t>2024年-2025年盈丰街道路灯及道路景观灯养护运维服务采购项目</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"https://www.zcygov.cn/）获取（下载）招标文件，并于202%20年%20月%20日%20点%20分00秒" </w:instrText>
      </w:r>
      <w:r>
        <w:rPr>
          <w:rFonts w:hint="eastAsia" w:ascii="仿宋" w:hAnsi="仿宋" w:eastAsia="仿宋" w:cs="仿宋"/>
          <w:highlight w:val="none"/>
        </w:rPr>
        <w:fldChar w:fldCharType="separate"/>
      </w:r>
      <w:r>
        <w:rPr>
          <w:rStyle w:val="76"/>
          <w:rFonts w:hint="eastAsia" w:ascii="仿宋" w:hAnsi="仿宋" w:eastAsia="仿宋" w:cs="仿宋"/>
          <w:snapToGrid/>
          <w:kern w:val="2"/>
          <w:sz w:val="24"/>
          <w:szCs w:val="24"/>
          <w:highlight w:val="none"/>
        </w:rPr>
        <w:t>https://www.zcygov.cn/）获取（下载）招标文件，并于202</w:t>
      </w:r>
      <w:r>
        <w:rPr>
          <w:rStyle w:val="76"/>
          <w:rFonts w:hint="eastAsia" w:ascii="仿宋" w:hAnsi="仿宋" w:eastAsia="仿宋" w:cs="仿宋"/>
          <w:snapToGrid/>
          <w:kern w:val="2"/>
          <w:sz w:val="24"/>
          <w:szCs w:val="24"/>
          <w:highlight w:val="none"/>
          <w:lang w:val="en-US" w:eastAsia="zh-CN"/>
        </w:rPr>
        <w:t>4</w:t>
      </w:r>
      <w:r>
        <w:rPr>
          <w:rStyle w:val="76"/>
          <w:rFonts w:hint="eastAsia" w:ascii="仿宋" w:hAnsi="仿宋" w:eastAsia="仿宋" w:cs="仿宋"/>
          <w:snapToGrid/>
          <w:kern w:val="2"/>
          <w:sz w:val="24"/>
          <w:szCs w:val="24"/>
          <w:highlight w:val="none"/>
        </w:rPr>
        <w:t>年</w:t>
      </w:r>
      <w:r>
        <w:rPr>
          <w:rStyle w:val="76"/>
          <w:rFonts w:hint="eastAsia" w:ascii="仿宋" w:hAnsi="仿宋" w:eastAsia="仿宋" w:cs="仿宋"/>
          <w:snapToGrid/>
          <w:kern w:val="2"/>
          <w:sz w:val="24"/>
          <w:szCs w:val="24"/>
          <w:highlight w:val="none"/>
          <w:lang w:val="en-US" w:eastAsia="zh-CN"/>
        </w:rPr>
        <w:t>06</w:t>
      </w:r>
      <w:r>
        <w:rPr>
          <w:rStyle w:val="76"/>
          <w:rFonts w:hint="eastAsia" w:ascii="仿宋" w:hAnsi="仿宋" w:eastAsia="仿宋" w:cs="仿宋"/>
          <w:snapToGrid/>
          <w:kern w:val="2"/>
          <w:sz w:val="24"/>
          <w:szCs w:val="24"/>
          <w:highlight w:val="none"/>
        </w:rPr>
        <w:t>月</w:t>
      </w:r>
      <w:r>
        <w:rPr>
          <w:rStyle w:val="76"/>
          <w:rFonts w:hint="eastAsia" w:ascii="仿宋" w:hAnsi="仿宋" w:eastAsia="仿宋" w:cs="仿宋"/>
          <w:snapToGrid/>
          <w:kern w:val="2"/>
          <w:sz w:val="24"/>
          <w:szCs w:val="24"/>
          <w:highlight w:val="none"/>
          <w:lang w:val="en-US" w:eastAsia="zh-CN"/>
        </w:rPr>
        <w:t>27</w:t>
      </w:r>
      <w:r>
        <w:rPr>
          <w:rStyle w:val="76"/>
          <w:rFonts w:hint="eastAsia" w:ascii="仿宋" w:hAnsi="仿宋" w:eastAsia="仿宋" w:cs="仿宋"/>
          <w:snapToGrid/>
          <w:kern w:val="2"/>
          <w:sz w:val="24"/>
          <w:szCs w:val="24"/>
          <w:highlight w:val="none"/>
        </w:rPr>
        <w:t>日</w:t>
      </w:r>
      <w:r>
        <w:rPr>
          <w:rStyle w:val="76"/>
          <w:rFonts w:hint="eastAsia" w:ascii="仿宋" w:hAnsi="仿宋" w:eastAsia="仿宋" w:cs="仿宋"/>
          <w:snapToGrid/>
          <w:kern w:val="2"/>
          <w:sz w:val="24"/>
          <w:szCs w:val="24"/>
          <w:highlight w:val="none"/>
          <w:lang w:val="en-US" w:eastAsia="zh-CN"/>
        </w:rPr>
        <w:t>14</w:t>
      </w:r>
      <w:r>
        <w:rPr>
          <w:rStyle w:val="76"/>
          <w:rFonts w:hint="eastAsia" w:ascii="仿宋" w:hAnsi="仿宋" w:eastAsia="仿宋" w:cs="仿宋"/>
          <w:snapToGrid/>
          <w:kern w:val="2"/>
          <w:sz w:val="24"/>
          <w:szCs w:val="24"/>
          <w:highlight w:val="none"/>
        </w:rPr>
        <w:t>点</w:t>
      </w:r>
      <w:r>
        <w:rPr>
          <w:rStyle w:val="76"/>
          <w:rFonts w:hint="eastAsia" w:ascii="仿宋" w:hAnsi="仿宋" w:eastAsia="仿宋" w:cs="仿宋"/>
          <w:snapToGrid/>
          <w:kern w:val="2"/>
          <w:sz w:val="24"/>
          <w:szCs w:val="24"/>
          <w:highlight w:val="none"/>
          <w:lang w:val="en-US" w:eastAsia="zh-CN"/>
        </w:rPr>
        <w:t>30</w:t>
      </w:r>
      <w:r>
        <w:rPr>
          <w:rStyle w:val="76"/>
          <w:rFonts w:hint="eastAsia" w:ascii="仿宋" w:hAnsi="仿宋" w:eastAsia="仿宋" w:cs="仿宋"/>
          <w:snapToGrid/>
          <w:kern w:val="2"/>
          <w:sz w:val="24"/>
          <w:szCs w:val="24"/>
          <w:highlight w:val="none"/>
        </w:rPr>
        <w:t>分</w:t>
      </w:r>
      <w:r>
        <w:rPr>
          <w:rStyle w:val="76"/>
          <w:rFonts w:hint="eastAsia" w:ascii="仿宋" w:hAnsi="仿宋" w:eastAsia="仿宋" w:cs="仿宋"/>
          <w:bCs/>
          <w:snapToGrid/>
          <w:kern w:val="2"/>
          <w:sz w:val="24"/>
          <w:szCs w:val="24"/>
          <w:highlight w:val="none"/>
        </w:rPr>
        <w:t>00秒</w:t>
      </w:r>
      <w:r>
        <w:rPr>
          <w:rStyle w:val="76"/>
          <w:rFonts w:hint="eastAsia" w:ascii="仿宋" w:hAnsi="仿宋" w:eastAsia="仿宋" w:cs="仿宋"/>
          <w:bCs/>
          <w:snapToGrid/>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color w:val="auto"/>
          <w:sz w:val="24"/>
          <w:highlight w:val="none"/>
        </w:rPr>
        <w:t>YF-2024-JDGK-ZCY11</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r>
        <w:rPr>
          <w:rFonts w:hint="eastAsia" w:ascii="仿宋" w:hAnsi="仿宋" w:eastAsia="仿宋" w:cs="仿宋"/>
          <w:color w:val="auto"/>
          <w:sz w:val="24"/>
          <w:highlight w:val="none"/>
          <w:lang w:eastAsia="zh-CN"/>
        </w:rPr>
        <w:t>2024年-2025年盈丰街道路灯及道路景观灯养护运维服务采购项目</w:t>
      </w:r>
    </w:p>
    <w:p>
      <w:pPr>
        <w:spacing w:line="360" w:lineRule="auto"/>
        <w:rPr>
          <w:rFonts w:hint="eastAsia" w:ascii="仿宋" w:hAnsi="仿宋" w:eastAsia="仿宋" w:cs="仿宋"/>
          <w:color w:val="auto"/>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w:t>
      </w:r>
      <w:r>
        <w:rPr>
          <w:rFonts w:hint="eastAsia" w:ascii="仿宋" w:hAnsi="仿宋" w:eastAsia="仿宋" w:cs="仿宋"/>
          <w:b/>
          <w:color w:val="auto"/>
          <w:sz w:val="24"/>
          <w:highlight w:val="none"/>
        </w:rPr>
        <w:t>额（元）：</w:t>
      </w:r>
      <w:r>
        <w:rPr>
          <w:rFonts w:hint="eastAsia" w:ascii="仿宋" w:hAnsi="仿宋" w:eastAsia="仿宋" w:cs="仿宋"/>
          <w:bCs/>
          <w:color w:val="auto"/>
          <w:sz w:val="24"/>
          <w:highlight w:val="none"/>
          <w:lang w:val="en-US" w:eastAsia="zh-CN"/>
        </w:rPr>
        <w:t>7800000</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7062544</w:t>
      </w:r>
      <w:r>
        <w:rPr>
          <w:rFonts w:hint="eastAsia" w:ascii="仿宋" w:hAnsi="仿宋" w:eastAsia="仿宋" w:cs="仿宋"/>
          <w:color w:val="auto"/>
          <w:sz w:val="24"/>
          <w:highlight w:val="none"/>
        </w:rPr>
        <w:t xml:space="preserve"> </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2024年-2025年盈丰街道路灯及道路景观灯养护运维服务采购项目</w:t>
      </w:r>
    </w:p>
    <w:p>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szCs w:val="28"/>
          <w:highlight w:val="none"/>
          <w:lang w:eastAsia="zh-CN"/>
        </w:rPr>
        <w:t>2024年-2025年盈丰街道路灯及道路景观灯养护运维服务采购</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28"/>
        <w:keepNext w:val="0"/>
        <w:keepLines w:val="0"/>
        <w:pageBreakBefore w:val="0"/>
        <w:kinsoku/>
        <w:wordWrap/>
        <w:overflowPunct/>
        <w:topLinePunct w:val="0"/>
        <w:autoSpaceDE/>
        <w:autoSpaceDN/>
        <w:bidi w:val="0"/>
        <w:adjustRightInd w:val="0"/>
        <w:spacing w:before="0"/>
        <w:ind w:firstLine="482"/>
        <w:textAlignment w:val="auto"/>
        <w:outlineLvl w:val="2"/>
        <w:rPr>
          <w:rFonts w:hint="eastAsia" w:ascii="仿宋" w:hAnsi="仿宋" w:eastAsia="仿宋" w:cs="仿宋"/>
          <w:highlight w:val="none"/>
        </w:rPr>
      </w:pPr>
      <w:r>
        <w:rPr>
          <w:rFonts w:hint="eastAsia" w:ascii="仿宋" w:hAnsi="仿宋" w:eastAsia="仿宋" w:cs="仿宋"/>
          <w:b/>
          <w:highlight w:val="none"/>
        </w:rPr>
        <w:t>合同履约期限：</w:t>
      </w:r>
      <w:r>
        <w:rPr>
          <w:rFonts w:hint="eastAsia" w:ascii="仿宋" w:hAnsi="仿宋" w:eastAsia="仿宋" w:cs="仿宋"/>
          <w:bCs/>
          <w:color w:val="auto"/>
          <w:kern w:val="2"/>
          <w:sz w:val="24"/>
          <w:szCs w:val="24"/>
          <w:highlight w:val="none"/>
          <w:lang w:val="en-US" w:eastAsia="zh-CN"/>
        </w:rPr>
        <w:t>2年</w:t>
      </w:r>
      <w:r>
        <w:rPr>
          <w:rFonts w:hint="eastAsia" w:ascii="仿宋" w:hAnsi="仿宋" w:eastAsia="仿宋" w:cs="仿宋"/>
          <w:bCs/>
          <w:color w:val="auto"/>
          <w:kern w:val="2"/>
          <w:sz w:val="24"/>
          <w:szCs w:val="24"/>
          <w:highlight w:val="none"/>
          <w:lang w:eastAsia="zh-CN"/>
        </w:rPr>
        <w:t xml:space="preserve">。 </w:t>
      </w:r>
    </w:p>
    <w:p>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pPr>
        <w:spacing w:line="360" w:lineRule="auto"/>
        <w:ind w:firstLine="480"/>
        <w:rPr>
          <w:rFonts w:hint="eastAsia" w:ascii="仿宋" w:hAnsi="仿宋" w:eastAsia="仿宋" w:cs="仿宋"/>
          <w:snapToGrid w:val="0"/>
          <w:kern w:val="28"/>
          <w:sz w:val="24"/>
          <w:szCs w:val="20"/>
          <w:highlight w:val="none"/>
        </w:rPr>
      </w:pPr>
      <w:sdt>
        <w:sdtPr>
          <w:rPr>
            <w:rFonts w:hint="eastAsia" w:ascii="仿宋" w:hAnsi="仿宋" w:eastAsia="仿宋" w:cs="仿宋"/>
            <w:snapToGrid w:val="0"/>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kern w:val="28"/>
            <w:sz w:val="24"/>
            <w:szCs w:val="20"/>
            <w:highlight w:val="none"/>
          </w:rPr>
        </w:sdtEndPr>
        <w:sdtContent>
          <w:r>
            <w:rPr>
              <w:rFonts w:hint="eastAsia" w:ascii="仿宋" w:hAnsi="仿宋" w:eastAsia="仿宋" w:cs="仿宋"/>
              <w:snapToGrid w:val="0"/>
              <w:kern w:val="28"/>
              <w:sz w:val="24"/>
              <w:szCs w:val="20"/>
              <w:highlight w:val="none"/>
            </w:rPr>
            <w:t>☐</w:t>
          </w:r>
        </w:sdtContent>
      </w:sdt>
      <w:r>
        <w:rPr>
          <w:rFonts w:hint="eastAsia" w:ascii="仿宋" w:hAnsi="仿宋" w:eastAsia="仿宋" w:cs="仿宋"/>
          <w:snapToGrid w:val="0"/>
          <w:kern w:val="28"/>
          <w:sz w:val="24"/>
          <w:szCs w:val="20"/>
          <w:highlight w:val="none"/>
        </w:rPr>
        <w:t>无（注：不得限制大中型企业与小微企业组成联合体参与投标）；</w:t>
      </w:r>
    </w:p>
    <w:p>
      <w:pPr>
        <w:spacing w:line="360" w:lineRule="auto"/>
        <w:ind w:firstLine="480"/>
        <w:rPr>
          <w:rFonts w:hint="eastAsia" w:ascii="仿宋" w:hAnsi="仿宋" w:eastAsia="仿宋" w:cs="仿宋"/>
          <w:snapToGrid w:val="0"/>
          <w:kern w:val="28"/>
          <w:sz w:val="24"/>
          <w:szCs w:val="20"/>
          <w:highlight w:val="none"/>
        </w:rPr>
      </w:pPr>
      <w:sdt>
        <w:sdtPr>
          <w:rPr>
            <w:rFonts w:hint="eastAsia" w:ascii="仿宋" w:hAnsi="仿宋" w:eastAsia="仿宋" w:cs="仿宋"/>
            <w:snapToGrid w:val="0"/>
            <w:kern w:val="28"/>
            <w:sz w:val="24"/>
            <w:szCs w:val="20"/>
            <w:highlight w:val="none"/>
          </w:rPr>
          <w:id w:val="4"/>
          <w14:checkbox>
            <w14:checked w14:val="1"/>
            <w14:checkedState w14:val="00FE" w14:font="Wingdings"/>
            <w14:uncheckedState w14:val="2610" w14:font="MS Gothic"/>
          </w14:checkbox>
        </w:sdtPr>
        <w:sdtEndPr>
          <w:rPr>
            <w:rFonts w:hint="eastAsia" w:ascii="仿宋" w:hAnsi="仿宋" w:eastAsia="仿宋" w:cs="仿宋"/>
            <w:snapToGrid w:val="0"/>
            <w:kern w:val="28"/>
            <w:sz w:val="24"/>
            <w:szCs w:val="20"/>
            <w:highlight w:val="none"/>
          </w:rPr>
        </w:sdtEndPr>
        <w:sdtContent>
          <w:r>
            <w:rPr>
              <w:rFonts w:hint="eastAsia" w:ascii="Wingdings" w:hAnsi="Wingdings" w:eastAsia="仿宋" w:cs="仿宋"/>
              <w:snapToGrid w:val="0"/>
              <w:kern w:val="28"/>
              <w:sz w:val="24"/>
              <w:szCs w:val="20"/>
              <w:highlight w:val="none"/>
              <w:lang w:val="en-US" w:eastAsia="zh-CN" w:bidi="ar-SA"/>
            </w:rPr>
            <w:t>þ</w:t>
          </w:r>
        </w:sdtContent>
      </w:sdt>
      <w:r>
        <w:rPr>
          <w:rFonts w:hint="eastAsia" w:ascii="仿宋" w:hAnsi="仿宋" w:eastAsia="仿宋" w:cs="仿宋"/>
          <w:snapToGrid w:val="0"/>
          <w:kern w:val="28"/>
          <w:sz w:val="24"/>
          <w:szCs w:val="20"/>
          <w:highlight w:val="none"/>
        </w:rPr>
        <w:t>专门面向中小企业</w:t>
      </w:r>
    </w:p>
    <w:p>
      <w:pPr>
        <w:spacing w:line="360" w:lineRule="auto"/>
        <w:ind w:firstLine="480"/>
        <w:rPr>
          <w:rFonts w:hint="eastAsia" w:ascii="仿宋" w:hAnsi="仿宋" w:eastAsia="仿宋" w:cs="仿宋"/>
          <w:snapToGrid w:val="0"/>
          <w:kern w:val="28"/>
          <w:sz w:val="24"/>
          <w:szCs w:val="20"/>
          <w:highlight w:val="none"/>
        </w:rPr>
      </w:pPr>
      <w:sdt>
        <w:sdtPr>
          <w:rPr>
            <w:rFonts w:hint="eastAsia" w:ascii="仿宋" w:hAnsi="仿宋" w:eastAsia="仿宋" w:cs="仿宋"/>
            <w:snapToGrid w:val="0"/>
            <w:kern w:val="28"/>
            <w:sz w:val="24"/>
            <w:szCs w:val="20"/>
            <w:highlight w:val="none"/>
          </w:rPr>
          <w:id w:val="5"/>
          <w14:checkbox>
            <w14:checked w14:val="1"/>
            <w14:checkedState w14:val="00FE" w14:font="Wingdings"/>
            <w14:uncheckedState w14:val="2610" w14:font="MS Gothic"/>
          </w14:checkbox>
        </w:sdtPr>
        <w:sdtEndPr>
          <w:rPr>
            <w:rFonts w:hint="eastAsia" w:ascii="仿宋" w:hAnsi="仿宋" w:eastAsia="仿宋" w:cs="仿宋"/>
            <w:snapToGrid w:val="0"/>
            <w:kern w:val="28"/>
            <w:sz w:val="24"/>
            <w:szCs w:val="20"/>
            <w:highlight w:val="none"/>
          </w:rPr>
        </w:sdtEndPr>
        <w:sdtContent>
          <w:r>
            <w:rPr>
              <w:rFonts w:hint="eastAsia" w:ascii="Wingdings" w:hAnsi="Wingdings" w:eastAsia="仿宋" w:cs="仿宋"/>
              <w:snapToGrid w:val="0"/>
              <w:kern w:val="28"/>
              <w:sz w:val="24"/>
              <w:szCs w:val="20"/>
              <w:highlight w:val="none"/>
              <w:lang w:val="en-US" w:eastAsia="zh-CN" w:bidi="ar-SA"/>
            </w:rPr>
            <w:t>þ</w:t>
          </w:r>
        </w:sdtContent>
      </w:sdt>
      <w:r>
        <w:rPr>
          <w:rFonts w:hint="eastAsia" w:ascii="仿宋" w:hAnsi="仿宋" w:eastAsia="仿宋" w:cs="仿宋"/>
          <w:snapToGrid w:val="0"/>
          <w:kern w:val="28"/>
          <w:sz w:val="24"/>
          <w:szCs w:val="20"/>
          <w:highlight w:val="none"/>
        </w:rPr>
        <w:t>服务全部由符合政策要求的中小企业承接，提供中小企业声明函；</w:t>
      </w:r>
    </w:p>
    <w:p>
      <w:pPr>
        <w:spacing w:line="360" w:lineRule="auto"/>
        <w:ind w:firstLine="480"/>
        <w:rPr>
          <w:rFonts w:hint="eastAsia" w:ascii="仿宋" w:hAnsi="仿宋" w:eastAsia="仿宋" w:cs="仿宋"/>
          <w:snapToGrid w:val="0"/>
          <w:kern w:val="28"/>
          <w:sz w:val="24"/>
          <w:szCs w:val="20"/>
          <w:highlight w:val="none"/>
        </w:rPr>
      </w:pPr>
      <w:sdt>
        <w:sdtPr>
          <w:rPr>
            <w:rFonts w:hint="eastAsia" w:ascii="仿宋" w:hAnsi="仿宋" w:eastAsia="仿宋" w:cs="仿宋"/>
            <w:snapToGrid w:val="0"/>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kern w:val="28"/>
            <w:sz w:val="24"/>
            <w:szCs w:val="20"/>
            <w:highlight w:val="none"/>
          </w:rPr>
        </w:sdtEndPr>
        <w:sdtContent>
          <w:r>
            <w:rPr>
              <w:rFonts w:hint="eastAsia" w:ascii="MS Gothic" w:hAnsi="MS Gothic" w:eastAsia="仿宋" w:cs="仿宋"/>
              <w:snapToGrid w:val="0"/>
              <w:kern w:val="28"/>
              <w:sz w:val="24"/>
              <w:szCs w:val="20"/>
              <w:highlight w:val="none"/>
              <w:lang w:val="en-US" w:eastAsia="zh-CN" w:bidi="ar-SA"/>
            </w:rPr>
            <w:t>☐</w:t>
          </w:r>
        </w:sdtContent>
      </w:sdt>
      <w:r>
        <w:rPr>
          <w:rFonts w:hint="eastAsia" w:ascii="仿宋" w:hAnsi="仿宋" w:eastAsia="仿宋" w:cs="仿宋"/>
          <w:snapToGrid w:val="0"/>
          <w:kern w:val="28"/>
          <w:sz w:val="24"/>
          <w:szCs w:val="20"/>
          <w:highlight w:val="none"/>
        </w:rPr>
        <w:t>服务全部由符合政策要求的小微企业承接，提供中小企业声明函；</w:t>
      </w:r>
    </w:p>
    <w:p>
      <w:pPr>
        <w:spacing w:line="360" w:lineRule="auto"/>
        <w:ind w:firstLine="480"/>
        <w:rPr>
          <w:rFonts w:hint="eastAsia" w:ascii="仿宋" w:hAnsi="仿宋" w:eastAsia="仿宋" w:cs="仿宋"/>
          <w:snapToGrid w:val="0"/>
          <w:kern w:val="28"/>
          <w:sz w:val="24"/>
          <w:szCs w:val="20"/>
          <w:highlight w:val="none"/>
        </w:rPr>
      </w:pPr>
      <w:sdt>
        <w:sdtPr>
          <w:rPr>
            <w:rFonts w:hint="eastAsia" w:ascii="仿宋" w:hAnsi="仿宋" w:eastAsia="仿宋" w:cs="仿宋"/>
            <w:snapToGrid w:val="0"/>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kern w:val="28"/>
            <w:sz w:val="24"/>
            <w:szCs w:val="20"/>
            <w:highlight w:val="none"/>
          </w:rPr>
        </w:sdtEndPr>
        <w:sdtContent>
          <w:r>
            <w:rPr>
              <w:rFonts w:hint="eastAsia" w:ascii="仿宋" w:hAnsi="仿宋" w:eastAsia="仿宋" w:cs="仿宋"/>
              <w:snapToGrid w:val="0"/>
              <w:kern w:val="28"/>
              <w:sz w:val="24"/>
              <w:szCs w:val="20"/>
              <w:highlight w:val="none"/>
            </w:rPr>
            <w:t>☐</w:t>
          </w:r>
        </w:sdtContent>
      </w:sdt>
      <w:r>
        <w:rPr>
          <w:rFonts w:hint="eastAsia" w:ascii="仿宋" w:hAnsi="仿宋" w:eastAsia="仿宋" w:cs="仿宋"/>
          <w:snapToGrid w:val="0"/>
          <w:kern w:val="28"/>
          <w:sz w:val="24"/>
          <w:szCs w:val="20"/>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hint="eastAsia" w:ascii="仿宋" w:hAnsi="仿宋" w:eastAsia="仿宋" w:cs="仿宋"/>
          <w:snapToGrid w:val="0"/>
          <w:kern w:val="28"/>
          <w:sz w:val="24"/>
          <w:szCs w:val="20"/>
          <w:highlight w:val="none"/>
        </w:rPr>
      </w:pPr>
      <w:sdt>
        <w:sdtPr>
          <w:rPr>
            <w:rFonts w:hint="eastAsia" w:ascii="仿宋" w:hAnsi="仿宋" w:eastAsia="仿宋" w:cs="仿宋"/>
            <w:snapToGrid w:val="0"/>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kern w:val="28"/>
            <w:sz w:val="24"/>
            <w:szCs w:val="20"/>
            <w:highlight w:val="none"/>
          </w:rPr>
        </w:sdtEndPr>
        <w:sdtContent>
          <w:r>
            <w:rPr>
              <w:rFonts w:hint="eastAsia" w:ascii="仿宋" w:hAnsi="仿宋" w:eastAsia="仿宋" w:cs="仿宋"/>
              <w:snapToGrid w:val="0"/>
              <w:kern w:val="28"/>
              <w:sz w:val="24"/>
              <w:szCs w:val="20"/>
              <w:highlight w:val="none"/>
            </w:rPr>
            <w:t>☐</w:t>
          </w:r>
        </w:sdtContent>
      </w:sdt>
      <w:r>
        <w:rPr>
          <w:rFonts w:hint="eastAsia" w:ascii="仿宋" w:hAnsi="仿宋" w:eastAsia="仿宋" w:cs="仿宋"/>
          <w:snapToGrid w:val="0"/>
          <w:kern w:val="28"/>
          <w:sz w:val="24"/>
          <w:szCs w:val="20"/>
          <w:highlight w:val="none"/>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;如果供应商本身提供所有标的均由中小企业制造、承建或承接，并相应达到了前述比例要求，视同符合了资格条件，无需再向中小企业分包，无需提供分包意向协议；</w:t>
      </w:r>
    </w:p>
    <w:p>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4.本项目的特定资格要求：</w:t>
      </w:r>
    </w:p>
    <w:p>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sz w:val="24"/>
          <w:highlight w:val="none"/>
        </w:rPr>
        <w:t>时</w:t>
      </w:r>
      <w:r>
        <w:rPr>
          <w:rFonts w:hint="eastAsia" w:ascii="仿宋" w:hAnsi="仿宋" w:eastAsia="仿宋" w:cs="仿宋"/>
          <w:b/>
          <w:color w:val="auto"/>
          <w:sz w:val="24"/>
          <w:highlight w:val="none"/>
        </w:rPr>
        <w:t>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2024年06月27日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2024年06月27日14点30分</w:t>
      </w:r>
      <w:r>
        <w:rPr>
          <w:rFonts w:hint="eastAsia" w:ascii="仿宋" w:hAnsi="仿宋" w:eastAsia="仿宋" w:cs="仿宋"/>
          <w:color w:val="auto"/>
          <w:sz w:val="24"/>
          <w:highlight w:val="none"/>
          <w:u w:val="single"/>
        </w:rPr>
        <w:t>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2024年06月27日14点30分</w:t>
      </w:r>
      <w:r>
        <w:rPr>
          <w:rFonts w:hint="eastAsia" w:ascii="仿宋" w:hAnsi="仿宋" w:eastAsia="仿宋" w:cs="仿宋"/>
          <w:color w:val="auto"/>
          <w:sz w:val="24"/>
          <w:highlight w:val="none"/>
          <w:u w:val="single"/>
        </w:rPr>
        <w:t>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sz w:val="24"/>
          <w:highlight w:val="none"/>
          <w:lang w:val="en-US" w:eastAsia="zh-CN"/>
        </w:rPr>
        <w:t>项目是否接收备份文件，以前附表说明为准。</w:t>
      </w:r>
      <w:r>
        <w:rPr>
          <w:rFonts w:hint="eastAsia" w:ascii="仿宋" w:hAnsi="仿宋" w:eastAsia="仿宋" w:cs="仿宋"/>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称：杭州市萧山区人民政府</w:t>
      </w:r>
      <w:r>
        <w:rPr>
          <w:rFonts w:hint="eastAsia" w:ascii="仿宋" w:hAnsi="仿宋" w:eastAsia="仿宋" w:cs="仿宋"/>
          <w:color w:val="auto"/>
          <w:sz w:val="24"/>
          <w:highlight w:val="none"/>
          <w:lang w:eastAsia="zh-CN"/>
        </w:rPr>
        <w:t>盈丰</w:t>
      </w:r>
      <w:r>
        <w:rPr>
          <w:rFonts w:hint="eastAsia" w:ascii="仿宋" w:hAnsi="仿宋" w:eastAsia="仿宋" w:cs="仿宋"/>
          <w:color w:val="auto"/>
          <w:sz w:val="24"/>
          <w:highlight w:val="none"/>
        </w:rPr>
        <w:t xml:space="preserve">街道办事处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地址：萧山区市心北路857号</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黄寅</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项目联系方式（询问）：15658107878</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质疑联系人：汪阳一帆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15957190233</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称：浙江华夏工程管理有限公司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址：杭州市萧山区金城路540号心意广场3幢1802</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项目联系人（询问）：尚赛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15957154344</w:t>
      </w:r>
      <w:r>
        <w:rPr>
          <w:rFonts w:hint="eastAsia" w:ascii="仿宋" w:hAnsi="仿宋" w:eastAsia="仿宋" w:cs="仿宋"/>
          <w:color w:val="auto"/>
          <w:sz w:val="24"/>
          <w:highlight w:val="none"/>
        </w:rPr>
        <w:t xml:space="preserve"> 1322274936@qq.com</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李桂飞</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 xml:space="preserve">    质疑联系方式：0571-57572683</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3.同级政府采购监督管理部门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名    称：萧山区财政局</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浙江省政府采购行政裁决服务中心（杭州）</w:t>
      </w:r>
    </w:p>
    <w:p>
      <w:pPr>
        <w:spacing w:line="360" w:lineRule="auto"/>
        <w:ind w:left="237" w:leftChars="113" w:firstLine="180" w:firstLineChars="75"/>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仿宋" w:hAnsi="仿宋" w:eastAsia="仿宋" w:cs="仿宋"/>
          <w:sz w:val="24"/>
          <w:highlight w:val="none"/>
          <w:lang w:eastAsia="zh-CN"/>
        </w:rPr>
      </w:pPr>
      <w:r>
        <w:rPr>
          <w:rFonts w:hint="eastAsia" w:ascii="仿宋" w:hAnsi="仿宋" w:eastAsia="仿宋" w:cs="仿宋"/>
          <w:sz w:val="24"/>
          <w:highlight w:val="none"/>
        </w:rPr>
        <w:t>传   真：</w:t>
      </w:r>
      <w:r>
        <w:rPr>
          <w:rFonts w:hint="eastAsia" w:ascii="仿宋" w:hAnsi="仿宋" w:eastAsia="仿宋" w:cs="仿宋"/>
          <w:sz w:val="24"/>
          <w:highlight w:val="none"/>
          <w:lang w:val="en-US" w:eastAsia="zh-CN"/>
        </w:rPr>
        <w:t>/</w:t>
      </w:r>
    </w:p>
    <w:p>
      <w:pPr>
        <w:spacing w:line="360" w:lineRule="auto"/>
        <w:ind w:left="237" w:leftChars="113" w:firstLine="180" w:firstLineChars="75"/>
        <w:rPr>
          <w:rFonts w:hint="eastAsia" w:ascii="仿宋" w:hAnsi="仿宋" w:eastAsia="仿宋" w:cs="仿宋"/>
          <w:sz w:val="24"/>
          <w:highlight w:val="none"/>
        </w:rPr>
      </w:pPr>
      <w:r>
        <w:rPr>
          <w:rFonts w:hint="eastAsia" w:ascii="仿宋" w:hAnsi="仿宋" w:eastAsia="仿宋" w:cs="仿宋"/>
          <w:sz w:val="24"/>
          <w:highlight w:val="none"/>
        </w:rPr>
        <w:t>联系人 ：</w:t>
      </w:r>
      <w:r>
        <w:rPr>
          <w:rFonts w:hint="eastAsia" w:ascii="仿宋" w:hAnsi="仿宋" w:eastAsia="仿宋" w:cs="仿宋"/>
          <w:sz w:val="24"/>
          <w:highlight w:val="none"/>
          <w:lang w:val="en-US" w:eastAsia="zh-CN"/>
        </w:rPr>
        <w:t>朱女士/王女士</w:t>
      </w:r>
    </w:p>
    <w:p>
      <w:pPr>
        <w:spacing w:line="360" w:lineRule="auto"/>
        <w:ind w:left="237" w:leftChars="113" w:firstLine="180" w:firstLineChars="75"/>
        <w:rPr>
          <w:rFonts w:hint="eastAsia" w:ascii="仿宋" w:hAnsi="仿宋" w:eastAsia="仿宋" w:cs="仿宋"/>
          <w:sz w:val="24"/>
          <w:highlight w:val="none"/>
          <w:lang w:val="en-US" w:eastAsia="zh-CN"/>
        </w:rPr>
      </w:pPr>
      <w:r>
        <w:rPr>
          <w:rFonts w:hint="eastAsia" w:ascii="仿宋" w:hAnsi="仿宋" w:eastAsia="仿宋" w:cs="仿宋"/>
          <w:sz w:val="24"/>
          <w:highlight w:val="none"/>
        </w:rPr>
        <w:t>监督投诉电话：</w:t>
      </w:r>
      <w:r>
        <w:rPr>
          <w:rFonts w:hint="eastAsia" w:ascii="仿宋" w:hAnsi="仿宋" w:eastAsia="仿宋" w:cs="仿宋"/>
          <w:sz w:val="24"/>
          <w:highlight w:val="none"/>
          <w:lang w:val="en-US" w:eastAsia="zh-CN"/>
        </w:rPr>
        <w:t>0571-85252453</w:t>
      </w:r>
      <w:r>
        <w:rPr>
          <w:rFonts w:hint="eastAsia" w:ascii="仿宋" w:hAnsi="仿宋" w:eastAsia="仿宋" w:cs="仿宋"/>
          <w:sz w:val="24"/>
          <w:highlight w:val="none"/>
        </w:rPr>
        <w:t xml:space="preserve"> </w:t>
      </w:r>
    </w:p>
    <w:p>
      <w:pPr>
        <w:spacing w:line="360" w:lineRule="auto"/>
        <w:ind w:firstLine="420" w:firstLineChars="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政策咨询电话：</w:t>
      </w:r>
      <w:r>
        <w:rPr>
          <w:rFonts w:hint="eastAsia" w:ascii="仿宋" w:hAnsi="仿宋" w:eastAsia="仿宋" w:cs="仿宋"/>
          <w:sz w:val="24"/>
          <w:highlight w:val="none"/>
        </w:rPr>
        <w:t>0571-82756122  </w:t>
      </w:r>
      <w:r>
        <w:rPr>
          <w:rFonts w:hint="eastAsia" w:ascii="仿宋" w:hAnsi="仿宋" w:eastAsia="仿宋" w:cs="仿宋"/>
          <w:sz w:val="24"/>
          <w:highlight w:val="none"/>
          <w:lang w:eastAsia="zh-CN"/>
        </w:rPr>
        <w:t>（汤先生）</w:t>
      </w:r>
    </w:p>
    <w:p>
      <w:pPr>
        <w:spacing w:line="360" w:lineRule="auto"/>
        <w:rPr>
          <w:rFonts w:hint="eastAsia" w:ascii="仿宋" w:hAnsi="仿宋" w:eastAsia="仿宋" w:cs="仿宋"/>
          <w:sz w:val="24"/>
          <w:highlight w:val="none"/>
          <w:lang w:val="en-US" w:eastAsia="zh-CN"/>
        </w:rPr>
      </w:pPr>
    </w:p>
    <w:p>
      <w:pPr>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highlight w:val="none"/>
              </w:rPr>
            </w:pPr>
            <w:r>
              <w:rPr>
                <w:rFonts w:hint="eastAsia" w:ascii="仿宋" w:hAnsi="仿宋" w:eastAsia="仿宋" w:cs="仿宋"/>
                <w:highlight w:val="none"/>
              </w:rPr>
              <w:t>（1）标的：</w:t>
            </w:r>
            <w:r>
              <w:rPr>
                <w:rFonts w:hint="eastAsia" w:ascii="仿宋" w:hAnsi="仿宋" w:eastAsia="仿宋" w:cs="仿宋"/>
                <w:highlight w:val="none"/>
                <w:lang w:eastAsia="zh-CN"/>
              </w:rPr>
              <w:t>2024年-2025年盈丰街道路灯及道路景观灯养护运维服务采购项目</w:t>
            </w:r>
            <w:r>
              <w:rPr>
                <w:rFonts w:hint="eastAsia" w:ascii="仿宋" w:hAnsi="仿宋" w:eastAsia="仿宋" w:cs="仿宋"/>
                <w:highlight w:val="none"/>
              </w:rPr>
              <w:t>，属于</w:t>
            </w:r>
            <w:r>
              <w:rPr>
                <w:rFonts w:hint="eastAsia" w:ascii="仿宋" w:hAnsi="仿宋" w:eastAsia="仿宋" w:cs="仿宋"/>
                <w:highlight w:val="none"/>
                <w:u w:val="single"/>
              </w:rPr>
              <w:t>租赁和商务服务业</w:t>
            </w:r>
            <w:r>
              <w:rPr>
                <w:rFonts w:hint="eastAsia" w:ascii="仿宋" w:hAnsi="仿宋" w:eastAsia="仿宋" w:cs="仿宋"/>
                <w:highlight w:val="none"/>
              </w:rPr>
              <w:t>行业；</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highlight w:val="none"/>
                <w:lang w:val="en-US"/>
              </w:rPr>
            </w:pPr>
            <w:r>
              <w:rPr>
                <w:rFonts w:hint="eastAsia" w:ascii="仿宋" w:hAnsi="仿宋" w:eastAsia="仿宋" w:cs="仿宋"/>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highlight w:val="none"/>
              </w:rPr>
            </w:pPr>
            <w:sdt>
              <w:sdtPr>
                <w:rPr>
                  <w:rFonts w:hint="eastAsia" w:ascii="仿宋" w:hAnsi="仿宋" w:eastAsia="仿宋" w:cs="仿宋"/>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w:t>
            </w:r>
            <w:r>
              <w:rPr>
                <w:rFonts w:hint="eastAsia" w:ascii="仿宋" w:hAnsi="仿宋" w:eastAsia="仿宋" w:cs="仿宋"/>
                <w:color w:val="0000FF"/>
                <w:sz w:val="24"/>
                <w:highlight w:val="none"/>
              </w:rPr>
              <w:t>非关键性的</w:t>
            </w:r>
            <w:r>
              <w:rPr>
                <w:rFonts w:hint="eastAsia" w:ascii="仿宋" w:hAnsi="仿宋" w:eastAsia="仿宋" w:cs="仿宋"/>
                <w:color w:val="0000FF"/>
                <w:sz w:val="24"/>
                <w:highlight w:val="none"/>
                <w:u w:val="single"/>
              </w:rPr>
              <w:t xml:space="preserve">             </w:t>
            </w:r>
            <w:r>
              <w:rPr>
                <w:rFonts w:hint="eastAsia" w:ascii="仿宋" w:hAnsi="仿宋" w:eastAsia="仿宋" w:cs="仿宋"/>
                <w:color w:val="0000FF"/>
                <w:sz w:val="24"/>
                <w:highlight w:val="none"/>
              </w:rPr>
              <w:t>工作分包</w:t>
            </w:r>
            <w:r>
              <w:rPr>
                <w:rFonts w:hint="eastAsia" w:ascii="仿宋" w:hAnsi="仿宋" w:eastAsia="仿宋" w:cs="仿宋"/>
                <w:sz w:val="24"/>
                <w:highlight w:val="none"/>
              </w:rPr>
              <w:t>。</w:t>
            </w:r>
            <w:sdt>
              <w:sdtPr>
                <w:rPr>
                  <w:rFonts w:hint="eastAsia" w:ascii="仿宋" w:hAnsi="仿宋" w:eastAsia="仿宋" w:cs="仿宋"/>
                  <w:kern w:val="0"/>
                  <w:sz w:val="24"/>
                  <w:highlight w:val="none"/>
                </w:rPr>
                <w:id w:val="1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highlight w:val="none"/>
              </w:rPr>
            </w:pPr>
            <w:sdt>
              <w:sdtPr>
                <w:rPr>
                  <w:rFonts w:hint="eastAsia" w:ascii="仿宋" w:hAnsi="仿宋" w:eastAsia="仿宋" w:cs="仿宋"/>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b/>
                <w:kern w:val="0"/>
                <w:sz w:val="24"/>
                <w:highlight w:val="none"/>
                <w:lang w:val="zh-CN"/>
              </w:rPr>
            </w:pPr>
            <w:sdt>
              <w:sdtPr>
                <w:rPr>
                  <w:rFonts w:hint="eastAsia" w:ascii="仿宋" w:hAnsi="仿宋" w:eastAsia="仿宋" w:cs="仿宋"/>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3" w:hRule="atLeast"/>
          <w:tblHead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b/>
                <w:bCs/>
                <w:kern w:val="0"/>
                <w:sz w:val="24"/>
                <w:highlight w:val="none"/>
                <w:lang w:val="zh-CN"/>
              </w:rPr>
              <w:t>投标文件</w:t>
            </w:r>
            <w:r>
              <w:rPr>
                <w:rFonts w:hint="eastAsia" w:ascii="仿宋" w:hAnsi="仿宋" w:eastAsia="仿宋" w:cs="仿宋"/>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仿宋" w:hAnsi="仿宋" w:eastAsia="仿宋" w:cs="仿宋"/>
                <w:b/>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hint="eastAsia"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240" w:lineRule="auto"/>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28"/>
                <w:sz w:val="24"/>
                <w:highlight w:val="none"/>
              </w:rPr>
            </w:pPr>
            <w:r>
              <w:rPr>
                <w:rFonts w:hint="eastAsia" w:ascii="仿宋" w:hAnsi="仿宋" w:eastAsia="仿宋" w:cs="仿宋"/>
                <w:kern w:val="28"/>
                <w:sz w:val="24"/>
                <w:szCs w:val="24"/>
                <w:highlight w:val="none"/>
                <w:lang w:val="en-US" w:eastAsia="zh-CN"/>
              </w:rPr>
              <w:t>本项目</w:t>
            </w:r>
            <w:r>
              <w:rPr>
                <w:rFonts w:hint="eastAsia" w:ascii="仿宋" w:hAnsi="仿宋" w:eastAsia="仿宋" w:cs="仿宋"/>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28"/>
                <w:sz w:val="24"/>
                <w:szCs w:val="24"/>
                <w:highlight w:val="none"/>
                <w:lang w:eastAsia="zh-CN"/>
              </w:rPr>
            </w:pPr>
            <w:r>
              <w:rPr>
                <w:rFonts w:hint="eastAsia" w:ascii="仿宋" w:hAnsi="仿宋" w:eastAsia="仿宋" w:cs="仿宋"/>
                <w:kern w:val="28"/>
                <w:sz w:val="24"/>
                <w:szCs w:val="24"/>
                <w:highlight w:val="none"/>
                <w:lang w:eastAsia="zh-CN"/>
              </w:rPr>
              <w:t>按照合同约定收取。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已有新文件</w:t>
            </w:r>
            <w:r>
              <w:rPr>
                <w:rFonts w:hint="eastAsia" w:ascii="仿宋" w:hAnsi="仿宋" w:eastAsia="仿宋" w:cs="仿宋"/>
                <w:sz w:val="24"/>
                <w:szCs w:val="24"/>
                <w:highlight w:val="none"/>
                <w:lang w:val="en-US" w:eastAsia="zh-CN"/>
              </w:rPr>
              <w:t>规定</w:t>
            </w:r>
            <w:r>
              <w:rPr>
                <w:rFonts w:hint="eastAsia" w:ascii="仿宋" w:hAnsi="仿宋" w:eastAsia="仿宋" w:cs="仿宋"/>
                <w:sz w:val="24"/>
                <w:szCs w:val="24"/>
                <w:highlight w:val="none"/>
              </w:rPr>
              <w:t>，按照最新文件执行）。存在隐蔽工程的项目，采购单位及供应商应在货物到货并将实施安装前，申请进行初验收。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 0571-83587785/0571-82816012  联系地址: 萧山区通惠北路2-1号302室</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0"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highlight w:val="none"/>
              </w:rPr>
            </w:pPr>
            <w:sdt>
              <w:sdtPr>
                <w:rPr>
                  <w:rFonts w:hint="eastAsia" w:ascii="仿宋" w:hAnsi="仿宋" w:eastAsia="仿宋" w:cs="仿宋"/>
                  <w:sz w:val="24"/>
                  <w:szCs w:val="24"/>
                  <w:highlight w:val="none"/>
                </w:rPr>
                <w:id w:val="23"/>
                <w14:checkbox>
                  <w14:checked w14:val="0"/>
                  <w14:checkedState w14:val="00FE" w14:font="Wingdings"/>
                  <w14:uncheckedState w14:val="2610" w14:font="MS Gothic"/>
                </w14:checkbox>
              </w:sdtPr>
              <w:sdtEndPr>
                <w:rPr>
                  <w:rFonts w:hint="eastAsia" w:ascii="仿宋" w:hAnsi="仿宋" w:eastAsia="仿宋" w:cs="仿宋"/>
                  <w:sz w:val="24"/>
                  <w:szCs w:val="24"/>
                  <w:highlight w:val="none"/>
                </w:rPr>
              </w:sdtEndPr>
              <w:sdtContent>
                <w:r>
                  <w:rPr>
                    <w:rFonts w:hint="eastAsia" w:ascii="仿宋" w:hAnsi="仿宋" w:eastAsia="仿宋" w:cs="仿宋"/>
                    <w:sz w:val="24"/>
                    <w:szCs w:val="24"/>
                    <w:highlight w:val="none"/>
                  </w:rPr>
                  <w:t>☐</w:t>
                </w:r>
              </w:sdtContent>
            </w:sdt>
            <w:r>
              <w:rPr>
                <w:rFonts w:hint="eastAsia" w:ascii="仿宋" w:hAnsi="仿宋" w:eastAsia="仿宋" w:cs="仿宋"/>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highlight w:val="none"/>
              </w:rPr>
            </w:pPr>
            <w:sdt>
              <w:sdtPr>
                <w:rPr>
                  <w:rFonts w:hint="eastAsia" w:ascii="仿宋" w:hAnsi="仿宋" w:eastAsia="仿宋" w:cs="仿宋"/>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sz w:val="24"/>
                  <w:szCs w:val="24"/>
                  <w:highlight w:val="none"/>
                </w:rPr>
              </w:sdtEndPr>
              <w:sdtContent>
                <w:r>
                  <w:rPr>
                    <w:rFonts w:hint="eastAsia" w:ascii="仿宋" w:hAnsi="仿宋" w:eastAsia="仿宋" w:cs="仿宋"/>
                    <w:sz w:val="24"/>
                    <w:szCs w:val="24"/>
                    <w:highlight w:val="none"/>
                  </w:rPr>
                  <w:sym w:font="Wingdings" w:char="F0FE"/>
                </w:r>
              </w:sdtContent>
            </w:sdt>
            <w:r>
              <w:rPr>
                <w:rFonts w:hint="eastAsia" w:ascii="仿宋" w:hAnsi="仿宋" w:eastAsia="仿宋" w:cs="仿宋"/>
                <w:sz w:val="24"/>
                <w:szCs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sz w:val="24"/>
                <w:szCs w:val="24"/>
                <w:highlight w:val="none"/>
              </w:rPr>
              <w:br w:type="textWrapping"/>
            </w:r>
            <w:r>
              <w:rPr>
                <w:rFonts w:hint="eastAsia" w:ascii="仿宋" w:hAnsi="仿宋" w:eastAsia="仿宋" w:cs="仿宋"/>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本项目通用总则条款与前附表等专用特别规定有冲突之处，以专用条款（特别规定）为准</w:t>
            </w:r>
          </w:p>
        </w:tc>
      </w:tr>
    </w:tbl>
    <w:p>
      <w:pPr>
        <w:snapToGrid w:val="0"/>
        <w:spacing w:line="360" w:lineRule="auto"/>
        <w:jc w:val="center"/>
        <w:rPr>
          <w:rFonts w:hint="eastAsia" w:ascii="仿宋" w:hAnsi="仿宋" w:eastAsia="仿宋" w:cs="仿宋"/>
          <w:b/>
          <w:sz w:val="32"/>
          <w:szCs w:val="20"/>
          <w:highlight w:val="none"/>
        </w:rPr>
      </w:pPr>
    </w:p>
    <w:bookmarkEnd w:id="10"/>
    <w:p>
      <w:pPr>
        <w:rPr>
          <w:rFonts w:hint="eastAsia" w:ascii="仿宋" w:hAnsi="仿宋" w:eastAsia="仿宋" w:cs="仿宋"/>
          <w:b/>
          <w:sz w:val="32"/>
          <w:szCs w:val="20"/>
          <w:highlight w:val="none"/>
        </w:rPr>
      </w:pPr>
      <w:bookmarkStart w:id="11" w:name="_Toc164416483"/>
      <w:bookmarkStart w:id="12" w:name="第三部分"/>
      <w:r>
        <w:rPr>
          <w:rFonts w:hint="eastAsia" w:ascii="仿宋" w:hAnsi="仿宋" w:eastAsia="仿宋" w:cs="仿宋"/>
          <w:b/>
          <w:sz w:val="32"/>
          <w:szCs w:val="20"/>
          <w:highlight w:val="none"/>
        </w:rPr>
        <w:br w:type="page"/>
      </w:r>
    </w:p>
    <w:p>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”系指招标公告中载明的本项目的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w:t>
      </w:r>
      <w:r>
        <w:rPr>
          <w:rFonts w:hint="eastAsia" w:ascii="仿宋" w:hAnsi="仿宋" w:eastAsia="仿宋" w:cs="仿宋"/>
          <w:sz w:val="24"/>
          <w:highlight w:val="none"/>
          <w:lang w:val="en-US" w:eastAsia="zh-CN"/>
        </w:rPr>
        <w:t>系</w:t>
      </w:r>
      <w:r>
        <w:rPr>
          <w:rFonts w:hint="eastAsia" w:ascii="仿宋" w:hAnsi="仿宋" w:eastAsia="仿宋" w:cs="仿宋"/>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kern w:val="28"/>
          <w:sz w:val="24"/>
          <w:highlight w:val="none"/>
        </w:rPr>
        <w:t>招标文件第四部分</w:t>
      </w:r>
      <w:r>
        <w:rPr>
          <w:rFonts w:hint="eastAsia" w:ascii="仿宋" w:hAnsi="仿宋" w:eastAsia="仿宋" w:cs="仿宋"/>
          <w:sz w:val="24"/>
          <w:highlight w:val="none"/>
          <w:u w:val="single"/>
        </w:rPr>
        <w:t>评标办分法明确具体的扣除比例，未明确的，</w:t>
      </w:r>
      <w:r>
        <w:rPr>
          <w:rFonts w:hint="eastAsia" w:ascii="仿宋" w:hAnsi="仿宋" w:eastAsia="仿宋" w:cs="仿宋"/>
          <w:sz w:val="24"/>
          <w:highlight w:val="none"/>
        </w:rPr>
        <w:t>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kern w:val="28"/>
          <w:sz w:val="24"/>
          <w:highlight w:val="none"/>
        </w:rPr>
        <w:t>招标文件第四部分</w:t>
      </w:r>
      <w:r>
        <w:rPr>
          <w:rFonts w:hint="eastAsia" w:ascii="仿宋" w:hAnsi="仿宋" w:eastAsia="仿宋" w:cs="仿宋"/>
          <w:sz w:val="24"/>
          <w:highlight w:val="none"/>
          <w:u w:val="single"/>
        </w:rPr>
        <w:t>评标办分法明确具体的扣除比例，未明确的，</w:t>
      </w:r>
      <w:r>
        <w:rPr>
          <w:rFonts w:hint="eastAsia" w:ascii="仿宋" w:hAnsi="仿宋" w:eastAsia="仿宋" w:cs="仿宋"/>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pPr>
        <w:spacing w:line="360" w:lineRule="auto"/>
        <w:ind w:firstLine="240" w:firstLineChars="100"/>
        <w:rPr>
          <w:rFonts w:hint="eastAsia"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4.3供应商质疑</w:t>
      </w:r>
    </w:p>
    <w:p>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提出质疑，否则，采购人或者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不予受理：</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4.3.3</w:t>
      </w:r>
      <w:r>
        <w:rPr>
          <w:rFonts w:hint="eastAsia" w:ascii="仿宋" w:hAnsi="仿宋" w:eastAsia="仿宋" w:cs="仿宋"/>
          <w:sz w:val="24"/>
          <w:highlight w:val="none"/>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4.3.3.1供应商的姓名或者名称、地址、邮编、联系人及联系电话；</w:t>
      </w:r>
    </w:p>
    <w:p>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4.3.3.2质疑项目的名称、编号；</w:t>
      </w:r>
    </w:p>
    <w:p>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4.3.3.3具体、明确的质疑事项和与质疑事项相关的请求；</w:t>
      </w:r>
    </w:p>
    <w:p>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4.3.3.4事实依据；</w:t>
      </w:r>
    </w:p>
    <w:p>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4.3.3.5必要的法律依据；</w:t>
      </w:r>
    </w:p>
    <w:p>
      <w:pPr>
        <w:pStyle w:val="3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.5采购人或者</w:t>
      </w:r>
      <w:r>
        <w:rPr>
          <w:rFonts w:hint="eastAsia" w:ascii="仿宋" w:hAnsi="仿宋" w:eastAsia="仿宋" w:cs="仿宋"/>
          <w:highlight w:val="none"/>
          <w:lang w:eastAsia="zh-CN"/>
        </w:rPr>
        <w:t>采购代理机构</w:t>
      </w:r>
      <w:r>
        <w:rPr>
          <w:rFonts w:hint="eastAsia" w:ascii="仿宋" w:hAnsi="仿宋" w:eastAsia="仿宋" w:cs="仿宋"/>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highlight w:val="none"/>
          <w:lang w:eastAsia="zh-CN"/>
        </w:rPr>
        <w:t>采购代理机构</w:t>
      </w:r>
      <w:r>
        <w:rPr>
          <w:rFonts w:hint="eastAsia" w:ascii="仿宋" w:hAnsi="仿宋" w:eastAsia="仿宋" w:cs="仿宋"/>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4.4供应商投诉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4.4.1质疑供应商对采购人、</w:t>
      </w:r>
      <w:r>
        <w:rPr>
          <w:rFonts w:hint="eastAsia" w:ascii="仿宋" w:hAnsi="仿宋" w:eastAsia="仿宋" w:cs="仿宋"/>
          <w:highlight w:val="none"/>
          <w:lang w:eastAsia="zh-CN"/>
        </w:rPr>
        <w:t>采购代理机构</w:t>
      </w:r>
      <w:r>
        <w:rPr>
          <w:rFonts w:hint="eastAsia" w:ascii="仿宋" w:hAnsi="仿宋" w:eastAsia="仿宋" w:cs="仿宋"/>
          <w:highlight w:val="none"/>
        </w:rPr>
        <w:t>的答复不满意或者采购人、</w:t>
      </w:r>
      <w:r>
        <w:rPr>
          <w:rFonts w:hint="eastAsia" w:ascii="仿宋" w:hAnsi="仿宋" w:eastAsia="仿宋" w:cs="仿宋"/>
          <w:highlight w:val="none"/>
          <w:lang w:eastAsia="zh-CN"/>
        </w:rPr>
        <w:t>采购代理机构</w:t>
      </w:r>
      <w:r>
        <w:rPr>
          <w:rFonts w:hint="eastAsia" w:ascii="仿宋" w:hAnsi="仿宋" w:eastAsia="仿宋" w:cs="仿宋"/>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pPr>
        <w:pStyle w:val="128"/>
        <w:snapToGrid w:val="0"/>
        <w:spacing w:before="0"/>
        <w:ind w:firstLine="360"/>
        <w:rPr>
          <w:rFonts w:hint="eastAsia" w:ascii="仿宋" w:hAnsi="仿宋" w:eastAsia="仿宋" w:cs="仿宋"/>
          <w:sz w:val="18"/>
          <w:szCs w:val="18"/>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2"/>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6. 招标文件的澄清、修改</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w:t>
      </w:r>
      <w:r>
        <w:rPr>
          <w:rFonts w:hint="eastAsia" w:ascii="仿宋" w:hAnsi="仿宋" w:eastAsia="仿宋" w:cs="仿宋"/>
          <w:highlight w:val="none"/>
          <w:lang w:eastAsia="zh-CN"/>
        </w:rPr>
        <w:t>采购代理机构</w:t>
      </w:r>
      <w:r>
        <w:rPr>
          <w:rFonts w:hint="eastAsia" w:ascii="仿宋" w:hAnsi="仿宋" w:eastAsia="仿宋" w:cs="仿宋"/>
          <w:highlight w:val="none"/>
        </w:rPr>
        <w:t>提出。</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6.2 </w:t>
      </w:r>
      <w:r>
        <w:rPr>
          <w:rFonts w:hint="eastAsia" w:ascii="仿宋" w:hAnsi="仿宋" w:eastAsia="仿宋" w:cs="仿宋"/>
          <w:highlight w:val="none"/>
          <w:lang w:eastAsia="zh-CN"/>
        </w:rPr>
        <w:t>采购代理机构</w:t>
      </w:r>
      <w:r>
        <w:rPr>
          <w:rFonts w:hint="eastAsia" w:ascii="仿宋" w:hAnsi="仿宋" w:eastAsia="仿宋" w:cs="仿宋"/>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w:t>
      </w:r>
      <w:r>
        <w:rPr>
          <w:rFonts w:hint="eastAsia" w:ascii="仿宋" w:hAnsi="仿宋" w:eastAsia="仿宋" w:cs="仿宋"/>
          <w:snapToGrid w:val="0"/>
          <w:kern w:val="28"/>
          <w:sz w:val="24"/>
          <w:szCs w:val="20"/>
          <w:highlight w:val="none"/>
        </w:rPr>
        <w:t>联合协议</w:t>
      </w:r>
      <w:r>
        <w:rPr>
          <w:rFonts w:hint="eastAsia" w:ascii="仿宋" w:hAnsi="仿宋" w:eastAsia="仿宋" w:cs="仿宋"/>
          <w:snapToGrid w:val="0"/>
          <w:color w:val="FF0000"/>
          <w:kern w:val="28"/>
          <w:sz w:val="24"/>
          <w:szCs w:val="20"/>
          <w:highlight w:val="none"/>
        </w:rPr>
        <w:t>（如果有)</w:t>
      </w:r>
      <w:r>
        <w:rPr>
          <w:rFonts w:hint="eastAsia" w:ascii="仿宋" w:hAnsi="仿宋" w:eastAsia="仿宋" w:cs="仿宋"/>
          <w:snapToGrid w:val="0"/>
          <w:kern w:val="28"/>
          <w:sz w:val="24"/>
          <w:szCs w:val="20"/>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11.1.3落实政府采购政策需满足的资格要求</w:t>
      </w:r>
      <w:r>
        <w:rPr>
          <w:rFonts w:hint="eastAsia" w:ascii="仿宋" w:hAnsi="仿宋" w:eastAsia="仿宋" w:cs="仿宋"/>
          <w:snapToGrid w:val="0"/>
          <w:color w:val="FF0000"/>
          <w:kern w:val="28"/>
          <w:sz w:val="24"/>
          <w:szCs w:val="20"/>
          <w:highlight w:val="none"/>
        </w:rPr>
        <w:t>（如果有)</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11.1.4本项目的特定资格要求</w:t>
      </w:r>
      <w:r>
        <w:rPr>
          <w:rFonts w:hint="eastAsia" w:ascii="仿宋" w:hAnsi="仿宋" w:eastAsia="仿宋" w:cs="仿宋"/>
          <w:snapToGrid w:val="0"/>
          <w:color w:val="FF0000"/>
          <w:kern w:val="28"/>
          <w:sz w:val="24"/>
          <w:szCs w:val="20"/>
          <w:highlight w:val="none"/>
        </w:rPr>
        <w:t>（如果有)</w:t>
      </w:r>
      <w:r>
        <w:rPr>
          <w:rFonts w:hint="eastAsia" w:ascii="仿宋" w:hAnsi="仿宋" w:eastAsia="仿宋" w:cs="仿宋"/>
          <w:sz w:val="24"/>
          <w:highlight w:val="none"/>
        </w:rPr>
        <w:t>。</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11.2.3分包意向协议</w:t>
      </w:r>
      <w:r>
        <w:rPr>
          <w:rFonts w:hint="eastAsia" w:ascii="仿宋" w:hAnsi="仿宋" w:eastAsia="仿宋" w:cs="仿宋"/>
          <w:snapToGrid w:val="0"/>
          <w:color w:val="FF0000"/>
          <w:kern w:val="28"/>
          <w:sz w:val="24"/>
          <w:szCs w:val="20"/>
          <w:highlight w:val="none"/>
        </w:rPr>
        <w:t>（如果有)</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11.2.4符合性审查资料；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11.2.6投标标的清单；</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11.2.7商务技术偏离表；</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color w:val="FF0000"/>
          <w:sz w:val="24"/>
          <w:highlight w:val="none"/>
        </w:rPr>
        <w:t>11.3.2中小企业声明函。</w:t>
      </w:r>
    </w:p>
    <w:p>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128"/>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pPr>
        <w:pStyle w:val="128"/>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pPr>
        <w:pStyle w:val="128"/>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128"/>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可以视情况延长投标文件提交的截止时间。在上述情况下，</w:t>
      </w:r>
      <w:r>
        <w:rPr>
          <w:rFonts w:hint="eastAsia" w:ascii="仿宋" w:hAnsi="仿宋" w:eastAsia="仿宋" w:cs="仿宋"/>
          <w:szCs w:val="24"/>
          <w:highlight w:val="none"/>
          <w:lang w:eastAsia="zh-CN"/>
        </w:rPr>
        <w:t>采购代理机构</w:t>
      </w:r>
      <w:r>
        <w:rPr>
          <w:rFonts w:hint="eastAsia" w:ascii="仿宋" w:hAnsi="仿宋" w:eastAsia="仿宋" w:cs="仿宋"/>
          <w:szCs w:val="24"/>
          <w:highlight w:val="none"/>
        </w:rPr>
        <w:t>与投标人以前在投标截止期方面的全部权利、责任和义务，将适用于延长至新的投标截止期。</w:t>
      </w:r>
    </w:p>
    <w:p>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pPr>
        <w:pStyle w:val="32"/>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w:t>
      </w:r>
      <w:r>
        <w:rPr>
          <w:rFonts w:hint="eastAsia" w:ascii="仿宋" w:hAnsi="仿宋" w:eastAsia="仿宋" w:cs="仿宋"/>
          <w:b/>
          <w:sz w:val="24"/>
          <w:szCs w:val="24"/>
          <w:highlight w:val="none"/>
          <w:lang w:eastAsia="zh-CN"/>
        </w:rPr>
        <w:t>采购代理机构</w:t>
      </w:r>
      <w:r>
        <w:rPr>
          <w:rFonts w:hint="eastAsia" w:ascii="仿宋" w:hAnsi="仿宋" w:eastAsia="仿宋" w:cs="仿宋"/>
          <w:b/>
          <w:sz w:val="24"/>
          <w:szCs w:val="24"/>
          <w:highlight w:val="none"/>
        </w:rPr>
        <w:t>不强制或变相强制投标人提交备份投标文件。</w:t>
      </w:r>
    </w:p>
    <w:p>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w:t>
      </w:r>
      <w:r>
        <w:rPr>
          <w:rFonts w:hint="eastAsia" w:ascii="仿宋" w:hAnsi="仿宋" w:eastAsia="仿宋" w:cs="仿宋"/>
          <w:sz w:val="24"/>
          <w:highlight w:val="none"/>
          <w:lang w:val="en-US" w:eastAsia="zh-CN"/>
        </w:rPr>
        <w:t>等存储介质</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将拒绝接受逾期送达的备份投标文件。</w:t>
      </w:r>
    </w:p>
    <w:p>
      <w:pPr>
        <w:pStyle w:val="32"/>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pPr>
        <w:pStyle w:val="128"/>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pPr>
        <w:pStyle w:val="24"/>
        <w:spacing w:line="36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有招标文件第四部分4.2规定的情形之一的，投标无效：</w:t>
      </w:r>
    </w:p>
    <w:p>
      <w:pPr>
        <w:pStyle w:val="128"/>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128"/>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128"/>
        <w:spacing w:before="0"/>
        <w:ind w:firstLine="480"/>
        <w:jc w:val="left"/>
        <w:rPr>
          <w:rFonts w:hint="eastAsia" w:ascii="仿宋" w:hAnsi="仿宋" w:eastAsia="仿宋" w:cs="仿宋"/>
          <w:highlight w:val="none"/>
        </w:rPr>
      </w:pPr>
      <w:r>
        <w:rPr>
          <w:rFonts w:hint="eastAsia" w:ascii="仿宋" w:hAnsi="仿宋" w:eastAsia="仿宋" w:cs="仿宋"/>
          <w:highlight w:val="none"/>
        </w:rPr>
        <w:t>17.3在原定投标有效期满之前，如果出现特殊情况，</w:t>
      </w:r>
      <w:r>
        <w:rPr>
          <w:rFonts w:hint="eastAsia" w:ascii="仿宋" w:hAnsi="仿宋" w:eastAsia="仿宋" w:cs="仿宋"/>
          <w:highlight w:val="none"/>
          <w:lang w:eastAsia="zh-CN"/>
        </w:rPr>
        <w:t>采购代理机构</w:t>
      </w:r>
      <w:r>
        <w:rPr>
          <w:rFonts w:hint="eastAsia" w:ascii="仿宋" w:hAnsi="仿宋" w:eastAsia="仿宋" w:cs="仿宋"/>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highlight w:val="none"/>
        </w:rPr>
        <w:br w:type="textWrapping"/>
      </w:r>
      <w:r>
        <w:rPr>
          <w:rFonts w:hint="eastAsia" w:ascii="仿宋" w:hAnsi="仿宋" w:eastAsia="仿宋" w:cs="仿宋"/>
          <w:highlight w:val="none"/>
          <w:lang w:val="en-US" w:eastAsia="zh-CN"/>
        </w:rPr>
        <w:t xml:space="preserve">    </w:t>
      </w:r>
      <w:r>
        <w:rPr>
          <w:rFonts w:hint="eastAsia" w:ascii="仿宋" w:hAnsi="仿宋" w:eastAsia="仿宋" w:cs="仿宋"/>
          <w:highlight w:val="none"/>
        </w:rPr>
        <w:t>17.4在投标截止时间起至投标有效期届满，供应商投标文件不可撤销。</w:t>
      </w:r>
    </w:p>
    <w:p>
      <w:pPr>
        <w:pStyle w:val="128"/>
        <w:spacing w:before="0"/>
        <w:ind w:firstLine="480"/>
        <w:rPr>
          <w:rFonts w:hint="eastAsia" w:ascii="仿宋" w:hAnsi="仿宋" w:eastAsia="仿宋" w:cs="仿宋"/>
          <w:highlight w:val="none"/>
        </w:rPr>
      </w:pPr>
    </w:p>
    <w:p>
      <w:pPr>
        <w:pStyle w:val="128"/>
        <w:spacing w:before="0"/>
        <w:ind w:firstLine="643"/>
        <w:rPr>
          <w:rFonts w:hint="eastAsia" w:ascii="仿宋" w:hAnsi="仿宋" w:eastAsia="仿宋" w:cs="仿宋"/>
          <w:b/>
          <w:sz w:val="32"/>
          <w:highlight w:val="none"/>
        </w:rPr>
      </w:pPr>
    </w:p>
    <w:p>
      <w:pPr>
        <w:pStyle w:val="128"/>
        <w:spacing w:before="0"/>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pPr>
        <w:pStyle w:val="554"/>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pPr>
        <w:pStyle w:val="554"/>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pPr>
        <w:pStyle w:val="128"/>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19.1开标后，采购人将依据法律法规和招标文件的规定，对投标人的资格进行审查。</w:t>
      </w:r>
    </w:p>
    <w:p>
      <w:pPr>
        <w:pStyle w:val="128"/>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19.2投标人未按照招标文件要求提供与</w:t>
      </w:r>
      <w:r>
        <w:rPr>
          <w:rFonts w:hint="eastAsia" w:ascii="仿宋" w:hAnsi="仿宋" w:eastAsia="仿宋" w:cs="仿宋"/>
          <w:highlight w:val="none"/>
        </w:rPr>
        <w:t>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128"/>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3对未通过资格审查的投标人，告知其未通过的原因。</w:t>
      </w:r>
    </w:p>
    <w:p>
      <w:pPr>
        <w:pStyle w:val="128"/>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4合格投标人不足3家的，不再评标。</w:t>
      </w:r>
    </w:p>
    <w:p>
      <w:pPr>
        <w:pStyle w:val="128"/>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pPr>
        <w:pStyle w:val="128"/>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w:t>
      </w:r>
      <w:r>
        <w:rPr>
          <w:rFonts w:hint="eastAsia" w:ascii="仿宋" w:hAnsi="仿宋" w:eastAsia="仿宋" w:cs="仿宋"/>
          <w:kern w:val="0"/>
          <w:szCs w:val="24"/>
          <w:highlight w:val="none"/>
          <w:lang w:val="en-US" w:eastAsia="zh-CN"/>
        </w:rPr>
        <w:t>采购人</w:t>
      </w:r>
      <w:r>
        <w:rPr>
          <w:rFonts w:hint="eastAsia" w:ascii="仿宋" w:hAnsi="仿宋" w:eastAsia="仿宋" w:cs="仿宋"/>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28"/>
        <w:spacing w:before="0"/>
        <w:ind w:firstLine="0" w:firstLineChars="0"/>
        <w:rPr>
          <w:rFonts w:hint="eastAsia" w:ascii="仿宋" w:hAnsi="仿宋" w:eastAsia="仿宋" w:cs="仿宋"/>
          <w:kern w:val="0"/>
          <w:szCs w:val="24"/>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pPr>
        <w:spacing w:line="360" w:lineRule="auto"/>
        <w:rPr>
          <w:rFonts w:hint="eastAsia" w:ascii="仿宋" w:hAnsi="仿宋" w:eastAsia="仿宋" w:cs="仿宋"/>
          <w:b/>
          <w:sz w:val="24"/>
          <w:highlight w:val="none"/>
        </w:rPr>
      </w:pPr>
      <w:bookmarkStart w:id="13"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spacing w:line="360" w:lineRule="auto"/>
        <w:rPr>
          <w:rFonts w:hint="eastAsia" w:ascii="仿宋" w:hAnsi="仿宋" w:eastAsia="仿宋" w:cs="仿宋"/>
          <w:b/>
          <w:sz w:val="24"/>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pPr>
        <w:pStyle w:val="24"/>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pPr>
        <w:pStyle w:val="128"/>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8"/>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通过电子交易平台向中标人发出中标通知书，同时编制发布采购结果公告。</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highlight w:val="none"/>
        </w:rPr>
        <w:t>资格审查情况、评审专家抽取规则、符合性审查情况、</w:t>
      </w:r>
      <w:bookmarkEnd w:id="14"/>
      <w:r>
        <w:rPr>
          <w:rFonts w:hint="eastAsia" w:ascii="仿宋" w:hAnsi="仿宋" w:eastAsia="仿宋" w:cs="仿宋"/>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pPr>
        <w:pStyle w:val="24"/>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24"/>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25.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b w:val="0"/>
          <w:bCs w:val="0"/>
          <w:snapToGrid w:val="0"/>
          <w:kern w:val="28"/>
          <w:sz w:val="24"/>
          <w:highlight w:val="none"/>
        </w:rPr>
      </w:pPr>
      <w:r>
        <w:rPr>
          <w:rFonts w:hint="eastAsia" w:ascii="仿宋" w:hAnsi="仿宋" w:eastAsia="仿宋" w:cs="仿宋"/>
          <w:b w:val="0"/>
          <w:bCs w:val="0"/>
          <w:snapToGrid w:val="0"/>
          <w:kern w:val="28"/>
          <w:sz w:val="24"/>
          <w:highlight w:val="none"/>
        </w:rPr>
        <w:t>供应商</w:t>
      </w:r>
      <w:r>
        <w:rPr>
          <w:rFonts w:hint="eastAsia" w:ascii="仿宋" w:hAnsi="仿宋" w:eastAsia="仿宋" w:cs="仿宋"/>
          <w:b w:val="0"/>
          <w:bCs w:val="0"/>
          <w:snapToGrid w:val="0"/>
          <w:kern w:val="28"/>
          <w:sz w:val="24"/>
          <w:highlight w:val="none"/>
          <w:lang w:val="en-US"/>
        </w:rPr>
        <w:t>可</w:t>
      </w:r>
      <w:r>
        <w:rPr>
          <w:rFonts w:hint="eastAsia" w:ascii="仿宋" w:hAns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highlight w:val="none"/>
        </w:rPr>
      </w:pPr>
      <w:r>
        <w:rPr>
          <w:rFonts w:hint="eastAsia" w:ascii="仿宋" w:hAnsi="仿宋" w:eastAsia="仿宋" w:cs="仿宋"/>
          <w:b/>
          <w:bCs/>
          <w:sz w:val="24"/>
          <w:szCs w:val="32"/>
          <w:highlight w:val="none"/>
          <w:lang w:val="en-US"/>
        </w:rPr>
        <w:t>27.预付款</w:t>
      </w:r>
    </w:p>
    <w:p>
      <w:pPr>
        <w:adjustRightInd/>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highlight w:val="none"/>
        </w:rPr>
      </w:pPr>
    </w:p>
    <w:p>
      <w:pPr>
        <w:snapToGrid w:val="0"/>
        <w:spacing w:line="360" w:lineRule="auto"/>
        <w:ind w:firstLine="3357" w:firstLineChars="1045"/>
        <w:rPr>
          <w:rFonts w:hint="eastAsia" w:ascii="仿宋" w:hAnsi="仿宋" w:eastAsia="仿宋" w:cs="仿宋"/>
          <w:b/>
          <w:sz w:val="32"/>
          <w:highlight w:val="none"/>
        </w:rPr>
      </w:pPr>
    </w:p>
    <w:p>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pPr>
        <w:pStyle w:val="128"/>
        <w:snapToGrid w:val="0"/>
        <w:spacing w:before="0"/>
        <w:ind w:firstLine="0" w:firstLineChars="0"/>
        <w:rPr>
          <w:rFonts w:hint="eastAsia" w:ascii="仿宋" w:hAnsi="仿宋" w:eastAsia="仿宋" w:cs="仿宋"/>
          <w:highlight w:val="none"/>
        </w:rPr>
      </w:pPr>
      <w:r>
        <w:rPr>
          <w:rFonts w:hint="eastAsia" w:ascii="仿宋" w:hAnsi="仿宋" w:eastAsia="仿宋" w:cs="仿宋"/>
          <w:b/>
          <w:bCs/>
          <w:sz w:val="24"/>
          <w:szCs w:val="20"/>
          <w:highlight w:val="none"/>
        </w:rPr>
        <w:t>2</w:t>
      </w:r>
      <w:r>
        <w:rPr>
          <w:rFonts w:hint="eastAsia" w:ascii="仿宋" w:hAnsi="仿宋" w:eastAsia="仿宋" w:cs="仿宋"/>
          <w:b/>
          <w:bCs/>
          <w:sz w:val="24"/>
          <w:szCs w:val="24"/>
          <w:highlight w:val="none"/>
        </w:rPr>
        <w:t>8</w:t>
      </w:r>
      <w:r>
        <w:rPr>
          <w:rFonts w:hint="eastAsia" w:ascii="仿宋" w:hAnsi="仿宋" w:eastAsia="仿宋" w:cs="仿宋"/>
          <w:b/>
          <w:szCs w:val="24"/>
          <w:highlight w:val="none"/>
        </w:rPr>
        <w:t>. 电子交易活动的中止。</w:t>
      </w:r>
      <w:r>
        <w:rPr>
          <w:rFonts w:hint="eastAsia" w:ascii="仿宋" w:hAnsi="仿宋" w:eastAsia="仿宋" w:cs="仿宋"/>
          <w:highlight w:val="none"/>
        </w:rPr>
        <w:t>采购过程中出现以下情形，导致电子交易平台无法正常运行，或者无法保证电子交易的公平、公正和安全时，</w:t>
      </w:r>
      <w:r>
        <w:rPr>
          <w:rFonts w:hint="eastAsia" w:ascii="仿宋" w:hAnsi="仿宋" w:eastAsia="仿宋" w:cs="仿宋"/>
          <w:highlight w:val="none"/>
          <w:lang w:eastAsia="zh-CN"/>
        </w:rPr>
        <w:t>采购代理机构</w:t>
      </w:r>
      <w:r>
        <w:rPr>
          <w:rFonts w:hint="eastAsia" w:ascii="仿宋" w:hAnsi="仿宋" w:eastAsia="仿宋" w:cs="仿宋"/>
          <w:highlight w:val="none"/>
        </w:rPr>
        <w:t>可中止电子交易活动：</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28.1电子交易平台发生故障而无法登录访问的； </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28.2电子交易平台应用或数据库出现错误，不能进行正常操作的；</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28.3电子交易平台发现严重安全漏洞，有潜在泄密危险的；</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28.4病毒发作导致不能进行正常操作的； </w:t>
      </w:r>
    </w:p>
    <w:p>
      <w:pPr>
        <w:pStyle w:val="128"/>
        <w:snapToGrid w:val="0"/>
        <w:spacing w:before="0"/>
        <w:ind w:firstLine="480"/>
        <w:rPr>
          <w:rFonts w:hint="eastAsia" w:ascii="仿宋" w:hAnsi="仿宋" w:eastAsia="仿宋" w:cs="仿宋"/>
          <w:highlight w:val="none"/>
        </w:rPr>
      </w:pPr>
      <w:r>
        <w:rPr>
          <w:rFonts w:hint="eastAsia" w:ascii="仿宋" w:hAnsi="仿宋" w:eastAsia="仿宋" w:cs="仿宋"/>
          <w:highlight w:val="none"/>
        </w:rPr>
        <w:t>28.5其他无法保证电子交易的公平、公正和安全的情况。</w:t>
      </w:r>
    </w:p>
    <w:p>
      <w:pPr>
        <w:pStyle w:val="128"/>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pPr>
        <w:pStyle w:val="24"/>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30.验收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8"/>
      <w:bookmarkEnd w:id="16"/>
      <w:bookmarkStart w:id="17" w:name="_Hlt68072990"/>
      <w:bookmarkEnd w:id="17"/>
      <w:bookmarkStart w:id="18" w:name="_Hlt75236101"/>
      <w:bookmarkEnd w:id="18"/>
      <w:bookmarkStart w:id="19" w:name="_Hlt68057669"/>
      <w:bookmarkEnd w:id="19"/>
      <w:bookmarkStart w:id="20" w:name="_Hlt74730295"/>
      <w:bookmarkEnd w:id="20"/>
      <w:bookmarkStart w:id="21" w:name="_Hlt75236290"/>
      <w:bookmarkEnd w:id="21"/>
      <w:bookmarkStart w:id="22" w:name="_Hlt75236011"/>
      <w:bookmarkEnd w:id="22"/>
      <w:bookmarkStart w:id="23" w:name="_Hlt74707468"/>
      <w:bookmarkEnd w:id="23"/>
      <w:bookmarkStart w:id="24" w:name="_Hlt74729768"/>
      <w:bookmarkEnd w:id="24"/>
      <w:bookmarkStart w:id="25" w:name="_Hlt74714665"/>
      <w:bookmarkEnd w:id="25"/>
      <w:bookmarkStart w:id="26" w:name="_Hlt68073093"/>
      <w:bookmarkEnd w:id="26"/>
    </w:p>
    <w:bookmarkEnd w:id="11"/>
    <w:bookmarkEnd w:id="12"/>
    <w:p>
      <w:pPr>
        <w:spacing w:line="360" w:lineRule="auto"/>
        <w:jc w:val="center"/>
        <w:outlineLvl w:val="0"/>
        <w:rPr>
          <w:rFonts w:hint="eastAsia" w:ascii="仿宋" w:hAnsi="仿宋" w:eastAsia="仿宋" w:cs="仿宋"/>
          <w:b/>
          <w:sz w:val="36"/>
          <w:szCs w:val="36"/>
          <w:highlight w:val="none"/>
          <w:lang w:eastAsia="zh-CN"/>
        </w:rPr>
      </w:pPr>
      <w:bookmarkStart w:id="27" w:name="第四部分"/>
      <w:r>
        <w:rPr>
          <w:rFonts w:hint="eastAsia" w:ascii="仿宋" w:hAnsi="仿宋" w:eastAsia="仿宋" w:cs="仿宋"/>
          <w:b/>
          <w:sz w:val="36"/>
          <w:szCs w:val="36"/>
          <w:highlight w:val="none"/>
        </w:rPr>
        <w:t xml:space="preserve">第三部分   </w:t>
      </w:r>
      <w:r>
        <w:rPr>
          <w:rFonts w:hint="eastAsia" w:ascii="仿宋" w:hAnsi="仿宋" w:eastAsia="仿宋" w:cs="仿宋"/>
          <w:b/>
          <w:sz w:val="36"/>
          <w:szCs w:val="36"/>
          <w:highlight w:val="none"/>
          <w:lang w:val="en-US" w:eastAsia="zh-CN"/>
        </w:rPr>
        <w:t xml:space="preserve"> </w:t>
      </w:r>
    </w:p>
    <w:p>
      <w:pPr>
        <w:snapToGrid w:val="0"/>
        <w:rPr>
          <w:rStyle w:val="962"/>
          <w:rFonts w:hint="eastAsia" w:ascii="仿宋" w:hAnsi="仿宋" w:eastAsia="仿宋" w:cs="仿宋"/>
          <w:highlight w:val="none"/>
        </w:rPr>
      </w:pPr>
      <w:r>
        <w:rPr>
          <w:rStyle w:val="962"/>
          <w:rFonts w:hint="eastAsia" w:ascii="仿宋" w:hAnsi="仿宋" w:eastAsia="仿宋" w:cs="仿宋"/>
          <w:highlight w:val="none"/>
        </w:rPr>
        <w:t>属于实质性要求条款的，请用符号“▲”标明，否则属于非实质性要求。</w:t>
      </w:r>
    </w:p>
    <w:p>
      <w:pPr>
        <w:snapToGrid w:val="0"/>
        <w:rPr>
          <w:rStyle w:val="962"/>
          <w:rFonts w:hint="eastAsia" w:ascii="仿宋" w:hAnsi="仿宋" w:eastAsia="仿宋" w:cs="仿宋"/>
          <w:highlight w:val="none"/>
        </w:rPr>
      </w:pPr>
      <w:r>
        <w:rPr>
          <w:rStyle w:val="962"/>
          <w:rFonts w:hint="eastAsia" w:ascii="仿宋" w:hAnsi="仿宋" w:eastAsia="仿宋" w:cs="仿宋"/>
          <w:highlight w:val="none"/>
        </w:rPr>
        <w:t>“★”系产品采购项目中单一产品或核心产品。</w:t>
      </w:r>
    </w:p>
    <w:p>
      <w:pPr>
        <w:pStyle w:val="2"/>
        <w:rPr>
          <w:rFonts w:hint="eastAsia" w:ascii="仿宋" w:hAnsi="仿宋" w:eastAsia="仿宋" w:cs="仿宋"/>
          <w:highlight w:val="none"/>
        </w:rPr>
      </w:pPr>
    </w:p>
    <w:p>
      <w:pPr>
        <w:pStyle w:val="2"/>
        <w:numPr>
          <w:ilvl w:val="0"/>
          <w:numId w:val="1"/>
        </w:numPr>
        <w:jc w:val="center"/>
        <w:rPr>
          <w:rFonts w:hint="eastAsia" w:ascii="仿宋" w:hAnsi="仿宋" w:eastAsia="仿宋" w:cs="仿宋"/>
          <w:highlight w:val="none"/>
        </w:rPr>
      </w:pPr>
      <w:r>
        <w:rPr>
          <w:rFonts w:hint="eastAsia" w:ascii="仿宋" w:hAnsi="仿宋" w:eastAsia="仿宋" w:cs="仿宋"/>
          <w:highlight w:val="none"/>
        </w:rPr>
        <w:t>招标一览表</w:t>
      </w:r>
    </w:p>
    <w:p>
      <w:pPr>
        <w:pStyle w:val="5"/>
        <w:keepNext/>
        <w:keepLines/>
        <w:pageBreakBefore w:val="0"/>
        <w:widowControl w:val="0"/>
        <w:kinsoku/>
        <w:wordWrap/>
        <w:overflowPunct/>
        <w:topLinePunct w:val="0"/>
        <w:autoSpaceDE/>
        <w:autoSpaceDN/>
        <w:bidi w:val="0"/>
        <w:adjustRightInd w:val="0"/>
        <w:snapToGrid/>
        <w:spacing w:before="200" w:after="200" w:line="377" w:lineRule="auto"/>
        <w:ind w:left="862" w:hanging="862"/>
        <w:textAlignment w:val="auto"/>
        <w:rPr>
          <w:rFonts w:hint="eastAsia" w:ascii="仿宋" w:hAnsi="仿宋" w:eastAsia="仿宋" w:cs="仿宋"/>
          <w:highlight w:val="none"/>
          <w:lang w:eastAsia="zh-CN"/>
        </w:rPr>
      </w:pPr>
      <w:r>
        <w:rPr>
          <w:rFonts w:hint="eastAsia" w:ascii="仿宋" w:hAnsi="仿宋" w:eastAsia="仿宋" w:cs="仿宋"/>
          <w:highlight w:val="none"/>
        </w:rPr>
        <w:t>标项一：</w:t>
      </w:r>
      <w:r>
        <w:rPr>
          <w:rFonts w:hint="eastAsia" w:ascii="仿宋" w:hAnsi="仿宋" w:eastAsia="仿宋" w:cs="仿宋"/>
          <w:highlight w:val="none"/>
          <w:lang w:eastAsia="zh-CN"/>
        </w:rPr>
        <w:t>2024年-2025年盈丰街道路灯及道路景观灯养护运维服务采购项目</w:t>
      </w:r>
    </w:p>
    <w:tbl>
      <w:tblPr>
        <w:tblStyle w:val="62"/>
        <w:tblpPr w:leftFromText="180" w:rightFromText="180" w:vertAnchor="text" w:horzAnchor="margin" w:tblpY="63"/>
        <w:tblOverlap w:val="never"/>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2182"/>
        <w:gridCol w:w="817"/>
        <w:gridCol w:w="760"/>
        <w:gridCol w:w="958"/>
        <w:gridCol w:w="2593"/>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trPr>
        <w:tc>
          <w:tcPr>
            <w:tcW w:w="539"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highlight w:val="none"/>
              </w:rPr>
            </w:pPr>
            <w:r>
              <w:rPr>
                <w:rFonts w:hint="eastAsia" w:ascii="仿宋" w:hAnsi="仿宋" w:eastAsia="仿宋" w:cs="仿宋"/>
                <w:highlight w:val="none"/>
              </w:rPr>
              <w:t>序号</w:t>
            </w:r>
          </w:p>
        </w:tc>
        <w:tc>
          <w:tcPr>
            <w:tcW w:w="2182"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highlight w:val="none"/>
              </w:rPr>
            </w:pPr>
            <w:r>
              <w:rPr>
                <w:rFonts w:hint="eastAsia" w:ascii="仿宋" w:hAnsi="仿宋" w:eastAsia="仿宋" w:cs="仿宋"/>
                <w:highlight w:val="none"/>
              </w:rPr>
              <w:t>名称</w:t>
            </w:r>
          </w:p>
        </w:tc>
        <w:tc>
          <w:tcPr>
            <w:tcW w:w="817"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highlight w:val="none"/>
              </w:rPr>
            </w:pPr>
            <w:r>
              <w:rPr>
                <w:rFonts w:hint="eastAsia" w:ascii="仿宋" w:hAnsi="仿宋" w:eastAsia="仿宋" w:cs="仿宋"/>
                <w:highlight w:val="none"/>
              </w:rPr>
              <w:t>数量</w:t>
            </w:r>
          </w:p>
        </w:tc>
        <w:tc>
          <w:tcPr>
            <w:tcW w:w="76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highlight w:val="none"/>
              </w:rPr>
            </w:pPr>
            <w:r>
              <w:rPr>
                <w:rFonts w:hint="eastAsia" w:ascii="仿宋" w:hAnsi="仿宋" w:eastAsia="仿宋" w:cs="仿宋"/>
                <w:highlight w:val="none"/>
              </w:rPr>
              <w:t>单位</w:t>
            </w:r>
          </w:p>
        </w:tc>
        <w:tc>
          <w:tcPr>
            <w:tcW w:w="958" w:type="dxa"/>
            <w:vAlign w:val="center"/>
          </w:tcPr>
          <w:p>
            <w:pPr>
              <w:tabs>
                <w:tab w:val="left" w:pos="0"/>
              </w:tabs>
              <w:adjustRightInd w:val="0"/>
              <w:snapToGrid w:val="0"/>
              <w:spacing w:after="0"/>
              <w:jc w:val="center"/>
              <w:rPr>
                <w:rFonts w:hint="eastAsia" w:ascii="仿宋" w:hAnsi="仿宋" w:eastAsia="仿宋" w:cs="仿宋"/>
                <w:highlight w:val="none"/>
              </w:rPr>
            </w:pPr>
            <w:r>
              <w:rPr>
                <w:rFonts w:hint="eastAsia" w:ascii="仿宋" w:hAnsi="仿宋" w:eastAsia="仿宋" w:cs="仿宋"/>
                <w:highlight w:val="none"/>
              </w:rPr>
              <w:t>预算（元）</w:t>
            </w:r>
          </w:p>
        </w:tc>
        <w:tc>
          <w:tcPr>
            <w:tcW w:w="2593" w:type="dxa"/>
            <w:vAlign w:val="center"/>
          </w:tcPr>
          <w:p>
            <w:pPr>
              <w:tabs>
                <w:tab w:val="left" w:pos="0"/>
              </w:tabs>
              <w:adjustRightInd w:val="0"/>
              <w:snapToGrid w:val="0"/>
              <w:spacing w:after="0"/>
              <w:jc w:val="center"/>
              <w:rPr>
                <w:rFonts w:hint="eastAsia" w:ascii="仿宋" w:hAnsi="仿宋" w:eastAsia="仿宋" w:cs="仿宋"/>
                <w:highlight w:val="none"/>
              </w:rPr>
            </w:pPr>
            <w:r>
              <w:rPr>
                <w:rFonts w:hint="eastAsia" w:ascii="仿宋" w:hAnsi="仿宋" w:eastAsia="仿宋" w:cs="仿宋"/>
                <w:highlight w:val="none"/>
              </w:rPr>
              <w:t>简要规格描述或基本情况介绍</w:t>
            </w:r>
          </w:p>
        </w:tc>
        <w:tc>
          <w:tcPr>
            <w:tcW w:w="1108" w:type="dxa"/>
            <w:vAlign w:val="center"/>
          </w:tcPr>
          <w:p>
            <w:pPr>
              <w:tabs>
                <w:tab w:val="left" w:pos="0"/>
              </w:tabs>
              <w:adjustRightInd w:val="0"/>
              <w:snapToGrid w:val="0"/>
              <w:spacing w:after="0"/>
              <w:jc w:val="center"/>
              <w:rPr>
                <w:rFonts w:hint="eastAsia" w:ascii="仿宋" w:hAnsi="仿宋" w:eastAsia="仿宋" w:cs="仿宋"/>
                <w:highlight w:val="none"/>
              </w:rPr>
            </w:pPr>
            <w:r>
              <w:rPr>
                <w:rFonts w:hint="eastAsia" w:ascii="仿宋" w:hAnsi="仿宋" w:eastAsia="仿宋" w:cs="仿宋"/>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8" w:hRule="atLeast"/>
        </w:trPr>
        <w:tc>
          <w:tcPr>
            <w:tcW w:w="539" w:type="dxa"/>
            <w:tcMar>
              <w:top w:w="15" w:type="dxa"/>
              <w:left w:w="15" w:type="dxa"/>
              <w:bottom w:w="0" w:type="dxa"/>
              <w:right w:w="15" w:type="dxa"/>
            </w:tcMar>
            <w:vAlign w:val="center"/>
          </w:tcPr>
          <w:p>
            <w:pPr>
              <w:tabs>
                <w:tab w:val="left" w:pos="0"/>
              </w:tabs>
              <w:jc w:val="center"/>
              <w:rPr>
                <w:rFonts w:hint="eastAsia" w:ascii="仿宋" w:hAnsi="仿宋" w:eastAsia="仿宋" w:cs="仿宋"/>
                <w:highlight w:val="none"/>
              </w:rPr>
            </w:pPr>
            <w:r>
              <w:rPr>
                <w:rFonts w:hint="eastAsia" w:ascii="仿宋" w:hAnsi="仿宋" w:eastAsia="仿宋" w:cs="仿宋"/>
                <w:highlight w:val="none"/>
              </w:rPr>
              <w:t>1</w:t>
            </w:r>
          </w:p>
        </w:tc>
        <w:tc>
          <w:tcPr>
            <w:tcW w:w="2182" w:type="dxa"/>
            <w:tcMar>
              <w:top w:w="15" w:type="dxa"/>
              <w:left w:w="15" w:type="dxa"/>
              <w:bottom w:w="0" w:type="dxa"/>
              <w:right w:w="15" w:type="dxa"/>
            </w:tcMar>
            <w:vAlign w:val="center"/>
          </w:tcPr>
          <w:p>
            <w:pPr>
              <w:jc w:val="center"/>
              <w:textAlignment w:val="center"/>
              <w:rPr>
                <w:rFonts w:hint="eastAsia" w:ascii="仿宋" w:hAnsi="仿宋" w:eastAsia="仿宋" w:cs="仿宋"/>
                <w:highlight w:val="none"/>
                <w:lang w:eastAsia="zh-CN"/>
              </w:rPr>
            </w:pPr>
            <w:r>
              <w:rPr>
                <w:rFonts w:hint="eastAsia" w:ascii="仿宋" w:hAnsi="仿宋" w:eastAsia="仿宋" w:cs="仿宋"/>
                <w:highlight w:val="none"/>
                <w:lang w:eastAsia="zh-CN"/>
              </w:rPr>
              <w:t>2024年-2025年盈丰街道路灯及道路景观灯养护运维服务采购项目</w:t>
            </w:r>
          </w:p>
        </w:tc>
        <w:tc>
          <w:tcPr>
            <w:tcW w:w="817" w:type="dxa"/>
            <w:tcMar>
              <w:top w:w="15" w:type="dxa"/>
              <w:left w:w="15" w:type="dxa"/>
              <w:bottom w:w="0" w:type="dxa"/>
              <w:right w:w="15" w:type="dxa"/>
            </w:tcMar>
            <w:vAlign w:val="center"/>
          </w:tcPr>
          <w:p>
            <w:pPr>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760" w:type="dxa"/>
            <w:tcMar>
              <w:top w:w="15" w:type="dxa"/>
              <w:left w:w="15" w:type="dxa"/>
              <w:bottom w:w="0" w:type="dxa"/>
              <w:right w:w="15" w:type="dxa"/>
            </w:tcMar>
            <w:vAlign w:val="center"/>
          </w:tcPr>
          <w:p>
            <w:pPr>
              <w:jc w:val="center"/>
              <w:textAlignment w:val="center"/>
              <w:rPr>
                <w:rFonts w:hint="eastAsia" w:ascii="仿宋" w:hAnsi="仿宋" w:eastAsia="仿宋" w:cs="仿宋"/>
                <w:highlight w:val="none"/>
                <w:lang w:eastAsia="zh-CN"/>
              </w:rPr>
            </w:pPr>
            <w:r>
              <w:rPr>
                <w:rFonts w:hint="eastAsia" w:ascii="仿宋" w:hAnsi="仿宋" w:eastAsia="仿宋" w:cs="仿宋"/>
                <w:highlight w:val="none"/>
                <w:lang w:eastAsia="zh-CN"/>
              </w:rPr>
              <w:t>项</w:t>
            </w:r>
          </w:p>
        </w:tc>
        <w:tc>
          <w:tcPr>
            <w:tcW w:w="958" w:type="dxa"/>
            <w:vAlign w:val="center"/>
          </w:tcPr>
          <w:p>
            <w:pPr>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7800000</w:t>
            </w:r>
          </w:p>
        </w:tc>
        <w:tc>
          <w:tcPr>
            <w:tcW w:w="2593" w:type="dxa"/>
            <w:vAlign w:val="center"/>
          </w:tcPr>
          <w:p>
            <w:pPr>
              <w:tabs>
                <w:tab w:val="left" w:pos="0"/>
              </w:tabs>
              <w:jc w:val="center"/>
              <w:rPr>
                <w:rFonts w:hint="eastAsia" w:ascii="仿宋" w:hAnsi="仿宋" w:eastAsia="仿宋" w:cs="仿宋"/>
                <w:highlight w:val="none"/>
              </w:rPr>
            </w:pPr>
            <w:r>
              <w:rPr>
                <w:rFonts w:hint="eastAsia" w:ascii="仿宋" w:hAnsi="仿宋" w:eastAsia="仿宋" w:cs="仿宋"/>
                <w:highlight w:val="none"/>
                <w:lang w:eastAsia="zh-Hans"/>
              </w:rPr>
              <w:t>二、</w:t>
            </w:r>
            <w:r>
              <w:rPr>
                <w:rFonts w:hint="eastAsia" w:ascii="仿宋" w:hAnsi="仿宋" w:eastAsia="仿宋" w:cs="仿宋"/>
                <w:highlight w:val="none"/>
              </w:rPr>
              <w:t>招标需求-1、技术需求</w:t>
            </w:r>
          </w:p>
        </w:tc>
        <w:tc>
          <w:tcPr>
            <w:tcW w:w="1108" w:type="dxa"/>
            <w:vAlign w:val="center"/>
          </w:tcPr>
          <w:p>
            <w:pPr>
              <w:jc w:val="center"/>
              <w:textAlignment w:val="center"/>
              <w:rPr>
                <w:rFonts w:hint="eastAsia" w:ascii="仿宋" w:hAnsi="仿宋" w:eastAsia="仿宋" w:cs="仿宋"/>
                <w:highlight w:val="none"/>
              </w:rPr>
            </w:pPr>
            <w:r>
              <w:rPr>
                <w:rFonts w:hint="eastAsia" w:ascii="仿宋" w:hAnsi="仿宋" w:eastAsia="仿宋" w:cs="仿宋"/>
                <w:highlight w:val="none"/>
                <w:lang w:val="en-US" w:eastAsia="zh-CN"/>
              </w:rPr>
              <w:t>7062544</w:t>
            </w:r>
          </w:p>
        </w:tc>
      </w:tr>
    </w:tbl>
    <w:p>
      <w:pPr>
        <w:pStyle w:val="2"/>
        <w:numPr>
          <w:ilvl w:val="0"/>
          <w:numId w:val="0"/>
        </w:numPr>
        <w:ind w:leftChars="0"/>
        <w:rPr>
          <w:rFonts w:hint="eastAsia" w:ascii="仿宋" w:hAnsi="仿宋" w:eastAsia="仿宋" w:cs="仿宋"/>
          <w:b/>
          <w:sz w:val="22"/>
          <w:szCs w:val="22"/>
          <w:highlight w:val="none"/>
        </w:rPr>
      </w:pPr>
      <w:r>
        <w:rPr>
          <w:rFonts w:hint="eastAsia" w:ascii="仿宋" w:hAnsi="仿宋" w:eastAsia="仿宋" w:cs="仿宋"/>
          <w:b/>
          <w:sz w:val="22"/>
          <w:szCs w:val="22"/>
          <w:highlight w:val="none"/>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pPr>
        <w:rPr>
          <w:rFonts w:hint="eastAsia" w:ascii="仿宋" w:hAnsi="仿宋" w:eastAsia="仿宋" w:cs="仿宋"/>
          <w:b/>
          <w:sz w:val="22"/>
          <w:szCs w:val="22"/>
          <w:highlight w:val="none"/>
        </w:rPr>
      </w:pPr>
    </w:p>
    <w:p>
      <w:pPr>
        <w:pStyle w:val="2"/>
        <w:numPr>
          <w:ilvl w:val="0"/>
          <w:numId w:val="1"/>
        </w:numPr>
        <w:jc w:val="center"/>
        <w:rPr>
          <w:rFonts w:hint="eastAsia" w:ascii="仿宋" w:hAnsi="仿宋" w:eastAsia="仿宋" w:cs="仿宋"/>
          <w:highlight w:val="none"/>
        </w:rPr>
      </w:pPr>
      <w:r>
        <w:rPr>
          <w:rFonts w:hint="eastAsia" w:ascii="仿宋" w:hAnsi="仿宋" w:eastAsia="仿宋" w:cs="仿宋"/>
          <w:highlight w:val="none"/>
        </w:rPr>
        <w:t>采购需求</w:t>
      </w:r>
    </w:p>
    <w:p>
      <w:pPr>
        <w:numPr>
          <w:ilvl w:val="0"/>
          <w:numId w:val="2"/>
        </w:numPr>
        <w:rPr>
          <w:rFonts w:hint="eastAsia" w:ascii="仿宋" w:hAnsi="仿宋" w:eastAsia="仿宋" w:cs="仿宋"/>
          <w:i/>
          <w:iCs/>
          <w:sz w:val="28"/>
          <w:szCs w:val="36"/>
          <w:highlight w:val="none"/>
        </w:rPr>
      </w:pPr>
      <w:r>
        <w:rPr>
          <w:rFonts w:hint="eastAsia" w:ascii="仿宋" w:hAnsi="仿宋" w:eastAsia="仿宋" w:cs="仿宋"/>
          <w:i/>
          <w:iCs/>
          <w:sz w:val="28"/>
          <w:szCs w:val="36"/>
          <w:highlight w:val="none"/>
        </w:rPr>
        <w:t>技术需求</w:t>
      </w:r>
    </w:p>
    <w:p>
      <w:pPr>
        <w:widowControl w:val="0"/>
        <w:numPr>
          <w:ilvl w:val="0"/>
          <w:numId w:val="0"/>
        </w:numPr>
        <w:jc w:val="both"/>
        <w:rPr>
          <w:rFonts w:hint="eastAsia" w:ascii="仿宋" w:hAnsi="仿宋" w:eastAsia="仿宋" w:cs="仿宋"/>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1.1养护范围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盈丰街道辖区范围内</w:t>
      </w:r>
      <w:r>
        <w:rPr>
          <w:rFonts w:hint="eastAsia" w:ascii="仿宋" w:hAnsi="仿宋" w:eastAsia="仿宋" w:cs="仿宋"/>
          <w:b w:val="0"/>
          <w:bCs w:val="0"/>
          <w:color w:val="auto"/>
          <w:sz w:val="24"/>
          <w:szCs w:val="24"/>
          <w:highlight w:val="none"/>
          <w:lang w:eastAsia="zh-CN"/>
        </w:rPr>
        <w:t>道路照明、</w:t>
      </w:r>
      <w:r>
        <w:rPr>
          <w:rFonts w:hint="eastAsia" w:ascii="仿宋" w:hAnsi="仿宋" w:eastAsia="仿宋" w:cs="仿宋"/>
          <w:b w:val="0"/>
          <w:bCs w:val="0"/>
          <w:color w:val="auto"/>
          <w:sz w:val="24"/>
          <w:szCs w:val="24"/>
          <w:highlight w:val="none"/>
          <w:lang w:val="en-US" w:eastAsia="zh-CN"/>
        </w:rPr>
        <w:t>景观灯</w:t>
      </w:r>
      <w:r>
        <w:rPr>
          <w:rFonts w:hint="eastAsia" w:ascii="仿宋" w:hAnsi="仿宋" w:eastAsia="仿宋" w:cs="仿宋"/>
          <w:b w:val="0"/>
          <w:bCs w:val="0"/>
          <w:color w:val="auto"/>
          <w:sz w:val="24"/>
          <w:szCs w:val="24"/>
          <w:highlight w:val="none"/>
          <w:lang w:eastAsia="zh-CN"/>
        </w:rPr>
        <w:t>设施</w:t>
      </w:r>
      <w:r>
        <w:rPr>
          <w:rFonts w:hint="eastAsia" w:ascii="仿宋" w:hAnsi="仿宋" w:eastAsia="仿宋" w:cs="仿宋"/>
          <w:b w:val="0"/>
          <w:bCs w:val="0"/>
          <w:color w:val="auto"/>
          <w:sz w:val="24"/>
          <w:szCs w:val="24"/>
          <w:highlight w:val="none"/>
          <w:lang w:val="en-US" w:eastAsia="zh-CN"/>
        </w:rPr>
        <w:t>养护维修，详见附件一《路灯清单》、附件二《景观灯清单》，设施巡查范围包括盈丰街道辖区内</w:t>
      </w:r>
      <w:r>
        <w:rPr>
          <w:rFonts w:hint="eastAsia" w:ascii="仿宋" w:hAnsi="仿宋" w:eastAsia="仿宋" w:cs="仿宋"/>
          <w:b/>
          <w:bCs/>
          <w:color w:val="auto"/>
          <w:sz w:val="24"/>
          <w:szCs w:val="24"/>
          <w:highlight w:val="none"/>
          <w:lang w:val="en-US" w:eastAsia="zh-CN"/>
        </w:rPr>
        <w:t>全部照明设施主体及其附属设施</w:t>
      </w:r>
      <w:r>
        <w:rPr>
          <w:rFonts w:hint="eastAsia" w:ascii="仿宋" w:hAnsi="仿宋" w:eastAsia="仿宋" w:cs="仿宋"/>
          <w:b w:val="0"/>
          <w:bCs w:val="0"/>
          <w:color w:val="auto"/>
          <w:sz w:val="24"/>
          <w:szCs w:val="24"/>
          <w:highlight w:val="none"/>
          <w:lang w:val="en-US" w:eastAsia="zh-CN"/>
        </w:rPr>
        <w:t>。</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1.2养护内容</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包括但不限于对盈丰街道范围内全部照明设施的光源（除去能源管理及能源托管改造部分）、灯具及配件、灯杆、支架、配电箱、地上（地下）管道、电线（电缆）、工作井、控制器、标识牌、灯箱、附属设备等等，进行日常维修、检测、更换、保洁、保养、油漆、安全检查、设施巡查、防盗（看护、处理）、撞杆处理、应急保障（如防汛、抗台、抗雪、临时或重大任务保障）及其他甲方布置的任务处置，以保证照明设施安全、平稳、正常运行。质保期内（未移交甲方）市政道路照明设施需做好养护巡检工作及交通事故处置工作，包括非质量原因引起的一切事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（1）乙方应当具备对道路照明线缆故障（如电缆短路、破损等），照明设施缺亮排查有研判的能力，如不具备需委托有资质的单位进行研判，确保照明设施安全运行</w:t>
      </w:r>
      <w:r>
        <w:rPr>
          <w:rFonts w:hint="eastAsia" w:ascii="仿宋" w:hAnsi="仿宋" w:eastAsia="仿宋" w:cs="仿宋"/>
          <w:b w:val="0"/>
          <w:bCs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在养护期间每季度对养管范围内照明及其附属设施进行一次安全隐患排查，并留存照片，详细做好相关台账。包括且不限于灯杆、配电箱等设备的漏电、接地等存在的安全隐患，出具书面检查成果，加盖公章，有必要召开专家分析会，确定处置措施，乙方需同时根据检测结果进行集中整治，消除安全隐患。</w:t>
      </w:r>
      <w:r>
        <w:rPr>
          <w:rFonts w:hint="eastAsia" w:ascii="仿宋" w:hAnsi="仿宋" w:eastAsia="仿宋" w:cs="仿宋"/>
          <w:b/>
          <w:bCs/>
          <w:color w:val="auto"/>
          <w:sz w:val="24"/>
          <w:szCs w:val="24"/>
          <w:highlight w:val="none"/>
          <w:lang w:val="en-US" w:eastAsia="zh-CN"/>
        </w:rPr>
        <w:t>此项纳入考核，合同内每季度最后一月未按时提交报告扣款5万元整，未落实整改扣款10万元整。</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(3)日常巡查。</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建立巡查部门，要求每日对养管范围内设施全覆盖巡查一次。</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要求每日人工巡查工时数不低于32个工时，配备不少于2辆巡查车、2辆登高车等仪器设备，对巡查范围内设施按有关规定进行巡查，并记录道路巡检情况，在重大活动和节假日期间应加大巡查频率，必要时采取监护措施，有特殊情况及时报甲方，同时要求乙方配合甲方智慧系统内数据进行路灯养护维修工作。</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1）养护质量标准：按照杭州市《城市照明设施养护维修服务标准》（DB3301/T 0165-2015）、《城市道路照明设计标准》（CJJ45-2015）、《城市道路照明工程施工及验收规程》（CJJ89-2012）、GB 51286-2018 城市道路工程技术规范、《电力生产安全工作规定》、《电力建设安全施工管理规定》、《电业生产事故调查规程》、《杭州市电力局有关外委工程安全管理规定》等及国家有关强制性标准的规定执行。</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养护要求：照明亮灯率达到98%、设施完好率应达到98%，照明亮度、均匀度等技术性指标达到国家标准，全国文明城市复评及其他重大保障活动期间，按上级要求严格执行。如遇自然灾害或突发事件应适当增加巡查频率。</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（4）日常养护维修。按照本项目要求的各项规定，精心组织养护，掌握招标要求养护范围内设施状况，及时发现、防止和处理设施缺陷，确保市政设施完好和安全运行。</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1）运行与控制：对路灯及附属设施进行日常运行与控制。</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养护巡、检、修：主次干道、支小路的功能照明灯具应每天至少巡检一次，配电箱(柜)每周巡检一次；地埋电缆线路每年巡检一次；接地(或接零)装置每年在干燥季节巡检一次；独立的防雷装置应在每年的雷雨季节前巡检一次；漏电保护装置每季巡检一次；设施被盜频发地段应安排防盜人员每天巡查；连续高温、台风、雷雨或冰雪等特殊自然灾害性气候，应按城市照明监管机构要求进行防火、防汛、防台、防雷、抗雪等专项检查，并增加巡检次数，必要时作临时断电处理。</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3）设施清洁、油漆：主次干道、支小路灯具及其附属设施一年清洁四次,景观灯等其他市政照明设施及其附属设施，每半年清洁一次；灯杆、灯架和配电箱柜等锈蚀或油漆脱落面积5%以内的补漆。</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照明设施故障修复时间：单灯缺亮，1个工作日内修复；电线裸露、杆线吊挂、灯具脱落、灯杆倾斜、灯杆或门盖缺失、电缆井盖缺失等，应在2个小时内进行安全预措施，并在24小时内修复；配电箱故障，1个工作日内修复；发生大面积熄灯故障，24小时内修复；因照明设施被盗或道路挖掘等引起的故障，应及时采取安全措施，确保临时亮灯，并在3个工作日内修复；被撞损的设施(灯杆、箱变、基础等)，应及时采取安全措施，并在2个工作日内修复；集中控制装置或其他智慧照明装置损坏，或控制时间、地点出现差错的，应立即上报甲方，并在24小时内修复；因特殊情况可在规定时间内提出延期申请；因各类原因造成大面积（5盏以上灯具）缺亮的，确保安全情况下需当晚设置临时线，确保亮灯，并在第二天更换好电缆。电缆出现烧毁等故障的需整档更换，不允许</w:t>
      </w:r>
      <w:r>
        <w:rPr>
          <w:rFonts w:hint="eastAsia" w:ascii="仿宋" w:hAnsi="仿宋" w:eastAsia="仿宋" w:cs="仿宋"/>
          <w:b/>
          <w:bCs/>
          <w:color w:val="auto"/>
          <w:kern w:val="2"/>
          <w:sz w:val="24"/>
          <w:szCs w:val="24"/>
          <w:highlight w:val="none"/>
          <w:lang w:val="en-US" w:eastAsia="zh-CN" w:bidi="ar-SA"/>
        </w:rPr>
        <w:t>中间接头，所有新更换的电缆接头只能在灯杆检修口处</w:t>
      </w:r>
      <w:r>
        <w:rPr>
          <w:rFonts w:hint="eastAsia" w:ascii="仿宋" w:hAnsi="仿宋" w:eastAsia="仿宋" w:cs="仿宋"/>
          <w:b w:val="0"/>
          <w:bCs w:val="0"/>
          <w:color w:val="auto"/>
          <w:kern w:val="2"/>
          <w:sz w:val="24"/>
          <w:szCs w:val="24"/>
          <w:highlight w:val="none"/>
          <w:lang w:val="en-US" w:eastAsia="zh-CN" w:bidi="ar-SA"/>
        </w:rPr>
        <w:t>。</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5）设施防腐处理：灯杆、灯架、吊线等受力受压件，以及依附其上的承重螺丝，和控制柜等附属设施，锈蚀深度不超过10%，其他非受力零部件，锈蚀深度不超过25%。锈蚀深度超过要求的零部件，应予以更换。</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6）活动保障：对政府大型活动，外事等活动提供完善的保障方案和实施24小时值班制度，并确保设施完好率、亮灯率、整洁率达到100%。</w:t>
      </w:r>
    </w:p>
    <w:p>
      <w:pPr>
        <w:pStyle w:val="33"/>
        <w:ind w:left="0" w:leftChars="0" w:firstLine="0" w:firstLineChars="0"/>
        <w:jc w:val="left"/>
        <w:rPr>
          <w:rFonts w:hint="default"/>
          <w:b/>
          <w:bCs/>
          <w:color w:val="auto"/>
          <w:lang w:val="en-US" w:eastAsia="zh-CN"/>
        </w:rPr>
      </w:pPr>
      <w:r>
        <w:rPr>
          <w:rFonts w:hint="eastAsia"/>
          <w:color w:val="auto"/>
          <w:lang w:val="en-US" w:eastAsia="zh-CN"/>
        </w:rPr>
        <w:t xml:space="preserve">  </w:t>
      </w:r>
      <w:r>
        <w:rPr>
          <w:rFonts w:hint="eastAsia" w:ascii="仿宋" w:hAnsi="仿宋" w:eastAsia="仿宋" w:cs="仿宋"/>
          <w:b w:val="0"/>
          <w:bCs w:val="0"/>
          <w:snapToGrid w:val="0"/>
          <w:color w:val="auto"/>
          <w:kern w:val="2"/>
          <w:sz w:val="24"/>
          <w:szCs w:val="24"/>
          <w:highlight w:val="none"/>
          <w:lang w:val="en-US" w:eastAsia="zh-CN" w:bidi="ar-SA"/>
        </w:rPr>
        <w:t xml:space="preserve">  7）老旧设备更新：项目内预留一部分资金用于街道老旧设备更新，具体根据街道要求执行，费用按照采购人公共资源交易办法规定执行。</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做好夜间照明设施各类故障抢修工作，当发现各类原因的引起大面积灭灯等情况的，无特殊原因需在当晚完成故障排查、电缆更换、部署发电机等工作，保证亮灯。无法在当晚完成的，需立即上报甲方，说明原因，并在当晚确保安全的情况下架设临时线，先确保亮灯，保证夜间出行安全。</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1.3养护质量标准和要求</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根据《1.养护质量标准：按照杭州市《城市照明设施养护维修服务标准》（DB3301/T 0165-2015）、《城市道路照明设计标准》（CJJ45-2015）、《城市道路照明工程施工及验收规程》（CJJ89-2012）、GB 51286-2018 城市道路工程技术规范、《电力生产安全工作规定》、《电力建设安全施工管理规定》、《电业生产事故调查规程》、《杭州市电力局有关外委工程安全管理规定》及国家有关强制性标准的规定执行。《杭州市突发公共事件总体应急预案》、《杭州市城区抗雪防冻应急预案》、《杭州市城区防汛防台应急预案》、《萧山区城管局防汛防台应急预案》、《萧山区抗雪防冻应急预案》等以及新颁布的相关规程、规范和国家有关强制性标准的规定执行。</w:t>
      </w:r>
    </w:p>
    <w:p>
      <w:pPr>
        <w:pStyle w:val="32"/>
        <w:keepNext w:val="0"/>
        <w:keepLines w:val="0"/>
        <w:pageBreakBefore w:val="0"/>
        <w:widowControl w:val="0"/>
        <w:numPr>
          <w:ilvl w:val="0"/>
          <w:numId w:val="0"/>
        </w:numPr>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1.4考核评分细则</w:t>
      </w:r>
    </w:p>
    <w:p>
      <w:pPr>
        <w:pStyle w:val="32"/>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详见附件三：《2024年盈丰街道月度考核评分细则》</w:t>
      </w:r>
    </w:p>
    <w:p>
      <w:pPr>
        <w:pStyle w:val="32"/>
        <w:keepNext w:val="0"/>
        <w:keepLines w:val="0"/>
        <w:pageBreakBefore w:val="0"/>
        <w:widowControl w:val="0"/>
        <w:numPr>
          <w:ilvl w:val="0"/>
          <w:numId w:val="0"/>
        </w:numPr>
        <w:kinsoku/>
        <w:wordWrap/>
        <w:overflowPunct/>
        <w:topLinePunct w:val="0"/>
        <w:bidi w:val="0"/>
        <w:adjustRightInd w:val="0"/>
        <w:spacing w:line="360" w:lineRule="auto"/>
        <w:ind w:left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1.5考核扣款</w:t>
      </w:r>
    </w:p>
    <w:p>
      <w:pPr>
        <w:pStyle w:val="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盈丰街道第三方巡检单位将根据本材料中附件三《2024年盈丰街道月度考核评分细则》对辖区内市政照明设施管养内容进行日常巡检，95分（含）以上不扣分，85分（含）——95（不含）分，每扣1分，罚款500元，75分（含）——85分（不含），每扣1分，罚款1000元，考核分75分以下视为管养严重失职，本月管养费用扣除，连续3个月考核75分以下将做退场处理。管养范围内街道及领导巡查中发现问题的每次扣1000元，区级督办单每单扣1000元，市级督办单每单扣2000元，因安全问题被上级部门责令整改的每次扣1万元，被区级及以上媒体曝光的扣5万元——20万元，具体视情况严重而定。</w:t>
      </w:r>
    </w:p>
    <w:p>
      <w:pPr>
        <w:pStyle w:val="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1.6其他要求</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snapToGrid w:val="0"/>
          <w:color w:val="auto"/>
          <w:kern w:val="2"/>
          <w:sz w:val="24"/>
          <w:szCs w:val="24"/>
          <w:highlight w:val="none"/>
          <w:lang w:val="en-US" w:eastAsia="zh-CN" w:bidi="ar-SA"/>
        </w:rPr>
        <w:t>项目拟配备的人工及车辆均需为本项目服务，常驻在街道辖区范围内，人员上岗需佩戴工牌，车辆需安装GPS。</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i/>
          <w:iCs/>
          <w:sz w:val="28"/>
          <w:szCs w:val="36"/>
          <w:highlight w:val="none"/>
        </w:rPr>
      </w:pPr>
      <w:r>
        <w:rPr>
          <w:rFonts w:hint="eastAsia" w:ascii="仿宋" w:hAnsi="仿宋" w:eastAsia="仿宋" w:cs="仿宋"/>
          <w:i/>
          <w:iCs/>
          <w:sz w:val="28"/>
          <w:szCs w:val="36"/>
          <w:highlight w:val="none"/>
          <w:lang w:val="en-US" w:eastAsia="zh-CN"/>
        </w:rPr>
        <w:t>2、</w:t>
      </w:r>
      <w:r>
        <w:rPr>
          <w:rFonts w:hint="eastAsia" w:ascii="仿宋" w:hAnsi="仿宋" w:eastAsia="仿宋" w:cs="仿宋"/>
          <w:i/>
          <w:iCs/>
          <w:sz w:val="28"/>
          <w:szCs w:val="36"/>
          <w:highlight w:val="none"/>
        </w:rPr>
        <w:t>商务需求</w:t>
      </w:r>
    </w:p>
    <w:p>
      <w:pPr>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服务期限</w:t>
      </w:r>
    </w:p>
    <w:p>
      <w:pPr>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服务期：2年（具体起止日期从合同签订之日起算）</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在服务期内中标人未能严格履行合同的，采购单位有权终止合同。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在服务期内中标人能严格履行合同，合同履行完毕后，在未找到接替前，中标人应适当延续服务，费用按原合同签订的费用标准支付。如中标人在服务期内违反合同约定，经考核不合格，采购单位有权提前终止合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承包方式：包工包料</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2.2</w:t>
      </w:r>
      <w:r>
        <w:rPr>
          <w:rFonts w:hint="eastAsia" w:ascii="仿宋" w:hAnsi="仿宋" w:eastAsia="仿宋" w:cs="仿宋"/>
          <w:color w:val="auto"/>
          <w:kern w:val="0"/>
          <w:sz w:val="24"/>
          <w:highlight w:val="none"/>
        </w:rPr>
        <w:t>付款方式</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根据检查考核办法及奖惩制度</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进行一次考核，考核人员由采购人自行组建，具体费用根据考核结果</w:t>
      </w:r>
      <w:r>
        <w:rPr>
          <w:rFonts w:hint="eastAsia" w:ascii="仿宋" w:hAnsi="仿宋" w:eastAsia="仿宋" w:cs="仿宋"/>
          <w:color w:val="auto"/>
          <w:sz w:val="24"/>
          <w:highlight w:val="none"/>
          <w:lang w:eastAsia="zh-CN"/>
        </w:rPr>
        <w:t>按照月度进行</w:t>
      </w:r>
      <w:r>
        <w:rPr>
          <w:rFonts w:hint="eastAsia" w:ascii="仿宋" w:hAnsi="仿宋" w:eastAsia="仿宋" w:cs="仿宋"/>
          <w:color w:val="auto"/>
          <w:sz w:val="24"/>
          <w:highlight w:val="none"/>
        </w:rPr>
        <w:t>结算支付。</w:t>
      </w:r>
    </w:p>
    <w:p>
      <w:pPr>
        <w:spacing w:line="500" w:lineRule="exac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注：</w:t>
      </w:r>
    </w:p>
    <w:p>
      <w:pPr>
        <w:spacing w:line="500" w:lineRule="exac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1</w:t>
      </w:r>
      <w:r>
        <w:rPr>
          <w:rFonts w:hint="eastAsia" w:ascii="仿宋" w:hAnsi="仿宋" w:eastAsia="仿宋" w:cs="仿宋"/>
          <w:color w:val="auto"/>
          <w:sz w:val="22"/>
          <w:szCs w:val="28"/>
          <w:highlight w:val="none"/>
        </w:rPr>
        <w:t>、如有附图，仅作参考。</w:t>
      </w:r>
    </w:p>
    <w:p>
      <w:pPr>
        <w:spacing w:line="500" w:lineRule="exac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2</w:t>
      </w:r>
      <w:r>
        <w:rPr>
          <w:rFonts w:hint="eastAsia" w:ascii="仿宋" w:hAnsi="仿宋" w:eastAsia="仿宋" w:cs="仿宋"/>
          <w:color w:val="auto"/>
          <w:sz w:val="22"/>
          <w:szCs w:val="28"/>
          <w:highlight w:val="none"/>
        </w:rPr>
        <w:t>、打▲内容为实质性要求，不允许有负偏离，否则将以涉及无效投标条款作无效投标。</w:t>
      </w:r>
    </w:p>
    <w:p>
      <w:pPr>
        <w:spacing w:line="500" w:lineRule="exac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3</w:t>
      </w:r>
      <w:r>
        <w:rPr>
          <w:rFonts w:hint="eastAsia" w:ascii="仿宋" w:hAnsi="仿宋" w:eastAsia="仿宋" w:cs="仿宋"/>
          <w:color w:val="auto"/>
          <w:sz w:val="22"/>
          <w:szCs w:val="28"/>
          <w:highlight w:val="none"/>
        </w:rPr>
        <w:t>、中标人所提供的货物、服务须与投标承诺一致，不得以次充好、偷工减料，若在项目验收中发现有上述情况，将向有关部门举报，根据相关规定进行处理。</w:t>
      </w:r>
    </w:p>
    <w:p>
      <w:pPr>
        <w:spacing w:line="360" w:lineRule="auto"/>
        <w:ind w:firstLine="181" w:firstLineChars="50"/>
        <w:rPr>
          <w:rFonts w:hint="eastAsia" w:ascii="仿宋" w:hAnsi="仿宋" w:eastAsia="仿宋" w:cs="仿宋"/>
          <w:b/>
          <w:color w:val="auto"/>
          <w:sz w:val="36"/>
          <w:szCs w:val="36"/>
          <w:highlight w:val="none"/>
        </w:rPr>
      </w:pPr>
    </w:p>
    <w:p>
      <w:pPr>
        <w:spacing w:line="360" w:lineRule="auto"/>
        <w:rPr>
          <w:rFonts w:hint="eastAsia" w:ascii="仿宋" w:hAnsi="仿宋" w:eastAsia="仿宋" w:cs="仿宋"/>
          <w:color w:val="auto"/>
          <w:sz w:val="24"/>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t>附件一《路灯清单》</w:t>
      </w:r>
    </w:p>
    <w:tbl>
      <w:tblPr>
        <w:tblStyle w:val="62"/>
        <w:tblW w:w="9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3636"/>
        <w:gridCol w:w="819"/>
        <w:gridCol w:w="655"/>
        <w:gridCol w:w="1010"/>
        <w:gridCol w:w="826"/>
        <w:gridCol w:w="1226"/>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9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盈街道2023年路灯设施量清查统计表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路段</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路灯数量（盏）</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路灯类型</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单灯功率（瓦）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灯杆数量（杆）</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灯杆类型</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文明路（利群河桥头至市心北路）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文明路（市心北路至风情快速路）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文明路（市心北路至风情快速路）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丰西路（博奥路至风情快速路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利丰路（市心北路至文明路）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利丰路（市心北路至文明路）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民和路（文明路至观澜路）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民和路（文明路至观澜路）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金鸡路（文明路至观澜路）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金鸡路（文明路至观澜路）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飞虹路（鸿宁路-奔竞大道）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飞虹路（鸿宁路-奔竞大道）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永辉路（文明路至利丰路）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永辉路（文明路至利丰路）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济仁路（永辉路至金鸡路）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丰二路（永辉路至文明路）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丰二路（永辉路至文明路）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城市机场大道（利群河桥头至风情快速路）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城市机场大道（利群河桥头至风情快速路）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城市机场大道（利群河桥头至风情快速路）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奔竞大道（扬帆路至奔竞大道）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奔竞大道（扬帆路至奔竞大道）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扬帆路（市心北路至奔竞大道）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扬帆路（市心北路至奔竞大道）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笃学路（扬帆路至奔竞大道）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望博路（奔竞大道至笃学路）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君兴街（盈丰路至奔竞大道）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利二路（民和路至博奥路）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利二路（民和路至博奥路）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利一路（民和路至博奥路）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博奥路（文明路至观澜路）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189</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博奥路（文明路至观澜路）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华奥路（书音路至金鸡路）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书音路（飞虹路至奔竞大道）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观澜路（民祥路至七甲河桥）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观澜路（民祥路至七甲河桥）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宁一路（鸿宁路至民祥路）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海清路（观澜路至奔竞大道）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皓月路（金鸡路至101省道）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皓月路（金鸡路至101省道）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盈丰路（文明路至鸿宁路）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盈丰路（文明路至鸿宁路）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盈新路（通北路至钱农西路）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盈新路（通北路至钱农西路）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通北路（盈新路至钱农东路）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利华路（利群河至市心北路）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振宁路（利群河至市心北路）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振宁路（市心北路至丰二路）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宁泰路（文明路至振宁路）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宁中路（宁泰路至利华路）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丹华路（利二路至奔竞大道）</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花影巷（丹华路至金鸡路）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守信路（机场城市大道至飞虹路）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仁义弄（仁孝路至盈丰路）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仁孝路（机场城市大道至飞虹路）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平澜路（博奥路至民祥路）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平澜路（博奥路至民祥路）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市心北路（文明路至平澜路）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市心北路（文明路至平澜路）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高杆灯（5头）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鸿宁路（观澜路至利群河西侧）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鸿宁路（观澜路至利群河西侧）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海晏路（扬帆路至利丰路）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澄之巷（盈丰路至皓月路）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纵一路（民和路至市心北路）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皓凯路（皓月路至民和路）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横一路（盈丰路至皓月路）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潮韵路（金鸡路至博奥路）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民祥路（观澜路至平澜路）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民祥路（观澜路至平澜路）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盈丰街（飞虹路至通北路）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引智路（市心北路至永辉路）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引智路（市心北路至永辉路）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高杆灯（4头）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丰安巷（振宁路至济仁路）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宁一路（鸿宁路至秋韵路）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宁一路（鸿宁路至秋韵路）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潮韵路（金鸡路至博奥路）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高杆灯（4头）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帆影路（平澜路至潮韵路)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钱农西路（通城高架路至飞虹路）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丰文弄（盈丰路至丰二路）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丰文弄（盈丰路至丰二路）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高杆灯（3头）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纵二路（民和路至市心北路）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通文路（盈新路至飞虹路）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通文路（盈新路至飞虹路）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高杆灯（4头）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润川路（钱农西路至利群河）</w:t>
            </w:r>
          </w:p>
        </w:tc>
        <w:tc>
          <w:tcPr>
            <w:tcW w:w="81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月朗路（皓月路至盈丰路）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铁东路（通北路-盈一佳苑西出入口）</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恒明巷（扬帆路至飞虹路）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虹鸣巷（扬帆路至飞虹路）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至广街（民和路至永辉路）</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德才弄（虹鸣巷至恒明巷）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LED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单头灯杆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7541</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4706</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bl>
    <w:p>
      <w:pPr>
        <w:rPr>
          <w:rFonts w:hint="eastAsia" w:ascii="仿宋" w:hAnsi="仿宋" w:eastAsia="仿宋" w:cs="仿宋"/>
          <w:b/>
          <w:sz w:val="28"/>
          <w:szCs w:val="28"/>
          <w:highlight w:val="none"/>
        </w:rPr>
      </w:pP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t>附件二《景观灯清单》</w:t>
      </w:r>
    </w:p>
    <w:tbl>
      <w:tblPr>
        <w:tblStyle w:val="62"/>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
        <w:gridCol w:w="607"/>
        <w:gridCol w:w="460"/>
        <w:gridCol w:w="559"/>
        <w:gridCol w:w="510"/>
        <w:gridCol w:w="510"/>
        <w:gridCol w:w="510"/>
        <w:gridCol w:w="510"/>
        <w:gridCol w:w="509"/>
        <w:gridCol w:w="510"/>
        <w:gridCol w:w="510"/>
        <w:gridCol w:w="510"/>
        <w:gridCol w:w="509"/>
        <w:gridCol w:w="509"/>
        <w:gridCol w:w="509"/>
        <w:gridCol w:w="510"/>
        <w:gridCol w:w="459"/>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9193" w:type="dxa"/>
            <w:gridSpan w:val="1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 xml:space="preserve">2024年盈丰街道景观灯设施清查统计表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工程名称</w:t>
            </w:r>
          </w:p>
        </w:tc>
        <w:tc>
          <w:tcPr>
            <w:tcW w:w="0" w:type="auto"/>
            <w:gridSpan w:val="14"/>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景观灯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6"/>
                <w:szCs w:val="16"/>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配电箱(台）</w:t>
            </w:r>
          </w:p>
        </w:tc>
        <w:tc>
          <w:tcPr>
            <w:tcW w:w="55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100wLED投光灯（套）</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54wLED投光灯（套）</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36wLED投光灯（套）</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28wLED投光灯（套）</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12wLED投光灯（套）</w:t>
            </w:r>
          </w:p>
        </w:tc>
        <w:tc>
          <w:tcPr>
            <w:tcW w:w="5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8wLED投光灯（套）</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24wLED洗墙灯（套）</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18wLED洗墙灯（套）</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12WLED线条灯RGB（套）</w:t>
            </w:r>
          </w:p>
        </w:tc>
        <w:tc>
          <w:tcPr>
            <w:tcW w:w="5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6WLED户外24V防水灯带（米）</w:t>
            </w:r>
          </w:p>
        </w:tc>
        <w:tc>
          <w:tcPr>
            <w:tcW w:w="5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6WLED线条灯（套）</w:t>
            </w:r>
          </w:p>
        </w:tc>
        <w:tc>
          <w:tcPr>
            <w:tcW w:w="5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6WLED点光源（套）</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12WLED护栏灯（套）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灯具总数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市心北路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2666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博奥路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金鸡路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151</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其他路段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桥梁（3-7号）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473</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w:t>
            </w:r>
          </w:p>
        </w:tc>
        <w:tc>
          <w:tcPr>
            <w:tcW w:w="6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博奥路先锋河桥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6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观澜路七甲河桥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1号桥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LED变色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2号桥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市心互通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1290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990 </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990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6"/>
                <w:szCs w:val="16"/>
                <w:u w:val="none"/>
              </w:rPr>
            </w:pPr>
          </w:p>
        </w:tc>
      </w:tr>
    </w:tbl>
    <w:p>
      <w:pPr>
        <w:rPr>
          <w:rFonts w:hint="eastAsia" w:ascii="仿宋" w:hAnsi="仿宋" w:eastAsia="仿宋" w:cs="仿宋"/>
          <w:b/>
          <w:sz w:val="28"/>
          <w:szCs w:val="28"/>
          <w:highlight w:val="none"/>
        </w:rPr>
      </w:pPr>
    </w:p>
    <w:tbl>
      <w:tblPr>
        <w:tblStyle w:val="62"/>
        <w:tblpPr w:leftFromText="180" w:rightFromText="180" w:vertAnchor="text" w:horzAnchor="page" w:tblpX="1465" w:tblpY="23"/>
        <w:tblOverlap w:val="never"/>
        <w:tblW w:w="9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8"/>
        <w:gridCol w:w="3577"/>
        <w:gridCol w:w="1258"/>
        <w:gridCol w:w="1808"/>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922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2024年度盈丰街道照明远程控制系统统计表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3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项目名称</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1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工程数量</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新增集中控制器</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SIM卡（按1年计入）</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张*年</w:t>
            </w:r>
          </w:p>
        </w:tc>
        <w:tc>
          <w:tcPr>
            <w:tcW w:w="1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74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养护及维修费用（按1年计入）</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1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74 </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2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     计</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18"/>
                <w:szCs w:val="18"/>
                <w:u w:val="none"/>
              </w:rPr>
            </w:pPr>
          </w:p>
        </w:tc>
      </w:tr>
    </w:tbl>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rPr>
          <w:rFonts w:hint="eastAsia" w:ascii="仿宋" w:hAnsi="仿宋" w:eastAsia="仿宋" w:cs="仿宋"/>
          <w:b/>
          <w:sz w:val="28"/>
          <w:szCs w:val="28"/>
          <w:highlight w:val="none"/>
        </w:rPr>
      </w:pP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t>附件三：《2024年盈丰街道月度考核评分细则》</w:t>
      </w:r>
    </w:p>
    <w:tbl>
      <w:tblPr>
        <w:tblStyle w:val="62"/>
        <w:tblpPr w:leftFromText="180" w:rightFromText="180" w:vertAnchor="text" w:horzAnchor="page" w:tblpX="1441" w:tblpY="781"/>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6837"/>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73" w:type="dxa"/>
            <w:noWrap w:val="0"/>
            <w:vAlign w:val="top"/>
          </w:tcPr>
          <w:p>
            <w:pPr>
              <w:spacing w:line="35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项目</w:t>
            </w:r>
          </w:p>
        </w:tc>
        <w:tc>
          <w:tcPr>
            <w:tcW w:w="6837" w:type="dxa"/>
            <w:noWrap w:val="0"/>
            <w:vAlign w:val="top"/>
          </w:tcPr>
          <w:p>
            <w:pPr>
              <w:spacing w:line="35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标           准</w:t>
            </w:r>
          </w:p>
        </w:tc>
        <w:tc>
          <w:tcPr>
            <w:tcW w:w="944" w:type="dxa"/>
            <w:noWrap w:val="0"/>
            <w:vAlign w:val="top"/>
          </w:tcPr>
          <w:p>
            <w:pPr>
              <w:spacing w:line="35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计分</w:t>
            </w:r>
          </w:p>
        </w:tc>
        <w:tc>
          <w:tcPr>
            <w:tcW w:w="944" w:type="dxa"/>
            <w:noWrap w:val="0"/>
            <w:vAlign w:val="top"/>
          </w:tcPr>
          <w:p>
            <w:pPr>
              <w:spacing w:line="35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亮</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灯</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率</w:t>
            </w:r>
          </w:p>
        </w:tc>
        <w:tc>
          <w:tcPr>
            <w:tcW w:w="6837" w:type="dxa"/>
            <w:noWrap w:val="0"/>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各主、次干道不低于98%；以路灯控制箱为单元，每次测定亮灯率采用随机抽取，抽取单元数量不低于总单元数25%；每次测定的亮灯率为各单元亮灯率平均值，对照亮灯率标准，每低于1个百分点扣1分</w:t>
            </w:r>
          </w:p>
        </w:tc>
        <w:tc>
          <w:tcPr>
            <w:tcW w:w="944"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25</w:t>
            </w:r>
          </w:p>
        </w:tc>
        <w:tc>
          <w:tcPr>
            <w:tcW w:w="944"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故</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障</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处</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理</w:t>
            </w:r>
          </w:p>
        </w:tc>
        <w:tc>
          <w:tcPr>
            <w:tcW w:w="6837" w:type="dxa"/>
            <w:noWrap w:val="0"/>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照明设施发生非正常亮灯、大面积熄灯、倒杆、断线、绞线、线路短路、灯具损毁、灯具配电箱外壳带电、电器火灾、交通事故被撞等事故处理率必须达到100%。一般电器故障修复不超过12小时，较大故障处理不超过36小时，超过规定时限的，一次按情况扣1-3分。</w:t>
            </w:r>
          </w:p>
        </w:tc>
        <w:tc>
          <w:tcPr>
            <w:tcW w:w="944"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944"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灯</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具</w:t>
            </w:r>
          </w:p>
        </w:tc>
        <w:tc>
          <w:tcPr>
            <w:tcW w:w="6837" w:type="dxa"/>
            <w:noWrap w:val="0"/>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灯具保持整洁，安装稳固，部件完整，连接可靠，运行安全，符合原设计要求。发现1处，扣1分，扣完为止</w:t>
            </w:r>
          </w:p>
        </w:tc>
        <w:tc>
          <w:tcPr>
            <w:tcW w:w="94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944"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灯</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杆</w:t>
            </w:r>
          </w:p>
        </w:tc>
        <w:tc>
          <w:tcPr>
            <w:tcW w:w="6837" w:type="dxa"/>
            <w:noWrap w:val="0"/>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灯杆保持无倾斜、弯曲、安埋稳固、连接可靠，基础完好，部件齐全，外观整洁，接地可靠有效。发现1处，扣1分，扣完为止。</w:t>
            </w:r>
          </w:p>
        </w:tc>
        <w:tc>
          <w:tcPr>
            <w:tcW w:w="94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944"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电</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缆</w:t>
            </w:r>
          </w:p>
        </w:tc>
        <w:tc>
          <w:tcPr>
            <w:tcW w:w="6837" w:type="dxa"/>
            <w:noWrap w:val="0"/>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电缆绝缘良好，接地可靠，连接牢固，无漏电，无接头过热现象，定期进行绝缘测试。发现1处，扣1分，扣完为止。</w:t>
            </w:r>
          </w:p>
        </w:tc>
        <w:tc>
          <w:tcPr>
            <w:tcW w:w="94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944"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控</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制</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柜</w:t>
            </w:r>
          </w:p>
        </w:tc>
        <w:tc>
          <w:tcPr>
            <w:tcW w:w="6837" w:type="dxa"/>
            <w:noWrap w:val="0"/>
            <w:vAlign w:val="center"/>
          </w:tcPr>
          <w:p>
            <w:pPr>
              <w:ind w:firstLine="420" w:firstLineChars="20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箱体保持平整稳固，箱体内外清洁，无异物，标志明显、齐全、出入箱导线连接良好，箱内电器工作正常，电器导线排列整齐、连接可靠，箱体无破损，箱门锁好，箱体接地可靠。发现1处，扣1分，扣完为止</w:t>
            </w:r>
            <w:r>
              <w:rPr>
                <w:rFonts w:hint="eastAsia" w:ascii="仿宋" w:hAnsi="仿宋" w:eastAsia="仿宋" w:cs="仿宋"/>
                <w:color w:val="000000"/>
                <w:sz w:val="21"/>
                <w:szCs w:val="21"/>
                <w:lang w:eastAsia="zh-CN"/>
              </w:rPr>
              <w:t>。</w:t>
            </w:r>
          </w:p>
        </w:tc>
        <w:tc>
          <w:tcPr>
            <w:tcW w:w="944"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944"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箱</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变</w:t>
            </w:r>
          </w:p>
        </w:tc>
        <w:tc>
          <w:tcPr>
            <w:tcW w:w="6837" w:type="dxa"/>
            <w:noWrap w:val="0"/>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配电室和控制柜保持外墙坚固，门窗安装牢靠，无漏雨进水，室内通风良好，地面平整干燥，室内外整洁，防火、防盗、防小动物装置及照明设施齐全。做好定期清扫保洁工作。发现1处，扣1分，扣完为止</w:t>
            </w:r>
          </w:p>
        </w:tc>
        <w:tc>
          <w:tcPr>
            <w:tcW w:w="94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944"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管</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理</w:t>
            </w:r>
          </w:p>
        </w:tc>
        <w:tc>
          <w:tcPr>
            <w:tcW w:w="6837" w:type="dxa"/>
            <w:noWrap w:val="0"/>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按管养方案做好日常巡检，调时（一年8次以上）等管理工作，配合管理部门做好防台抗汛、迎检等阶段性工作，按工作完成情况计分。</w:t>
            </w:r>
          </w:p>
        </w:tc>
        <w:tc>
          <w:tcPr>
            <w:tcW w:w="94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944"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安</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全</w:t>
            </w:r>
          </w:p>
        </w:tc>
        <w:tc>
          <w:tcPr>
            <w:tcW w:w="6837" w:type="dxa"/>
            <w:noWrap w:val="0"/>
            <w:vAlign w:val="center"/>
          </w:tcPr>
          <w:p>
            <w:pPr>
              <w:ind w:firstLine="420" w:firstLineChars="20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施工安全措施到位，专业作业人员按照规定配备，人员组成合理、持证上岗，统一着装戴帽，作业时设警示标志。发现1处，扣1分，</w:t>
            </w:r>
            <w:r>
              <w:rPr>
                <w:rFonts w:hint="eastAsia" w:ascii="仿宋" w:hAnsi="仿宋" w:eastAsia="仿宋" w:cs="仿宋"/>
                <w:color w:val="000000"/>
                <w:sz w:val="21"/>
                <w:szCs w:val="21"/>
                <w:lang w:val="en-US" w:eastAsia="zh-CN"/>
              </w:rPr>
              <w:t>线缆接地安全、规范，发现一处扣3分，</w:t>
            </w:r>
            <w:r>
              <w:rPr>
                <w:rFonts w:hint="eastAsia" w:ascii="仿宋" w:hAnsi="仿宋" w:eastAsia="仿宋" w:cs="仿宋"/>
                <w:color w:val="000000"/>
                <w:sz w:val="21"/>
                <w:szCs w:val="21"/>
              </w:rPr>
              <w:t>扣完为止</w:t>
            </w:r>
            <w:r>
              <w:rPr>
                <w:rFonts w:hint="eastAsia" w:ascii="仿宋" w:hAnsi="仿宋" w:eastAsia="仿宋" w:cs="仿宋"/>
                <w:color w:val="000000"/>
                <w:sz w:val="21"/>
                <w:szCs w:val="21"/>
                <w:lang w:eastAsia="zh-CN"/>
              </w:rPr>
              <w:t>。</w:t>
            </w:r>
          </w:p>
        </w:tc>
        <w:tc>
          <w:tcPr>
            <w:tcW w:w="944"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944" w:type="dxa"/>
            <w:noWrap w:val="0"/>
            <w:vAlign w:val="center"/>
          </w:tcPr>
          <w:p>
            <w:pP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3"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台</w:t>
            </w:r>
          </w:p>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账</w:t>
            </w:r>
          </w:p>
        </w:tc>
        <w:tc>
          <w:tcPr>
            <w:tcW w:w="6837" w:type="dxa"/>
            <w:noWrap w:val="0"/>
            <w:vAlign w:val="center"/>
          </w:tcPr>
          <w:p>
            <w:pPr>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建立健全道路路灯基础资料台账，做好巡检维修计划和完成情况的日常维修台账。</w:t>
            </w:r>
          </w:p>
        </w:tc>
        <w:tc>
          <w:tcPr>
            <w:tcW w:w="94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944" w:type="dxa"/>
            <w:noWrap w:val="0"/>
            <w:vAlign w:val="center"/>
          </w:tcPr>
          <w:p>
            <w:pPr>
              <w:rPr>
                <w:rFonts w:hint="eastAsia" w:ascii="仿宋" w:hAnsi="仿宋" w:eastAsia="仿宋" w:cs="仿宋"/>
                <w:color w:val="000000"/>
                <w:sz w:val="21"/>
                <w:szCs w:val="21"/>
              </w:rPr>
            </w:pPr>
          </w:p>
        </w:tc>
      </w:tr>
    </w:tbl>
    <w:p>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28" w:name="_Toc184312126"/>
      <w:bookmarkEnd w:id="28"/>
      <w:bookmarkStart w:id="29" w:name="_Toc184308107"/>
      <w:bookmarkEnd w:id="29"/>
      <w:bookmarkStart w:id="30" w:name="_Toc184312130"/>
      <w:bookmarkEnd w:id="30"/>
      <w:bookmarkStart w:id="31" w:name="_Toc184308037"/>
      <w:bookmarkEnd w:id="31"/>
      <w:bookmarkStart w:id="32" w:name="_Toc184312084"/>
      <w:bookmarkEnd w:id="32"/>
      <w:bookmarkStart w:id="33" w:name="_Toc184308097"/>
      <w:bookmarkEnd w:id="33"/>
      <w:bookmarkStart w:id="34" w:name="_Toc184310339"/>
      <w:bookmarkEnd w:id="34"/>
      <w:bookmarkStart w:id="35" w:name="_Toc184314459"/>
      <w:bookmarkEnd w:id="35"/>
      <w:bookmarkStart w:id="36" w:name="_Toc184308086"/>
      <w:bookmarkEnd w:id="36"/>
      <w:bookmarkStart w:id="37" w:name="_Toc184313241"/>
      <w:bookmarkEnd w:id="37"/>
      <w:bookmarkStart w:id="38" w:name="_Toc184312092"/>
      <w:bookmarkEnd w:id="38"/>
      <w:bookmarkStart w:id="39" w:name="_Toc184308060"/>
      <w:bookmarkEnd w:id="39"/>
      <w:bookmarkStart w:id="40" w:name="_Toc184313310"/>
      <w:bookmarkEnd w:id="40"/>
      <w:bookmarkStart w:id="41" w:name="_Toc184314446"/>
      <w:bookmarkEnd w:id="41"/>
      <w:bookmarkStart w:id="42" w:name="_Toc184313293"/>
      <w:bookmarkEnd w:id="42"/>
      <w:bookmarkStart w:id="43" w:name="_Toc184308108"/>
      <w:bookmarkEnd w:id="43"/>
      <w:bookmarkStart w:id="44" w:name="_Toc184310276"/>
      <w:bookmarkEnd w:id="44"/>
      <w:bookmarkStart w:id="45" w:name="_Toc184313306"/>
      <w:bookmarkEnd w:id="45"/>
      <w:bookmarkStart w:id="46" w:name="_Toc184308094"/>
      <w:bookmarkEnd w:id="46"/>
      <w:bookmarkStart w:id="47" w:name="_Toc184314453"/>
      <w:bookmarkEnd w:id="47"/>
      <w:bookmarkStart w:id="48" w:name="_Toc184310325"/>
      <w:bookmarkEnd w:id="48"/>
      <w:bookmarkStart w:id="49" w:name="_Toc184308087"/>
      <w:bookmarkEnd w:id="49"/>
      <w:bookmarkStart w:id="50" w:name="_Toc184314439"/>
      <w:bookmarkEnd w:id="50"/>
      <w:bookmarkStart w:id="51" w:name="_Toc184313243"/>
      <w:bookmarkEnd w:id="51"/>
      <w:bookmarkStart w:id="52" w:name="_Toc184310285"/>
      <w:bookmarkEnd w:id="52"/>
      <w:bookmarkStart w:id="53" w:name="_Toc184310277"/>
      <w:bookmarkEnd w:id="53"/>
      <w:bookmarkStart w:id="54" w:name="_Toc184313255"/>
      <w:bookmarkEnd w:id="54"/>
      <w:bookmarkStart w:id="55" w:name="_Toc184314441"/>
      <w:bookmarkEnd w:id="55"/>
      <w:bookmarkStart w:id="56" w:name="_Toc184312131"/>
      <w:bookmarkEnd w:id="56"/>
      <w:bookmarkStart w:id="57" w:name="_Toc184314429"/>
      <w:bookmarkEnd w:id="57"/>
      <w:bookmarkStart w:id="58" w:name="_Toc184310292"/>
      <w:bookmarkEnd w:id="58"/>
      <w:bookmarkStart w:id="59" w:name="_Toc184308036"/>
      <w:bookmarkEnd w:id="59"/>
      <w:bookmarkStart w:id="60" w:name="_Toc184313273"/>
      <w:bookmarkEnd w:id="60"/>
      <w:bookmarkStart w:id="61" w:name="_Toc184312077"/>
      <w:bookmarkEnd w:id="61"/>
      <w:bookmarkStart w:id="62" w:name="_Toc184308068"/>
      <w:bookmarkEnd w:id="62"/>
      <w:bookmarkStart w:id="63" w:name="_Toc184312089"/>
      <w:bookmarkEnd w:id="63"/>
      <w:bookmarkStart w:id="64" w:name="_Toc184308074"/>
      <w:bookmarkEnd w:id="64"/>
      <w:bookmarkStart w:id="65" w:name="_Toc184314450"/>
      <w:bookmarkEnd w:id="65"/>
      <w:bookmarkStart w:id="66" w:name="_Toc184314414"/>
      <w:bookmarkEnd w:id="66"/>
      <w:bookmarkStart w:id="67" w:name="_Toc184314468"/>
      <w:bookmarkEnd w:id="67"/>
      <w:bookmarkStart w:id="68" w:name="_Toc184312139"/>
      <w:bookmarkEnd w:id="68"/>
      <w:bookmarkStart w:id="69" w:name="_Toc184312075"/>
      <w:bookmarkEnd w:id="69"/>
      <w:bookmarkStart w:id="70" w:name="_Toc184312079"/>
      <w:bookmarkEnd w:id="70"/>
      <w:bookmarkStart w:id="71" w:name="_Toc184312097"/>
      <w:bookmarkEnd w:id="71"/>
      <w:bookmarkStart w:id="72" w:name="_Toc184313290"/>
      <w:bookmarkEnd w:id="72"/>
      <w:bookmarkStart w:id="73" w:name="_Toc184312118"/>
      <w:bookmarkEnd w:id="73"/>
      <w:bookmarkStart w:id="74" w:name="_Toc184313279"/>
      <w:bookmarkEnd w:id="74"/>
      <w:bookmarkStart w:id="75" w:name="_Toc184310340"/>
      <w:bookmarkEnd w:id="75"/>
      <w:bookmarkStart w:id="76" w:name="_Toc184308100"/>
      <w:bookmarkEnd w:id="76"/>
      <w:bookmarkStart w:id="77" w:name="_Toc184314443"/>
      <w:bookmarkEnd w:id="77"/>
      <w:bookmarkStart w:id="78" w:name="_Toc184312093"/>
      <w:bookmarkEnd w:id="78"/>
      <w:bookmarkStart w:id="79" w:name="_Toc184313291"/>
      <w:bookmarkEnd w:id="79"/>
      <w:bookmarkStart w:id="80" w:name="_Toc184310297"/>
      <w:bookmarkEnd w:id="80"/>
      <w:bookmarkStart w:id="81" w:name="_Toc184308058"/>
      <w:bookmarkEnd w:id="81"/>
      <w:bookmarkStart w:id="82" w:name="_Toc184310300"/>
      <w:bookmarkEnd w:id="82"/>
      <w:bookmarkStart w:id="83" w:name="_Toc184314438"/>
      <w:bookmarkEnd w:id="83"/>
      <w:bookmarkStart w:id="84" w:name="_Toc184314411"/>
      <w:bookmarkEnd w:id="84"/>
      <w:bookmarkStart w:id="85" w:name="_Toc184312099"/>
      <w:bookmarkEnd w:id="85"/>
      <w:bookmarkStart w:id="86" w:name="_Toc184310322"/>
      <w:bookmarkEnd w:id="86"/>
      <w:bookmarkStart w:id="87" w:name="_Toc184313269"/>
      <w:bookmarkEnd w:id="87"/>
      <w:bookmarkStart w:id="88" w:name="_Toc184314474"/>
      <w:bookmarkEnd w:id="88"/>
      <w:bookmarkStart w:id="89" w:name="_Toc184310312"/>
      <w:bookmarkEnd w:id="89"/>
      <w:bookmarkStart w:id="90" w:name="_Toc184308065"/>
      <w:bookmarkEnd w:id="90"/>
      <w:bookmarkStart w:id="91" w:name="_Toc184313301"/>
      <w:bookmarkEnd w:id="91"/>
      <w:bookmarkStart w:id="92" w:name="_Toc184314464"/>
      <w:bookmarkEnd w:id="92"/>
      <w:bookmarkStart w:id="93" w:name="_Toc184314476"/>
      <w:bookmarkEnd w:id="93"/>
      <w:bookmarkStart w:id="94" w:name="_Toc184314469"/>
      <w:bookmarkEnd w:id="94"/>
      <w:bookmarkStart w:id="95" w:name="_Toc184312071"/>
      <w:bookmarkEnd w:id="95"/>
      <w:bookmarkStart w:id="96" w:name="_Toc184308046"/>
      <w:bookmarkEnd w:id="96"/>
      <w:bookmarkStart w:id="97" w:name="_Toc184310330"/>
      <w:bookmarkEnd w:id="97"/>
      <w:bookmarkStart w:id="98" w:name="_Toc184310335"/>
      <w:bookmarkEnd w:id="98"/>
      <w:bookmarkStart w:id="99" w:name="_Toc184313300"/>
      <w:bookmarkEnd w:id="99"/>
      <w:bookmarkStart w:id="100" w:name="_Toc184312087"/>
      <w:bookmarkEnd w:id="100"/>
      <w:bookmarkStart w:id="101" w:name="_Toc184313294"/>
      <w:bookmarkEnd w:id="101"/>
      <w:bookmarkStart w:id="102" w:name="_Toc184313265"/>
      <w:bookmarkEnd w:id="102"/>
      <w:bookmarkStart w:id="103" w:name="_Toc184313244"/>
      <w:bookmarkEnd w:id="103"/>
      <w:bookmarkStart w:id="104" w:name="_Toc184314420"/>
      <w:bookmarkEnd w:id="104"/>
      <w:bookmarkStart w:id="105" w:name="_Toc184312115"/>
      <w:bookmarkEnd w:id="105"/>
      <w:bookmarkStart w:id="106" w:name="_Toc184314465"/>
      <w:bookmarkEnd w:id="106"/>
      <w:bookmarkStart w:id="107" w:name="_Toc184312103"/>
      <w:bookmarkEnd w:id="107"/>
      <w:bookmarkStart w:id="108" w:name="_Toc184308106"/>
      <w:bookmarkEnd w:id="108"/>
      <w:bookmarkStart w:id="109" w:name="_Toc184313274"/>
      <w:bookmarkEnd w:id="109"/>
      <w:bookmarkStart w:id="110" w:name="_Toc184313260"/>
      <w:bookmarkEnd w:id="110"/>
      <w:bookmarkStart w:id="111" w:name="_Toc184313242"/>
      <w:bookmarkEnd w:id="111"/>
      <w:bookmarkStart w:id="112" w:name="_Toc184310295"/>
      <w:bookmarkEnd w:id="112"/>
      <w:bookmarkStart w:id="113" w:name="_Toc184312123"/>
      <w:bookmarkEnd w:id="113"/>
      <w:bookmarkStart w:id="114" w:name="_Toc184312102"/>
      <w:bookmarkEnd w:id="114"/>
      <w:bookmarkStart w:id="115" w:name="_Toc184314480"/>
      <w:bookmarkEnd w:id="115"/>
      <w:bookmarkStart w:id="116" w:name="_Toc184314479"/>
      <w:bookmarkEnd w:id="116"/>
      <w:bookmarkStart w:id="117" w:name="_Toc184313256"/>
      <w:bookmarkEnd w:id="117"/>
      <w:bookmarkStart w:id="118" w:name="_Toc184314447"/>
      <w:bookmarkEnd w:id="118"/>
      <w:bookmarkStart w:id="119" w:name="_Toc184314449"/>
      <w:bookmarkEnd w:id="119"/>
      <w:bookmarkStart w:id="120" w:name="_Toc184308049"/>
      <w:bookmarkEnd w:id="120"/>
      <w:bookmarkStart w:id="121" w:name="_Toc184314448"/>
      <w:bookmarkEnd w:id="121"/>
      <w:bookmarkStart w:id="122" w:name="_Toc184312080"/>
      <w:bookmarkEnd w:id="122"/>
      <w:bookmarkStart w:id="123" w:name="_Toc184313288"/>
      <w:bookmarkEnd w:id="123"/>
      <w:bookmarkStart w:id="124" w:name="_Toc184308091"/>
      <w:bookmarkEnd w:id="124"/>
      <w:bookmarkStart w:id="125" w:name="_Toc184310342"/>
      <w:bookmarkEnd w:id="125"/>
      <w:bookmarkStart w:id="126" w:name="_Toc184313302"/>
      <w:bookmarkEnd w:id="126"/>
      <w:bookmarkStart w:id="127" w:name="_Toc184313258"/>
      <w:bookmarkEnd w:id="127"/>
      <w:bookmarkStart w:id="128" w:name="_Toc184314478"/>
      <w:bookmarkEnd w:id="128"/>
      <w:bookmarkStart w:id="129" w:name="_Toc184308066"/>
      <w:bookmarkEnd w:id="129"/>
      <w:bookmarkStart w:id="130" w:name="_Toc184312072"/>
      <w:bookmarkEnd w:id="130"/>
      <w:bookmarkStart w:id="131" w:name="_Toc184308075"/>
      <w:bookmarkEnd w:id="131"/>
      <w:bookmarkStart w:id="132" w:name="_Toc184310323"/>
      <w:bookmarkEnd w:id="132"/>
      <w:bookmarkStart w:id="133" w:name="_Toc184310318"/>
      <w:bookmarkEnd w:id="133"/>
      <w:bookmarkStart w:id="134" w:name="_Toc184312081"/>
      <w:bookmarkEnd w:id="134"/>
      <w:bookmarkStart w:id="135" w:name="_Toc184313261"/>
      <w:bookmarkEnd w:id="135"/>
      <w:bookmarkStart w:id="136" w:name="_Toc184308105"/>
      <w:bookmarkEnd w:id="136"/>
      <w:bookmarkStart w:id="137" w:name="_Toc184310274"/>
      <w:bookmarkEnd w:id="137"/>
      <w:bookmarkStart w:id="138" w:name="_Toc184308057"/>
      <w:bookmarkEnd w:id="138"/>
      <w:bookmarkStart w:id="139" w:name="_Toc184308088"/>
      <w:bookmarkEnd w:id="139"/>
      <w:bookmarkStart w:id="140" w:name="_Toc184310316"/>
      <w:bookmarkEnd w:id="140"/>
      <w:bookmarkStart w:id="141" w:name="_Toc184308078"/>
      <w:bookmarkEnd w:id="141"/>
      <w:bookmarkStart w:id="142" w:name="_Toc184314481"/>
      <w:bookmarkEnd w:id="142"/>
      <w:bookmarkStart w:id="143" w:name="_Toc184314454"/>
      <w:bookmarkEnd w:id="143"/>
      <w:bookmarkStart w:id="144" w:name="_Toc184308089"/>
      <w:bookmarkEnd w:id="144"/>
      <w:bookmarkStart w:id="145" w:name="_Toc184314467"/>
      <w:bookmarkEnd w:id="145"/>
      <w:bookmarkStart w:id="146" w:name="_Toc184308054"/>
      <w:bookmarkEnd w:id="146"/>
      <w:bookmarkStart w:id="147" w:name="_Toc184308090"/>
      <w:bookmarkEnd w:id="147"/>
      <w:bookmarkStart w:id="148" w:name="_Toc184312116"/>
      <w:bookmarkEnd w:id="148"/>
      <w:bookmarkStart w:id="149" w:name="_Toc184310332"/>
      <w:bookmarkEnd w:id="149"/>
      <w:bookmarkStart w:id="150" w:name="_Toc184313307"/>
      <w:bookmarkEnd w:id="150"/>
      <w:bookmarkStart w:id="151" w:name="_Toc184314455"/>
      <w:bookmarkEnd w:id="151"/>
      <w:bookmarkStart w:id="152" w:name="_Toc184314419"/>
      <w:bookmarkEnd w:id="152"/>
      <w:bookmarkStart w:id="153" w:name="_Toc184310284"/>
      <w:bookmarkEnd w:id="153"/>
      <w:bookmarkStart w:id="154" w:name="_Toc184313280"/>
      <w:bookmarkEnd w:id="154"/>
      <w:bookmarkStart w:id="155" w:name="_Toc184313257"/>
      <w:bookmarkEnd w:id="155"/>
      <w:bookmarkStart w:id="156" w:name="_Toc184312105"/>
      <w:bookmarkEnd w:id="156"/>
      <w:bookmarkStart w:id="157" w:name="_Toc184313282"/>
      <w:bookmarkEnd w:id="157"/>
      <w:bookmarkStart w:id="158" w:name="_Toc184310286"/>
      <w:bookmarkEnd w:id="158"/>
      <w:bookmarkStart w:id="159" w:name="_Toc184310272"/>
      <w:bookmarkEnd w:id="159"/>
      <w:bookmarkStart w:id="160" w:name="_Toc184312090"/>
      <w:bookmarkEnd w:id="160"/>
      <w:bookmarkStart w:id="161" w:name="_Toc184308079"/>
      <w:bookmarkEnd w:id="161"/>
      <w:bookmarkStart w:id="162" w:name="_Toc184312113"/>
      <w:bookmarkEnd w:id="162"/>
      <w:bookmarkStart w:id="163" w:name="_Toc184310315"/>
      <w:bookmarkEnd w:id="163"/>
      <w:bookmarkStart w:id="164" w:name="_Toc184314432"/>
      <w:bookmarkEnd w:id="164"/>
      <w:bookmarkStart w:id="165" w:name="_Toc184313285"/>
      <w:bookmarkEnd w:id="165"/>
      <w:bookmarkStart w:id="166" w:name="_Toc184312069"/>
      <w:bookmarkEnd w:id="166"/>
      <w:bookmarkStart w:id="167" w:name="_Toc184312129"/>
      <w:bookmarkEnd w:id="167"/>
      <w:bookmarkStart w:id="168" w:name="_Toc184308055"/>
      <w:bookmarkEnd w:id="168"/>
      <w:bookmarkStart w:id="169" w:name="_Toc184310287"/>
      <w:bookmarkEnd w:id="169"/>
      <w:bookmarkStart w:id="170" w:name="_Toc184313248"/>
      <w:bookmarkEnd w:id="170"/>
      <w:bookmarkStart w:id="171" w:name="_Toc184308041"/>
      <w:bookmarkEnd w:id="171"/>
      <w:bookmarkStart w:id="172" w:name="_Toc184310305"/>
      <w:bookmarkEnd w:id="172"/>
      <w:bookmarkStart w:id="173" w:name="_Toc184308050"/>
      <w:bookmarkEnd w:id="173"/>
      <w:bookmarkStart w:id="174" w:name="_Toc184312119"/>
      <w:bookmarkEnd w:id="174"/>
      <w:bookmarkStart w:id="175" w:name="_Toc184310314"/>
      <w:bookmarkEnd w:id="175"/>
      <w:bookmarkStart w:id="176" w:name="_Toc184310327"/>
      <w:bookmarkEnd w:id="176"/>
      <w:bookmarkStart w:id="177" w:name="_Toc184308039"/>
      <w:bookmarkEnd w:id="177"/>
      <w:bookmarkStart w:id="178" w:name="_Toc184310288"/>
      <w:bookmarkEnd w:id="178"/>
      <w:bookmarkStart w:id="179" w:name="_Toc184310306"/>
      <w:bookmarkEnd w:id="179"/>
      <w:bookmarkStart w:id="180" w:name="_Toc184310329"/>
      <w:bookmarkEnd w:id="180"/>
      <w:bookmarkStart w:id="181" w:name="_Toc184308071"/>
      <w:bookmarkEnd w:id="181"/>
      <w:bookmarkStart w:id="182" w:name="_Toc184313246"/>
      <w:bookmarkEnd w:id="182"/>
      <w:bookmarkStart w:id="183" w:name="_Toc184314463"/>
      <w:bookmarkEnd w:id="183"/>
      <w:bookmarkStart w:id="184" w:name="_Toc184310301"/>
      <w:bookmarkEnd w:id="184"/>
      <w:bookmarkStart w:id="185" w:name="_Toc184314473"/>
      <w:bookmarkEnd w:id="185"/>
      <w:bookmarkStart w:id="186" w:name="_Toc184308043"/>
      <w:bookmarkEnd w:id="186"/>
      <w:bookmarkStart w:id="187" w:name="_Toc184313264"/>
      <w:bookmarkEnd w:id="187"/>
      <w:bookmarkStart w:id="188" w:name="_Toc184312109"/>
      <w:bookmarkEnd w:id="188"/>
      <w:bookmarkStart w:id="189" w:name="_Toc184314462"/>
      <w:bookmarkEnd w:id="189"/>
      <w:bookmarkStart w:id="190" w:name="_Toc184308076"/>
      <w:bookmarkEnd w:id="190"/>
      <w:bookmarkStart w:id="191" w:name="_Toc184314451"/>
      <w:bookmarkEnd w:id="191"/>
      <w:bookmarkStart w:id="192" w:name="_Toc184313299"/>
      <w:bookmarkEnd w:id="192"/>
      <w:bookmarkStart w:id="193" w:name="_Toc184314440"/>
      <w:bookmarkEnd w:id="193"/>
      <w:bookmarkStart w:id="194" w:name="_Toc184313304"/>
      <w:bookmarkEnd w:id="194"/>
      <w:bookmarkStart w:id="195" w:name="_Toc184312121"/>
      <w:bookmarkEnd w:id="195"/>
      <w:bookmarkStart w:id="196" w:name="_Toc184310273"/>
      <w:bookmarkEnd w:id="196"/>
      <w:bookmarkStart w:id="197" w:name="_Toc184314427"/>
      <w:bookmarkEnd w:id="197"/>
      <w:bookmarkStart w:id="198" w:name="_Toc184313292"/>
      <w:bookmarkEnd w:id="198"/>
      <w:bookmarkStart w:id="199" w:name="_Toc184312086"/>
      <w:bookmarkEnd w:id="199"/>
      <w:bookmarkStart w:id="200" w:name="_Toc184308038"/>
      <w:bookmarkEnd w:id="200"/>
      <w:bookmarkStart w:id="201" w:name="_Toc184310278"/>
      <w:bookmarkEnd w:id="201"/>
      <w:bookmarkStart w:id="202" w:name="_Toc184313267"/>
      <w:bookmarkEnd w:id="202"/>
      <w:bookmarkStart w:id="203" w:name="_Toc184314423"/>
      <w:bookmarkEnd w:id="203"/>
      <w:bookmarkStart w:id="204" w:name="_Toc184308067"/>
      <w:bookmarkEnd w:id="204"/>
      <w:bookmarkStart w:id="205" w:name="_Toc184310281"/>
      <w:bookmarkEnd w:id="205"/>
      <w:bookmarkStart w:id="206" w:name="_Toc184312082"/>
      <w:bookmarkEnd w:id="206"/>
      <w:bookmarkStart w:id="207" w:name="_Toc184313297"/>
      <w:bookmarkEnd w:id="207"/>
      <w:bookmarkStart w:id="208" w:name="_Toc184313240"/>
      <w:bookmarkEnd w:id="208"/>
      <w:bookmarkStart w:id="209" w:name="_Toc184313278"/>
      <w:bookmarkEnd w:id="209"/>
      <w:bookmarkStart w:id="210" w:name="_Toc184312088"/>
      <w:bookmarkEnd w:id="210"/>
      <w:bookmarkStart w:id="211" w:name="_Toc184308096"/>
      <w:bookmarkEnd w:id="211"/>
      <w:bookmarkStart w:id="212" w:name="_Toc184314424"/>
      <w:bookmarkEnd w:id="212"/>
      <w:bookmarkStart w:id="213" w:name="_Toc184314416"/>
      <w:bookmarkEnd w:id="213"/>
      <w:bookmarkStart w:id="214" w:name="_Toc184310308"/>
      <w:bookmarkEnd w:id="214"/>
      <w:bookmarkStart w:id="215" w:name="_Toc184313245"/>
      <w:bookmarkEnd w:id="215"/>
      <w:bookmarkStart w:id="216" w:name="_Toc184314458"/>
      <w:bookmarkEnd w:id="216"/>
      <w:bookmarkStart w:id="217" w:name="_Toc184308047"/>
      <w:bookmarkEnd w:id="217"/>
      <w:bookmarkStart w:id="218" w:name="_Toc184308092"/>
      <w:bookmarkEnd w:id="218"/>
      <w:bookmarkStart w:id="219" w:name="_Toc184308064"/>
      <w:bookmarkEnd w:id="219"/>
      <w:bookmarkStart w:id="220" w:name="_Toc184308104"/>
      <w:bookmarkEnd w:id="220"/>
      <w:bookmarkStart w:id="221" w:name="_Toc184314445"/>
      <w:bookmarkEnd w:id="221"/>
      <w:bookmarkStart w:id="222" w:name="_Toc184310290"/>
      <w:bookmarkEnd w:id="222"/>
      <w:bookmarkStart w:id="223" w:name="_Toc184312120"/>
      <w:bookmarkEnd w:id="223"/>
      <w:bookmarkStart w:id="224" w:name="_Toc184312107"/>
      <w:bookmarkEnd w:id="224"/>
      <w:bookmarkStart w:id="225" w:name="_Toc184310298"/>
      <w:bookmarkEnd w:id="225"/>
      <w:bookmarkStart w:id="226" w:name="_Toc184308084"/>
      <w:bookmarkEnd w:id="226"/>
      <w:bookmarkStart w:id="227" w:name="_Toc184314456"/>
      <w:bookmarkEnd w:id="227"/>
      <w:bookmarkStart w:id="228" w:name="_Toc184313263"/>
      <w:bookmarkEnd w:id="228"/>
      <w:bookmarkStart w:id="229" w:name="_Toc184312111"/>
      <w:bookmarkEnd w:id="229"/>
      <w:bookmarkStart w:id="230" w:name="_Toc184314442"/>
      <w:bookmarkEnd w:id="230"/>
      <w:bookmarkStart w:id="231" w:name="_Toc184313277"/>
      <w:bookmarkEnd w:id="231"/>
      <w:bookmarkStart w:id="232" w:name="_Toc184312137"/>
      <w:bookmarkEnd w:id="232"/>
      <w:bookmarkStart w:id="233" w:name="_Toc184310328"/>
      <w:bookmarkEnd w:id="233"/>
      <w:bookmarkStart w:id="234" w:name="_Toc184314437"/>
      <w:bookmarkEnd w:id="234"/>
      <w:bookmarkStart w:id="235" w:name="_Toc184312101"/>
      <w:bookmarkEnd w:id="235"/>
      <w:bookmarkStart w:id="236" w:name="_Toc184310343"/>
      <w:bookmarkEnd w:id="236"/>
      <w:bookmarkStart w:id="237" w:name="_Toc184310310"/>
      <w:bookmarkEnd w:id="237"/>
      <w:bookmarkStart w:id="238" w:name="_Toc184310293"/>
      <w:bookmarkEnd w:id="238"/>
      <w:bookmarkStart w:id="239" w:name="_Toc184308063"/>
      <w:bookmarkEnd w:id="239"/>
      <w:bookmarkStart w:id="240" w:name="_Toc184314425"/>
      <w:bookmarkEnd w:id="240"/>
      <w:bookmarkStart w:id="241" w:name="_Toc184310320"/>
      <w:bookmarkEnd w:id="241"/>
      <w:bookmarkStart w:id="242" w:name="_Toc184314418"/>
      <w:bookmarkEnd w:id="242"/>
      <w:bookmarkStart w:id="243" w:name="_Toc184312134"/>
      <w:bookmarkEnd w:id="243"/>
      <w:bookmarkStart w:id="244" w:name="_Toc184308093"/>
      <w:bookmarkEnd w:id="244"/>
      <w:bookmarkStart w:id="245" w:name="_Toc184314460"/>
      <w:bookmarkEnd w:id="245"/>
      <w:bookmarkStart w:id="246" w:name="_Toc184312127"/>
      <w:bookmarkEnd w:id="246"/>
      <w:bookmarkStart w:id="247" w:name="_Toc184313252"/>
      <w:bookmarkEnd w:id="247"/>
      <w:bookmarkStart w:id="248" w:name="_Toc184313295"/>
      <w:bookmarkEnd w:id="248"/>
      <w:bookmarkStart w:id="249" w:name="_Toc184310299"/>
      <w:bookmarkEnd w:id="249"/>
      <w:bookmarkStart w:id="250" w:name="_Toc184314471"/>
      <w:bookmarkEnd w:id="250"/>
      <w:bookmarkStart w:id="251" w:name="_Toc184308051"/>
      <w:bookmarkEnd w:id="251"/>
      <w:bookmarkStart w:id="252" w:name="_Toc184312117"/>
      <w:bookmarkEnd w:id="252"/>
      <w:bookmarkStart w:id="253" w:name="_Toc184314475"/>
      <w:bookmarkEnd w:id="253"/>
      <w:bookmarkStart w:id="254" w:name="_Toc184312114"/>
      <w:bookmarkEnd w:id="254"/>
      <w:bookmarkStart w:id="255" w:name="_Toc184314433"/>
      <w:bookmarkEnd w:id="255"/>
      <w:bookmarkStart w:id="256" w:name="_Toc184314472"/>
      <w:bookmarkEnd w:id="256"/>
      <w:bookmarkStart w:id="257" w:name="_Toc184308101"/>
      <w:bookmarkEnd w:id="257"/>
      <w:bookmarkStart w:id="258" w:name="_Toc184308080"/>
      <w:bookmarkEnd w:id="258"/>
      <w:bookmarkStart w:id="259" w:name="_Toc184308103"/>
      <w:bookmarkEnd w:id="259"/>
      <w:bookmarkStart w:id="260" w:name="_Toc184314430"/>
      <w:bookmarkEnd w:id="260"/>
      <w:bookmarkStart w:id="261" w:name="_Toc184310304"/>
      <w:bookmarkEnd w:id="261"/>
      <w:bookmarkStart w:id="262" w:name="_Toc184314435"/>
      <w:bookmarkEnd w:id="262"/>
      <w:bookmarkStart w:id="263" w:name="_Toc184310282"/>
      <w:bookmarkEnd w:id="263"/>
      <w:bookmarkStart w:id="264" w:name="_Toc184310331"/>
      <w:bookmarkEnd w:id="264"/>
      <w:bookmarkStart w:id="265" w:name="_Toc184313309"/>
      <w:bookmarkEnd w:id="265"/>
      <w:bookmarkStart w:id="266" w:name="_Toc184313271"/>
      <w:bookmarkEnd w:id="266"/>
      <w:bookmarkStart w:id="267" w:name="_Toc184310326"/>
      <w:bookmarkEnd w:id="267"/>
      <w:bookmarkStart w:id="268" w:name="_Toc184313283"/>
      <w:bookmarkEnd w:id="268"/>
      <w:bookmarkStart w:id="269" w:name="_Toc184308081"/>
      <w:bookmarkEnd w:id="269"/>
      <w:bookmarkStart w:id="270" w:name="_Toc184308069"/>
      <w:bookmarkEnd w:id="270"/>
      <w:bookmarkStart w:id="271" w:name="_Toc184314421"/>
      <w:bookmarkEnd w:id="271"/>
      <w:bookmarkStart w:id="272" w:name="_Toc184312091"/>
      <w:bookmarkEnd w:id="272"/>
      <w:bookmarkStart w:id="273" w:name="_Toc184312100"/>
      <w:bookmarkEnd w:id="273"/>
      <w:bookmarkStart w:id="274" w:name="_Toc184310309"/>
      <w:bookmarkEnd w:id="274"/>
      <w:bookmarkStart w:id="275" w:name="_Toc184314477"/>
      <w:bookmarkEnd w:id="275"/>
      <w:bookmarkStart w:id="276" w:name="_Toc184308061"/>
      <w:bookmarkEnd w:id="276"/>
      <w:bookmarkStart w:id="277" w:name="_Toc184312074"/>
      <w:bookmarkEnd w:id="277"/>
      <w:bookmarkStart w:id="278" w:name="_Toc184310291"/>
      <w:bookmarkEnd w:id="278"/>
      <w:bookmarkStart w:id="279" w:name="_Toc184313305"/>
      <w:bookmarkEnd w:id="279"/>
      <w:bookmarkStart w:id="280" w:name="_Toc184312138"/>
      <w:bookmarkEnd w:id="280"/>
      <w:bookmarkStart w:id="281" w:name="_Toc184312106"/>
      <w:bookmarkEnd w:id="281"/>
      <w:bookmarkStart w:id="282" w:name="_Toc184310344"/>
      <w:bookmarkEnd w:id="282"/>
      <w:bookmarkStart w:id="283" w:name="_Toc184314461"/>
      <w:bookmarkEnd w:id="283"/>
      <w:bookmarkStart w:id="284" w:name="_Toc184312096"/>
      <w:bookmarkEnd w:id="284"/>
      <w:bookmarkStart w:id="285" w:name="_Toc184314415"/>
      <w:bookmarkEnd w:id="285"/>
      <w:bookmarkStart w:id="286" w:name="_Toc184314422"/>
      <w:bookmarkEnd w:id="286"/>
      <w:bookmarkStart w:id="287" w:name="_Toc184314426"/>
      <w:bookmarkEnd w:id="287"/>
      <w:bookmarkStart w:id="288" w:name="_Toc184314434"/>
      <w:bookmarkEnd w:id="288"/>
      <w:bookmarkStart w:id="289" w:name="_Toc184312098"/>
      <w:bookmarkEnd w:id="289"/>
      <w:bookmarkStart w:id="290" w:name="_Toc184313238"/>
      <w:bookmarkEnd w:id="290"/>
      <w:bookmarkStart w:id="291" w:name="_Toc184313287"/>
      <w:bookmarkEnd w:id="291"/>
      <w:bookmarkStart w:id="292" w:name="_Toc184313296"/>
      <w:bookmarkEnd w:id="292"/>
      <w:bookmarkStart w:id="293" w:name="_Toc184314428"/>
      <w:bookmarkEnd w:id="293"/>
      <w:bookmarkStart w:id="294" w:name="_Toc184310336"/>
      <w:bookmarkEnd w:id="294"/>
      <w:bookmarkStart w:id="295" w:name="_Toc184310317"/>
      <w:bookmarkEnd w:id="295"/>
      <w:bookmarkStart w:id="296" w:name="_Toc184308099"/>
      <w:bookmarkEnd w:id="296"/>
      <w:bookmarkStart w:id="297" w:name="_Toc184312073"/>
      <w:bookmarkEnd w:id="297"/>
      <w:bookmarkStart w:id="298" w:name="_Toc184312125"/>
      <w:bookmarkEnd w:id="298"/>
      <w:bookmarkStart w:id="299" w:name="_Toc184310275"/>
      <w:bookmarkEnd w:id="299"/>
      <w:bookmarkStart w:id="300" w:name="_Toc184313275"/>
      <w:bookmarkEnd w:id="300"/>
      <w:bookmarkStart w:id="301" w:name="_Toc184312068"/>
      <w:bookmarkEnd w:id="301"/>
      <w:bookmarkStart w:id="302" w:name="_Toc184310334"/>
      <w:bookmarkEnd w:id="302"/>
      <w:bookmarkStart w:id="303" w:name="_Toc184313284"/>
      <w:bookmarkEnd w:id="303"/>
      <w:bookmarkStart w:id="304" w:name="_Toc184308053"/>
      <w:bookmarkEnd w:id="304"/>
      <w:bookmarkStart w:id="305" w:name="_Toc184313254"/>
      <w:bookmarkEnd w:id="305"/>
      <w:bookmarkStart w:id="306" w:name="_Toc184310341"/>
      <w:bookmarkEnd w:id="306"/>
      <w:bookmarkStart w:id="307" w:name="_Toc184310313"/>
      <w:bookmarkEnd w:id="307"/>
      <w:bookmarkStart w:id="308" w:name="_Toc184308082"/>
      <w:bookmarkEnd w:id="308"/>
      <w:bookmarkStart w:id="309" w:name="_Toc184313298"/>
      <w:bookmarkEnd w:id="309"/>
      <w:bookmarkStart w:id="310" w:name="_Toc184313262"/>
      <w:bookmarkEnd w:id="310"/>
      <w:bookmarkStart w:id="311" w:name="_Toc184314444"/>
      <w:bookmarkEnd w:id="311"/>
      <w:bookmarkStart w:id="312" w:name="_Toc184312132"/>
      <w:bookmarkEnd w:id="312"/>
      <w:bookmarkStart w:id="313" w:name="_Toc184313289"/>
      <w:bookmarkEnd w:id="313"/>
      <w:bookmarkStart w:id="314" w:name="_Toc184310302"/>
      <w:bookmarkEnd w:id="314"/>
      <w:bookmarkStart w:id="315" w:name="_Toc184312136"/>
      <w:bookmarkEnd w:id="315"/>
      <w:bookmarkStart w:id="316" w:name="_Toc184308052"/>
      <w:bookmarkEnd w:id="316"/>
      <w:bookmarkStart w:id="317" w:name="_Toc184312083"/>
      <w:bookmarkEnd w:id="317"/>
      <w:bookmarkStart w:id="318" w:name="_Toc184314452"/>
      <w:bookmarkEnd w:id="318"/>
      <w:bookmarkStart w:id="319" w:name="_Toc184314413"/>
      <w:bookmarkEnd w:id="319"/>
      <w:bookmarkStart w:id="320" w:name="_Toc184310324"/>
      <w:bookmarkEnd w:id="320"/>
      <w:bookmarkStart w:id="321" w:name="_Toc184312128"/>
      <w:bookmarkEnd w:id="321"/>
      <w:bookmarkStart w:id="322" w:name="_Toc184314417"/>
      <w:bookmarkEnd w:id="322"/>
      <w:bookmarkStart w:id="323" w:name="_Toc184310294"/>
      <w:bookmarkEnd w:id="323"/>
      <w:bookmarkStart w:id="324" w:name="_Toc184312124"/>
      <w:bookmarkEnd w:id="324"/>
      <w:bookmarkStart w:id="325" w:name="_Toc184313276"/>
      <w:bookmarkEnd w:id="325"/>
      <w:bookmarkStart w:id="326" w:name="_Toc184310319"/>
      <w:bookmarkEnd w:id="326"/>
      <w:bookmarkStart w:id="327" w:name="_Toc184314431"/>
      <w:bookmarkEnd w:id="327"/>
      <w:bookmarkStart w:id="328" w:name="_Toc184308098"/>
      <w:bookmarkEnd w:id="328"/>
      <w:bookmarkStart w:id="329" w:name="_Toc184312110"/>
      <w:bookmarkEnd w:id="329"/>
      <w:bookmarkStart w:id="330" w:name="_Toc184312076"/>
      <w:bookmarkEnd w:id="330"/>
      <w:bookmarkStart w:id="331" w:name="_Toc184308048"/>
      <w:bookmarkEnd w:id="331"/>
      <w:bookmarkStart w:id="332" w:name="_Toc184308083"/>
      <w:bookmarkEnd w:id="332"/>
      <w:bookmarkStart w:id="333" w:name="_Toc184312094"/>
      <w:bookmarkEnd w:id="333"/>
      <w:bookmarkStart w:id="334" w:name="_Toc184312070"/>
      <w:bookmarkEnd w:id="334"/>
      <w:bookmarkStart w:id="335" w:name="_Toc184310311"/>
      <w:bookmarkEnd w:id="335"/>
      <w:bookmarkStart w:id="336" w:name="_Toc184308040"/>
      <w:bookmarkEnd w:id="336"/>
      <w:bookmarkStart w:id="337" w:name="_Toc184310296"/>
      <w:bookmarkEnd w:id="337"/>
      <w:bookmarkStart w:id="338" w:name="_Toc184312067"/>
      <w:bookmarkEnd w:id="338"/>
      <w:bookmarkStart w:id="339" w:name="_Toc184312085"/>
      <w:bookmarkEnd w:id="339"/>
      <w:bookmarkStart w:id="340" w:name="_Toc184313251"/>
      <w:bookmarkEnd w:id="340"/>
      <w:bookmarkStart w:id="341" w:name="_Toc184313239"/>
      <w:bookmarkEnd w:id="341"/>
      <w:bookmarkStart w:id="342" w:name="_Toc184310333"/>
      <w:bookmarkEnd w:id="342"/>
      <w:bookmarkStart w:id="343" w:name="_Toc184313253"/>
      <w:bookmarkEnd w:id="343"/>
      <w:bookmarkStart w:id="344" w:name="_Toc184314482"/>
      <w:bookmarkEnd w:id="344"/>
      <w:bookmarkStart w:id="345" w:name="_Toc184308102"/>
      <w:bookmarkEnd w:id="345"/>
      <w:bookmarkStart w:id="346" w:name="_Toc184308072"/>
      <w:bookmarkEnd w:id="346"/>
      <w:bookmarkStart w:id="347" w:name="_Toc184313303"/>
      <w:bookmarkEnd w:id="347"/>
      <w:bookmarkStart w:id="348" w:name="_Toc184312104"/>
      <w:bookmarkEnd w:id="348"/>
      <w:bookmarkStart w:id="349" w:name="_Toc184308073"/>
      <w:bookmarkEnd w:id="349"/>
      <w:bookmarkStart w:id="350" w:name="_Toc184313266"/>
      <w:bookmarkEnd w:id="350"/>
      <w:bookmarkStart w:id="351" w:name="_Toc184314457"/>
      <w:bookmarkEnd w:id="351"/>
      <w:bookmarkStart w:id="352" w:name="_Toc184308095"/>
      <w:bookmarkEnd w:id="352"/>
      <w:bookmarkStart w:id="353" w:name="_Toc184310279"/>
      <w:bookmarkEnd w:id="353"/>
      <w:bookmarkStart w:id="354" w:name="_Toc184313247"/>
      <w:bookmarkEnd w:id="354"/>
      <w:bookmarkStart w:id="355" w:name="_Toc184313272"/>
      <w:bookmarkEnd w:id="355"/>
      <w:bookmarkStart w:id="356" w:name="_Toc184310307"/>
      <w:bookmarkEnd w:id="356"/>
      <w:bookmarkStart w:id="357" w:name="_Toc184313268"/>
      <w:bookmarkEnd w:id="357"/>
      <w:bookmarkStart w:id="358" w:name="_Toc184308070"/>
      <w:bookmarkEnd w:id="358"/>
      <w:bookmarkStart w:id="359" w:name="_Toc184313250"/>
      <w:bookmarkEnd w:id="359"/>
      <w:bookmarkStart w:id="360" w:name="_Toc184314412"/>
      <w:bookmarkEnd w:id="360"/>
      <w:bookmarkStart w:id="361" w:name="_Toc184312122"/>
      <w:bookmarkEnd w:id="361"/>
      <w:bookmarkStart w:id="362" w:name="_Toc184314410"/>
      <w:bookmarkEnd w:id="362"/>
      <w:bookmarkStart w:id="363" w:name="_Toc184313308"/>
      <w:bookmarkEnd w:id="363"/>
      <w:bookmarkStart w:id="364" w:name="_Toc184312135"/>
      <w:bookmarkEnd w:id="364"/>
      <w:bookmarkStart w:id="365" w:name="_Toc184313259"/>
      <w:bookmarkEnd w:id="365"/>
      <w:bookmarkStart w:id="366" w:name="_Toc184313249"/>
      <w:bookmarkEnd w:id="366"/>
      <w:bookmarkStart w:id="367" w:name="_Toc184310280"/>
      <w:bookmarkEnd w:id="367"/>
      <w:bookmarkStart w:id="368" w:name="_Toc184314466"/>
      <w:bookmarkEnd w:id="368"/>
      <w:bookmarkStart w:id="369" w:name="_Toc184314470"/>
      <w:bookmarkEnd w:id="369"/>
      <w:bookmarkStart w:id="370" w:name="_Toc184313286"/>
      <w:bookmarkEnd w:id="370"/>
      <w:bookmarkStart w:id="371" w:name="_Toc184312133"/>
      <w:bookmarkEnd w:id="371"/>
      <w:bookmarkStart w:id="372" w:name="_Toc184308044"/>
      <w:bookmarkEnd w:id="372"/>
      <w:bookmarkStart w:id="373" w:name="_Toc184310337"/>
      <w:bookmarkEnd w:id="373"/>
      <w:bookmarkStart w:id="374" w:name="_Toc184310321"/>
      <w:bookmarkEnd w:id="374"/>
      <w:bookmarkStart w:id="375" w:name="_Toc184312112"/>
      <w:bookmarkEnd w:id="375"/>
      <w:bookmarkStart w:id="376" w:name="_Toc184308085"/>
      <w:bookmarkEnd w:id="376"/>
      <w:bookmarkStart w:id="377" w:name="_Toc184308042"/>
      <w:bookmarkEnd w:id="377"/>
      <w:bookmarkStart w:id="378" w:name="_Toc184308059"/>
      <w:bookmarkEnd w:id="378"/>
      <w:bookmarkStart w:id="379" w:name="_Toc184310283"/>
      <w:bookmarkEnd w:id="379"/>
      <w:bookmarkStart w:id="380" w:name="_Toc184308045"/>
      <w:bookmarkEnd w:id="380"/>
      <w:bookmarkStart w:id="381" w:name="_Toc184313281"/>
      <w:bookmarkEnd w:id="381"/>
      <w:bookmarkStart w:id="382" w:name="_Toc184314436"/>
      <w:bookmarkEnd w:id="382"/>
      <w:bookmarkStart w:id="383" w:name="_Toc184308062"/>
      <w:bookmarkEnd w:id="383"/>
      <w:bookmarkStart w:id="384" w:name="_Toc184313270"/>
      <w:bookmarkEnd w:id="384"/>
      <w:bookmarkStart w:id="385" w:name="_Toc184308056"/>
      <w:bookmarkEnd w:id="385"/>
      <w:bookmarkStart w:id="386" w:name="_Toc184312095"/>
      <w:bookmarkEnd w:id="386"/>
      <w:bookmarkStart w:id="387" w:name="_Toc184310289"/>
      <w:bookmarkEnd w:id="387"/>
      <w:bookmarkStart w:id="388" w:name="_Toc184312108"/>
      <w:bookmarkEnd w:id="388"/>
      <w:bookmarkStart w:id="389" w:name="_Toc184310303"/>
      <w:bookmarkEnd w:id="389"/>
      <w:bookmarkStart w:id="390" w:name="_Toc184310338"/>
      <w:bookmarkEnd w:id="390"/>
      <w:bookmarkStart w:id="391" w:name="_Toc184308077"/>
      <w:bookmarkEnd w:id="391"/>
      <w:bookmarkStart w:id="392" w:name="_Toc184312078"/>
      <w:bookmarkEnd w:id="392"/>
      <w:r>
        <w:rPr>
          <w:rFonts w:hint="eastAsia" w:ascii="仿宋" w:hAnsi="仿宋" w:eastAsia="仿宋" w:cs="仿宋"/>
          <w:b/>
          <w:sz w:val="36"/>
          <w:szCs w:val="36"/>
          <w:highlight w:val="none"/>
        </w:rPr>
        <w:t>评标办法</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p>
      <w:pPr>
        <w:spacing w:line="360" w:lineRule="auto"/>
        <w:rPr>
          <w:rFonts w:hint="eastAsia" w:ascii="仿宋" w:hAnsi="仿宋" w:eastAsia="仿宋" w:cs="仿宋"/>
          <w:sz w:val="24"/>
        </w:rPr>
      </w:pPr>
      <w:r>
        <w:rPr>
          <w:rFonts w:hint="eastAsia" w:ascii="仿宋" w:hAnsi="仿宋" w:eastAsia="仿宋" w:cs="仿宋"/>
          <w:sz w:val="24"/>
        </w:rPr>
        <w:t>1、商务资信（</w:t>
      </w:r>
      <w:r>
        <w:rPr>
          <w:rFonts w:hint="eastAsia" w:ascii="仿宋" w:hAnsi="仿宋" w:eastAsia="仿宋" w:cs="仿宋"/>
          <w:sz w:val="24"/>
          <w:lang w:val="en-US" w:eastAsia="zh-CN"/>
        </w:rPr>
        <w:t>6</w:t>
      </w:r>
      <w:r>
        <w:rPr>
          <w:rFonts w:hint="eastAsia" w:ascii="仿宋" w:hAnsi="仿宋" w:eastAsia="仿宋" w:cs="仿宋"/>
          <w:sz w:val="24"/>
        </w:rPr>
        <w:t>分）</w:t>
      </w:r>
    </w:p>
    <w:tbl>
      <w:tblPr>
        <w:tblStyle w:val="62"/>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5994"/>
        <w:gridCol w:w="99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82"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5994"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评分内容和标准</w:t>
            </w:r>
          </w:p>
        </w:tc>
        <w:tc>
          <w:tcPr>
            <w:tcW w:w="996"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分值</w:t>
            </w:r>
          </w:p>
          <w:p>
            <w:pPr>
              <w:jc w:val="center"/>
              <w:rPr>
                <w:rFonts w:hint="eastAsia" w:ascii="仿宋" w:hAnsi="仿宋" w:eastAsia="仿宋" w:cs="仿宋"/>
                <w:sz w:val="24"/>
              </w:rPr>
            </w:pPr>
            <w:r>
              <w:rPr>
                <w:rFonts w:hint="eastAsia" w:ascii="仿宋" w:hAnsi="仿宋" w:eastAsia="仿宋" w:cs="仿宋"/>
                <w:sz w:val="24"/>
              </w:rPr>
              <w:t>区间</w:t>
            </w:r>
          </w:p>
        </w:tc>
        <w:tc>
          <w:tcPr>
            <w:tcW w:w="876"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打分</w:t>
            </w:r>
          </w:p>
          <w:p>
            <w:pPr>
              <w:jc w:val="center"/>
              <w:rPr>
                <w:rFonts w:hint="eastAsia" w:ascii="仿宋" w:hAnsi="仿宋" w:eastAsia="仿宋" w:cs="仿宋"/>
                <w:sz w:val="24"/>
              </w:rPr>
            </w:pPr>
            <w:r>
              <w:rPr>
                <w:rFonts w:hint="eastAsia" w:ascii="仿宋" w:hAnsi="仿宋" w:eastAsia="仿宋" w:cs="仿宋"/>
                <w:sz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682"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5994"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获得质量管理体系认证证书</w:t>
            </w:r>
            <w:r>
              <w:rPr>
                <w:rFonts w:hint="eastAsia" w:ascii="仿宋" w:hAnsi="仿宋" w:eastAsia="仿宋" w:cs="仿宋"/>
                <w:sz w:val="24"/>
                <w:lang w:val="en-GB" w:eastAsia="zh-CN"/>
              </w:rPr>
              <w:t>的</w:t>
            </w:r>
            <w:r>
              <w:rPr>
                <w:rFonts w:hint="eastAsia" w:ascii="仿宋" w:hAnsi="仿宋" w:eastAsia="仿宋" w:cs="仿宋"/>
                <w:sz w:val="24"/>
                <w:lang w:val="en-GB"/>
              </w:rPr>
              <w:t>得1分；获得环境管理体系认证证书</w:t>
            </w:r>
            <w:r>
              <w:rPr>
                <w:rFonts w:hint="eastAsia" w:ascii="仿宋" w:hAnsi="仿宋" w:eastAsia="仿宋" w:cs="仿宋"/>
                <w:sz w:val="24"/>
                <w:lang w:val="en-GB" w:eastAsia="zh-CN"/>
              </w:rPr>
              <w:t>的</w:t>
            </w:r>
            <w:r>
              <w:rPr>
                <w:rFonts w:hint="eastAsia" w:ascii="仿宋" w:hAnsi="仿宋" w:eastAsia="仿宋" w:cs="仿宋"/>
                <w:sz w:val="24"/>
                <w:lang w:val="en-GB"/>
              </w:rPr>
              <w:t>得1分；获得职业健康安全管理体系认证证书</w:t>
            </w:r>
            <w:r>
              <w:rPr>
                <w:rFonts w:hint="eastAsia" w:ascii="仿宋" w:hAnsi="仿宋" w:eastAsia="仿宋" w:cs="仿宋"/>
                <w:sz w:val="24"/>
                <w:lang w:val="en-GB" w:eastAsia="zh-CN"/>
              </w:rPr>
              <w:t>的</w:t>
            </w:r>
            <w:r>
              <w:rPr>
                <w:rFonts w:hint="eastAsia" w:ascii="仿宋" w:hAnsi="仿宋" w:eastAsia="仿宋" w:cs="仿宋"/>
                <w:sz w:val="24"/>
                <w:lang w:val="en-GB"/>
              </w:rPr>
              <w:t>得1分，</w:t>
            </w:r>
            <w:r>
              <w:rPr>
                <w:rFonts w:hint="eastAsia" w:ascii="仿宋" w:hAnsi="仿宋" w:eastAsia="仿宋" w:cs="仿宋"/>
                <w:sz w:val="24"/>
              </w:rPr>
              <w:t>本项最高得</w:t>
            </w:r>
            <w:r>
              <w:rPr>
                <w:rFonts w:hint="eastAsia" w:ascii="仿宋" w:hAnsi="仿宋" w:eastAsia="仿宋" w:cs="仿宋"/>
                <w:sz w:val="24"/>
                <w:lang w:val="en-GB"/>
              </w:rPr>
              <w:t>3分。</w:t>
            </w:r>
          </w:p>
          <w:p>
            <w:pPr>
              <w:jc w:val="left"/>
              <w:rPr>
                <w:rFonts w:hint="eastAsia" w:ascii="仿宋" w:hAnsi="仿宋" w:eastAsia="仿宋" w:cs="仿宋"/>
                <w:sz w:val="24"/>
              </w:rPr>
            </w:pPr>
            <w:r>
              <w:rPr>
                <w:rFonts w:hint="eastAsia" w:ascii="仿宋" w:hAnsi="仿宋" w:eastAsia="仿宋" w:cs="仿宋"/>
                <w:sz w:val="24"/>
                <w:lang w:val="en-GB"/>
              </w:rPr>
              <w:t>（且认证范围须</w:t>
            </w:r>
            <w:r>
              <w:rPr>
                <w:rFonts w:hint="eastAsia" w:ascii="仿宋" w:hAnsi="仿宋" w:eastAsia="仿宋" w:cs="仿宋"/>
                <w:sz w:val="24"/>
              </w:rPr>
              <w:t>包含</w:t>
            </w:r>
            <w:r>
              <w:rPr>
                <w:rFonts w:hint="eastAsia" w:ascii="仿宋" w:hAnsi="仿宋" w:eastAsia="仿宋" w:cs="仿宋"/>
                <w:sz w:val="24"/>
                <w:lang w:val="en-GB"/>
              </w:rPr>
              <w:t>：</w:t>
            </w:r>
            <w:r>
              <w:rPr>
                <w:rFonts w:hint="eastAsia" w:ascii="仿宋" w:hAnsi="仿宋" w:eastAsia="仿宋" w:cs="仿宋"/>
                <w:sz w:val="24"/>
              </w:rPr>
              <w:t>市政公用工程施工总承包、城市及道路照明工程</w:t>
            </w:r>
            <w:r>
              <w:rPr>
                <w:rFonts w:hint="eastAsia" w:ascii="仿宋" w:hAnsi="仿宋" w:eastAsia="仿宋" w:cs="仿宋"/>
                <w:sz w:val="24"/>
                <w:lang w:val="en-GB"/>
              </w:rPr>
              <w:t>，须提供认证证书复印件及国家认证认可监督管理委员会网站认证信息查询页面并加盖公章，证书须在有效期内，否则不予得分</w:t>
            </w:r>
            <w:r>
              <w:rPr>
                <w:rFonts w:hint="eastAsia" w:ascii="仿宋" w:hAnsi="仿宋" w:eastAsia="仿宋" w:cs="仿宋"/>
                <w:sz w:val="24"/>
                <w:lang w:val="en-GB" w:eastAsia="zh-CN"/>
              </w:rPr>
              <w:t>。</w:t>
            </w:r>
            <w:r>
              <w:rPr>
                <w:rFonts w:hint="eastAsia" w:ascii="仿宋" w:hAnsi="仿宋" w:eastAsia="仿宋" w:cs="仿宋"/>
                <w:sz w:val="24"/>
                <w:lang w:val="en-GB"/>
              </w:rPr>
              <w:t>）</w:t>
            </w:r>
          </w:p>
        </w:tc>
        <w:tc>
          <w:tcPr>
            <w:tcW w:w="996"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0-</w:t>
            </w:r>
            <w:r>
              <w:rPr>
                <w:rFonts w:hint="eastAsia" w:ascii="仿宋" w:hAnsi="仿宋" w:eastAsia="仿宋" w:cs="仿宋"/>
                <w:sz w:val="24"/>
              </w:rPr>
              <w:t>3分</w:t>
            </w:r>
          </w:p>
        </w:tc>
        <w:tc>
          <w:tcPr>
            <w:tcW w:w="876"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82"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5994" w:type="dxa"/>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lang w:val="en-US" w:eastAsia="zh-CN"/>
              </w:rPr>
              <w:t>自2021年1月1日以来（以颁发时间为准），投标人</w:t>
            </w:r>
            <w:r>
              <w:rPr>
                <w:rFonts w:hint="eastAsia" w:ascii="仿宋" w:hAnsi="仿宋" w:eastAsia="仿宋" w:cs="仿宋"/>
                <w:sz w:val="24"/>
              </w:rPr>
              <w:t>获得过市级及以上</w:t>
            </w:r>
            <w:r>
              <w:rPr>
                <w:rFonts w:hint="eastAsia" w:ascii="仿宋" w:hAnsi="仿宋" w:eastAsia="仿宋" w:cs="仿宋"/>
                <w:sz w:val="24"/>
                <w:lang w:val="en-US" w:eastAsia="zh-CN"/>
              </w:rPr>
              <w:t>照明类</w:t>
            </w:r>
            <w:r>
              <w:rPr>
                <w:rFonts w:hint="eastAsia" w:ascii="仿宋" w:hAnsi="仿宋" w:eastAsia="仿宋" w:cs="仿宋"/>
                <w:sz w:val="24"/>
              </w:rPr>
              <w:t>相关荣誉证书的每个得1分，不提供不得分，荣誉不可兼得，本项最高得2分。</w:t>
            </w:r>
          </w:p>
          <w:p>
            <w:pPr>
              <w:jc w:val="left"/>
              <w:rPr>
                <w:rFonts w:hint="eastAsia" w:ascii="仿宋" w:hAnsi="仿宋" w:eastAsia="仿宋" w:cs="仿宋"/>
                <w:sz w:val="24"/>
              </w:rPr>
            </w:pPr>
            <w:r>
              <w:rPr>
                <w:rFonts w:hint="eastAsia" w:ascii="仿宋" w:hAnsi="仿宋" w:eastAsia="仿宋" w:cs="仿宋"/>
                <w:sz w:val="24"/>
              </w:rPr>
              <w:t>（提供获奖相关荣誉证书扫描件）</w:t>
            </w:r>
          </w:p>
        </w:tc>
        <w:tc>
          <w:tcPr>
            <w:tcW w:w="996"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0-</w:t>
            </w:r>
            <w:r>
              <w:rPr>
                <w:rFonts w:hint="eastAsia" w:ascii="仿宋" w:hAnsi="仿宋" w:eastAsia="仿宋" w:cs="仿宋"/>
                <w:sz w:val="24"/>
              </w:rPr>
              <w:t>2分</w:t>
            </w:r>
          </w:p>
        </w:tc>
        <w:tc>
          <w:tcPr>
            <w:tcW w:w="876"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82"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5994" w:type="dxa"/>
            <w:tcBorders>
              <w:tl2br w:val="nil"/>
              <w:tr2bl w:val="nil"/>
            </w:tcBorders>
            <w:vAlign w:val="center"/>
          </w:tcPr>
          <w:p>
            <w:pPr>
              <w:jc w:val="left"/>
              <w:rPr>
                <w:rFonts w:hint="eastAsia" w:ascii="仿宋" w:hAnsi="仿宋" w:eastAsia="仿宋" w:cs="仿宋"/>
                <w:sz w:val="24"/>
                <w:highlight w:val="none"/>
                <w:lang w:val="en-GB"/>
              </w:rPr>
            </w:pPr>
            <w:r>
              <w:rPr>
                <w:rFonts w:hint="eastAsia" w:ascii="仿宋" w:hAnsi="仿宋" w:eastAsia="仿宋" w:cs="仿宋"/>
                <w:sz w:val="24"/>
                <w:highlight w:val="none"/>
                <w:lang w:val="en-GB"/>
              </w:rPr>
              <w:t>自20</w:t>
            </w:r>
            <w:r>
              <w:rPr>
                <w:rFonts w:hint="eastAsia" w:ascii="仿宋" w:hAnsi="仿宋" w:eastAsia="仿宋" w:cs="仿宋"/>
                <w:sz w:val="24"/>
                <w:highlight w:val="none"/>
                <w:lang w:val="en-US" w:eastAsia="zh-CN"/>
              </w:rPr>
              <w:t>21</w:t>
            </w:r>
            <w:r>
              <w:rPr>
                <w:rFonts w:hint="eastAsia" w:ascii="仿宋" w:hAnsi="仿宋" w:eastAsia="仿宋" w:cs="仿宋"/>
                <w:sz w:val="24"/>
                <w:highlight w:val="none"/>
                <w:lang w:val="en-GB"/>
              </w:rPr>
              <w:t>年1月1日</w:t>
            </w:r>
            <w:r>
              <w:rPr>
                <w:rFonts w:hint="eastAsia" w:ascii="仿宋" w:hAnsi="仿宋" w:eastAsia="仿宋" w:cs="仿宋"/>
                <w:sz w:val="24"/>
                <w:highlight w:val="none"/>
                <w:lang w:val="en-GB" w:eastAsia="zh-CN"/>
              </w:rPr>
              <w:t>（</w:t>
            </w:r>
            <w:r>
              <w:rPr>
                <w:rFonts w:hint="eastAsia" w:ascii="仿宋" w:hAnsi="仿宋" w:eastAsia="仿宋" w:cs="仿宋"/>
                <w:sz w:val="24"/>
                <w:highlight w:val="none"/>
                <w:lang w:val="en-US" w:eastAsia="zh-CN"/>
              </w:rPr>
              <w:t>以合同签订时间为准）</w:t>
            </w:r>
            <w:r>
              <w:rPr>
                <w:rFonts w:hint="eastAsia" w:ascii="仿宋" w:hAnsi="仿宋" w:eastAsia="仿宋" w:cs="仿宋"/>
                <w:sz w:val="24"/>
                <w:highlight w:val="none"/>
                <w:lang w:val="en-GB"/>
              </w:rPr>
              <w:t>起承担过</w:t>
            </w:r>
            <w:r>
              <w:rPr>
                <w:rFonts w:hint="eastAsia" w:ascii="仿宋" w:hAnsi="仿宋" w:eastAsia="仿宋" w:cs="仿宋"/>
                <w:sz w:val="24"/>
                <w:highlight w:val="none"/>
                <w:lang w:val="en-GB" w:eastAsia="zh-CN"/>
              </w:rPr>
              <w:t>类似</w:t>
            </w:r>
            <w:r>
              <w:rPr>
                <w:rFonts w:hint="eastAsia" w:ascii="仿宋" w:hAnsi="仿宋" w:eastAsia="仿宋" w:cs="仿宋"/>
                <w:sz w:val="24"/>
                <w:highlight w:val="none"/>
                <w:lang w:val="en-GB"/>
              </w:rPr>
              <w:t>照明设施养护业绩</w:t>
            </w:r>
            <w:r>
              <w:rPr>
                <w:rFonts w:hint="eastAsia" w:ascii="仿宋" w:hAnsi="仿宋" w:eastAsia="仿宋" w:cs="仿宋"/>
                <w:sz w:val="24"/>
                <w:highlight w:val="none"/>
                <w:lang w:val="en-US" w:eastAsia="zh-CN"/>
              </w:rPr>
              <w:t>或包含类似照明设施养护内容的养护项目业绩</w:t>
            </w:r>
            <w:r>
              <w:rPr>
                <w:rFonts w:hint="eastAsia" w:ascii="仿宋" w:hAnsi="仿宋" w:eastAsia="仿宋" w:cs="仿宋"/>
                <w:sz w:val="24"/>
                <w:highlight w:val="none"/>
                <w:lang w:val="en-GB"/>
              </w:rPr>
              <w:t>，每个得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val="en-GB"/>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en-GB"/>
              </w:rPr>
              <w:t>分。</w:t>
            </w:r>
          </w:p>
          <w:p>
            <w:pPr>
              <w:jc w:val="left"/>
              <w:rPr>
                <w:rFonts w:hint="eastAsia" w:ascii="仿宋" w:hAnsi="仿宋" w:eastAsia="仿宋" w:cs="仿宋"/>
                <w:sz w:val="24"/>
                <w:highlight w:val="none"/>
              </w:rPr>
            </w:pPr>
            <w:r>
              <w:rPr>
                <w:rFonts w:hint="eastAsia" w:ascii="仿宋" w:hAnsi="仿宋" w:eastAsia="仿宋" w:cs="仿宋"/>
                <w:sz w:val="24"/>
                <w:highlight w:val="none"/>
                <w:lang w:val="en-GB"/>
              </w:rPr>
              <w:t>（合同</w:t>
            </w:r>
            <w:r>
              <w:rPr>
                <w:rFonts w:hint="eastAsia" w:ascii="仿宋" w:hAnsi="仿宋" w:eastAsia="仿宋" w:cs="仿宋"/>
                <w:sz w:val="24"/>
                <w:highlight w:val="none"/>
              </w:rPr>
              <w:t>扫描</w:t>
            </w:r>
            <w:r>
              <w:rPr>
                <w:rFonts w:hint="eastAsia" w:ascii="仿宋" w:hAnsi="仿宋" w:eastAsia="仿宋" w:cs="仿宋"/>
                <w:sz w:val="24"/>
                <w:highlight w:val="none"/>
                <w:lang w:val="en-GB"/>
              </w:rPr>
              <w:t>件加盖公章，未按要求出具证明材料或证明材料不完整的不得分。）</w:t>
            </w:r>
          </w:p>
        </w:tc>
        <w:tc>
          <w:tcPr>
            <w:tcW w:w="996"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0-1</w:t>
            </w:r>
            <w:r>
              <w:rPr>
                <w:rFonts w:hint="eastAsia" w:ascii="仿宋" w:hAnsi="仿宋" w:eastAsia="仿宋" w:cs="仿宋"/>
                <w:sz w:val="24"/>
                <w:lang w:val="en-GB"/>
              </w:rPr>
              <w:t>分</w:t>
            </w:r>
          </w:p>
        </w:tc>
        <w:tc>
          <w:tcPr>
            <w:tcW w:w="876"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客观分</w:t>
            </w:r>
          </w:p>
        </w:tc>
      </w:tr>
    </w:tbl>
    <w:p>
      <w:pPr>
        <w:rPr>
          <w:rFonts w:hint="eastAsia" w:ascii="仿宋" w:hAnsi="仿宋" w:eastAsia="仿宋" w:cs="仿宋"/>
          <w:sz w:val="24"/>
        </w:rPr>
      </w:pPr>
    </w:p>
    <w:p>
      <w:pPr>
        <w:rPr>
          <w:rFonts w:hint="eastAsia" w:ascii="仿宋" w:hAnsi="仿宋" w:eastAsia="仿宋" w:cs="仿宋"/>
          <w:sz w:val="24"/>
          <w:shd w:val="clear" w:color="auto" w:fill="FFFFFF"/>
        </w:rPr>
      </w:pPr>
      <w:r>
        <w:rPr>
          <w:rFonts w:hint="eastAsia" w:ascii="仿宋" w:hAnsi="仿宋" w:eastAsia="仿宋" w:cs="仿宋"/>
          <w:sz w:val="24"/>
        </w:rPr>
        <w:t>2、技术和服务方案（</w:t>
      </w:r>
      <w:r>
        <w:rPr>
          <w:rFonts w:hint="eastAsia" w:ascii="仿宋" w:hAnsi="仿宋" w:eastAsia="仿宋" w:cs="仿宋"/>
          <w:sz w:val="24"/>
          <w:lang w:val="en-US" w:eastAsia="zh-CN"/>
        </w:rPr>
        <w:t>84</w:t>
      </w:r>
      <w:r>
        <w:rPr>
          <w:rFonts w:hint="eastAsia" w:ascii="仿宋" w:hAnsi="仿宋" w:eastAsia="仿宋" w:cs="仿宋"/>
          <w:sz w:val="24"/>
        </w:rPr>
        <w:t>分）</w:t>
      </w:r>
    </w:p>
    <w:tbl>
      <w:tblPr>
        <w:tblStyle w:val="6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20"/>
        <w:gridCol w:w="5178"/>
        <w:gridCol w:w="80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3"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6298" w:type="dxa"/>
            <w:gridSpan w:val="2"/>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评分内容和标准</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分值</w:t>
            </w:r>
          </w:p>
          <w:p>
            <w:pPr>
              <w:jc w:val="center"/>
              <w:rPr>
                <w:rFonts w:hint="eastAsia" w:ascii="仿宋" w:hAnsi="仿宋" w:eastAsia="仿宋" w:cs="仿宋"/>
                <w:sz w:val="24"/>
              </w:rPr>
            </w:pPr>
            <w:r>
              <w:rPr>
                <w:rFonts w:hint="eastAsia" w:ascii="仿宋" w:hAnsi="仿宋" w:eastAsia="仿宋" w:cs="仿宋"/>
                <w:sz w:val="24"/>
              </w:rPr>
              <w:t>区间</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打分</w:t>
            </w:r>
          </w:p>
          <w:p>
            <w:pPr>
              <w:jc w:val="center"/>
              <w:rPr>
                <w:rFonts w:hint="eastAsia" w:ascii="仿宋" w:hAnsi="仿宋" w:eastAsia="仿宋" w:cs="仿宋"/>
                <w:sz w:val="24"/>
              </w:rPr>
            </w:pPr>
            <w:r>
              <w:rPr>
                <w:rFonts w:hint="eastAsia" w:ascii="仿宋" w:hAnsi="仿宋" w:eastAsia="仿宋" w:cs="仿宋"/>
                <w:sz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703" w:type="dxa"/>
            <w:vMerge w:val="restar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1120" w:type="dxa"/>
            <w:vMerge w:val="restar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养护</w:t>
            </w:r>
            <w:r>
              <w:rPr>
                <w:rFonts w:hint="eastAsia" w:ascii="仿宋" w:hAnsi="仿宋" w:eastAsia="仿宋" w:cs="仿宋"/>
                <w:sz w:val="24"/>
                <w:lang w:val="en-GB"/>
              </w:rPr>
              <w:t>服务</w:t>
            </w:r>
            <w:r>
              <w:rPr>
                <w:rFonts w:hint="eastAsia" w:ascii="仿宋" w:hAnsi="仿宋" w:eastAsia="仿宋" w:cs="仿宋"/>
                <w:sz w:val="24"/>
              </w:rPr>
              <w:t>方案</w:t>
            </w: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根据投标供应商对本项目拟投入的养护人员组织、养护时间安排、各月份重点养护计划等方案，根据提供的方案内容的完整性、与项目的匹配性进行评分。</w:t>
            </w:r>
          </w:p>
          <w:p>
            <w:pPr>
              <w:jc w:val="left"/>
              <w:rPr>
                <w:rFonts w:hint="eastAsia" w:ascii="仿宋" w:hAnsi="仿宋" w:eastAsia="仿宋" w:cs="仿宋"/>
                <w:sz w:val="24"/>
              </w:rPr>
            </w:pPr>
            <w:r>
              <w:rPr>
                <w:rFonts w:hint="eastAsia" w:ascii="仿宋" w:hAnsi="仿宋" w:eastAsia="仿宋" w:cs="仿宋"/>
                <w:sz w:val="24"/>
                <w:lang w:val="en-GB"/>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0-5</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03" w:type="dxa"/>
            <w:vMerge w:val="continue"/>
            <w:tcBorders>
              <w:tl2br w:val="nil"/>
              <w:tr2bl w:val="nil"/>
            </w:tcBorders>
            <w:vAlign w:val="center"/>
          </w:tcPr>
          <w:p>
            <w:pPr>
              <w:jc w:val="center"/>
              <w:rPr>
                <w:rFonts w:hint="eastAsia" w:ascii="仿宋" w:hAnsi="仿宋" w:eastAsia="仿宋" w:cs="仿宋"/>
                <w:sz w:val="24"/>
              </w:rPr>
            </w:pPr>
          </w:p>
        </w:tc>
        <w:tc>
          <w:tcPr>
            <w:tcW w:w="1120" w:type="dxa"/>
            <w:vMerge w:val="continue"/>
            <w:tcBorders>
              <w:tl2br w:val="nil"/>
              <w:tr2bl w:val="nil"/>
            </w:tcBorders>
            <w:vAlign w:val="center"/>
          </w:tcPr>
          <w:p>
            <w:pPr>
              <w:jc w:val="center"/>
              <w:rPr>
                <w:rFonts w:hint="eastAsia" w:ascii="仿宋" w:hAnsi="仿宋" w:eastAsia="仿宋" w:cs="仿宋"/>
                <w:sz w:val="24"/>
              </w:rPr>
            </w:pP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对箱变、开关箱、电缆、电器元器件等设备设施建立的定期维护检测及防盗看护方案；方案实施措施科学、合理，具有可行性。</w:t>
            </w:r>
          </w:p>
          <w:p>
            <w:pPr>
              <w:jc w:val="left"/>
              <w:rPr>
                <w:rFonts w:hint="eastAsia" w:ascii="仿宋" w:hAnsi="仿宋" w:eastAsia="仿宋" w:cs="仿宋"/>
                <w:sz w:val="24"/>
              </w:rPr>
            </w:pPr>
            <w:r>
              <w:rPr>
                <w:rFonts w:hint="eastAsia" w:ascii="仿宋" w:hAnsi="仿宋" w:eastAsia="仿宋" w:cs="仿宋"/>
                <w:sz w:val="24"/>
                <w:lang w:val="en-GB"/>
              </w:rPr>
              <w:t>方案内容完整且与项目匹配度好的得</w:t>
            </w:r>
            <w:r>
              <w:rPr>
                <w:rFonts w:hint="eastAsia" w:ascii="仿宋" w:hAnsi="仿宋" w:eastAsia="仿宋" w:cs="仿宋"/>
                <w:sz w:val="24"/>
                <w:lang w:val="en-US" w:eastAsia="zh-CN"/>
              </w:rPr>
              <w:t>3</w:t>
            </w:r>
            <w:r>
              <w:rPr>
                <w:rFonts w:hint="eastAsia" w:ascii="仿宋" w:hAnsi="仿宋" w:eastAsia="仿宋" w:cs="仿宋"/>
                <w:sz w:val="24"/>
                <w:lang w:val="en-GB"/>
              </w:rPr>
              <w:t>分；方案内容存在欠缺或与项目匹配度一般的得2分；方案内容缺失严重或与项目不匹配的得1分；不提供不得分。</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0-3</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03" w:type="dxa"/>
            <w:vMerge w:val="continue"/>
            <w:tcBorders>
              <w:tl2br w:val="nil"/>
              <w:tr2bl w:val="nil"/>
            </w:tcBorders>
            <w:vAlign w:val="center"/>
          </w:tcPr>
          <w:p>
            <w:pPr>
              <w:jc w:val="center"/>
              <w:rPr>
                <w:rFonts w:hint="eastAsia" w:ascii="仿宋" w:hAnsi="仿宋" w:eastAsia="仿宋" w:cs="仿宋"/>
                <w:sz w:val="24"/>
              </w:rPr>
            </w:pPr>
          </w:p>
        </w:tc>
        <w:tc>
          <w:tcPr>
            <w:tcW w:w="1120" w:type="dxa"/>
            <w:vMerge w:val="continue"/>
            <w:tcBorders>
              <w:tl2br w:val="nil"/>
              <w:tr2bl w:val="nil"/>
            </w:tcBorders>
            <w:vAlign w:val="center"/>
          </w:tcPr>
          <w:p>
            <w:pPr>
              <w:jc w:val="center"/>
              <w:rPr>
                <w:rFonts w:hint="eastAsia" w:ascii="仿宋" w:hAnsi="仿宋" w:eastAsia="仿宋" w:cs="仿宋"/>
                <w:sz w:val="24"/>
              </w:rPr>
            </w:pP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是否针对设备的运行建立全覆盖日常巡查制度和运行情况记录报告制度</w:t>
            </w:r>
            <w:r>
              <w:rPr>
                <w:rFonts w:hint="eastAsia" w:ascii="仿宋" w:hAnsi="仿宋" w:eastAsia="仿宋" w:cs="仿宋"/>
                <w:sz w:val="24"/>
                <w:lang w:val="en-GB" w:eastAsia="zh-CN"/>
              </w:rPr>
              <w:t>，</w:t>
            </w:r>
            <w:r>
              <w:rPr>
                <w:rFonts w:hint="eastAsia" w:ascii="仿宋" w:hAnsi="仿宋" w:eastAsia="仿宋" w:cs="仿宋"/>
                <w:sz w:val="24"/>
                <w:lang w:val="en-GB"/>
              </w:rPr>
              <w:t>制度具有完善性、可行性。</w:t>
            </w:r>
          </w:p>
          <w:p>
            <w:pPr>
              <w:jc w:val="left"/>
              <w:rPr>
                <w:rFonts w:hint="eastAsia" w:ascii="仿宋" w:hAnsi="仿宋" w:eastAsia="仿宋" w:cs="仿宋"/>
                <w:sz w:val="24"/>
              </w:rPr>
            </w:pPr>
            <w:r>
              <w:rPr>
                <w:rFonts w:hint="eastAsia" w:ascii="仿宋" w:hAnsi="仿宋" w:eastAsia="仿宋" w:cs="仿宋"/>
                <w:sz w:val="24"/>
                <w:lang w:val="en-GB"/>
              </w:rPr>
              <w:t>制度内容</w:t>
            </w:r>
            <w:r>
              <w:rPr>
                <w:rFonts w:hint="eastAsia" w:ascii="仿宋" w:hAnsi="仿宋" w:eastAsia="仿宋" w:cs="仿宋"/>
                <w:sz w:val="24"/>
                <w:lang w:val="en-GB" w:eastAsia="zh-CN"/>
              </w:rPr>
              <w:t>完善</w:t>
            </w:r>
            <w:r>
              <w:rPr>
                <w:rFonts w:hint="eastAsia" w:ascii="仿宋" w:hAnsi="仿宋" w:eastAsia="仿宋" w:cs="仿宋"/>
                <w:sz w:val="24"/>
                <w:lang w:val="en-GB"/>
              </w:rPr>
              <w:t>且项目</w:t>
            </w:r>
            <w:r>
              <w:rPr>
                <w:rFonts w:hint="eastAsia" w:ascii="仿宋" w:hAnsi="仿宋" w:eastAsia="仿宋" w:cs="仿宋"/>
                <w:sz w:val="24"/>
                <w:lang w:val="en-GB" w:eastAsia="zh-CN"/>
              </w:rPr>
              <w:t>可行性</w:t>
            </w:r>
            <w:r>
              <w:rPr>
                <w:rFonts w:hint="eastAsia" w:ascii="仿宋" w:hAnsi="仿宋" w:eastAsia="仿宋" w:cs="仿宋"/>
                <w:sz w:val="24"/>
                <w:lang w:val="en-GB"/>
              </w:rPr>
              <w:t>好的得</w:t>
            </w:r>
            <w:r>
              <w:rPr>
                <w:rFonts w:hint="eastAsia" w:ascii="仿宋" w:hAnsi="仿宋" w:eastAsia="仿宋" w:cs="仿宋"/>
                <w:sz w:val="24"/>
                <w:lang w:val="en-US" w:eastAsia="zh-CN"/>
              </w:rPr>
              <w:t>3</w:t>
            </w:r>
            <w:r>
              <w:rPr>
                <w:rFonts w:hint="eastAsia" w:ascii="仿宋" w:hAnsi="仿宋" w:eastAsia="仿宋" w:cs="仿宋"/>
                <w:sz w:val="24"/>
                <w:lang w:val="en-GB"/>
              </w:rPr>
              <w:t>分；制度内容存在欠缺或项目</w:t>
            </w:r>
            <w:r>
              <w:rPr>
                <w:rFonts w:hint="eastAsia" w:ascii="仿宋" w:hAnsi="仿宋" w:eastAsia="仿宋" w:cs="仿宋"/>
                <w:sz w:val="24"/>
                <w:lang w:val="en-GB" w:eastAsia="zh-CN"/>
              </w:rPr>
              <w:t>可行性</w:t>
            </w:r>
            <w:r>
              <w:rPr>
                <w:rFonts w:hint="eastAsia" w:ascii="仿宋" w:hAnsi="仿宋" w:eastAsia="仿宋" w:cs="仿宋"/>
                <w:sz w:val="24"/>
                <w:lang w:val="en-GB"/>
              </w:rPr>
              <w:t>一般的得2分；制度内容缺失严重或与项目</w:t>
            </w:r>
            <w:r>
              <w:rPr>
                <w:rFonts w:hint="eastAsia" w:ascii="仿宋" w:hAnsi="仿宋" w:eastAsia="仿宋" w:cs="仿宋"/>
                <w:sz w:val="24"/>
                <w:lang w:val="en-GB" w:eastAsia="zh-CN"/>
              </w:rPr>
              <w:t>可行性差</w:t>
            </w:r>
            <w:r>
              <w:rPr>
                <w:rFonts w:hint="eastAsia" w:ascii="仿宋" w:hAnsi="仿宋" w:eastAsia="仿宋" w:cs="仿宋"/>
                <w:sz w:val="24"/>
                <w:lang w:val="en-GB"/>
              </w:rPr>
              <w:t>的得1分；不提供不得分。</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0-3</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03" w:type="dxa"/>
            <w:vMerge w:val="continue"/>
            <w:tcBorders>
              <w:tl2br w:val="nil"/>
              <w:tr2bl w:val="nil"/>
            </w:tcBorders>
            <w:vAlign w:val="center"/>
          </w:tcPr>
          <w:p>
            <w:pPr>
              <w:jc w:val="center"/>
              <w:rPr>
                <w:rFonts w:hint="eastAsia" w:ascii="仿宋" w:hAnsi="仿宋" w:eastAsia="仿宋" w:cs="仿宋"/>
                <w:sz w:val="24"/>
              </w:rPr>
            </w:pPr>
          </w:p>
        </w:tc>
        <w:tc>
          <w:tcPr>
            <w:tcW w:w="1120" w:type="dxa"/>
            <w:vMerge w:val="continue"/>
            <w:tcBorders>
              <w:tl2br w:val="nil"/>
              <w:tr2bl w:val="nil"/>
            </w:tcBorders>
            <w:vAlign w:val="center"/>
          </w:tcPr>
          <w:p>
            <w:pPr>
              <w:jc w:val="center"/>
              <w:rPr>
                <w:rFonts w:hint="eastAsia" w:ascii="仿宋" w:hAnsi="仿宋" w:eastAsia="仿宋" w:cs="仿宋"/>
                <w:sz w:val="24"/>
              </w:rPr>
            </w:pPr>
          </w:p>
        </w:tc>
        <w:tc>
          <w:tcPr>
            <w:tcW w:w="5178" w:type="dxa"/>
            <w:tcBorders>
              <w:tl2br w:val="nil"/>
              <w:tr2bl w:val="nil"/>
            </w:tcBorders>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投标人有完善的</w:t>
            </w:r>
            <w:r>
              <w:rPr>
                <w:rFonts w:hint="eastAsia" w:ascii="仿宋" w:hAnsi="仿宋" w:eastAsia="仿宋" w:cs="仿宋"/>
                <w:color w:val="auto"/>
                <w:kern w:val="0"/>
                <w:sz w:val="24"/>
                <w:szCs w:val="24"/>
                <w:highlight w:val="none"/>
                <w:lang w:val="zh-CN"/>
              </w:rPr>
              <w:t>的重大活动保障方案，</w:t>
            </w:r>
            <w:r>
              <w:rPr>
                <w:rFonts w:hint="eastAsia" w:ascii="仿宋" w:hAnsi="仿宋" w:eastAsia="仿宋" w:cs="仿宋"/>
                <w:color w:val="auto"/>
                <w:kern w:val="0"/>
                <w:sz w:val="24"/>
                <w:szCs w:val="24"/>
                <w:highlight w:val="none"/>
              </w:rPr>
              <w:t>方案科学合理，具有针对性及可操作性，能圆满完成大型活动、节庆假日、创优评优等重大活动保障任务，根据提供的方案内容的完整性、与项目的匹配性进行评分。</w:t>
            </w:r>
          </w:p>
          <w:p>
            <w:pPr>
              <w:jc w:val="left"/>
              <w:rPr>
                <w:rFonts w:hint="eastAsia" w:ascii="仿宋" w:hAnsi="仿宋" w:eastAsia="仿宋" w:cs="仿宋"/>
                <w:sz w:val="24"/>
              </w:rPr>
            </w:pP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0-5</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03" w:type="dxa"/>
            <w:vMerge w:val="continue"/>
            <w:tcBorders>
              <w:tl2br w:val="nil"/>
              <w:tr2bl w:val="nil"/>
            </w:tcBorders>
            <w:vAlign w:val="center"/>
          </w:tcPr>
          <w:p>
            <w:pPr>
              <w:jc w:val="center"/>
              <w:rPr>
                <w:rFonts w:hint="eastAsia" w:ascii="仿宋" w:hAnsi="仿宋" w:eastAsia="仿宋" w:cs="仿宋"/>
                <w:sz w:val="24"/>
              </w:rPr>
            </w:pPr>
          </w:p>
        </w:tc>
        <w:tc>
          <w:tcPr>
            <w:tcW w:w="1120" w:type="dxa"/>
            <w:vMerge w:val="continue"/>
            <w:tcBorders>
              <w:tl2br w:val="nil"/>
              <w:tr2bl w:val="nil"/>
            </w:tcBorders>
            <w:vAlign w:val="center"/>
          </w:tcPr>
          <w:p>
            <w:pPr>
              <w:jc w:val="center"/>
              <w:rPr>
                <w:rFonts w:hint="eastAsia" w:ascii="仿宋" w:hAnsi="仿宋" w:eastAsia="仿宋" w:cs="仿宋"/>
                <w:sz w:val="24"/>
              </w:rPr>
            </w:pP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根据</w:t>
            </w:r>
            <w:r>
              <w:rPr>
                <w:rFonts w:hint="eastAsia" w:ascii="仿宋" w:hAnsi="仿宋" w:eastAsia="仿宋" w:cs="仿宋"/>
                <w:sz w:val="24"/>
                <w:lang w:val="en-US" w:eastAsia="zh-CN"/>
              </w:rPr>
              <w:t>本项目</w:t>
            </w:r>
            <w:r>
              <w:rPr>
                <w:rFonts w:hint="eastAsia" w:ascii="仿宋" w:hAnsi="仿宋" w:eastAsia="仿宋" w:cs="仿宋"/>
                <w:sz w:val="24"/>
                <w:lang w:val="en-GB"/>
              </w:rPr>
              <w:t>区域养护特点，</w:t>
            </w:r>
            <w:r>
              <w:rPr>
                <w:rFonts w:hint="eastAsia" w:ascii="仿宋" w:hAnsi="仿宋" w:eastAsia="仿宋" w:cs="仿宋"/>
                <w:sz w:val="24"/>
                <w:lang w:val="en-US" w:eastAsia="zh-CN"/>
              </w:rPr>
              <w:t>投标人</w:t>
            </w:r>
            <w:r>
              <w:rPr>
                <w:rFonts w:hint="eastAsia" w:ascii="仿宋" w:hAnsi="仿宋" w:eastAsia="仿宋" w:cs="仿宋"/>
                <w:sz w:val="24"/>
                <w:lang w:val="en-GB"/>
              </w:rPr>
              <w:t>应编制照明设施安全文明维护作业技术方案（包含基本要求、高空作业、带电作业、夜间作业等内容）；方案全面，具有可行性。</w:t>
            </w:r>
          </w:p>
          <w:p>
            <w:pPr>
              <w:jc w:val="left"/>
              <w:rPr>
                <w:rFonts w:hint="eastAsia" w:ascii="仿宋" w:hAnsi="仿宋" w:eastAsia="仿宋" w:cs="仿宋"/>
                <w:sz w:val="24"/>
              </w:rPr>
            </w:pPr>
            <w:r>
              <w:rPr>
                <w:rFonts w:hint="eastAsia" w:ascii="仿宋" w:hAnsi="仿宋" w:eastAsia="仿宋" w:cs="仿宋"/>
                <w:sz w:val="24"/>
                <w:lang w:val="en-GB"/>
              </w:rPr>
              <w:t>方案内容</w:t>
            </w:r>
            <w:r>
              <w:rPr>
                <w:rFonts w:hint="eastAsia" w:ascii="仿宋" w:hAnsi="仿宋" w:eastAsia="仿宋" w:cs="仿宋"/>
                <w:sz w:val="24"/>
                <w:lang w:val="en-GB" w:eastAsia="zh-CN"/>
              </w:rPr>
              <w:t>完善</w:t>
            </w:r>
            <w:r>
              <w:rPr>
                <w:rFonts w:hint="eastAsia" w:ascii="仿宋" w:hAnsi="仿宋" w:eastAsia="仿宋" w:cs="仿宋"/>
                <w:sz w:val="24"/>
                <w:lang w:val="en-GB"/>
              </w:rPr>
              <w:t>且项目</w:t>
            </w:r>
            <w:r>
              <w:rPr>
                <w:rFonts w:hint="eastAsia" w:ascii="仿宋" w:hAnsi="仿宋" w:eastAsia="仿宋" w:cs="仿宋"/>
                <w:sz w:val="24"/>
                <w:lang w:val="en-GB" w:eastAsia="zh-CN"/>
              </w:rPr>
              <w:t>可行性</w:t>
            </w:r>
            <w:r>
              <w:rPr>
                <w:rFonts w:hint="eastAsia" w:ascii="仿宋" w:hAnsi="仿宋" w:eastAsia="仿宋" w:cs="仿宋"/>
                <w:sz w:val="24"/>
                <w:lang w:val="en-GB"/>
              </w:rPr>
              <w:t>好的得</w:t>
            </w:r>
            <w:r>
              <w:rPr>
                <w:rFonts w:hint="eastAsia" w:ascii="仿宋" w:hAnsi="仿宋" w:eastAsia="仿宋" w:cs="仿宋"/>
                <w:sz w:val="24"/>
                <w:lang w:val="en-US" w:eastAsia="zh-CN"/>
              </w:rPr>
              <w:t>3</w:t>
            </w:r>
            <w:r>
              <w:rPr>
                <w:rFonts w:hint="eastAsia" w:ascii="仿宋" w:hAnsi="仿宋" w:eastAsia="仿宋" w:cs="仿宋"/>
                <w:sz w:val="24"/>
                <w:lang w:val="en-GB"/>
              </w:rPr>
              <w:t>分；方案内容存在欠缺或项目</w:t>
            </w:r>
            <w:r>
              <w:rPr>
                <w:rFonts w:hint="eastAsia" w:ascii="仿宋" w:hAnsi="仿宋" w:eastAsia="仿宋" w:cs="仿宋"/>
                <w:sz w:val="24"/>
                <w:lang w:val="en-GB" w:eastAsia="zh-CN"/>
              </w:rPr>
              <w:t>可行性</w:t>
            </w:r>
            <w:r>
              <w:rPr>
                <w:rFonts w:hint="eastAsia" w:ascii="仿宋" w:hAnsi="仿宋" w:eastAsia="仿宋" w:cs="仿宋"/>
                <w:sz w:val="24"/>
                <w:lang w:val="en-GB"/>
              </w:rPr>
              <w:t>一般的得2分；方案内容缺失严重或与项目</w:t>
            </w:r>
            <w:r>
              <w:rPr>
                <w:rFonts w:hint="eastAsia" w:ascii="仿宋" w:hAnsi="仿宋" w:eastAsia="仿宋" w:cs="仿宋"/>
                <w:sz w:val="24"/>
                <w:lang w:val="en-GB" w:eastAsia="zh-CN"/>
              </w:rPr>
              <w:t>可行性差</w:t>
            </w:r>
            <w:r>
              <w:rPr>
                <w:rFonts w:hint="eastAsia" w:ascii="仿宋" w:hAnsi="仿宋" w:eastAsia="仿宋" w:cs="仿宋"/>
                <w:sz w:val="24"/>
                <w:lang w:val="en-GB"/>
              </w:rPr>
              <w:t>的得1分；不提供不得分。</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0-3</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703" w:type="dxa"/>
            <w:vMerge w:val="continue"/>
            <w:tcBorders>
              <w:tl2br w:val="nil"/>
              <w:tr2bl w:val="nil"/>
            </w:tcBorders>
            <w:vAlign w:val="center"/>
          </w:tcPr>
          <w:p>
            <w:pPr>
              <w:jc w:val="center"/>
              <w:rPr>
                <w:rFonts w:hint="eastAsia" w:ascii="仿宋" w:hAnsi="仿宋" w:eastAsia="仿宋" w:cs="仿宋"/>
                <w:sz w:val="24"/>
              </w:rPr>
            </w:pPr>
          </w:p>
        </w:tc>
        <w:tc>
          <w:tcPr>
            <w:tcW w:w="1120" w:type="dxa"/>
            <w:vMerge w:val="continue"/>
            <w:tcBorders>
              <w:tl2br w:val="nil"/>
              <w:tr2bl w:val="nil"/>
            </w:tcBorders>
            <w:vAlign w:val="center"/>
          </w:tcPr>
          <w:p>
            <w:pPr>
              <w:jc w:val="center"/>
              <w:rPr>
                <w:rFonts w:hint="eastAsia" w:ascii="仿宋" w:hAnsi="仿宋" w:eastAsia="仿宋" w:cs="仿宋"/>
                <w:sz w:val="24"/>
              </w:rPr>
            </w:pP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为保障照明设施运行安全和维修质量，乙方所采用的技术措施是否合理，具有可操作性。</w:t>
            </w:r>
          </w:p>
          <w:p>
            <w:pPr>
              <w:jc w:val="left"/>
              <w:rPr>
                <w:rFonts w:hint="eastAsia" w:ascii="仿宋" w:hAnsi="仿宋" w:eastAsia="仿宋" w:cs="仿宋"/>
                <w:sz w:val="24"/>
              </w:rPr>
            </w:pPr>
            <w:r>
              <w:rPr>
                <w:rFonts w:hint="eastAsia" w:ascii="仿宋" w:hAnsi="仿宋" w:eastAsia="仿宋" w:cs="仿宋"/>
                <w:sz w:val="24"/>
                <w:lang w:val="en-GB"/>
              </w:rPr>
              <w:t>技术措施</w:t>
            </w:r>
            <w:r>
              <w:rPr>
                <w:rFonts w:hint="eastAsia" w:ascii="仿宋" w:hAnsi="仿宋" w:eastAsia="仿宋" w:cs="仿宋"/>
                <w:sz w:val="24"/>
                <w:lang w:val="en-GB" w:eastAsia="zh-CN"/>
              </w:rPr>
              <w:t>完善</w:t>
            </w:r>
            <w:r>
              <w:rPr>
                <w:rFonts w:hint="eastAsia" w:ascii="仿宋" w:hAnsi="仿宋" w:eastAsia="仿宋" w:cs="仿宋"/>
                <w:sz w:val="24"/>
                <w:lang w:val="en-GB"/>
              </w:rPr>
              <w:t>且项目可操作性好的得</w:t>
            </w:r>
            <w:r>
              <w:rPr>
                <w:rFonts w:hint="eastAsia" w:ascii="仿宋" w:hAnsi="仿宋" w:eastAsia="仿宋" w:cs="仿宋"/>
                <w:sz w:val="24"/>
                <w:lang w:val="en-US" w:eastAsia="zh-CN"/>
              </w:rPr>
              <w:t>3</w:t>
            </w:r>
            <w:r>
              <w:rPr>
                <w:rFonts w:hint="eastAsia" w:ascii="仿宋" w:hAnsi="仿宋" w:eastAsia="仿宋" w:cs="仿宋"/>
                <w:sz w:val="24"/>
                <w:lang w:val="en-GB"/>
              </w:rPr>
              <w:t>分；技术措施存在欠缺或项目可操作性一般的得2分；技术措施缺失严重或与项目可操作性</w:t>
            </w:r>
            <w:r>
              <w:rPr>
                <w:rFonts w:hint="eastAsia" w:ascii="仿宋" w:hAnsi="仿宋" w:eastAsia="仿宋" w:cs="仿宋"/>
                <w:sz w:val="24"/>
                <w:lang w:val="en-GB" w:eastAsia="zh-CN"/>
              </w:rPr>
              <w:t>差</w:t>
            </w:r>
            <w:r>
              <w:rPr>
                <w:rFonts w:hint="eastAsia" w:ascii="仿宋" w:hAnsi="仿宋" w:eastAsia="仿宋" w:cs="仿宋"/>
                <w:sz w:val="24"/>
                <w:lang w:val="en-GB"/>
              </w:rPr>
              <w:t>的得1分；不提供不得分。</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US" w:eastAsia="zh-CN"/>
              </w:rPr>
              <w:t>0-3</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03" w:type="dxa"/>
            <w:tcBorders>
              <w:tl2br w:val="nil"/>
              <w:tr2bl w:val="nil"/>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120" w:type="dxa"/>
            <w:tcBorders>
              <w:tl2br w:val="nil"/>
              <w:tr2bl w:val="nil"/>
            </w:tcBorders>
            <w:vAlign w:val="center"/>
          </w:tcPr>
          <w:p>
            <w:pPr>
              <w:spacing w:line="240" w:lineRule="auto"/>
              <w:jc w:val="center"/>
              <w:rPr>
                <w:rFonts w:hint="eastAsia" w:ascii="仿宋" w:hAnsi="仿宋" w:eastAsia="仿宋" w:cs="仿宋"/>
                <w:sz w:val="24"/>
                <w:lang w:val="en-GB"/>
              </w:rPr>
            </w:pPr>
            <w:r>
              <w:rPr>
                <w:rFonts w:hint="eastAsia" w:ascii="仿宋" w:hAnsi="仿宋" w:eastAsia="仿宋" w:cs="仿宋"/>
                <w:color w:val="auto"/>
                <w:kern w:val="0"/>
                <w:sz w:val="24"/>
                <w:szCs w:val="24"/>
                <w:highlight w:val="none"/>
                <w:lang w:val="en-US" w:eastAsia="zh-CN"/>
              </w:rPr>
              <w:t>平稳交接过渡方案</w:t>
            </w:r>
          </w:p>
        </w:tc>
        <w:tc>
          <w:tcPr>
            <w:tcW w:w="5178" w:type="dxa"/>
            <w:tcBorders>
              <w:tl2br w:val="nil"/>
              <w:tr2bl w:val="nil"/>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平稳交接过渡方案；</w:t>
            </w:r>
            <w:r>
              <w:rPr>
                <w:rFonts w:hint="eastAsia" w:ascii="仿宋" w:hAnsi="仿宋" w:eastAsia="仿宋" w:cs="仿宋"/>
                <w:color w:val="auto"/>
                <w:kern w:val="0"/>
                <w:sz w:val="24"/>
                <w:szCs w:val="24"/>
                <w:highlight w:val="none"/>
                <w:lang w:val="en-US" w:eastAsia="zh-CN"/>
              </w:rPr>
              <w:t>养护</w:t>
            </w:r>
            <w:r>
              <w:rPr>
                <w:rFonts w:hint="eastAsia" w:ascii="仿宋" w:hAnsi="仿宋" w:eastAsia="仿宋" w:cs="仿宋"/>
                <w:color w:val="auto"/>
                <w:kern w:val="0"/>
                <w:sz w:val="24"/>
                <w:szCs w:val="24"/>
                <w:highlight w:val="none"/>
              </w:rPr>
              <w:t>服务平稳过渡交接，制定相关的平稳过渡交接实施措施的合理性，根据提供的内容的完整性、与项目的匹配性进行评分。</w:t>
            </w:r>
          </w:p>
          <w:p>
            <w:pPr>
              <w:spacing w:line="240" w:lineRule="auto"/>
              <w:rPr>
                <w:rFonts w:hint="eastAsia" w:ascii="仿宋" w:hAnsi="仿宋" w:eastAsia="仿宋" w:cs="仿宋"/>
                <w:sz w:val="24"/>
                <w:lang w:val="en-GB"/>
              </w:rPr>
            </w:pPr>
            <w:r>
              <w:rPr>
                <w:rFonts w:hint="eastAsia" w:ascii="仿宋" w:hAnsi="仿宋" w:eastAsia="仿宋" w:cs="仿宋"/>
                <w:color w:val="auto"/>
                <w:kern w:val="0"/>
                <w:sz w:val="24"/>
                <w:szCs w:val="24"/>
                <w:highlight w:val="none"/>
              </w:rPr>
              <w:t>内容完整且与项目匹配度好的得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809" w:type="dxa"/>
            <w:tcBorders>
              <w:tl2br w:val="nil"/>
              <w:tr2bl w:val="nil"/>
            </w:tcBorders>
            <w:vAlign w:val="center"/>
          </w:tcPr>
          <w:p>
            <w:pPr>
              <w:spacing w:line="240" w:lineRule="auto"/>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c>
          <w:tcPr>
            <w:tcW w:w="727" w:type="dxa"/>
            <w:tcBorders>
              <w:tl2br w:val="nil"/>
              <w:tr2bl w:val="nil"/>
            </w:tcBorders>
            <w:vAlign w:val="center"/>
          </w:tcPr>
          <w:p>
            <w:pPr>
              <w:spacing w:line="240" w:lineRule="auto"/>
              <w:jc w:val="center"/>
              <w:rPr>
                <w:rFonts w:hint="eastAsia" w:ascii="仿宋" w:hAnsi="仿宋" w:eastAsia="仿宋" w:cs="仿宋"/>
                <w:sz w:val="24"/>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703" w:type="dxa"/>
            <w:tcBorders>
              <w:tl2br w:val="nil"/>
              <w:tr2bl w:val="nil"/>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120" w:type="dxa"/>
            <w:tcBorders>
              <w:tl2br w:val="nil"/>
              <w:tr2bl w:val="nil"/>
            </w:tcBorders>
            <w:vAlign w:val="center"/>
          </w:tcPr>
          <w:p>
            <w:pPr>
              <w:spacing w:line="240" w:lineRule="auto"/>
              <w:jc w:val="center"/>
              <w:rPr>
                <w:rFonts w:hint="eastAsia" w:ascii="仿宋" w:hAnsi="仿宋" w:eastAsia="仿宋" w:cs="仿宋"/>
                <w:sz w:val="24"/>
                <w:lang w:val="en-GB"/>
              </w:rPr>
            </w:pPr>
            <w:r>
              <w:rPr>
                <w:rFonts w:hint="eastAsia" w:ascii="仿宋" w:hAnsi="仿宋" w:eastAsia="仿宋" w:cs="仿宋"/>
                <w:color w:val="auto"/>
                <w:kern w:val="0"/>
                <w:sz w:val="24"/>
                <w:szCs w:val="24"/>
                <w:highlight w:val="none"/>
                <w:lang w:val="en-US" w:eastAsia="zh-CN"/>
              </w:rPr>
              <w:t>对本项目现状的调查与问题剖析</w:t>
            </w:r>
          </w:p>
        </w:tc>
        <w:tc>
          <w:tcPr>
            <w:tcW w:w="5178" w:type="dxa"/>
            <w:tcBorders>
              <w:tl2br w:val="nil"/>
              <w:tr2bl w:val="nil"/>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根据结合本项目的实际情况，投标供应商对原</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养护现状、存在的问题等进行调查剖析。根据提供的内容的完整性、与项目的匹配性进行评分。</w:t>
            </w:r>
          </w:p>
          <w:p>
            <w:pPr>
              <w:spacing w:line="240" w:lineRule="auto"/>
              <w:rPr>
                <w:rFonts w:hint="eastAsia" w:ascii="仿宋" w:hAnsi="仿宋" w:eastAsia="仿宋" w:cs="仿宋"/>
                <w:sz w:val="24"/>
                <w:lang w:val="en-GB"/>
              </w:rPr>
            </w:pPr>
            <w:r>
              <w:rPr>
                <w:rFonts w:hint="eastAsia" w:ascii="仿宋" w:hAnsi="仿宋" w:eastAsia="仿宋" w:cs="仿宋"/>
                <w:color w:val="auto"/>
                <w:kern w:val="0"/>
                <w:sz w:val="24"/>
                <w:szCs w:val="24"/>
                <w:highlight w:val="none"/>
              </w:rPr>
              <w:t>内容完整且与项目匹配度好的得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809" w:type="dxa"/>
            <w:tcBorders>
              <w:tl2br w:val="nil"/>
              <w:tr2bl w:val="nil"/>
            </w:tcBorders>
            <w:vAlign w:val="center"/>
          </w:tcPr>
          <w:p>
            <w:pPr>
              <w:spacing w:line="240" w:lineRule="auto"/>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c>
          <w:tcPr>
            <w:tcW w:w="727" w:type="dxa"/>
            <w:tcBorders>
              <w:tl2br w:val="nil"/>
              <w:tr2bl w:val="nil"/>
            </w:tcBorders>
            <w:vAlign w:val="center"/>
          </w:tcPr>
          <w:p>
            <w:pPr>
              <w:spacing w:line="240" w:lineRule="auto"/>
              <w:jc w:val="center"/>
              <w:rPr>
                <w:rFonts w:hint="eastAsia" w:ascii="仿宋" w:hAnsi="仿宋" w:eastAsia="仿宋" w:cs="仿宋"/>
                <w:sz w:val="24"/>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03"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120"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GB"/>
              </w:rPr>
              <w:t>养护考核方案</w:t>
            </w: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是否建立照明设施养护考核方案，内部管理制度、内部工作流程、考核监督制度等，方案科学合理、具有针对性及可操作性。</w:t>
            </w:r>
          </w:p>
          <w:p>
            <w:pPr>
              <w:jc w:val="left"/>
              <w:rPr>
                <w:rFonts w:hint="eastAsia" w:ascii="仿宋" w:hAnsi="仿宋" w:eastAsia="仿宋" w:cs="仿宋"/>
                <w:sz w:val="24"/>
              </w:rPr>
            </w:pPr>
            <w:r>
              <w:rPr>
                <w:rFonts w:hint="eastAsia" w:ascii="仿宋" w:hAnsi="仿宋" w:eastAsia="仿宋" w:cs="仿宋"/>
                <w:sz w:val="24"/>
                <w:lang w:val="en-GB" w:eastAsia="zh-CN"/>
              </w:rPr>
              <w:t>方案完善</w:t>
            </w:r>
            <w:r>
              <w:rPr>
                <w:rFonts w:hint="eastAsia" w:ascii="仿宋" w:hAnsi="仿宋" w:eastAsia="仿宋" w:cs="仿宋"/>
                <w:sz w:val="24"/>
                <w:lang w:val="en-GB"/>
              </w:rPr>
              <w:t>且项目可操作性好的得</w:t>
            </w:r>
            <w:r>
              <w:rPr>
                <w:rFonts w:hint="eastAsia" w:ascii="仿宋" w:hAnsi="仿宋" w:eastAsia="仿宋" w:cs="仿宋"/>
                <w:sz w:val="24"/>
                <w:lang w:val="en-US" w:eastAsia="zh-CN"/>
              </w:rPr>
              <w:t>3</w:t>
            </w:r>
            <w:r>
              <w:rPr>
                <w:rFonts w:hint="eastAsia" w:ascii="仿宋" w:hAnsi="仿宋" w:eastAsia="仿宋" w:cs="仿宋"/>
                <w:sz w:val="24"/>
                <w:lang w:val="en-GB"/>
              </w:rPr>
              <w:t>分；</w:t>
            </w:r>
            <w:r>
              <w:rPr>
                <w:rFonts w:hint="eastAsia" w:ascii="仿宋" w:hAnsi="仿宋" w:eastAsia="仿宋" w:cs="仿宋"/>
                <w:sz w:val="24"/>
                <w:lang w:val="en-GB" w:eastAsia="zh-CN"/>
              </w:rPr>
              <w:t>方案</w:t>
            </w:r>
            <w:r>
              <w:rPr>
                <w:rFonts w:hint="eastAsia" w:ascii="仿宋" w:hAnsi="仿宋" w:eastAsia="仿宋" w:cs="仿宋"/>
                <w:sz w:val="24"/>
                <w:lang w:val="en-GB"/>
              </w:rPr>
              <w:t>存在欠缺或项目可操作性一般的得2分；</w:t>
            </w:r>
            <w:r>
              <w:rPr>
                <w:rFonts w:hint="eastAsia" w:ascii="仿宋" w:hAnsi="仿宋" w:eastAsia="仿宋" w:cs="仿宋"/>
                <w:sz w:val="24"/>
                <w:lang w:val="en-GB" w:eastAsia="zh-CN"/>
              </w:rPr>
              <w:t>方案</w:t>
            </w:r>
            <w:r>
              <w:rPr>
                <w:rFonts w:hint="eastAsia" w:ascii="仿宋" w:hAnsi="仿宋" w:eastAsia="仿宋" w:cs="仿宋"/>
                <w:sz w:val="24"/>
                <w:lang w:val="en-GB"/>
              </w:rPr>
              <w:t>缺失严重或与项目可操作性</w:t>
            </w:r>
            <w:r>
              <w:rPr>
                <w:rFonts w:hint="eastAsia" w:ascii="仿宋" w:hAnsi="仿宋" w:eastAsia="仿宋" w:cs="仿宋"/>
                <w:sz w:val="24"/>
                <w:lang w:val="en-GB" w:eastAsia="zh-CN"/>
              </w:rPr>
              <w:t>差</w:t>
            </w:r>
            <w:r>
              <w:rPr>
                <w:rFonts w:hint="eastAsia" w:ascii="仿宋" w:hAnsi="仿宋" w:eastAsia="仿宋" w:cs="仿宋"/>
                <w:sz w:val="24"/>
                <w:lang w:val="en-GB"/>
              </w:rPr>
              <w:t>的得1分；不提供不得分。</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sz w:val="24"/>
              </w:rPr>
              <w:t>3分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120"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安全文明作业</w:t>
            </w: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 xml:space="preserve">针对所投标项的地面高空作业等养护特点，编制相应的安全文明养护作业方案及安全生产制度（配备科学的照明维护班组和机械设备）。方案及制度科学合理、具有针对性及可操作性。 </w:t>
            </w:r>
          </w:p>
          <w:p>
            <w:pPr>
              <w:jc w:val="left"/>
              <w:rPr>
                <w:rFonts w:hint="eastAsia" w:ascii="仿宋" w:hAnsi="仿宋" w:eastAsia="仿宋" w:cs="仿宋"/>
                <w:sz w:val="24"/>
              </w:rPr>
            </w:pPr>
            <w:r>
              <w:rPr>
                <w:rFonts w:hint="eastAsia" w:ascii="仿宋" w:hAnsi="仿宋" w:eastAsia="仿宋" w:cs="仿宋"/>
                <w:sz w:val="24"/>
                <w:lang w:val="en-GB" w:eastAsia="zh-CN"/>
              </w:rPr>
              <w:t>方案完善</w:t>
            </w:r>
            <w:r>
              <w:rPr>
                <w:rFonts w:hint="eastAsia" w:ascii="仿宋" w:hAnsi="仿宋" w:eastAsia="仿宋" w:cs="仿宋"/>
                <w:sz w:val="24"/>
                <w:lang w:val="en-GB"/>
              </w:rPr>
              <w:t>且项目可操作性好的得</w:t>
            </w:r>
            <w:r>
              <w:rPr>
                <w:rFonts w:hint="eastAsia" w:ascii="仿宋" w:hAnsi="仿宋" w:eastAsia="仿宋" w:cs="仿宋"/>
                <w:sz w:val="24"/>
                <w:lang w:val="en-US" w:eastAsia="zh-CN"/>
              </w:rPr>
              <w:t>3</w:t>
            </w:r>
            <w:r>
              <w:rPr>
                <w:rFonts w:hint="eastAsia" w:ascii="仿宋" w:hAnsi="仿宋" w:eastAsia="仿宋" w:cs="仿宋"/>
                <w:sz w:val="24"/>
                <w:lang w:val="en-GB"/>
              </w:rPr>
              <w:t>分；</w:t>
            </w:r>
            <w:r>
              <w:rPr>
                <w:rFonts w:hint="eastAsia" w:ascii="仿宋" w:hAnsi="仿宋" w:eastAsia="仿宋" w:cs="仿宋"/>
                <w:sz w:val="24"/>
                <w:lang w:val="en-GB" w:eastAsia="zh-CN"/>
              </w:rPr>
              <w:t>方案</w:t>
            </w:r>
            <w:r>
              <w:rPr>
                <w:rFonts w:hint="eastAsia" w:ascii="仿宋" w:hAnsi="仿宋" w:eastAsia="仿宋" w:cs="仿宋"/>
                <w:sz w:val="24"/>
                <w:lang w:val="en-GB"/>
              </w:rPr>
              <w:t>存在欠缺或项目可操作性一般的得2分；</w:t>
            </w:r>
            <w:r>
              <w:rPr>
                <w:rFonts w:hint="eastAsia" w:ascii="仿宋" w:hAnsi="仿宋" w:eastAsia="仿宋" w:cs="仿宋"/>
                <w:sz w:val="24"/>
                <w:lang w:val="en-GB" w:eastAsia="zh-CN"/>
              </w:rPr>
              <w:t>方案</w:t>
            </w:r>
            <w:r>
              <w:rPr>
                <w:rFonts w:hint="eastAsia" w:ascii="仿宋" w:hAnsi="仿宋" w:eastAsia="仿宋" w:cs="仿宋"/>
                <w:sz w:val="24"/>
                <w:lang w:val="en-GB"/>
              </w:rPr>
              <w:t>缺失严重或与项目可操作性</w:t>
            </w:r>
            <w:r>
              <w:rPr>
                <w:rFonts w:hint="eastAsia" w:ascii="仿宋" w:hAnsi="仿宋" w:eastAsia="仿宋" w:cs="仿宋"/>
                <w:sz w:val="24"/>
                <w:lang w:val="en-GB" w:eastAsia="zh-CN"/>
              </w:rPr>
              <w:t>差</w:t>
            </w:r>
            <w:r>
              <w:rPr>
                <w:rFonts w:hint="eastAsia" w:ascii="仿宋" w:hAnsi="仿宋" w:eastAsia="仿宋" w:cs="仿宋"/>
                <w:sz w:val="24"/>
                <w:lang w:val="en-GB"/>
              </w:rPr>
              <w:t>的得1分；不提供不得分。</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sz w:val="24"/>
                <w:lang w:val="en-US" w:eastAsia="zh-CN"/>
              </w:rPr>
              <w:t>3</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03"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120"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GB"/>
              </w:rPr>
              <w:t>资料管理方案</w:t>
            </w:r>
          </w:p>
        </w:tc>
        <w:tc>
          <w:tcPr>
            <w:tcW w:w="5178" w:type="dxa"/>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lang w:val="en-GB"/>
              </w:rPr>
              <w:t>是否建立照明设施资料管理方案，就照明设施基础台账、日常运维台账、技术档案资料等资料的整理归档。方案符合相关规范要求，科学合理。</w:t>
            </w:r>
            <w:r>
              <w:rPr>
                <w:rFonts w:hint="eastAsia" w:ascii="仿宋" w:hAnsi="仿宋" w:eastAsia="仿宋" w:cs="仿宋"/>
                <w:sz w:val="24"/>
                <w:lang w:val="en-GB" w:eastAsia="zh-CN"/>
              </w:rPr>
              <w:t>方案完善</w:t>
            </w:r>
            <w:r>
              <w:rPr>
                <w:rFonts w:hint="eastAsia" w:ascii="仿宋" w:hAnsi="仿宋" w:eastAsia="仿宋" w:cs="仿宋"/>
                <w:sz w:val="24"/>
                <w:lang w:val="en-GB"/>
              </w:rPr>
              <w:t>且科学合理的得</w:t>
            </w:r>
            <w:r>
              <w:rPr>
                <w:rFonts w:hint="eastAsia" w:ascii="仿宋" w:hAnsi="仿宋" w:eastAsia="仿宋" w:cs="仿宋"/>
                <w:sz w:val="24"/>
                <w:lang w:val="en-US" w:eastAsia="zh-CN"/>
              </w:rPr>
              <w:t>3</w:t>
            </w:r>
            <w:r>
              <w:rPr>
                <w:rFonts w:hint="eastAsia" w:ascii="仿宋" w:hAnsi="仿宋" w:eastAsia="仿宋" w:cs="仿宋"/>
                <w:sz w:val="24"/>
                <w:lang w:val="en-GB"/>
              </w:rPr>
              <w:t>分；</w:t>
            </w:r>
            <w:r>
              <w:rPr>
                <w:rFonts w:hint="eastAsia" w:ascii="仿宋" w:hAnsi="仿宋" w:eastAsia="仿宋" w:cs="仿宋"/>
                <w:sz w:val="24"/>
                <w:lang w:val="en-GB" w:eastAsia="zh-CN"/>
              </w:rPr>
              <w:t>方案</w:t>
            </w:r>
            <w:r>
              <w:rPr>
                <w:rFonts w:hint="eastAsia" w:ascii="仿宋" w:hAnsi="仿宋" w:eastAsia="仿宋" w:cs="仿宋"/>
                <w:sz w:val="24"/>
                <w:lang w:val="en-GB"/>
              </w:rPr>
              <w:t>存在欠缺或科学合理</w:t>
            </w:r>
            <w:r>
              <w:rPr>
                <w:rFonts w:hint="eastAsia" w:ascii="仿宋" w:hAnsi="仿宋" w:eastAsia="仿宋" w:cs="仿宋"/>
                <w:sz w:val="24"/>
                <w:lang w:val="en-GB" w:eastAsia="zh-CN"/>
              </w:rPr>
              <w:t>性</w:t>
            </w:r>
            <w:r>
              <w:rPr>
                <w:rFonts w:hint="eastAsia" w:ascii="仿宋" w:hAnsi="仿宋" w:eastAsia="仿宋" w:cs="仿宋"/>
                <w:sz w:val="24"/>
                <w:lang w:val="en-GB"/>
              </w:rPr>
              <w:t>一般的得2分；</w:t>
            </w:r>
            <w:r>
              <w:rPr>
                <w:rFonts w:hint="eastAsia" w:ascii="仿宋" w:hAnsi="仿宋" w:eastAsia="仿宋" w:cs="仿宋"/>
                <w:sz w:val="24"/>
                <w:lang w:val="en-GB" w:eastAsia="zh-CN"/>
              </w:rPr>
              <w:t>方案</w:t>
            </w:r>
            <w:r>
              <w:rPr>
                <w:rFonts w:hint="eastAsia" w:ascii="仿宋" w:hAnsi="仿宋" w:eastAsia="仿宋" w:cs="仿宋"/>
                <w:sz w:val="24"/>
                <w:lang w:val="en-GB"/>
              </w:rPr>
              <w:t>缺失严重或科学合理</w:t>
            </w:r>
            <w:r>
              <w:rPr>
                <w:rFonts w:hint="eastAsia" w:ascii="仿宋" w:hAnsi="仿宋" w:eastAsia="仿宋" w:cs="仿宋"/>
                <w:sz w:val="24"/>
                <w:lang w:val="en-GB" w:eastAsia="zh-CN"/>
              </w:rPr>
              <w:t>性差</w:t>
            </w:r>
            <w:r>
              <w:rPr>
                <w:rFonts w:hint="eastAsia" w:ascii="仿宋" w:hAnsi="仿宋" w:eastAsia="仿宋" w:cs="仿宋"/>
                <w:sz w:val="24"/>
                <w:lang w:val="en-GB"/>
              </w:rPr>
              <w:t>的得1分；不提供不得分。</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sz w:val="24"/>
              </w:rPr>
              <w:t>3分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03" w:type="dxa"/>
            <w:tcBorders>
              <w:tl2br w:val="nil"/>
              <w:tr2bl w:val="nil"/>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1120" w:type="dxa"/>
            <w:vMerge w:val="restar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lang w:val="en-GB"/>
              </w:rPr>
              <w:t>应急响应方案</w:t>
            </w: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针对防汛、抗台、抗雪、防冻等灾害性天气建立的照明设施应急巡查和应急抢修等应急响应方案。方案责任分工明确、完成响应应急抢修和应急照明保障工作，具有可操作性。</w:t>
            </w:r>
          </w:p>
          <w:p>
            <w:pPr>
              <w:jc w:val="left"/>
              <w:rPr>
                <w:rFonts w:hint="eastAsia" w:ascii="仿宋" w:hAnsi="仿宋" w:eastAsia="仿宋" w:cs="仿宋"/>
                <w:sz w:val="24"/>
              </w:rPr>
            </w:pPr>
            <w:r>
              <w:rPr>
                <w:rFonts w:hint="eastAsia" w:ascii="仿宋" w:hAnsi="仿宋" w:eastAsia="仿宋" w:cs="仿宋"/>
                <w:color w:val="auto"/>
                <w:kern w:val="0"/>
                <w:sz w:val="24"/>
                <w:szCs w:val="24"/>
                <w:highlight w:val="none"/>
              </w:rPr>
              <w:t>方案内容完整且</w:t>
            </w:r>
            <w:r>
              <w:rPr>
                <w:rFonts w:hint="eastAsia" w:ascii="仿宋" w:hAnsi="仿宋" w:eastAsia="仿宋" w:cs="仿宋"/>
                <w:sz w:val="24"/>
                <w:lang w:val="en-GB"/>
              </w:rPr>
              <w:t>针对性及可操作性</w:t>
            </w:r>
            <w:r>
              <w:rPr>
                <w:rFonts w:hint="eastAsia" w:ascii="仿宋" w:hAnsi="仿宋" w:eastAsia="仿宋" w:cs="仿宋"/>
                <w:color w:val="auto"/>
                <w:kern w:val="0"/>
                <w:sz w:val="24"/>
                <w:szCs w:val="24"/>
                <w:highlight w:val="none"/>
              </w:rPr>
              <w:t>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w:t>
            </w:r>
            <w:r>
              <w:rPr>
                <w:rFonts w:hint="eastAsia" w:ascii="仿宋" w:hAnsi="仿宋" w:eastAsia="仿宋" w:cs="仿宋"/>
                <w:sz w:val="24"/>
                <w:lang w:val="en-GB"/>
              </w:rPr>
              <w:t>针对性及可操作性</w:t>
            </w:r>
            <w:r>
              <w:rPr>
                <w:rFonts w:hint="eastAsia" w:ascii="仿宋" w:hAnsi="仿宋" w:eastAsia="仿宋" w:cs="仿宋"/>
                <w:color w:val="auto"/>
                <w:kern w:val="0"/>
                <w:sz w:val="24"/>
                <w:szCs w:val="24"/>
                <w:highlight w:val="none"/>
              </w:rPr>
              <w:t>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w:t>
            </w:r>
            <w:r>
              <w:rPr>
                <w:rFonts w:hint="eastAsia" w:ascii="仿宋" w:hAnsi="仿宋" w:eastAsia="仿宋" w:cs="仿宋"/>
                <w:sz w:val="24"/>
                <w:lang w:val="en-GB"/>
              </w:rPr>
              <w:t>针对性及可操作性</w:t>
            </w:r>
            <w:r>
              <w:rPr>
                <w:rFonts w:hint="eastAsia" w:ascii="仿宋" w:hAnsi="仿宋" w:eastAsia="仿宋" w:cs="仿宋"/>
                <w:sz w:val="24"/>
                <w:lang w:val="en-GB" w:eastAsia="zh-CN"/>
              </w:rPr>
              <w:t>差</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sz w:val="24"/>
                <w:lang w:val="en-GB"/>
              </w:rPr>
              <w:t>。</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sz w:val="24"/>
                <w:lang w:val="en-US" w:eastAsia="zh-CN"/>
              </w:rPr>
              <w:t>3</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3"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120" w:type="dxa"/>
            <w:vMerge w:val="continue"/>
            <w:tcBorders>
              <w:tl2br w:val="nil"/>
              <w:tr2bl w:val="nil"/>
            </w:tcBorders>
            <w:vAlign w:val="center"/>
          </w:tcPr>
          <w:p>
            <w:pPr>
              <w:jc w:val="center"/>
              <w:rPr>
                <w:rFonts w:hint="eastAsia" w:ascii="仿宋" w:hAnsi="仿宋" w:eastAsia="仿宋" w:cs="仿宋"/>
                <w:sz w:val="24"/>
              </w:rPr>
            </w:pP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针对照明设施突发事故，是否建立应急响应方案，方案责任分工是否明确、具有可操作性。</w:t>
            </w:r>
          </w:p>
          <w:p>
            <w:pPr>
              <w:jc w:val="left"/>
              <w:rPr>
                <w:rFonts w:hint="eastAsia" w:ascii="仿宋" w:hAnsi="仿宋" w:eastAsia="仿宋" w:cs="仿宋"/>
                <w:sz w:val="24"/>
              </w:rPr>
            </w:pPr>
            <w:r>
              <w:rPr>
                <w:rFonts w:hint="eastAsia" w:ascii="仿宋" w:hAnsi="仿宋" w:eastAsia="仿宋" w:cs="仿宋"/>
                <w:color w:val="auto"/>
                <w:kern w:val="0"/>
                <w:sz w:val="24"/>
                <w:szCs w:val="24"/>
                <w:highlight w:val="none"/>
              </w:rPr>
              <w:t>方案内容完整且</w:t>
            </w:r>
            <w:r>
              <w:rPr>
                <w:rFonts w:hint="eastAsia" w:ascii="仿宋" w:hAnsi="仿宋" w:eastAsia="仿宋" w:cs="仿宋"/>
                <w:sz w:val="24"/>
                <w:lang w:val="en-GB"/>
              </w:rPr>
              <w:t>针对性及可操作性</w:t>
            </w:r>
            <w:r>
              <w:rPr>
                <w:rFonts w:hint="eastAsia" w:ascii="仿宋" w:hAnsi="仿宋" w:eastAsia="仿宋" w:cs="仿宋"/>
                <w:color w:val="auto"/>
                <w:kern w:val="0"/>
                <w:sz w:val="24"/>
                <w:szCs w:val="24"/>
                <w:highlight w:val="none"/>
              </w:rPr>
              <w:t>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w:t>
            </w:r>
            <w:r>
              <w:rPr>
                <w:rFonts w:hint="eastAsia" w:ascii="仿宋" w:hAnsi="仿宋" w:eastAsia="仿宋" w:cs="仿宋"/>
                <w:sz w:val="24"/>
                <w:lang w:val="en-GB"/>
              </w:rPr>
              <w:t>针对性及可操作性</w:t>
            </w:r>
            <w:r>
              <w:rPr>
                <w:rFonts w:hint="eastAsia" w:ascii="仿宋" w:hAnsi="仿宋" w:eastAsia="仿宋" w:cs="仿宋"/>
                <w:color w:val="auto"/>
                <w:kern w:val="0"/>
                <w:sz w:val="24"/>
                <w:szCs w:val="24"/>
                <w:highlight w:val="none"/>
              </w:rPr>
              <w:t>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w:t>
            </w:r>
            <w:r>
              <w:rPr>
                <w:rFonts w:hint="eastAsia" w:ascii="仿宋" w:hAnsi="仿宋" w:eastAsia="仿宋" w:cs="仿宋"/>
                <w:sz w:val="24"/>
                <w:lang w:val="en-GB"/>
              </w:rPr>
              <w:t>针对性及可操作性</w:t>
            </w:r>
            <w:r>
              <w:rPr>
                <w:rFonts w:hint="eastAsia" w:ascii="仿宋" w:hAnsi="仿宋" w:eastAsia="仿宋" w:cs="仿宋"/>
                <w:sz w:val="24"/>
                <w:lang w:val="en-GB" w:eastAsia="zh-CN"/>
              </w:rPr>
              <w:t>差</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sz w:val="24"/>
                <w:lang w:val="en-GB"/>
              </w:rPr>
              <w:t>。</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sz w:val="24"/>
                <w:lang w:val="en-US" w:eastAsia="zh-CN"/>
              </w:rPr>
              <w:t>3</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12</w:t>
            </w:r>
          </w:p>
        </w:tc>
        <w:tc>
          <w:tcPr>
            <w:tcW w:w="1120" w:type="dxa"/>
            <w:tcBorders>
              <w:tl2br w:val="nil"/>
              <w:tr2bl w:val="nil"/>
            </w:tcBorders>
            <w:vAlign w:val="center"/>
          </w:tcPr>
          <w:p>
            <w:pPr>
              <w:jc w:val="center"/>
              <w:rPr>
                <w:rFonts w:hint="eastAsia" w:ascii="仿宋" w:hAnsi="仿宋" w:eastAsia="仿宋" w:cs="仿宋"/>
                <w:sz w:val="24"/>
                <w:lang w:val="en-GB"/>
              </w:rPr>
            </w:pPr>
            <w:r>
              <w:rPr>
                <w:rFonts w:hint="eastAsia" w:ascii="仿宋" w:hAnsi="仿宋" w:eastAsia="仿宋" w:cs="仿宋"/>
                <w:sz w:val="24"/>
                <w:lang w:val="en-GB"/>
              </w:rPr>
              <w:t>宣传</w:t>
            </w:r>
          </w:p>
          <w:p>
            <w:pPr>
              <w:jc w:val="center"/>
              <w:rPr>
                <w:rFonts w:hint="eastAsia" w:ascii="仿宋" w:hAnsi="仿宋" w:eastAsia="仿宋" w:cs="仿宋"/>
                <w:sz w:val="24"/>
              </w:rPr>
            </w:pPr>
            <w:r>
              <w:rPr>
                <w:rFonts w:hint="eastAsia" w:ascii="仿宋" w:hAnsi="仿宋" w:eastAsia="仿宋" w:cs="仿宋"/>
                <w:sz w:val="24"/>
                <w:lang w:val="en-GB"/>
              </w:rPr>
              <w:t>方案</w:t>
            </w:r>
          </w:p>
        </w:tc>
        <w:tc>
          <w:tcPr>
            <w:tcW w:w="5178" w:type="dxa"/>
            <w:tcBorders>
              <w:tl2br w:val="nil"/>
              <w:tr2bl w:val="nil"/>
            </w:tcBorders>
            <w:vAlign w:val="center"/>
          </w:tcPr>
          <w:p>
            <w:pPr>
              <w:jc w:val="left"/>
              <w:rPr>
                <w:rFonts w:hint="eastAsia" w:ascii="仿宋" w:hAnsi="仿宋" w:eastAsia="仿宋" w:cs="仿宋"/>
                <w:sz w:val="24"/>
                <w:lang w:val="en-GB"/>
              </w:rPr>
            </w:pPr>
            <w:r>
              <w:rPr>
                <w:rFonts w:hint="eastAsia" w:ascii="仿宋" w:hAnsi="仿宋" w:eastAsia="仿宋" w:cs="仿宋"/>
                <w:sz w:val="24"/>
                <w:lang w:val="en-GB"/>
              </w:rPr>
              <w:t>是否根据本项目特点制定城市照明的宣传方案，方案全面、可行。</w:t>
            </w:r>
          </w:p>
          <w:p>
            <w:pPr>
              <w:jc w:val="left"/>
              <w:rPr>
                <w:rFonts w:hint="eastAsia" w:ascii="仿宋" w:hAnsi="仿宋" w:eastAsia="仿宋" w:cs="仿宋"/>
                <w:sz w:val="24"/>
              </w:rPr>
            </w:pPr>
            <w:r>
              <w:rPr>
                <w:rFonts w:hint="eastAsia" w:ascii="仿宋" w:hAnsi="仿宋" w:eastAsia="仿宋" w:cs="仿宋"/>
                <w:color w:val="auto"/>
                <w:kern w:val="0"/>
                <w:sz w:val="24"/>
                <w:szCs w:val="24"/>
                <w:highlight w:val="none"/>
              </w:rPr>
              <w:t>方案内容完整且</w:t>
            </w:r>
            <w:r>
              <w:rPr>
                <w:rFonts w:hint="eastAsia" w:ascii="仿宋" w:hAnsi="仿宋" w:eastAsia="仿宋" w:cs="仿宋"/>
                <w:sz w:val="24"/>
                <w:lang w:val="en-GB"/>
              </w:rPr>
              <w:t>针对性及可操作性</w:t>
            </w:r>
            <w:r>
              <w:rPr>
                <w:rFonts w:hint="eastAsia" w:ascii="仿宋" w:hAnsi="仿宋" w:eastAsia="仿宋" w:cs="仿宋"/>
                <w:color w:val="auto"/>
                <w:kern w:val="0"/>
                <w:sz w:val="24"/>
                <w:szCs w:val="24"/>
                <w:highlight w:val="none"/>
              </w:rPr>
              <w:t>好的得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分；方案内容存在欠缺或</w:t>
            </w:r>
            <w:r>
              <w:rPr>
                <w:rFonts w:hint="eastAsia" w:ascii="仿宋" w:hAnsi="仿宋" w:eastAsia="仿宋" w:cs="仿宋"/>
                <w:sz w:val="24"/>
                <w:lang w:val="en-GB"/>
              </w:rPr>
              <w:t>针对性及可操作性</w:t>
            </w:r>
            <w:r>
              <w:rPr>
                <w:rFonts w:hint="eastAsia" w:ascii="仿宋" w:hAnsi="仿宋" w:eastAsia="仿宋" w:cs="仿宋"/>
                <w:color w:val="auto"/>
                <w:kern w:val="0"/>
                <w:sz w:val="24"/>
                <w:szCs w:val="24"/>
                <w:highlight w:val="none"/>
              </w:rPr>
              <w:t>一般的得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分；方案内容缺失严重或</w:t>
            </w:r>
            <w:r>
              <w:rPr>
                <w:rFonts w:hint="eastAsia" w:ascii="仿宋" w:hAnsi="仿宋" w:eastAsia="仿宋" w:cs="仿宋"/>
                <w:sz w:val="24"/>
                <w:lang w:val="en-GB"/>
              </w:rPr>
              <w:t>针对性及可操作性</w:t>
            </w:r>
            <w:r>
              <w:rPr>
                <w:rFonts w:hint="eastAsia" w:ascii="仿宋" w:hAnsi="仿宋" w:eastAsia="仿宋" w:cs="仿宋"/>
                <w:sz w:val="24"/>
                <w:lang w:val="en-GB" w:eastAsia="zh-CN"/>
              </w:rPr>
              <w:t>差</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sz w:val="24"/>
                <w:lang w:val="en-GB"/>
              </w:rPr>
              <w:t>。</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sz w:val="24"/>
                <w:lang w:val="en-US" w:eastAsia="zh-CN"/>
              </w:rPr>
              <w:t>2</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120" w:type="dxa"/>
            <w:tcBorders>
              <w:tl2br w:val="nil"/>
              <w:tr2bl w:val="nil"/>
            </w:tcBorders>
            <w:vAlign w:val="center"/>
          </w:tcPr>
          <w:p>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sz w:val="24"/>
              </w:rPr>
            </w:pPr>
            <w:r>
              <w:rPr>
                <w:rFonts w:hint="eastAsia" w:ascii="仿宋" w:hAnsi="仿宋" w:eastAsia="仿宋" w:cs="仿宋"/>
                <w:sz w:val="24"/>
                <w:lang w:val="en-GB"/>
              </w:rPr>
              <w:t>企业投入机具设备情况</w:t>
            </w:r>
          </w:p>
        </w:tc>
        <w:tc>
          <w:tcPr>
            <w:tcW w:w="5178" w:type="dxa"/>
            <w:tcBorders>
              <w:tl2br w:val="nil"/>
              <w:tr2bl w:val="nil"/>
            </w:tcBorders>
            <w:vAlign w:val="center"/>
          </w:tcPr>
          <w:p>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日常养护设备：</w:t>
            </w:r>
          </w:p>
          <w:p>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（1）配置18米及以上登高车，每提供1辆得1分，最高得2分；配置</w:t>
            </w:r>
            <w:r>
              <w:rPr>
                <w:rFonts w:hint="eastAsia" w:ascii="仿宋" w:hAnsi="仿宋" w:eastAsia="仿宋" w:cs="仿宋"/>
                <w:sz w:val="24"/>
                <w:lang w:val="en-GB"/>
              </w:rPr>
              <w:t>14米</w:t>
            </w:r>
            <w:r>
              <w:rPr>
                <w:rFonts w:hint="eastAsia" w:ascii="仿宋" w:hAnsi="仿宋" w:eastAsia="仿宋" w:cs="仿宋"/>
                <w:sz w:val="24"/>
                <w:lang w:val="en-US" w:eastAsia="zh-CN"/>
              </w:rPr>
              <w:t>及以上</w:t>
            </w:r>
            <w:r>
              <w:rPr>
                <w:rFonts w:hint="eastAsia" w:ascii="仿宋" w:hAnsi="仿宋" w:eastAsia="仿宋" w:cs="仿宋"/>
                <w:sz w:val="24"/>
                <w:lang w:val="en-GB"/>
              </w:rPr>
              <w:t>登高车</w:t>
            </w:r>
            <w:r>
              <w:rPr>
                <w:rFonts w:hint="eastAsia" w:ascii="仿宋" w:hAnsi="仿宋" w:eastAsia="仿宋" w:cs="仿宋"/>
                <w:sz w:val="24"/>
                <w:lang w:val="en-GB" w:eastAsia="zh-CN"/>
              </w:rPr>
              <w:t>，</w:t>
            </w:r>
            <w:r>
              <w:rPr>
                <w:rFonts w:hint="eastAsia" w:ascii="仿宋" w:hAnsi="仿宋" w:eastAsia="仿宋" w:cs="仿宋"/>
                <w:sz w:val="24"/>
                <w:lang w:val="en-US" w:eastAsia="zh-CN"/>
              </w:rPr>
              <w:t>每提供1辆</w:t>
            </w:r>
            <w:r>
              <w:rPr>
                <w:rFonts w:hint="eastAsia" w:ascii="仿宋" w:hAnsi="仿宋" w:eastAsia="仿宋" w:cs="仿宋"/>
                <w:sz w:val="24"/>
                <w:lang w:val="en-GB"/>
              </w:rPr>
              <w:t>得1分，最高得</w:t>
            </w:r>
            <w:r>
              <w:rPr>
                <w:rFonts w:hint="eastAsia" w:ascii="仿宋" w:hAnsi="仿宋" w:eastAsia="仿宋" w:cs="仿宋"/>
                <w:sz w:val="24"/>
                <w:lang w:val="en-US" w:eastAsia="zh-CN"/>
              </w:rPr>
              <w:t>2</w:t>
            </w:r>
            <w:r>
              <w:rPr>
                <w:rFonts w:hint="eastAsia" w:ascii="仿宋" w:hAnsi="仿宋" w:eastAsia="仿宋" w:cs="仿宋"/>
                <w:sz w:val="24"/>
                <w:lang w:val="en-GB"/>
              </w:rPr>
              <w:t>分；</w:t>
            </w:r>
            <w:r>
              <w:rPr>
                <w:rFonts w:hint="eastAsia" w:ascii="仿宋" w:hAnsi="仿宋" w:eastAsia="仿宋" w:cs="仿宋"/>
                <w:sz w:val="24"/>
                <w:lang w:val="en-US" w:eastAsia="zh-CN"/>
              </w:rPr>
              <w:t>额外再提供</w:t>
            </w:r>
            <w:r>
              <w:rPr>
                <w:rFonts w:hint="eastAsia" w:ascii="仿宋" w:hAnsi="仿宋" w:eastAsia="仿宋" w:cs="仿宋"/>
                <w:sz w:val="24"/>
                <w:lang w:val="en-GB"/>
              </w:rPr>
              <w:t>30米以上登高设备得</w:t>
            </w:r>
            <w:r>
              <w:rPr>
                <w:rFonts w:hint="eastAsia" w:ascii="仿宋" w:hAnsi="仿宋" w:eastAsia="仿宋" w:cs="仿宋"/>
                <w:sz w:val="24"/>
                <w:lang w:val="en-US" w:eastAsia="zh-CN"/>
              </w:rPr>
              <w:t>1</w:t>
            </w:r>
            <w:r>
              <w:rPr>
                <w:rFonts w:hint="eastAsia" w:ascii="仿宋" w:hAnsi="仿宋" w:eastAsia="仿宋" w:cs="仿宋"/>
                <w:sz w:val="24"/>
                <w:lang w:val="en-GB"/>
              </w:rPr>
              <w:t>分（</w:t>
            </w:r>
            <w:r>
              <w:rPr>
                <w:rFonts w:hint="eastAsia" w:ascii="仿宋" w:hAnsi="仿宋" w:eastAsia="仿宋" w:cs="仿宋"/>
                <w:sz w:val="24"/>
                <w:lang w:val="en-US" w:eastAsia="zh-CN"/>
              </w:rPr>
              <w:t>5</w:t>
            </w:r>
            <w:r>
              <w:rPr>
                <w:rFonts w:hint="eastAsia" w:ascii="仿宋" w:hAnsi="仿宋" w:eastAsia="仿宋" w:cs="仿宋"/>
                <w:sz w:val="24"/>
                <w:lang w:val="en-GB"/>
              </w:rPr>
              <w:t>分）</w:t>
            </w:r>
          </w:p>
          <w:p>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GB" w:eastAsia="zh-CN"/>
              </w:rPr>
              <w:t>（</w:t>
            </w:r>
            <w:r>
              <w:rPr>
                <w:rFonts w:hint="eastAsia" w:ascii="仿宋" w:hAnsi="仿宋" w:eastAsia="仿宋" w:cs="仿宋"/>
                <w:sz w:val="24"/>
                <w:lang w:val="en-US" w:eastAsia="zh-CN"/>
              </w:rPr>
              <w:t>2）</w:t>
            </w:r>
            <w:r>
              <w:rPr>
                <w:rFonts w:hint="eastAsia" w:ascii="仿宋" w:hAnsi="仿宋" w:eastAsia="仿宋" w:cs="仿宋"/>
                <w:sz w:val="24"/>
                <w:lang w:val="en-GB"/>
              </w:rPr>
              <w:t>配置巡查皮卡车</w:t>
            </w:r>
            <w:r>
              <w:rPr>
                <w:rFonts w:hint="eastAsia" w:ascii="仿宋" w:hAnsi="仿宋" w:eastAsia="仿宋" w:cs="仿宋"/>
                <w:sz w:val="24"/>
                <w:lang w:val="en-GB" w:eastAsia="zh-CN"/>
              </w:rPr>
              <w:t>，</w:t>
            </w:r>
            <w:r>
              <w:rPr>
                <w:rFonts w:hint="eastAsia" w:ascii="仿宋" w:hAnsi="仿宋" w:eastAsia="仿宋" w:cs="仿宋"/>
                <w:sz w:val="24"/>
                <w:lang w:val="en-US" w:eastAsia="zh-CN"/>
              </w:rPr>
              <w:t>每提供1辆得1分，最高得3分。</w:t>
            </w:r>
            <w:r>
              <w:rPr>
                <w:rFonts w:hint="eastAsia" w:ascii="仿宋" w:hAnsi="仿宋" w:eastAsia="仿宋" w:cs="仿宋"/>
                <w:sz w:val="24"/>
                <w:lang w:val="en-GB"/>
              </w:rPr>
              <w:t>（</w:t>
            </w:r>
            <w:r>
              <w:rPr>
                <w:rFonts w:hint="eastAsia" w:ascii="仿宋" w:hAnsi="仿宋" w:eastAsia="仿宋" w:cs="仿宋"/>
                <w:sz w:val="24"/>
                <w:lang w:val="en-US" w:eastAsia="zh-CN"/>
              </w:rPr>
              <w:t>3</w:t>
            </w:r>
            <w:r>
              <w:rPr>
                <w:rFonts w:hint="eastAsia" w:ascii="仿宋" w:hAnsi="仿宋" w:eastAsia="仿宋" w:cs="仿宋"/>
                <w:sz w:val="24"/>
                <w:lang w:val="en-GB"/>
              </w:rPr>
              <w:t>分）</w:t>
            </w:r>
          </w:p>
          <w:p>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（3）应急设备：为确保本项目的应急抢险作业，要求有用于应急保障的工程救险的车辆（机动车行驶证上的使用性质为工程救（抢）险且车辆行驶证上车辆核定</w:t>
            </w:r>
            <w:r>
              <w:rPr>
                <w:rFonts w:hint="eastAsia" w:ascii="仿宋" w:hAnsi="仿宋" w:eastAsia="仿宋" w:cs="仿宋"/>
                <w:sz w:val="24"/>
                <w:highlight w:val="none"/>
                <w:lang w:val="en-US" w:eastAsia="zh-CN"/>
              </w:rPr>
              <w:t>载质量≥10吨的），其中一辆有吊机功能，达到4辆及以上的得2分，6辆及以上得4分，8辆及以上得6分。（6分）</w:t>
            </w:r>
          </w:p>
          <w:p>
            <w:pPr>
              <w:pStyle w:val="23"/>
              <w:keepNext w:val="0"/>
              <w:keepLines w:val="0"/>
              <w:pageBreakBefore w:val="0"/>
              <w:widowControl w:val="0"/>
              <w:kinsoku/>
              <w:wordWrap/>
              <w:overflowPunct/>
              <w:topLinePunct w:val="0"/>
              <w:bidi w:val="0"/>
              <w:adjustRightInd w:val="0"/>
              <w:snapToGrid/>
              <w:spacing w:line="240" w:lineRule="auto"/>
              <w:textAlignment w:val="auto"/>
              <w:rPr>
                <w:rFonts w:hint="eastAsia" w:ascii="仿宋" w:hAnsi="仿宋" w:eastAsia="仿宋" w:cs="仿宋"/>
                <w:lang w:val="en-US" w:eastAsia="zh-CN"/>
              </w:rPr>
            </w:pPr>
            <w:r>
              <w:rPr>
                <w:rFonts w:hint="eastAsia" w:ascii="仿宋" w:hAnsi="仿宋" w:eastAsia="仿宋" w:cs="仿宋"/>
                <w:sz w:val="24"/>
                <w:lang w:val="en-US" w:eastAsia="zh-CN"/>
              </w:rPr>
              <w:t>（4）配置功率在60KW及以上应急发电机或发电车辆等移动式发电设备，每提供一款得1分，最高得2分。（2分）</w:t>
            </w:r>
          </w:p>
          <w:p>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 w:hAnsi="仿宋" w:eastAsia="仿宋" w:cs="仿宋"/>
                <w:sz w:val="24"/>
              </w:rPr>
            </w:pPr>
            <w:r>
              <w:rPr>
                <w:rFonts w:hint="eastAsia" w:ascii="仿宋" w:hAnsi="仿宋" w:eastAsia="仿宋" w:cs="仿宋"/>
                <w:sz w:val="24"/>
                <w:lang w:val="en-GB"/>
              </w:rPr>
              <w:t>注：以上车辆需提供车辆行驶证扫描件，车辆购置发票扫描件</w:t>
            </w:r>
            <w:r>
              <w:rPr>
                <w:rFonts w:hint="eastAsia" w:ascii="仿宋" w:hAnsi="仿宋" w:eastAsia="仿宋" w:cs="仿宋"/>
                <w:sz w:val="24"/>
                <w:lang w:val="en-GB" w:eastAsia="zh-CN"/>
              </w:rPr>
              <w:t>，</w:t>
            </w:r>
            <w:r>
              <w:rPr>
                <w:rFonts w:hint="eastAsia" w:ascii="仿宋" w:hAnsi="仿宋" w:eastAsia="仿宋" w:cs="仿宋"/>
                <w:sz w:val="24"/>
                <w:lang w:val="en-US" w:eastAsia="zh-CN"/>
              </w:rPr>
              <w:t>车辆外观照片</w:t>
            </w:r>
            <w:r>
              <w:rPr>
                <w:rFonts w:hint="eastAsia" w:ascii="仿宋" w:hAnsi="仿宋" w:eastAsia="仿宋" w:cs="仿宋"/>
                <w:sz w:val="24"/>
                <w:lang w:val="en-GB" w:eastAsia="zh-CN"/>
              </w:rPr>
              <w:t>；</w:t>
            </w:r>
            <w:r>
              <w:rPr>
                <w:rFonts w:hint="eastAsia" w:ascii="仿宋" w:hAnsi="仿宋" w:eastAsia="仿宋" w:cs="仿宋"/>
                <w:sz w:val="24"/>
                <w:lang w:val="en-US" w:eastAsia="zh-CN"/>
              </w:rPr>
              <w:t>登高设备提供设备外观照片和设备购置发票扫描件；</w:t>
            </w:r>
            <w:r>
              <w:rPr>
                <w:rFonts w:hint="eastAsia" w:ascii="仿宋" w:hAnsi="仿宋" w:eastAsia="仿宋" w:cs="仿宋"/>
                <w:sz w:val="24"/>
                <w:lang w:val="en-GB"/>
              </w:rPr>
              <w:t>租赁的车辆设备除提供上述资料外</w:t>
            </w:r>
            <w:r>
              <w:rPr>
                <w:rFonts w:hint="eastAsia" w:ascii="仿宋" w:hAnsi="仿宋" w:eastAsia="仿宋" w:cs="仿宋"/>
                <w:sz w:val="24"/>
                <w:lang w:val="en-US" w:eastAsia="zh-CN"/>
              </w:rPr>
              <w:t>还</w:t>
            </w:r>
            <w:r>
              <w:rPr>
                <w:rFonts w:hint="eastAsia" w:ascii="仿宋" w:hAnsi="仿宋" w:eastAsia="仿宋" w:cs="仿宋"/>
                <w:sz w:val="24"/>
                <w:lang w:val="en-GB"/>
              </w:rPr>
              <w:t>需提供租赁合同</w:t>
            </w:r>
            <w:r>
              <w:rPr>
                <w:rFonts w:hint="eastAsia" w:ascii="仿宋" w:hAnsi="仿宋" w:eastAsia="仿宋" w:cs="仿宋"/>
                <w:sz w:val="24"/>
                <w:lang w:val="en-GB" w:eastAsia="zh-CN"/>
              </w:rPr>
              <w:t>，且需明确在合同期内归项目使用。</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sz w:val="24"/>
                <w:lang w:val="en-US" w:eastAsia="zh-CN"/>
              </w:rPr>
              <w:t>16</w:t>
            </w:r>
            <w:r>
              <w:rPr>
                <w:rFonts w:hint="eastAsia" w:ascii="仿宋" w:hAnsi="仿宋" w:eastAsia="仿宋" w:cs="仿宋"/>
                <w:sz w:val="24"/>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03" w:type="dxa"/>
            <w:vMerge w:val="restart"/>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14</w:t>
            </w:r>
          </w:p>
        </w:tc>
        <w:tc>
          <w:tcPr>
            <w:tcW w:w="1120" w:type="dxa"/>
            <w:vMerge w:val="restart"/>
            <w:tcBorders>
              <w:tl2br w:val="nil"/>
              <w:tr2bl w:val="nil"/>
            </w:tcBorders>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项目组成员情况</w:t>
            </w:r>
          </w:p>
        </w:tc>
        <w:tc>
          <w:tcPr>
            <w:tcW w:w="5178" w:type="dxa"/>
            <w:tcBorders>
              <w:tl2br w:val="nil"/>
              <w:tr2bl w:val="nil"/>
            </w:tcBorders>
            <w:vAlign w:val="center"/>
          </w:tcPr>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项目负责人：</w:t>
            </w:r>
          </w:p>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项目负责人满足具备工程师及以上职称，国家注册二级建造师(机电工程或市政公用工程专业)资格，本科及以上学历</w:t>
            </w:r>
            <w:r>
              <w:rPr>
                <w:rFonts w:hint="eastAsia" w:ascii="仿宋" w:hAnsi="仿宋" w:eastAsia="仿宋" w:cs="仿宋"/>
                <w:sz w:val="24"/>
                <w:highlight w:val="none"/>
                <w:lang w:val="en-US" w:eastAsia="zh-CN"/>
              </w:rPr>
              <w:t>的得2分</w:t>
            </w:r>
            <w:r>
              <w:rPr>
                <w:rFonts w:hint="eastAsia" w:ascii="仿宋" w:hAnsi="仿宋" w:eastAsia="仿宋" w:cs="仿宋"/>
                <w:sz w:val="24"/>
                <w:highlight w:val="none"/>
              </w:rPr>
              <w:t>；具备国家</w:t>
            </w:r>
            <w:r>
              <w:rPr>
                <w:rFonts w:hint="eastAsia" w:ascii="仿宋" w:hAnsi="仿宋" w:eastAsia="仿宋" w:cs="仿宋"/>
                <w:sz w:val="24"/>
                <w:highlight w:val="none"/>
                <w:lang w:val="en-GB"/>
              </w:rPr>
              <w:t>注册</w:t>
            </w:r>
            <w:r>
              <w:rPr>
                <w:rFonts w:hint="eastAsia" w:ascii="仿宋" w:hAnsi="仿宋" w:eastAsia="仿宋" w:cs="仿宋"/>
                <w:sz w:val="24"/>
                <w:highlight w:val="none"/>
              </w:rPr>
              <w:t>一级建造师(机电工程或市政公用工程专业)的加</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p>
            <w:pPr>
              <w:jc w:val="left"/>
              <w:rPr>
                <w:rFonts w:hint="eastAsia" w:ascii="仿宋" w:hAnsi="仿宋" w:eastAsia="仿宋" w:cs="仿宋"/>
                <w:sz w:val="24"/>
                <w:highlight w:val="none"/>
                <w:lang w:val="en-GB" w:eastAsia="zh-CN"/>
              </w:rPr>
            </w:pPr>
            <w:r>
              <w:rPr>
                <w:rFonts w:hint="eastAsia" w:ascii="仿宋" w:hAnsi="仿宋" w:eastAsia="仿宋" w:cs="仿宋"/>
                <w:sz w:val="24"/>
                <w:highlight w:val="none"/>
                <w:lang w:val="en-US" w:eastAsia="zh-CN"/>
              </w:rPr>
              <w:t>（2）项目负责人有连续三年（含）及以上照明设施养护项目或包含照明设施内容得养护项目经历的得2分，需为项目负责人岗位参与，其他岗位参与不得分。</w:t>
            </w:r>
          </w:p>
          <w:p>
            <w:pPr>
              <w:jc w:val="left"/>
              <w:rPr>
                <w:rFonts w:hint="eastAsia" w:ascii="仿宋" w:hAnsi="仿宋" w:eastAsia="仿宋" w:cs="仿宋"/>
                <w:sz w:val="24"/>
                <w:highlight w:val="none"/>
              </w:rPr>
            </w:pPr>
            <w:r>
              <w:rPr>
                <w:rFonts w:hint="eastAsia" w:ascii="仿宋" w:hAnsi="仿宋" w:eastAsia="仿宋" w:cs="仿宋"/>
                <w:sz w:val="24"/>
                <w:highlight w:val="none"/>
              </w:rPr>
              <w:t>提供相关资质证书、毕业证书、近6个月社会保险证明，未能提供不得分。不得与其他岗位兼职，否则本项不得分。一个职位不可兼任。</w:t>
            </w:r>
            <w:r>
              <w:rPr>
                <w:rFonts w:hint="eastAsia" w:ascii="仿宋" w:hAnsi="仿宋" w:eastAsia="仿宋" w:cs="仿宋"/>
                <w:sz w:val="24"/>
                <w:highlight w:val="none"/>
                <w:lang w:val="en-GB"/>
              </w:rPr>
              <w:t>（0-</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en-GB"/>
              </w:rPr>
              <w:t>分）</w:t>
            </w:r>
          </w:p>
        </w:tc>
        <w:tc>
          <w:tcPr>
            <w:tcW w:w="809" w:type="dxa"/>
            <w:vMerge w:val="restart"/>
            <w:tcBorders>
              <w:tl2br w:val="nil"/>
              <w:tr2bl w:val="nil"/>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0-13分</w:t>
            </w:r>
          </w:p>
        </w:tc>
        <w:tc>
          <w:tcPr>
            <w:tcW w:w="727" w:type="dxa"/>
            <w:vMerge w:val="restar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03" w:type="dxa"/>
            <w:vMerge w:val="continue"/>
            <w:tcBorders>
              <w:tl2br w:val="nil"/>
              <w:tr2bl w:val="nil"/>
            </w:tcBorders>
            <w:vAlign w:val="center"/>
          </w:tcPr>
          <w:p>
            <w:pPr>
              <w:jc w:val="center"/>
              <w:rPr>
                <w:rFonts w:hint="eastAsia" w:ascii="仿宋" w:hAnsi="仿宋" w:eastAsia="仿宋" w:cs="仿宋"/>
                <w:sz w:val="24"/>
              </w:rPr>
            </w:pPr>
          </w:p>
        </w:tc>
        <w:tc>
          <w:tcPr>
            <w:tcW w:w="1120" w:type="dxa"/>
            <w:vMerge w:val="continue"/>
            <w:tcBorders>
              <w:tl2br w:val="nil"/>
              <w:tr2bl w:val="nil"/>
            </w:tcBorders>
            <w:vAlign w:val="center"/>
          </w:tcPr>
          <w:p>
            <w:pPr>
              <w:jc w:val="center"/>
              <w:rPr>
                <w:rFonts w:hint="eastAsia" w:ascii="仿宋" w:hAnsi="仿宋" w:eastAsia="仿宋" w:cs="仿宋"/>
                <w:sz w:val="24"/>
              </w:rPr>
            </w:pPr>
          </w:p>
        </w:tc>
        <w:tc>
          <w:tcPr>
            <w:tcW w:w="5178" w:type="dxa"/>
            <w:tcBorders>
              <w:tl2br w:val="nil"/>
              <w:tr2bl w:val="nil"/>
            </w:tcBorders>
            <w:vAlign w:val="center"/>
          </w:tcPr>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项目技术负责人：（1）</w:t>
            </w:r>
            <w:r>
              <w:rPr>
                <w:rFonts w:hint="eastAsia" w:ascii="仿宋" w:hAnsi="仿宋" w:eastAsia="仿宋" w:cs="仿宋"/>
                <w:sz w:val="24"/>
                <w:highlight w:val="none"/>
                <w:lang w:val="en-GB"/>
              </w:rPr>
              <w:t>项目技术</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rPr>
              <w:t>具有国家</w:t>
            </w:r>
            <w:r>
              <w:rPr>
                <w:rFonts w:hint="eastAsia" w:ascii="仿宋" w:hAnsi="仿宋" w:eastAsia="仿宋" w:cs="仿宋"/>
                <w:sz w:val="24"/>
                <w:highlight w:val="none"/>
                <w:lang w:val="en-GB"/>
              </w:rPr>
              <w:t>注册</w:t>
            </w:r>
            <w:r>
              <w:rPr>
                <w:rFonts w:hint="eastAsia" w:ascii="仿宋" w:hAnsi="仿宋" w:eastAsia="仿宋" w:cs="仿宋"/>
                <w:sz w:val="24"/>
                <w:highlight w:val="none"/>
              </w:rPr>
              <w:t>一级建造师(机电工程或市政公用工程专业)，并有</w:t>
            </w:r>
            <w:r>
              <w:rPr>
                <w:rFonts w:hint="eastAsia" w:ascii="仿宋" w:hAnsi="仿宋" w:eastAsia="仿宋" w:cs="仿宋"/>
                <w:sz w:val="24"/>
                <w:highlight w:val="none"/>
                <w:lang w:val="en-US" w:eastAsia="zh-CN"/>
              </w:rPr>
              <w:t>专科</w:t>
            </w:r>
            <w:r>
              <w:rPr>
                <w:rFonts w:hint="eastAsia" w:ascii="仿宋" w:hAnsi="仿宋" w:eastAsia="仿宋" w:cs="仿宋"/>
                <w:sz w:val="24"/>
                <w:highlight w:val="none"/>
              </w:rPr>
              <w:t>及以上学历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得1分。</w:t>
            </w:r>
          </w:p>
          <w:p>
            <w:pPr>
              <w:jc w:val="left"/>
              <w:rPr>
                <w:rFonts w:hint="eastAsia" w:ascii="仿宋" w:hAnsi="仿宋" w:eastAsia="仿宋" w:cs="仿宋"/>
                <w:sz w:val="24"/>
                <w:highlight w:val="none"/>
              </w:rPr>
            </w:pPr>
            <w:r>
              <w:rPr>
                <w:rFonts w:hint="eastAsia" w:ascii="仿宋" w:hAnsi="仿宋" w:eastAsia="仿宋" w:cs="仿宋"/>
                <w:sz w:val="24"/>
                <w:highlight w:val="none"/>
              </w:rPr>
              <w:t>提供相关资质证书、毕业证书、近6个月社会保险证明，未能提供不得分。不得与其他岗位兼职，否则本项不得分。一个职位不可兼任。</w:t>
            </w:r>
            <w:r>
              <w:rPr>
                <w:rFonts w:hint="eastAsia" w:ascii="仿宋" w:hAnsi="仿宋" w:eastAsia="仿宋" w:cs="仿宋"/>
                <w:sz w:val="24"/>
                <w:highlight w:val="none"/>
                <w:lang w:val="en-GB"/>
              </w:rPr>
              <w:t>（</w:t>
            </w:r>
            <w:r>
              <w:rPr>
                <w:rFonts w:hint="eastAsia" w:ascii="仿宋" w:hAnsi="仿宋" w:eastAsia="仿宋" w:cs="仿宋"/>
                <w:sz w:val="24"/>
                <w:highlight w:val="none"/>
                <w:lang w:val="en-US" w:eastAsia="zh-CN"/>
              </w:rPr>
              <w:t>0-1</w:t>
            </w:r>
            <w:r>
              <w:rPr>
                <w:rFonts w:hint="eastAsia" w:ascii="仿宋" w:hAnsi="仿宋" w:eastAsia="仿宋" w:cs="仿宋"/>
                <w:sz w:val="24"/>
                <w:highlight w:val="none"/>
                <w:lang w:val="en-GB"/>
              </w:rPr>
              <w:t>分）</w:t>
            </w:r>
          </w:p>
        </w:tc>
        <w:tc>
          <w:tcPr>
            <w:tcW w:w="809" w:type="dxa"/>
            <w:vMerge w:val="continue"/>
            <w:tcBorders>
              <w:tl2br w:val="nil"/>
              <w:tr2bl w:val="nil"/>
            </w:tcBorders>
            <w:vAlign w:val="center"/>
          </w:tcPr>
          <w:p>
            <w:pPr>
              <w:jc w:val="center"/>
              <w:rPr>
                <w:rFonts w:hint="eastAsia" w:ascii="仿宋" w:hAnsi="仿宋" w:eastAsia="仿宋" w:cs="仿宋"/>
                <w:sz w:val="24"/>
              </w:rPr>
            </w:pPr>
          </w:p>
        </w:tc>
        <w:tc>
          <w:tcPr>
            <w:tcW w:w="727" w:type="dxa"/>
            <w:vMerge w:val="continue"/>
            <w:tcBorders>
              <w:tl2br w:val="nil"/>
              <w:tr2bl w:val="nil"/>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03" w:type="dxa"/>
            <w:vMerge w:val="continue"/>
            <w:tcBorders>
              <w:tl2br w:val="nil"/>
              <w:tr2bl w:val="nil"/>
            </w:tcBorders>
            <w:vAlign w:val="center"/>
          </w:tcPr>
          <w:p>
            <w:pPr>
              <w:jc w:val="center"/>
              <w:rPr>
                <w:rFonts w:hint="eastAsia" w:ascii="仿宋" w:hAnsi="仿宋" w:eastAsia="仿宋" w:cs="仿宋"/>
                <w:sz w:val="24"/>
              </w:rPr>
            </w:pPr>
          </w:p>
        </w:tc>
        <w:tc>
          <w:tcPr>
            <w:tcW w:w="1120" w:type="dxa"/>
            <w:vMerge w:val="continue"/>
            <w:tcBorders>
              <w:tl2br w:val="nil"/>
              <w:tr2bl w:val="nil"/>
            </w:tcBorders>
            <w:vAlign w:val="center"/>
          </w:tcPr>
          <w:p>
            <w:pPr>
              <w:jc w:val="center"/>
              <w:rPr>
                <w:rFonts w:hint="eastAsia" w:ascii="仿宋" w:hAnsi="仿宋" w:eastAsia="仿宋" w:cs="仿宋"/>
                <w:sz w:val="24"/>
              </w:rPr>
            </w:pPr>
          </w:p>
        </w:tc>
        <w:tc>
          <w:tcPr>
            <w:tcW w:w="5178" w:type="dxa"/>
            <w:tcBorders>
              <w:tl2br w:val="nil"/>
              <w:tr2bl w:val="nil"/>
            </w:tcBorders>
            <w:vAlign w:val="center"/>
          </w:tcPr>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其他管理人员：其他管理人员中有中级及以上职称人员的，每提供1个得0.5分，最高得2分。安全主管有注册安全工程师证书的得1分。</w:t>
            </w:r>
          </w:p>
          <w:p>
            <w:pPr>
              <w:jc w:val="left"/>
              <w:rPr>
                <w:rFonts w:hint="eastAsia" w:ascii="仿宋" w:hAnsi="仿宋" w:eastAsia="仿宋" w:cs="仿宋"/>
                <w:sz w:val="24"/>
                <w:highlight w:val="none"/>
              </w:rPr>
            </w:pPr>
            <w:r>
              <w:rPr>
                <w:rFonts w:hint="eastAsia" w:ascii="仿宋" w:hAnsi="仿宋" w:eastAsia="仿宋" w:cs="仿宋"/>
                <w:sz w:val="24"/>
                <w:highlight w:val="none"/>
              </w:rPr>
              <w:t>提供相关资质证书、毕业证书、近6个月社会保险证明，未能提供不得分。不得与其他岗位兼职，否则本项不得分。一个职位不可兼任。</w:t>
            </w:r>
            <w:r>
              <w:rPr>
                <w:rFonts w:hint="eastAsia" w:ascii="仿宋" w:hAnsi="仿宋" w:eastAsia="仿宋" w:cs="仿宋"/>
                <w:sz w:val="24"/>
                <w:highlight w:val="none"/>
                <w:lang w:val="en-GB"/>
              </w:rPr>
              <w:t>（0-</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en-GB"/>
              </w:rPr>
              <w:t>分）</w:t>
            </w:r>
          </w:p>
        </w:tc>
        <w:tc>
          <w:tcPr>
            <w:tcW w:w="809" w:type="dxa"/>
            <w:vMerge w:val="continue"/>
            <w:tcBorders>
              <w:tl2br w:val="nil"/>
              <w:tr2bl w:val="nil"/>
            </w:tcBorders>
            <w:vAlign w:val="center"/>
          </w:tcPr>
          <w:p>
            <w:pPr>
              <w:jc w:val="center"/>
              <w:rPr>
                <w:rFonts w:hint="eastAsia" w:ascii="仿宋" w:hAnsi="仿宋" w:eastAsia="仿宋" w:cs="仿宋"/>
                <w:sz w:val="24"/>
              </w:rPr>
            </w:pPr>
          </w:p>
        </w:tc>
        <w:tc>
          <w:tcPr>
            <w:tcW w:w="727" w:type="dxa"/>
            <w:vMerge w:val="continue"/>
            <w:tcBorders>
              <w:tl2br w:val="nil"/>
              <w:tr2bl w:val="nil"/>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03" w:type="dxa"/>
            <w:vMerge w:val="continue"/>
            <w:tcBorders>
              <w:tl2br w:val="nil"/>
              <w:tr2bl w:val="nil"/>
            </w:tcBorders>
            <w:vAlign w:val="center"/>
          </w:tcPr>
          <w:p>
            <w:pPr>
              <w:jc w:val="center"/>
              <w:rPr>
                <w:rFonts w:hint="eastAsia" w:ascii="仿宋" w:hAnsi="仿宋" w:eastAsia="仿宋" w:cs="仿宋"/>
                <w:sz w:val="24"/>
              </w:rPr>
            </w:pPr>
          </w:p>
        </w:tc>
        <w:tc>
          <w:tcPr>
            <w:tcW w:w="1120" w:type="dxa"/>
            <w:vMerge w:val="continue"/>
            <w:tcBorders>
              <w:tl2br w:val="nil"/>
              <w:tr2bl w:val="nil"/>
            </w:tcBorders>
            <w:vAlign w:val="center"/>
          </w:tcPr>
          <w:p>
            <w:pPr>
              <w:jc w:val="center"/>
              <w:rPr>
                <w:rFonts w:hint="eastAsia" w:ascii="仿宋" w:hAnsi="仿宋" w:eastAsia="仿宋" w:cs="仿宋"/>
                <w:sz w:val="24"/>
              </w:rPr>
            </w:pPr>
          </w:p>
        </w:tc>
        <w:tc>
          <w:tcPr>
            <w:tcW w:w="5178" w:type="dxa"/>
            <w:tcBorders>
              <w:tl2br w:val="nil"/>
              <w:tr2bl w:val="nil"/>
            </w:tcBorders>
            <w:vAlign w:val="center"/>
          </w:tcPr>
          <w:p>
            <w:p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班组人员：</w:t>
            </w:r>
            <w:r>
              <w:rPr>
                <w:rFonts w:hint="eastAsia" w:ascii="仿宋" w:hAnsi="仿宋" w:eastAsia="仿宋" w:cs="仿宋"/>
                <w:sz w:val="24"/>
                <w:highlight w:val="none"/>
                <w:lang w:val="en-GB"/>
              </w:rPr>
              <w:t>拟派</w:t>
            </w:r>
            <w:r>
              <w:rPr>
                <w:rFonts w:hint="eastAsia" w:ascii="仿宋" w:hAnsi="仿宋" w:eastAsia="仿宋" w:cs="仿宋"/>
                <w:sz w:val="24"/>
                <w:highlight w:val="none"/>
                <w:lang w:val="en-US" w:eastAsia="zh-CN"/>
              </w:rPr>
              <w:t>本</w:t>
            </w:r>
            <w:r>
              <w:rPr>
                <w:rFonts w:hint="eastAsia" w:ascii="仿宋" w:hAnsi="仿宋" w:eastAsia="仿宋" w:cs="仿宋"/>
                <w:sz w:val="24"/>
                <w:highlight w:val="none"/>
                <w:lang w:val="en-GB"/>
              </w:rPr>
              <w:t>项目</w:t>
            </w:r>
            <w:r>
              <w:rPr>
                <w:rFonts w:hint="eastAsia" w:ascii="仿宋" w:hAnsi="仿宋" w:eastAsia="仿宋" w:cs="仿宋"/>
                <w:sz w:val="24"/>
                <w:highlight w:val="none"/>
                <w:lang w:val="en-US" w:eastAsia="zh-CN"/>
              </w:rPr>
              <w:t>班组人员，每提供1名</w:t>
            </w:r>
            <w:r>
              <w:rPr>
                <w:rFonts w:hint="eastAsia" w:ascii="仿宋" w:hAnsi="仿宋" w:eastAsia="仿宋" w:cs="仿宋"/>
                <w:sz w:val="24"/>
                <w:highlight w:val="none"/>
                <w:lang w:val="en-GB"/>
              </w:rPr>
              <w:t>电工特种作业操作</w:t>
            </w:r>
            <w:r>
              <w:rPr>
                <w:rFonts w:hint="eastAsia" w:ascii="仿宋" w:hAnsi="仿宋" w:eastAsia="仿宋" w:cs="仿宋"/>
                <w:sz w:val="24"/>
                <w:highlight w:val="none"/>
                <w:lang w:val="en-US" w:eastAsia="zh-CN"/>
              </w:rPr>
              <w:t>人员得0.5分</w:t>
            </w:r>
            <w:bookmarkStart w:id="405" w:name="_GoBack"/>
            <w:bookmarkEnd w:id="405"/>
            <w:r>
              <w:rPr>
                <w:rFonts w:hint="eastAsia" w:ascii="仿宋" w:hAnsi="仿宋" w:eastAsia="仿宋" w:cs="仿宋"/>
                <w:sz w:val="24"/>
                <w:highlight w:val="none"/>
                <w:lang w:val="en-US" w:eastAsia="zh-CN"/>
              </w:rPr>
              <w:t>，最高得2分；每提供1名</w:t>
            </w:r>
            <w:r>
              <w:rPr>
                <w:rFonts w:hint="eastAsia" w:ascii="仿宋" w:hAnsi="仿宋" w:eastAsia="仿宋" w:cs="仿宋"/>
                <w:sz w:val="24"/>
                <w:highlight w:val="none"/>
                <w:lang w:val="en-GB"/>
              </w:rPr>
              <w:t>高空作业人员</w:t>
            </w:r>
            <w:r>
              <w:rPr>
                <w:rFonts w:hint="eastAsia" w:ascii="仿宋" w:hAnsi="仿宋" w:eastAsia="仿宋" w:cs="仿宋"/>
                <w:sz w:val="24"/>
                <w:highlight w:val="none"/>
                <w:lang w:val="en-US" w:eastAsia="zh-CN"/>
              </w:rPr>
              <w:t>得0.5分，最高得2分。</w:t>
            </w:r>
          </w:p>
          <w:p>
            <w:pPr>
              <w:jc w:val="left"/>
              <w:rPr>
                <w:rFonts w:hint="eastAsia" w:ascii="仿宋" w:hAnsi="仿宋" w:eastAsia="仿宋" w:cs="仿宋"/>
                <w:sz w:val="24"/>
                <w:highlight w:val="none"/>
              </w:rPr>
            </w:pPr>
            <w:r>
              <w:rPr>
                <w:rFonts w:hint="eastAsia" w:ascii="仿宋" w:hAnsi="仿宋" w:eastAsia="仿宋" w:cs="仿宋"/>
                <w:sz w:val="24"/>
                <w:highlight w:val="none"/>
              </w:rPr>
              <w:t>提供相关</w:t>
            </w:r>
            <w:r>
              <w:rPr>
                <w:rFonts w:hint="eastAsia" w:ascii="仿宋" w:hAnsi="仿宋" w:eastAsia="仿宋" w:cs="仿宋"/>
                <w:sz w:val="24"/>
                <w:highlight w:val="none"/>
                <w:lang w:val="en-US" w:eastAsia="zh-CN"/>
              </w:rPr>
              <w:t>证书复印件（颁发单位需为政府主管部门，否则不得分）</w:t>
            </w:r>
            <w:r>
              <w:rPr>
                <w:rFonts w:hint="eastAsia" w:ascii="仿宋" w:hAnsi="仿宋" w:eastAsia="仿宋" w:cs="仿宋"/>
                <w:sz w:val="24"/>
                <w:highlight w:val="none"/>
              </w:rPr>
              <w:t>、近6个月社会保险证明，未能提供不得分。不得与其他岗位兼职，否则本项不得分。一个职位不可兼任。</w:t>
            </w:r>
            <w:r>
              <w:rPr>
                <w:rFonts w:hint="eastAsia" w:ascii="仿宋" w:hAnsi="仿宋" w:eastAsia="仿宋" w:cs="仿宋"/>
                <w:sz w:val="24"/>
                <w:highlight w:val="none"/>
                <w:lang w:val="en-GB"/>
              </w:rPr>
              <w:t>（0-</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val="en-GB"/>
              </w:rPr>
              <w:t>分）</w:t>
            </w:r>
          </w:p>
        </w:tc>
        <w:tc>
          <w:tcPr>
            <w:tcW w:w="809" w:type="dxa"/>
            <w:vMerge w:val="continue"/>
            <w:tcBorders>
              <w:tl2br w:val="nil"/>
              <w:tr2bl w:val="nil"/>
            </w:tcBorders>
            <w:vAlign w:val="center"/>
          </w:tcPr>
          <w:p>
            <w:pPr>
              <w:jc w:val="center"/>
              <w:rPr>
                <w:rFonts w:hint="eastAsia" w:ascii="仿宋" w:hAnsi="仿宋" w:eastAsia="仿宋" w:cs="仿宋"/>
                <w:sz w:val="24"/>
              </w:rPr>
            </w:pPr>
          </w:p>
        </w:tc>
        <w:tc>
          <w:tcPr>
            <w:tcW w:w="727" w:type="dxa"/>
            <w:vMerge w:val="continue"/>
            <w:tcBorders>
              <w:tl2br w:val="nil"/>
              <w:tr2bl w:val="nil"/>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1120"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设施堆放场库</w:t>
            </w:r>
          </w:p>
        </w:tc>
        <w:tc>
          <w:tcPr>
            <w:tcW w:w="5178" w:type="dxa"/>
            <w:tcBorders>
              <w:tl2br w:val="nil"/>
              <w:tr2bl w:val="nil"/>
            </w:tcBorders>
            <w:vAlign w:val="center"/>
          </w:tcPr>
          <w:p>
            <w:pPr>
              <w:jc w:val="left"/>
              <w:rPr>
                <w:rFonts w:hint="eastAsia" w:ascii="仿宋" w:hAnsi="仿宋" w:eastAsia="仿宋" w:cs="仿宋"/>
                <w:sz w:val="24"/>
                <w:lang w:val="en-US" w:eastAsia="zh-CN"/>
              </w:rPr>
            </w:pPr>
            <w:r>
              <w:rPr>
                <w:rFonts w:hint="eastAsia" w:ascii="仿宋" w:hAnsi="仿宋" w:eastAsia="仿宋" w:cs="仿宋"/>
                <w:sz w:val="24"/>
                <w:lang w:val="en-GB"/>
              </w:rPr>
              <w:t>投标人具有养护基地，1000㎡≤基地面积＜2000㎡得</w:t>
            </w:r>
            <w:r>
              <w:rPr>
                <w:rFonts w:hint="eastAsia" w:ascii="仿宋" w:hAnsi="仿宋" w:eastAsia="仿宋" w:cs="仿宋"/>
                <w:sz w:val="24"/>
                <w:lang w:val="en-US" w:eastAsia="zh-CN"/>
              </w:rPr>
              <w:t>2</w:t>
            </w:r>
            <w:r>
              <w:rPr>
                <w:rFonts w:hint="eastAsia" w:ascii="仿宋" w:hAnsi="仿宋" w:eastAsia="仿宋" w:cs="仿宋"/>
                <w:sz w:val="24"/>
                <w:lang w:val="en-GB"/>
              </w:rPr>
              <w:t>分，2000㎡≤基地面积＜3000㎡得</w:t>
            </w:r>
            <w:r>
              <w:rPr>
                <w:rFonts w:hint="eastAsia" w:ascii="仿宋" w:hAnsi="仿宋" w:eastAsia="仿宋" w:cs="仿宋"/>
                <w:sz w:val="24"/>
                <w:lang w:val="en-US" w:eastAsia="zh-CN"/>
              </w:rPr>
              <w:t>4</w:t>
            </w:r>
            <w:r>
              <w:rPr>
                <w:rFonts w:hint="eastAsia" w:ascii="仿宋" w:hAnsi="仿宋" w:eastAsia="仿宋" w:cs="仿宋"/>
                <w:sz w:val="24"/>
                <w:lang w:val="en-GB"/>
              </w:rPr>
              <w:t>分，基地面积≥3000㎡得</w:t>
            </w:r>
            <w:r>
              <w:rPr>
                <w:rFonts w:hint="eastAsia" w:ascii="仿宋" w:hAnsi="仿宋" w:eastAsia="仿宋" w:cs="仿宋"/>
                <w:sz w:val="24"/>
                <w:lang w:val="en-US" w:eastAsia="zh-CN"/>
              </w:rPr>
              <w:t>5</w:t>
            </w:r>
            <w:r>
              <w:rPr>
                <w:rFonts w:hint="eastAsia" w:ascii="仿宋" w:hAnsi="仿宋" w:eastAsia="仿宋" w:cs="仿宋"/>
                <w:sz w:val="24"/>
                <w:lang w:val="en-GB"/>
              </w:rPr>
              <w:t>分。</w:t>
            </w:r>
          </w:p>
          <w:p>
            <w:pPr>
              <w:jc w:val="left"/>
              <w:rPr>
                <w:rFonts w:hint="eastAsia" w:ascii="仿宋" w:hAnsi="仿宋" w:eastAsia="仿宋" w:cs="仿宋"/>
                <w:sz w:val="24"/>
              </w:rPr>
            </w:pPr>
            <w:r>
              <w:rPr>
                <w:rFonts w:hint="eastAsia" w:ascii="仿宋" w:hAnsi="仿宋" w:eastAsia="仿宋" w:cs="仿宋"/>
                <w:sz w:val="24"/>
                <w:lang w:val="en-GB"/>
              </w:rPr>
              <w:t>证明材料：提供投标人</w:t>
            </w:r>
            <w:r>
              <w:rPr>
                <w:rFonts w:hint="eastAsia" w:ascii="仿宋" w:hAnsi="仿宋" w:eastAsia="仿宋" w:cs="仿宋"/>
                <w:sz w:val="24"/>
                <w:lang w:val="en-GB" w:eastAsia="zh-CN"/>
              </w:rPr>
              <w:t>自有土地的相关证明材料</w:t>
            </w:r>
            <w:r>
              <w:rPr>
                <w:rFonts w:hint="eastAsia" w:ascii="仿宋" w:hAnsi="仿宋" w:eastAsia="仿宋" w:cs="仿宋"/>
                <w:sz w:val="24"/>
                <w:lang w:val="en-GB"/>
              </w:rPr>
              <w:t>，</w:t>
            </w:r>
            <w:r>
              <w:rPr>
                <w:rFonts w:hint="eastAsia" w:ascii="仿宋" w:hAnsi="仿宋" w:eastAsia="仿宋" w:cs="仿宋"/>
                <w:sz w:val="24"/>
                <w:lang w:val="en-GB" w:eastAsia="zh-CN"/>
              </w:rPr>
              <w:t>如为</w:t>
            </w:r>
            <w:r>
              <w:rPr>
                <w:rFonts w:hint="eastAsia" w:ascii="仿宋" w:hAnsi="仿宋" w:eastAsia="仿宋" w:cs="仿宋"/>
                <w:sz w:val="24"/>
                <w:lang w:val="en-GB"/>
              </w:rPr>
              <w:t>租赁的</w:t>
            </w:r>
            <w:r>
              <w:rPr>
                <w:rFonts w:hint="eastAsia" w:ascii="仿宋" w:hAnsi="仿宋" w:eastAsia="仿宋" w:cs="仿宋"/>
                <w:sz w:val="24"/>
                <w:lang w:val="en-GB" w:eastAsia="zh-CN"/>
              </w:rPr>
              <w:t>需</w:t>
            </w:r>
            <w:r>
              <w:rPr>
                <w:rFonts w:hint="eastAsia" w:ascii="仿宋" w:hAnsi="仿宋" w:eastAsia="仿宋" w:cs="仿宋"/>
                <w:sz w:val="24"/>
                <w:lang w:val="en-GB"/>
              </w:rPr>
              <w:t>提供租赁合同</w:t>
            </w:r>
            <w:r>
              <w:rPr>
                <w:rFonts w:hint="eastAsia" w:ascii="仿宋" w:hAnsi="仿宋" w:eastAsia="仿宋" w:cs="仿宋"/>
                <w:sz w:val="24"/>
                <w:lang w:val="en-GB" w:eastAsia="zh-CN"/>
              </w:rPr>
              <w:t>及租赁方自有土地的相关证明材料，其租赁期需大于或等于本项目的总服务期限。</w:t>
            </w:r>
          </w:p>
        </w:tc>
        <w:tc>
          <w:tcPr>
            <w:tcW w:w="809"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color w:val="auto"/>
                <w:kern w:val="0"/>
                <w:sz w:val="24"/>
                <w:szCs w:val="24"/>
                <w:highlight w:val="none"/>
              </w:rPr>
              <w:t>0-</w:t>
            </w:r>
            <w:r>
              <w:rPr>
                <w:rFonts w:hint="eastAsia" w:ascii="仿宋" w:hAnsi="仿宋" w:eastAsia="仿宋" w:cs="仿宋"/>
                <w:sz w:val="24"/>
                <w:lang w:val="en-US" w:eastAsia="zh-CN"/>
              </w:rPr>
              <w:t>5</w:t>
            </w:r>
            <w:r>
              <w:rPr>
                <w:rFonts w:hint="eastAsia" w:ascii="仿宋" w:hAnsi="仿宋" w:eastAsia="仿宋" w:cs="仿宋"/>
                <w:sz w:val="24"/>
                <w:lang w:val="en-GB"/>
              </w:rPr>
              <w:t>分</w:t>
            </w:r>
          </w:p>
        </w:tc>
        <w:tc>
          <w:tcPr>
            <w:tcW w:w="727"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3" w:type="dxa"/>
            <w:tcBorders>
              <w:tl2br w:val="nil"/>
              <w:tr2bl w:val="nil"/>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16</w:t>
            </w:r>
          </w:p>
        </w:tc>
        <w:tc>
          <w:tcPr>
            <w:tcW w:w="1120" w:type="dxa"/>
            <w:tcBorders>
              <w:tl2br w:val="nil"/>
              <w:tr2bl w:val="nil"/>
            </w:tcBorders>
            <w:vAlign w:val="center"/>
          </w:tcPr>
          <w:p>
            <w:pPr>
              <w:snapToGrid w:val="0"/>
              <w:jc w:val="center"/>
              <w:textAlignment w:val="baseline"/>
              <w:rPr>
                <w:rFonts w:hint="eastAsia" w:ascii="仿宋" w:hAnsi="仿宋" w:eastAsia="仿宋" w:cs="仿宋"/>
                <w:sz w:val="24"/>
              </w:rPr>
            </w:pPr>
            <w:r>
              <w:rPr>
                <w:rFonts w:hint="eastAsia" w:ascii="仿宋" w:hAnsi="仿宋" w:eastAsia="仿宋" w:cs="仿宋"/>
                <w:color w:val="auto"/>
                <w:sz w:val="24"/>
                <w:szCs w:val="24"/>
                <w:highlight w:val="none"/>
                <w:shd w:val="clear" w:color="auto" w:fill="auto"/>
                <w:lang w:eastAsia="zh-CN"/>
              </w:rPr>
              <w:t>本地化服务方案</w:t>
            </w:r>
          </w:p>
        </w:tc>
        <w:tc>
          <w:tcPr>
            <w:tcW w:w="5178" w:type="dxa"/>
            <w:tcBorders>
              <w:tl2br w:val="nil"/>
              <w:tr2bl w:val="nil"/>
            </w:tcBorders>
            <w:vAlign w:val="center"/>
          </w:tcPr>
          <w:p>
            <w:pPr>
              <w:widowControl/>
              <w:jc w:val="left"/>
              <w:textAlignment w:val="baseline"/>
              <w:rPr>
                <w:rFonts w:hint="eastAsia" w:ascii="仿宋" w:hAnsi="仿宋" w:eastAsia="仿宋" w:cs="仿宋"/>
                <w:sz w:val="24"/>
                <w:lang w:val="en-GB"/>
              </w:rPr>
            </w:pPr>
            <w:r>
              <w:rPr>
                <w:rFonts w:hint="eastAsia" w:ascii="仿宋" w:hAnsi="仿宋" w:eastAsia="仿宋" w:cs="仿宋"/>
                <w:color w:val="auto"/>
                <w:sz w:val="24"/>
                <w:szCs w:val="24"/>
                <w:highlight w:val="none"/>
                <w:shd w:val="clear" w:color="auto" w:fill="auto"/>
                <w:lang w:eastAsia="zh-CN"/>
              </w:rPr>
              <w:t>本地化服务方案，及时响应业主需求，根据方案是否全面科学合理，是否具有针对性和可操作性性，若目前无本地办公地点，如何及时响应业主需求等内容，综合评定。</w:t>
            </w:r>
            <w:r>
              <w:rPr>
                <w:rFonts w:hint="eastAsia" w:ascii="仿宋" w:hAnsi="仿宋" w:eastAsia="仿宋" w:cs="仿宋"/>
                <w:color w:val="auto"/>
                <w:sz w:val="24"/>
                <w:szCs w:val="24"/>
                <w:highlight w:val="none"/>
                <w:shd w:val="clear" w:color="auto" w:fill="auto"/>
                <w:lang w:val="en-US" w:eastAsia="zh-CN"/>
              </w:rPr>
              <w:t>0-3分。</w:t>
            </w:r>
          </w:p>
        </w:tc>
        <w:tc>
          <w:tcPr>
            <w:tcW w:w="809" w:type="dxa"/>
            <w:tcBorders>
              <w:tl2br w:val="nil"/>
              <w:tr2bl w:val="nil"/>
            </w:tcBorders>
            <w:vAlign w:val="center"/>
          </w:tcPr>
          <w:p>
            <w:pPr>
              <w:widowControl/>
              <w:jc w:val="center"/>
              <w:textAlignment w:val="baseline"/>
              <w:rPr>
                <w:rFonts w:hint="eastAsia" w:ascii="仿宋" w:hAnsi="仿宋" w:eastAsia="仿宋" w:cs="仿宋"/>
                <w:sz w:val="24"/>
                <w:lang w:val="en-US" w:eastAsia="zh-CN"/>
              </w:rPr>
            </w:pPr>
            <w:r>
              <w:rPr>
                <w:rFonts w:hint="eastAsia" w:ascii="仿宋" w:hAnsi="仿宋" w:eastAsia="仿宋" w:cs="仿宋"/>
                <w:color w:val="auto"/>
                <w:sz w:val="24"/>
                <w:szCs w:val="24"/>
                <w:highlight w:val="none"/>
                <w:shd w:val="clear" w:color="auto" w:fill="auto"/>
                <w:lang w:val="en-US" w:eastAsia="zh-CN"/>
              </w:rPr>
              <w:t>0-</w:t>
            </w:r>
            <w:r>
              <w:rPr>
                <w:rFonts w:hint="eastAsia" w:ascii="仿宋" w:hAnsi="仿宋" w:eastAsia="仿宋" w:cs="仿宋"/>
                <w:b w:val="0"/>
                <w:bCs w:val="0"/>
                <w:color w:val="auto"/>
                <w:kern w:val="0"/>
                <w:sz w:val="24"/>
                <w:szCs w:val="24"/>
                <w:highlight w:val="none"/>
                <w:shd w:val="clear" w:color="auto" w:fill="auto"/>
                <w:lang w:val="en-US" w:eastAsia="zh-CN"/>
              </w:rPr>
              <w:t>3</w:t>
            </w:r>
          </w:p>
        </w:tc>
        <w:tc>
          <w:tcPr>
            <w:tcW w:w="727" w:type="dxa"/>
            <w:tcBorders>
              <w:tl2br w:val="nil"/>
              <w:tr2bl w:val="nil"/>
            </w:tcBorders>
            <w:vAlign w:val="center"/>
          </w:tcPr>
          <w:p>
            <w:pPr>
              <w:widowControl/>
              <w:jc w:val="center"/>
              <w:textAlignment w:val="baseline"/>
              <w:rPr>
                <w:rFonts w:hint="eastAsia" w:ascii="仿宋" w:hAnsi="仿宋" w:eastAsia="仿宋" w:cs="仿宋"/>
                <w:sz w:val="24"/>
              </w:rPr>
            </w:pPr>
            <w:r>
              <w:rPr>
                <w:rFonts w:hint="eastAsia" w:ascii="仿宋" w:hAnsi="仿宋" w:eastAsia="仿宋" w:cs="仿宋"/>
                <w:color w:val="auto"/>
                <w:kern w:val="0"/>
                <w:sz w:val="24"/>
                <w:szCs w:val="24"/>
                <w:highlight w:val="none"/>
                <w:shd w:val="clear" w:color="auto" w:fill="auto"/>
                <w:lang w:eastAsia="zh-CN"/>
              </w:rPr>
              <w:t>主观分</w:t>
            </w:r>
          </w:p>
        </w:tc>
      </w:tr>
    </w:tbl>
    <w:p>
      <w:pPr>
        <w:spacing w:line="360" w:lineRule="auto"/>
        <w:rPr>
          <w:rFonts w:hint="eastAsia" w:ascii="仿宋" w:hAnsi="仿宋" w:eastAsia="仿宋" w:cs="仿宋"/>
          <w:b/>
          <w:sz w:val="24"/>
        </w:rPr>
      </w:pPr>
    </w:p>
    <w:p>
      <w:pPr>
        <w:rPr>
          <w:rFonts w:hint="eastAsia" w:ascii="仿宋" w:hAnsi="仿宋" w:eastAsia="仿宋" w:cs="仿宋"/>
          <w:sz w:val="24"/>
        </w:rPr>
      </w:pPr>
      <w:r>
        <w:rPr>
          <w:rFonts w:hint="eastAsia" w:ascii="仿宋" w:hAnsi="仿宋" w:eastAsia="仿宋" w:cs="仿宋"/>
          <w:sz w:val="24"/>
        </w:rPr>
        <w:t>3、价格分（10分）</w:t>
      </w:r>
    </w:p>
    <w:tbl>
      <w:tblPr>
        <w:tblStyle w:val="62"/>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4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价格权值</w:t>
            </w:r>
          </w:p>
        </w:tc>
        <w:tc>
          <w:tcPr>
            <w:tcW w:w="707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144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rPr>
            </w:pPr>
            <w:r>
              <w:rPr>
                <w:rFonts w:hint="eastAsia" w:ascii="仿宋" w:hAnsi="仿宋" w:eastAsia="仿宋" w:cs="仿宋"/>
                <w:sz w:val="24"/>
              </w:rPr>
              <w:t>价格权值=0.1</w:t>
            </w:r>
          </w:p>
        </w:tc>
        <w:tc>
          <w:tcPr>
            <w:tcW w:w="7074"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仿宋"/>
                <w:sz w:val="24"/>
              </w:rPr>
            </w:pPr>
            <w:r>
              <w:rPr>
                <w:rFonts w:hint="eastAsia" w:ascii="仿宋" w:hAnsi="仿宋" w:eastAsia="仿宋" w:cs="仿宋"/>
                <w:sz w:val="24"/>
              </w:rPr>
              <w:t>供应商的价格分统一按照下列公式计算：</w:t>
            </w:r>
          </w:p>
          <w:p>
            <w:pPr>
              <w:rPr>
                <w:rFonts w:hint="eastAsia" w:ascii="仿宋" w:hAnsi="仿宋" w:eastAsia="仿宋" w:cs="仿宋"/>
                <w:sz w:val="24"/>
              </w:rPr>
            </w:pPr>
            <w:r>
              <w:rPr>
                <w:rFonts w:hint="eastAsia" w:ascii="仿宋" w:hAnsi="仿宋" w:eastAsia="仿宋" w:cs="仿宋"/>
                <w:sz w:val="24"/>
              </w:rPr>
              <w:t>投标报价得分=(评标基准价/投标报价)×10。评标基准价是指满足招标文件要求且根据采购政策进行价格扣除后的 投标价格最低的投标报价。除低于成本价的投标报价被拒绝外，最低报价得报价分满分。得分结果由高分到低分依次排列为各自最终得分。</w:t>
            </w:r>
          </w:p>
          <w:p>
            <w:pPr>
              <w:rPr>
                <w:rFonts w:hint="eastAsia" w:ascii="仿宋" w:hAnsi="仿宋" w:eastAsia="仿宋" w:cs="仿宋"/>
                <w:sz w:val="24"/>
              </w:rPr>
            </w:pPr>
            <w:r>
              <w:rPr>
                <w:rFonts w:hint="eastAsia" w:ascii="仿宋" w:hAnsi="仿宋" w:eastAsia="仿宋" w:cs="仿宋"/>
                <w:b/>
                <w:bCs/>
                <w:sz w:val="24"/>
              </w:rPr>
              <w:t>注：评标委员会认为供应商的报价明显低于其他通过符合性审查供应商的报价，有可能影响质量或者不能诚信履约的，应当要求其在评标现场合理的时间内提供书面说明，必要时提交相关证明材料；供应商不能证明其报价合理性的，评审小组应当将其作为无效投标处理。</w:t>
            </w:r>
          </w:p>
        </w:tc>
      </w:tr>
    </w:tbl>
    <w:p>
      <w:pPr>
        <w:rPr>
          <w:rFonts w:hint="eastAsia" w:ascii="仿宋" w:hAnsi="仿宋" w:eastAsia="仿宋" w:cs="仿宋"/>
          <w:highlight w:val="none"/>
          <w:lang w:val="en-US" w:eastAsia="zh-CN"/>
        </w:rPr>
      </w:pPr>
    </w:p>
    <w:p>
      <w:pPr>
        <w:spacing w:line="360" w:lineRule="auto"/>
        <w:rPr>
          <w:rFonts w:hint="eastAsia" w:ascii="仿宋" w:hAnsi="仿宋" w:eastAsia="仿宋" w:cs="仿宋"/>
          <w:b w:val="0"/>
          <w:bCs w:val="0"/>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b w:val="0"/>
          <w:bCs w:val="0"/>
          <w:sz w:val="24"/>
          <w:highlight w:val="none"/>
        </w:rPr>
        <w:t xml:space="preserve">1、投标人编制投标文件（商务技术文件部分）时，建议按此目录（序号和内容）提供评标标准相应的商务技术资料。 </w:t>
      </w:r>
    </w:p>
    <w:p>
      <w:pPr>
        <w:spacing w:line="360" w:lineRule="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3、投标文件中如附有外文资料，必须逐一对应翻译成中文并加盖投标人公章后附在相关外文资料后面，否则外文资料不予认可。</w:t>
      </w:r>
    </w:p>
    <w:p>
      <w:pPr>
        <w:rPr>
          <w:rFonts w:hint="eastAsia" w:ascii="仿宋" w:hAnsi="仿宋" w:eastAsia="仿宋" w:cs="仿宋"/>
          <w:b/>
          <w:sz w:val="32"/>
          <w:highlight w:val="none"/>
        </w:rPr>
      </w:pPr>
      <w:r>
        <w:rPr>
          <w:rFonts w:hint="eastAsia" w:ascii="仿宋" w:hAnsi="仿宋" w:eastAsia="仿宋" w:cs="仿宋"/>
          <w:b/>
          <w:sz w:val="32"/>
          <w:highlight w:val="none"/>
        </w:rPr>
        <w:br w:type="page"/>
      </w:r>
    </w:p>
    <w:p>
      <w:pPr>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pPr>
        <w:pStyle w:val="128"/>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pPr>
        <w:pStyle w:val="128"/>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pPr>
        <w:pStyle w:val="128"/>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pPr>
        <w:pStyle w:val="128"/>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pPr>
        <w:pStyle w:val="128"/>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pPr>
        <w:pStyle w:val="128"/>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pPr>
        <w:pStyle w:val="128"/>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有下列情形之一的，投标无效：</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4.2.13投标人未提供样品或提供的样品不满足采购需求实质性条件的，投标无效；</w:t>
      </w:r>
    </w:p>
    <w:p>
      <w:pPr>
        <w:pStyle w:val="2"/>
        <w:ind w:left="862" w:leftChars="205"/>
        <w:rPr>
          <w:rFonts w:hint="eastAsia" w:ascii="仿宋" w:hAnsi="仿宋" w:eastAsia="仿宋" w:cs="仿宋"/>
          <w:highlight w:val="none"/>
        </w:rPr>
      </w:pPr>
      <w:r>
        <w:rPr>
          <w:rFonts w:hint="eastAsia" w:ascii="仿宋" w:hAnsi="仿宋" w:eastAsia="仿宋" w:cs="仿宋"/>
          <w:b w:val="0"/>
          <w:bCs w:val="0"/>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废标后，</w:t>
      </w:r>
      <w:r>
        <w:rPr>
          <w:rFonts w:hint="eastAsia" w:ascii="仿宋" w:hAnsi="仿宋" w:eastAsia="仿宋" w:cs="仿宋"/>
          <w:highlight w:val="none"/>
          <w:lang w:eastAsia="zh-CN"/>
        </w:rPr>
        <w:t>采购代理机构</w:t>
      </w:r>
      <w:r>
        <w:rPr>
          <w:rFonts w:hint="eastAsia" w:ascii="仿宋" w:hAnsi="仿宋" w:eastAsia="仿宋" w:cs="仿宋"/>
          <w:highlight w:val="none"/>
        </w:rPr>
        <w:t>应当将废标理由通知所有投标人。</w:t>
      </w:r>
    </w:p>
    <w:p>
      <w:pPr>
        <w:pStyle w:val="24"/>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highlight w:val="none"/>
          <w:lang w:eastAsia="zh-CN"/>
        </w:rPr>
        <w:t>采购代理机构</w:t>
      </w:r>
      <w:r>
        <w:rPr>
          <w:rFonts w:hint="eastAsia" w:ascii="仿宋" w:hAnsi="仿宋" w:eastAsia="仿宋" w:cs="仿宋"/>
          <w:highlight w:val="none"/>
        </w:rPr>
        <w:t>沟通并作书面记录。采购人、</w:t>
      </w:r>
      <w:r>
        <w:rPr>
          <w:rFonts w:hint="eastAsia" w:ascii="仿宋" w:hAnsi="仿宋" w:eastAsia="仿宋" w:cs="仿宋"/>
          <w:highlight w:val="none"/>
          <w:lang w:eastAsia="zh-CN"/>
        </w:rPr>
        <w:t>采购代理机构</w:t>
      </w:r>
      <w:r>
        <w:rPr>
          <w:rFonts w:hint="eastAsia" w:ascii="仿宋" w:hAnsi="仿宋" w:eastAsia="仿宋" w:cs="仿宋"/>
          <w:highlight w:val="none"/>
        </w:rPr>
        <w:t>确认后，将修改招标文件，重新组织采购活动。</w:t>
      </w:r>
    </w:p>
    <w:p>
      <w:pPr>
        <w:pStyle w:val="24"/>
        <w:snapToGrid w:val="0"/>
        <w:spacing w:line="360" w:lineRule="auto"/>
        <w:ind w:firstLine="482"/>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7.1未确定中标供应商的，终止本次政府采购活动，重新开展政府采购活动。</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仿宋" w:hAnsi="仿宋" w:eastAsia="仿宋" w:cs="仿宋"/>
          <w:highlight w:val="none"/>
        </w:rPr>
      </w:pPr>
    </w:p>
    <w:bookmarkEnd w:id="27"/>
    <w:p>
      <w:pPr>
        <w:spacing w:line="360" w:lineRule="auto"/>
        <w:ind w:left="720" w:leftChars="343" w:firstLine="1084" w:firstLineChars="300"/>
        <w:outlineLvl w:val="0"/>
        <w:rPr>
          <w:rFonts w:hint="eastAsia" w:ascii="仿宋" w:hAnsi="仿宋" w:eastAsia="仿宋" w:cs="仿宋"/>
          <w:b/>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pPr>
        <w:pStyle w:val="2"/>
        <w:rPr>
          <w:rFonts w:hint="eastAsia" w:ascii="仿宋" w:hAnsi="仿宋" w:eastAsia="仿宋" w:cs="仿宋"/>
          <w:sz w:val="24"/>
          <w:highlight w:val="none"/>
        </w:rPr>
      </w:pPr>
    </w:p>
    <w:p>
      <w:pPr>
        <w:rPr>
          <w:rFonts w:hint="eastAsia" w:ascii="仿宋" w:hAnsi="仿宋" w:eastAsia="仿宋" w:cs="仿宋"/>
          <w:sz w:val="24"/>
          <w:highlight w:val="none"/>
        </w:rPr>
      </w:pPr>
    </w:p>
    <w:p>
      <w:pPr>
        <w:pStyle w:val="2"/>
        <w:rPr>
          <w:rFonts w:hint="eastAsia" w:ascii="仿宋" w:hAnsi="仿宋" w:eastAsia="仿宋" w:cs="仿宋"/>
          <w:sz w:val="24"/>
          <w:highlight w:val="none"/>
        </w:rPr>
      </w:pPr>
    </w:p>
    <w:p>
      <w:pPr>
        <w:rPr>
          <w:rFonts w:hint="eastAsia" w:ascii="仿宋" w:hAnsi="仿宋" w:eastAsia="仿宋" w:cs="仿宋"/>
          <w:sz w:val="24"/>
          <w:highlight w:val="none"/>
        </w:rPr>
      </w:pPr>
    </w:p>
    <w:p>
      <w:pPr>
        <w:pStyle w:val="2"/>
        <w:rPr>
          <w:rFonts w:hint="eastAsia" w:ascii="仿宋" w:hAnsi="仿宋" w:eastAsia="仿宋" w:cs="仿宋"/>
          <w:sz w:val="24"/>
          <w:highlight w:val="none"/>
        </w:rPr>
      </w:pPr>
    </w:p>
    <w:p>
      <w:pPr>
        <w:rPr>
          <w:rFonts w:hint="eastAsia" w:ascii="仿宋" w:hAnsi="仿宋" w:eastAsia="仿宋" w:cs="仿宋"/>
          <w:highlight w:val="none"/>
        </w:rPr>
      </w:pPr>
    </w:p>
    <w:p>
      <w:pPr>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3"/>
      <w:r>
        <w:rPr>
          <w:rFonts w:hint="eastAsia" w:ascii="仿宋" w:hAnsi="仿宋" w:eastAsia="仿宋" w:cs="仿宋"/>
          <w:b/>
          <w:sz w:val="36"/>
          <w:szCs w:val="20"/>
          <w:highlight w:val="none"/>
        </w:rPr>
        <w:t xml:space="preserve"> </w:t>
      </w:r>
      <w:bookmarkEnd w:id="394"/>
      <w:r>
        <w:rPr>
          <w:rFonts w:hint="eastAsia" w:ascii="仿宋" w:hAnsi="仿宋" w:eastAsia="仿宋" w:cs="仿宋"/>
          <w:b/>
          <w:sz w:val="36"/>
          <w:szCs w:val="20"/>
          <w:highlight w:val="none"/>
        </w:rPr>
        <w:t>应提交的有关格式范例</w:t>
      </w: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pPr>
        <w:snapToGrid w:val="0"/>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sz w:val="24"/>
          <w:highlight w:val="none"/>
        </w:rPr>
      </w:pPr>
      <w:r>
        <w:rPr>
          <w:rFonts w:hint="eastAsia" w:ascii="仿宋" w:hAnsi="仿宋" w:eastAsia="仿宋" w:cs="仿宋"/>
          <w:color w:val="0000FF"/>
          <w:sz w:val="24"/>
          <w:highlight w:val="none"/>
        </w:rPr>
        <w:t>（采购人）</w:t>
      </w:r>
      <w:r>
        <w:rPr>
          <w:rFonts w:hint="eastAsia" w:ascii="仿宋" w:hAnsi="仿宋" w:eastAsia="仿宋" w:cs="仿宋"/>
          <w:sz w:val="24"/>
          <w:highlight w:val="none"/>
        </w:rPr>
        <w:t>、（采购代理机构）：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color w:val="0000FF"/>
          <w:sz w:val="24"/>
          <w:highlight w:val="none"/>
        </w:rPr>
        <w:t>（项目名称）</w:t>
      </w:r>
      <w:r>
        <w:rPr>
          <w:rFonts w:hint="eastAsia" w:ascii="仿宋" w:hAnsi="仿宋" w:eastAsia="仿宋" w:cs="仿宋"/>
          <w:sz w:val="24"/>
          <w:highlight w:val="none"/>
        </w:rPr>
        <w:t>【招标编号：</w:t>
      </w:r>
      <w:r>
        <w:rPr>
          <w:rFonts w:hint="eastAsia" w:ascii="仿宋" w:hAnsi="仿宋" w:eastAsia="仿宋" w:cs="仿宋"/>
          <w:color w:val="FF0000"/>
          <w:sz w:val="24"/>
          <w:highlight w:val="none"/>
        </w:rPr>
        <w:t>（采购编号）</w:t>
      </w:r>
      <w:r>
        <w:rPr>
          <w:rFonts w:hint="eastAsia" w:ascii="仿宋" w:hAnsi="仿宋" w:eastAsia="仿宋" w:cs="仿宋"/>
          <w:sz w:val="24"/>
          <w:highlight w:val="none"/>
        </w:rPr>
        <w:t>】政府采购活动，郑重承诺：</w:t>
      </w:r>
    </w:p>
    <w:p>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b/>
          <w:kern w:val="0"/>
          <w:sz w:val="32"/>
          <w:szCs w:val="32"/>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kern w:val="0"/>
          <w:sz w:val="32"/>
          <w:szCs w:val="32"/>
          <w:highlight w:val="none"/>
        </w:rPr>
      </w:pPr>
      <w:r>
        <w:rPr>
          <w:rFonts w:hint="eastAsia" w:ascii="仿宋" w:hAnsi="仿宋" w:eastAsia="仿宋" w:cs="仿宋"/>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widowControl/>
        <w:adjustRightInd/>
        <w:jc w:val="left"/>
        <w:rPr>
          <w:rFonts w:hint="eastAsia" w:ascii="仿宋" w:hAnsi="仿宋" w:eastAsia="仿宋" w:cs="仿宋"/>
          <w:b/>
          <w:kern w:val="0"/>
          <w:sz w:val="32"/>
          <w:szCs w:val="32"/>
          <w:highlight w:val="none"/>
        </w:rPr>
      </w:pPr>
    </w:p>
    <w:p>
      <w:pPr>
        <w:widowControl/>
        <w:spacing w:line="360" w:lineRule="auto"/>
        <w:ind w:firstLine="643" w:firstLineChars="20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w:t>
      </w:r>
      <w:r>
        <w:rPr>
          <w:rFonts w:hint="eastAsia" w:ascii="仿宋" w:hAnsi="仿宋" w:eastAsia="仿宋" w:cs="仿宋"/>
          <w:b/>
          <w:color w:val="FF0000"/>
          <w:kern w:val="0"/>
          <w:sz w:val="32"/>
          <w:szCs w:val="32"/>
          <w:highlight w:val="none"/>
        </w:rPr>
        <w:t>（如果有）</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highlight w:val="none"/>
        </w:rPr>
      </w:pPr>
    </w:p>
    <w:p>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highlight w:val="none"/>
        </w:rPr>
      </w:pPr>
    </w:p>
    <w:p>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pPr>
        <w:rPr>
          <w:rFonts w:hint="eastAsia" w:ascii="仿宋" w:hAnsi="仿宋" w:eastAsia="仿宋" w:cs="仿宋"/>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widowControl/>
        <w:adjustRightInd/>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spacing w:line="360" w:lineRule="auto"/>
        <w:ind w:right="420" w:firstLine="3614" w:firstLineChars="100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60" w:lineRule="auto"/>
        <w:jc w:val="center"/>
        <w:outlineLvl w:val="0"/>
        <w:rPr>
          <w:rFonts w:hint="eastAsia" w:ascii="仿宋" w:hAnsi="仿宋" w:eastAsia="仿宋" w:cs="仿宋"/>
          <w:b/>
          <w:kern w:val="0"/>
          <w:sz w:val="24"/>
          <w:highlight w:val="none"/>
        </w:rPr>
      </w:pPr>
    </w:p>
    <w:p>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（3）分包意向协议</w:t>
      </w:r>
      <w:r>
        <w:rPr>
          <w:rFonts w:hint="eastAsia" w:ascii="仿宋" w:hAnsi="仿宋" w:eastAsia="仿宋" w:cs="仿宋"/>
          <w:highlight w:val="none"/>
        </w:rPr>
        <w:t>…………………………………………………………………………（页码）</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（6）投标标的清单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（7）商务技术偏离表</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rPr>
          <w:rFonts w:hint="eastAsia" w:ascii="仿宋" w:hAnsi="仿宋" w:eastAsia="仿宋" w:cs="仿宋"/>
          <w:b/>
          <w:kern w:val="0"/>
          <w:sz w:val="32"/>
          <w:szCs w:val="32"/>
          <w:highlight w:val="none"/>
          <w:lang w:val="zh-CN"/>
        </w:rPr>
      </w:pPr>
    </w:p>
    <w:p>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pPr>
        <w:snapToGrid w:val="0"/>
        <w:spacing w:line="360" w:lineRule="auto"/>
        <w:rPr>
          <w:rFonts w:hint="eastAsia" w:ascii="仿宋" w:hAnsi="仿宋" w:eastAsia="仿宋" w:cs="仿宋"/>
          <w:sz w:val="24"/>
          <w:highlight w:val="none"/>
        </w:rPr>
      </w:pPr>
      <w:r>
        <w:rPr>
          <w:rFonts w:hint="eastAsia" w:ascii="仿宋" w:hAnsi="仿宋" w:eastAsia="仿宋" w:cs="仿宋"/>
          <w:color w:val="0000FF"/>
          <w:sz w:val="24"/>
          <w:highlight w:val="none"/>
        </w:rPr>
        <w:t>（采购人）</w:t>
      </w:r>
      <w:r>
        <w:rPr>
          <w:rFonts w:hint="eastAsia" w:ascii="仿宋" w:hAnsi="仿宋" w:eastAsia="仿宋" w:cs="仿宋"/>
          <w:sz w:val="24"/>
          <w:highlight w:val="none"/>
        </w:rPr>
        <w:t>、（采购代理机构）：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color w:val="0000FF"/>
          <w:sz w:val="24"/>
          <w:highlight w:val="none"/>
        </w:rPr>
        <w:t>（项目名称）</w:t>
      </w:r>
      <w:r>
        <w:rPr>
          <w:rFonts w:hint="eastAsia" w:ascii="仿宋" w:hAnsi="仿宋" w:eastAsia="仿宋" w:cs="仿宋"/>
          <w:sz w:val="24"/>
          <w:highlight w:val="none"/>
        </w:rPr>
        <w:t>【招标编号：</w:t>
      </w:r>
      <w:r>
        <w:rPr>
          <w:rFonts w:hint="eastAsia" w:ascii="仿宋" w:hAnsi="仿宋" w:eastAsia="仿宋" w:cs="仿宋"/>
          <w:color w:val="FF0000"/>
          <w:sz w:val="24"/>
          <w:highlight w:val="none"/>
        </w:rPr>
        <w:t>（采购编号）</w:t>
      </w:r>
      <w:r>
        <w:rPr>
          <w:rFonts w:hint="eastAsia" w:ascii="仿宋" w:hAnsi="仿宋" w:eastAsia="仿宋" w:cs="仿宋"/>
          <w:sz w:val="24"/>
          <w:highlight w:val="none"/>
        </w:rPr>
        <w:t>】招标的有关活动，并对此项目进行投标。为此：</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w:t>
      </w:r>
      <w:r>
        <w:rPr>
          <w:rFonts w:hint="eastAsia" w:ascii="仿宋" w:hAnsi="仿宋" w:eastAsia="仿宋" w:cs="仿宋"/>
          <w:snapToGrid w:val="0"/>
          <w:kern w:val="28"/>
          <w:sz w:val="24"/>
          <w:szCs w:val="20"/>
          <w:highlight w:val="none"/>
        </w:rPr>
        <w:t>联合协议</w:t>
      </w:r>
      <w:bookmarkStart w:id="395" w:name="_Hlk101257010"/>
      <w:r>
        <w:rPr>
          <w:rFonts w:hint="eastAsia" w:ascii="仿宋" w:hAnsi="仿宋" w:eastAsia="仿宋" w:cs="仿宋"/>
          <w:color w:val="FF0000"/>
          <w:sz w:val="24"/>
          <w:highlight w:val="none"/>
        </w:rPr>
        <w:t>（如果有)</w:t>
      </w:r>
      <w:bookmarkEnd w:id="395"/>
      <w:r>
        <w:rPr>
          <w:rFonts w:hint="eastAsia" w:ascii="仿宋" w:hAnsi="仿宋" w:eastAsia="仿宋" w:cs="仿宋"/>
          <w:snapToGrid w:val="0"/>
          <w:color w:val="0000FF"/>
          <w:kern w:val="28"/>
          <w:sz w:val="24"/>
          <w:szCs w:val="20"/>
          <w:highlight w:val="none"/>
        </w:rPr>
        <w:t>；</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w:t>
      </w:r>
      <w:r>
        <w:rPr>
          <w:rFonts w:hint="eastAsia" w:ascii="仿宋" w:hAnsi="仿宋" w:eastAsia="仿宋" w:cs="仿宋"/>
          <w:color w:val="FF0000"/>
          <w:sz w:val="24"/>
          <w:highlight w:val="none"/>
        </w:rPr>
        <w:t>（如果有）</w:t>
      </w:r>
      <w:r>
        <w:rPr>
          <w:rFonts w:hint="eastAsia" w:ascii="仿宋" w:hAnsi="仿宋" w:eastAsia="仿宋" w:cs="仿宋"/>
          <w:sz w:val="24"/>
          <w:highlight w:val="none"/>
        </w:rPr>
        <w:t>；</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2.1.4本项目的特定资格要求</w:t>
      </w:r>
      <w:r>
        <w:rPr>
          <w:rFonts w:hint="eastAsia" w:ascii="仿宋" w:hAnsi="仿宋" w:eastAsia="仿宋" w:cs="仿宋"/>
          <w:color w:val="FF0000"/>
          <w:sz w:val="24"/>
          <w:highlight w:val="none"/>
        </w:rPr>
        <w:t>（如果有)</w:t>
      </w:r>
      <w:r>
        <w:rPr>
          <w:rFonts w:hint="eastAsia" w:ascii="仿宋" w:hAnsi="仿宋" w:eastAsia="仿宋" w:cs="仿宋"/>
          <w:sz w:val="24"/>
          <w:highlight w:val="none"/>
        </w:rPr>
        <w:t>。</w:t>
      </w:r>
    </w:p>
    <w:p>
      <w:pPr>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w:t>
      </w:r>
      <w:r>
        <w:rPr>
          <w:rFonts w:hint="eastAsia" w:ascii="仿宋" w:hAnsi="仿宋" w:eastAsia="仿宋" w:cs="仿宋"/>
          <w:color w:val="FF0000"/>
          <w:sz w:val="24"/>
          <w:highlight w:val="none"/>
        </w:rPr>
        <w:t>（如果有)</w:t>
      </w:r>
      <w:r>
        <w:rPr>
          <w:rFonts w:hint="eastAsia" w:ascii="仿宋" w:hAnsi="仿宋" w:eastAsia="仿宋" w:cs="仿宋"/>
          <w:sz w:val="24"/>
          <w:highlight w:val="none"/>
        </w:rPr>
        <w:t>；</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FF0000"/>
          <w:sz w:val="24"/>
          <w:highlight w:val="none"/>
        </w:rPr>
      </w:pPr>
      <w:r>
        <w:rPr>
          <w:rFonts w:hint="eastAsia" w:ascii="仿宋" w:hAnsi="仿宋" w:eastAsia="仿宋" w:cs="仿宋"/>
          <w:color w:val="FF0000"/>
          <w:sz w:val="24"/>
          <w:highlight w:val="none"/>
        </w:rPr>
        <w:t>2.3.2中小企业声明函（如果有）。</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kern w:val="0"/>
          <w:sz w:val="24"/>
          <w:highlight w:val="none"/>
          <w:u w:val="singl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napToGrid w:val="0"/>
        <w:spacing w:line="360" w:lineRule="auto"/>
        <w:jc w:val="center"/>
        <w:rPr>
          <w:rFonts w:hint="eastAsia" w:ascii="仿宋" w:hAnsi="仿宋" w:eastAsia="仿宋" w:cs="仿宋"/>
          <w:b/>
          <w:kern w:val="0"/>
          <w:sz w:val="32"/>
          <w:szCs w:val="32"/>
          <w:highlight w:val="none"/>
        </w:rPr>
      </w:pPr>
    </w:p>
    <w:p>
      <w:pPr>
        <w:snapToGrid w:val="0"/>
        <w:spacing w:line="360" w:lineRule="auto"/>
        <w:rPr>
          <w:rFonts w:hint="eastAsia" w:ascii="仿宋" w:hAnsi="仿宋" w:eastAsia="仿宋" w:cs="仿宋"/>
          <w:sz w:val="24"/>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pStyle w:val="2"/>
        <w:rPr>
          <w:rFonts w:hint="eastAsia" w:ascii="仿宋" w:hAnsi="仿宋" w:eastAsia="仿宋" w:cs="仿宋"/>
          <w:highlight w:val="none"/>
          <w:lang w:val="en-US"/>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sz w:val="24"/>
          <w:highlight w:val="none"/>
        </w:rPr>
      </w:pPr>
    </w:p>
    <w:p>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0000FF"/>
          <w:sz w:val="24"/>
          <w:highlight w:val="none"/>
        </w:rPr>
        <w:t>（采购人）</w:t>
      </w:r>
      <w:r>
        <w:rPr>
          <w:rFonts w:hint="eastAsia" w:ascii="仿宋" w:hAnsi="仿宋" w:eastAsia="仿宋" w:cs="仿宋"/>
          <w:sz w:val="24"/>
          <w:highlight w:val="none"/>
        </w:rPr>
        <w:t>、（采购代理机构）</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color w:val="0000FF"/>
          <w:sz w:val="24"/>
          <w:highlight w:val="none"/>
        </w:rPr>
        <w:t>（项目名称）</w:t>
      </w:r>
      <w:r>
        <w:rPr>
          <w:rFonts w:hint="eastAsia" w:ascii="仿宋" w:hAnsi="仿宋" w:eastAsia="仿宋" w:cs="仿宋"/>
          <w:sz w:val="24"/>
          <w:highlight w:val="none"/>
        </w:rPr>
        <w:t>【招标编号：</w:t>
      </w:r>
      <w:r>
        <w:rPr>
          <w:rFonts w:hint="eastAsia" w:ascii="仿宋" w:hAnsi="仿宋" w:eastAsia="仿宋" w:cs="仿宋"/>
          <w:color w:val="FF0000"/>
          <w:sz w:val="24"/>
          <w:highlight w:val="none"/>
        </w:rPr>
        <w:t>（采购编号）</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hint="eastAsia" w:ascii="仿宋" w:hAnsi="仿宋" w:eastAsia="仿宋" w:cs="仿宋"/>
          <w:sz w:val="24"/>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0000FF"/>
          <w:sz w:val="24"/>
          <w:highlight w:val="none"/>
        </w:rPr>
        <w:t>（采购人）</w:t>
      </w:r>
      <w:r>
        <w:rPr>
          <w:rFonts w:hint="eastAsia" w:ascii="仿宋" w:hAnsi="仿宋" w:eastAsia="仿宋" w:cs="仿宋"/>
          <w:sz w:val="24"/>
          <w:highlight w:val="none"/>
        </w:rPr>
        <w:t>、（采购代理机构）</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color w:val="0000FF"/>
          <w:sz w:val="24"/>
          <w:highlight w:val="none"/>
        </w:rPr>
        <w:t>（项目名称）</w:t>
      </w:r>
      <w:r>
        <w:rPr>
          <w:rFonts w:hint="eastAsia" w:ascii="仿宋" w:hAnsi="仿宋" w:eastAsia="仿宋" w:cs="仿宋"/>
          <w:sz w:val="24"/>
          <w:highlight w:val="none"/>
        </w:rPr>
        <w:t>【招标编号：</w:t>
      </w:r>
      <w:r>
        <w:rPr>
          <w:rFonts w:hint="eastAsia" w:ascii="仿宋" w:hAnsi="仿宋" w:eastAsia="仿宋" w:cs="仿宋"/>
          <w:color w:val="FF0000"/>
          <w:sz w:val="24"/>
          <w:highlight w:val="none"/>
        </w:rPr>
        <w:t>（采购编号）</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jc w:val="center"/>
        <w:rPr>
          <w:rFonts w:hint="eastAsia" w:ascii="仿宋" w:hAnsi="仿宋" w:eastAsia="仿宋" w:cs="仿宋"/>
          <w:b/>
          <w:kern w:val="0"/>
          <w:sz w:val="32"/>
          <w:szCs w:val="32"/>
          <w:highlight w:val="none"/>
        </w:rPr>
      </w:pPr>
    </w:p>
    <w:p>
      <w:pPr>
        <w:rPr>
          <w:rFonts w:hint="eastAsia" w:ascii="仿宋" w:hAnsi="仿宋" w:eastAsia="仿宋" w:cs="仿宋"/>
          <w:highlight w:val="none"/>
        </w:rPr>
      </w:pP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146"/>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pPr>
              <w:pStyle w:val="146"/>
              <w:adjustRightInd w:val="0"/>
              <w:spacing w:line="360" w:lineRule="auto"/>
              <w:rPr>
                <w:rFonts w:hint="eastAsia" w:ascii="仿宋" w:hAnsi="仿宋" w:eastAsia="仿宋" w:cs="仿宋"/>
                <w:bCs/>
                <w:sz w:val="24"/>
                <w:highlight w:val="none"/>
              </w:rPr>
            </w:pPr>
          </w:p>
        </w:tc>
      </w:tr>
    </w:tbl>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snapToGrid w:val="0"/>
        <w:spacing w:line="360" w:lineRule="auto"/>
        <w:ind w:right="480"/>
        <w:rPr>
          <w:rFonts w:hint="eastAsia" w:ascii="仿宋" w:hAnsi="仿宋" w:eastAsia="仿宋" w:cs="仿宋"/>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r>
        <w:rPr>
          <w:rFonts w:hint="eastAsia" w:ascii="仿宋" w:hAnsi="仿宋" w:eastAsia="仿宋" w:cs="仿宋"/>
          <w:b/>
          <w:color w:val="FF0000"/>
          <w:kern w:val="0"/>
          <w:sz w:val="32"/>
          <w:szCs w:val="32"/>
          <w:highlight w:val="none"/>
        </w:rPr>
        <w:t>（如果有）</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rPr>
          <w:rFonts w:hint="eastAsia" w:ascii="仿宋" w:hAnsi="仿宋" w:eastAsia="仿宋" w:cs="仿宋"/>
          <w:kern w:val="0"/>
          <w:sz w:val="24"/>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pPr>
        <w:jc w:val="center"/>
        <w:rPr>
          <w:rFonts w:hint="eastAsia"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见投标文件</w:t>
            </w:r>
          </w:p>
          <w:p>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pPr>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ind w:firstLine="2891" w:firstLineChars="9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pPr>
              <w:spacing w:line="360" w:lineRule="auto"/>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r>
    </w:tbl>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bl>
    <w:p>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pPr>
        <w:jc w:val="center"/>
        <w:rPr>
          <w:rFonts w:hint="eastAsia" w:ascii="仿宋" w:hAnsi="仿宋" w:eastAsia="仿宋" w:cs="仿宋"/>
          <w:b/>
          <w:kern w:val="0"/>
          <w:sz w:val="32"/>
          <w:szCs w:val="32"/>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ind w:firstLine="1911" w:firstLineChars="595"/>
        <w:rPr>
          <w:rFonts w:hint="eastAsia" w:ascii="仿宋" w:hAnsi="仿宋" w:eastAsia="仿宋" w:cs="仿宋"/>
          <w:b/>
          <w:bCs/>
          <w:sz w:val="32"/>
          <w:szCs w:val="32"/>
          <w:highlight w:val="none"/>
        </w:rPr>
      </w:pPr>
    </w:p>
    <w:p>
      <w:pPr>
        <w:ind w:firstLine="1911" w:firstLineChars="595"/>
        <w:rPr>
          <w:rFonts w:hint="eastAsia" w:ascii="仿宋" w:hAnsi="仿宋" w:eastAsia="仿宋" w:cs="仿宋"/>
          <w:b/>
          <w:bCs/>
          <w:sz w:val="32"/>
          <w:szCs w:val="32"/>
          <w:highlight w:val="none"/>
        </w:rPr>
      </w:pPr>
    </w:p>
    <w:p>
      <w:pPr>
        <w:ind w:firstLine="1911" w:firstLineChars="595"/>
        <w:rPr>
          <w:rFonts w:hint="eastAsia" w:ascii="仿宋" w:hAnsi="仿宋" w:eastAsia="仿宋" w:cs="仿宋"/>
          <w:b/>
          <w:bCs/>
          <w:sz w:val="32"/>
          <w:szCs w:val="32"/>
          <w:highlight w:val="none"/>
        </w:rPr>
      </w:pPr>
    </w:p>
    <w:p>
      <w:pPr>
        <w:widowControl/>
        <w:adjustRightInd/>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pPr>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0000FF"/>
          <w:sz w:val="24"/>
          <w:highlight w:val="none"/>
        </w:rPr>
        <w:t>（采购人）</w:t>
      </w:r>
      <w:r>
        <w:rPr>
          <w:rFonts w:hint="eastAsia" w:ascii="仿宋" w:hAnsi="仿宋" w:eastAsia="仿宋" w:cs="仿宋"/>
          <w:sz w:val="24"/>
          <w:highlight w:val="none"/>
        </w:rPr>
        <w:t>、（采购代理机构）</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hint="eastAsia" w:ascii="仿宋" w:hAnsi="仿宋" w:eastAsia="仿宋" w:cs="仿宋"/>
          <w:b/>
          <w:bCs/>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pacing w:line="360" w:lineRule="auto"/>
        <w:jc w:val="center"/>
        <w:rPr>
          <w:rFonts w:hint="eastAsia" w:ascii="仿宋" w:hAnsi="仿宋" w:eastAsia="仿宋" w:cs="仿宋"/>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0000FF"/>
          <w:sz w:val="24"/>
          <w:highlight w:val="none"/>
        </w:rPr>
        <w:t>（采购人）</w:t>
      </w:r>
      <w:r>
        <w:rPr>
          <w:rFonts w:hint="eastAsia" w:ascii="仿宋" w:hAnsi="仿宋" w:eastAsia="仿宋" w:cs="仿宋"/>
          <w:sz w:val="24"/>
          <w:highlight w:val="none"/>
        </w:rPr>
        <w:t>、（采购代理机构）</w:t>
      </w:r>
      <w:r>
        <w:rPr>
          <w:rFonts w:hint="eastAsia" w:ascii="仿宋" w:hAnsi="仿宋" w:eastAsia="仿宋" w:cs="仿宋"/>
          <w:kern w:val="0"/>
          <w:sz w:val="24"/>
          <w:highlight w:val="none"/>
          <w:lang w:val="zh-CN"/>
        </w:rPr>
        <w:t>：</w:t>
      </w:r>
    </w:p>
    <w:p>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FF"/>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color w:val="FF0000"/>
          <w:sz w:val="24"/>
          <w:highlight w:val="none"/>
        </w:rPr>
        <w:t>（采购编号）</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992"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2268" w:type="dxa"/>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2410"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268"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2126"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2127" w:type="dxa"/>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2126" w:type="dxa"/>
            <w:vAlign w:val="center"/>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pPr>
              <w:spacing w:line="360" w:lineRule="auto"/>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1</w:t>
            </w:r>
          </w:p>
        </w:tc>
        <w:tc>
          <w:tcPr>
            <w:tcW w:w="992" w:type="dxa"/>
            <w:vAlign w:val="center"/>
          </w:tcPr>
          <w:p>
            <w:pPr>
              <w:snapToGrid w:val="0"/>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XX</w:t>
            </w: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410" w:type="dxa"/>
            <w:vAlign w:val="center"/>
          </w:tcPr>
          <w:p>
            <w:pPr>
              <w:snapToGrid w:val="0"/>
              <w:spacing w:line="360" w:lineRule="auto"/>
              <w:jc w:val="center"/>
              <w:rPr>
                <w:rFonts w:hint="eastAsia" w:ascii="仿宋" w:hAnsi="仿宋" w:eastAsia="仿宋" w:cs="仿宋"/>
                <w:sz w:val="24"/>
                <w:highlight w:val="none"/>
              </w:rPr>
            </w:pP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c>
          <w:tcPr>
            <w:tcW w:w="2127" w:type="dxa"/>
          </w:tcPr>
          <w:p>
            <w:pPr>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2</w:t>
            </w:r>
          </w:p>
        </w:tc>
        <w:tc>
          <w:tcPr>
            <w:tcW w:w="992" w:type="dxa"/>
            <w:vAlign w:val="center"/>
          </w:tcPr>
          <w:p>
            <w:pPr>
              <w:snapToGrid w:val="0"/>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XX</w:t>
            </w: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410" w:type="dxa"/>
            <w:vAlign w:val="center"/>
          </w:tcPr>
          <w:p>
            <w:pPr>
              <w:snapToGrid w:val="0"/>
              <w:spacing w:line="360" w:lineRule="auto"/>
              <w:jc w:val="center"/>
              <w:rPr>
                <w:rFonts w:hint="eastAsia" w:ascii="仿宋" w:hAnsi="仿宋" w:eastAsia="仿宋" w:cs="仿宋"/>
                <w:sz w:val="24"/>
                <w:highlight w:val="none"/>
              </w:rPr>
            </w:pP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c>
          <w:tcPr>
            <w:tcW w:w="2127" w:type="dxa"/>
          </w:tcPr>
          <w:p>
            <w:pPr>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w:t>
            </w:r>
          </w:p>
        </w:tc>
        <w:tc>
          <w:tcPr>
            <w:tcW w:w="992" w:type="dxa"/>
            <w:vAlign w:val="center"/>
          </w:tcPr>
          <w:p>
            <w:pPr>
              <w:snapToGrid w:val="0"/>
              <w:spacing w:line="360" w:lineRule="auto"/>
              <w:jc w:val="center"/>
              <w:rPr>
                <w:rFonts w:hint="eastAsia" w:ascii="仿宋" w:hAnsi="仿宋" w:eastAsia="仿宋" w:cs="仿宋"/>
                <w:color w:val="0000FF"/>
                <w:sz w:val="24"/>
                <w:highlight w:val="none"/>
              </w:rPr>
            </w:pP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410" w:type="dxa"/>
            <w:vAlign w:val="center"/>
          </w:tcPr>
          <w:p>
            <w:pPr>
              <w:snapToGrid w:val="0"/>
              <w:spacing w:line="360" w:lineRule="auto"/>
              <w:jc w:val="center"/>
              <w:rPr>
                <w:rFonts w:hint="eastAsia" w:ascii="仿宋" w:hAnsi="仿宋" w:eastAsia="仿宋" w:cs="仿宋"/>
                <w:sz w:val="24"/>
                <w:highlight w:val="none"/>
              </w:rPr>
            </w:pP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c>
          <w:tcPr>
            <w:tcW w:w="2127" w:type="dxa"/>
          </w:tcPr>
          <w:p>
            <w:pPr>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highlight w:val="none"/>
              </w:rPr>
            </w:pPr>
          </w:p>
        </w:tc>
        <w:tc>
          <w:tcPr>
            <w:tcW w:w="992" w:type="dxa"/>
            <w:vAlign w:val="center"/>
          </w:tcPr>
          <w:p>
            <w:pPr>
              <w:snapToGrid w:val="0"/>
              <w:spacing w:line="360" w:lineRule="auto"/>
              <w:jc w:val="center"/>
              <w:rPr>
                <w:rFonts w:hint="eastAsia" w:ascii="仿宋" w:hAnsi="仿宋" w:eastAsia="仿宋" w:cs="仿宋"/>
                <w:sz w:val="24"/>
                <w:highlight w:val="none"/>
              </w:rPr>
            </w:pP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410" w:type="dxa"/>
            <w:vAlign w:val="center"/>
          </w:tcPr>
          <w:p>
            <w:pPr>
              <w:snapToGrid w:val="0"/>
              <w:spacing w:line="360" w:lineRule="auto"/>
              <w:jc w:val="center"/>
              <w:rPr>
                <w:rFonts w:hint="eastAsia" w:ascii="仿宋" w:hAnsi="仿宋" w:eastAsia="仿宋" w:cs="仿宋"/>
                <w:sz w:val="24"/>
                <w:highlight w:val="none"/>
              </w:rPr>
            </w:pP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c>
          <w:tcPr>
            <w:tcW w:w="2127" w:type="dxa"/>
          </w:tcPr>
          <w:p>
            <w:pPr>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highlight w:val="none"/>
              </w:rPr>
            </w:pPr>
          </w:p>
        </w:tc>
        <w:tc>
          <w:tcPr>
            <w:tcW w:w="992" w:type="dxa"/>
            <w:vAlign w:val="center"/>
          </w:tcPr>
          <w:p>
            <w:pPr>
              <w:snapToGrid w:val="0"/>
              <w:spacing w:line="360" w:lineRule="auto"/>
              <w:jc w:val="center"/>
              <w:rPr>
                <w:rFonts w:hint="eastAsia" w:ascii="仿宋" w:hAnsi="仿宋" w:eastAsia="仿宋" w:cs="仿宋"/>
                <w:sz w:val="24"/>
                <w:highlight w:val="none"/>
              </w:rPr>
            </w:pP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410" w:type="dxa"/>
            <w:vAlign w:val="center"/>
          </w:tcPr>
          <w:p>
            <w:pPr>
              <w:snapToGrid w:val="0"/>
              <w:spacing w:line="360" w:lineRule="auto"/>
              <w:jc w:val="center"/>
              <w:rPr>
                <w:rFonts w:hint="eastAsia" w:ascii="仿宋" w:hAnsi="仿宋" w:eastAsia="仿宋" w:cs="仿宋"/>
                <w:sz w:val="24"/>
                <w:highlight w:val="none"/>
              </w:rPr>
            </w:pPr>
          </w:p>
        </w:tc>
        <w:tc>
          <w:tcPr>
            <w:tcW w:w="2268" w:type="dxa"/>
            <w:vAlign w:val="center"/>
          </w:tcPr>
          <w:p>
            <w:pPr>
              <w:snapToGrid w:val="0"/>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c>
          <w:tcPr>
            <w:tcW w:w="2127" w:type="dxa"/>
          </w:tcPr>
          <w:p>
            <w:pPr>
              <w:spacing w:line="360" w:lineRule="auto"/>
              <w:jc w:val="center"/>
              <w:rPr>
                <w:rFonts w:hint="eastAsia" w:ascii="仿宋" w:hAnsi="仿宋" w:eastAsia="仿宋" w:cs="仿宋"/>
                <w:sz w:val="24"/>
                <w:highlight w:val="none"/>
              </w:rPr>
            </w:pPr>
          </w:p>
        </w:tc>
        <w:tc>
          <w:tcPr>
            <w:tcW w:w="2126"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投标报价（小写）</w:t>
            </w:r>
          </w:p>
        </w:tc>
        <w:tc>
          <w:tcPr>
            <w:tcW w:w="8647" w:type="dxa"/>
            <w:gridSpan w:val="4"/>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投标报价（大写）</w:t>
            </w:r>
          </w:p>
        </w:tc>
        <w:tc>
          <w:tcPr>
            <w:tcW w:w="8647" w:type="dxa"/>
            <w:gridSpan w:val="4"/>
          </w:tcPr>
          <w:p>
            <w:pPr>
              <w:spacing w:line="360" w:lineRule="auto"/>
              <w:jc w:val="center"/>
              <w:rPr>
                <w:rFonts w:hint="eastAsia" w:ascii="仿宋" w:hAnsi="仿宋" w:eastAsia="仿宋" w:cs="仿宋"/>
                <w:sz w:val="24"/>
                <w:highlight w:val="none"/>
              </w:rPr>
            </w:pPr>
          </w:p>
        </w:tc>
      </w:tr>
    </w:tbl>
    <w:p>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r>
        <w:rPr>
          <w:rFonts w:hint="eastAsia" w:ascii="仿宋" w:hAnsi="仿宋" w:eastAsia="仿宋" w:cs="仿宋"/>
          <w:kern w:val="0"/>
          <w:sz w:val="24"/>
          <w:highlight w:val="none"/>
          <w:lang w:val="zh-CN"/>
        </w:rPr>
        <w:t>。</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FF0000"/>
          <w:kern w:val="0"/>
          <w:sz w:val="24"/>
          <w:highlight w:val="none"/>
          <w:lang w:val="zh-CN"/>
        </w:rPr>
      </w:pPr>
      <w:r>
        <w:rPr>
          <w:rFonts w:hint="eastAsia" w:ascii="仿宋" w:hAnsi="仿宋" w:eastAsia="仿宋" w:cs="仿宋"/>
          <w:color w:val="FF0000"/>
          <w:kern w:val="0"/>
          <w:sz w:val="24"/>
          <w:szCs w:val="22"/>
          <w:highlight w:val="none"/>
          <w:lang w:val="zh-CN"/>
        </w:rPr>
        <w:t>4、</w:t>
      </w:r>
      <w:r>
        <w:rPr>
          <w:rFonts w:hint="eastAsia" w:ascii="仿宋" w:hAnsi="仿宋" w:eastAsia="仿宋" w:cs="仿宋"/>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rPr>
        <w:t>5、特别说明：▲供应商报价低于项目预算50%的，应当在报价文件中详细阐述不影响产品质量或者诚信履约的具体原因</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未做阐述说明的，投标无效。</w:t>
      </w:r>
    </w:p>
    <w:p>
      <w:pPr>
        <w:spacing w:line="360" w:lineRule="auto"/>
        <w:ind w:firstLine="482" w:firstLineChars="200"/>
        <w:rPr>
          <w:rFonts w:hint="eastAsia" w:ascii="仿宋" w:hAnsi="仿宋" w:eastAsia="仿宋" w:cs="仿宋"/>
          <w:b/>
          <w:kern w:val="0"/>
          <w:sz w:val="24"/>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FF0000"/>
          <w:sz w:val="32"/>
          <w:szCs w:val="32"/>
          <w:highlight w:val="none"/>
        </w:rPr>
      </w:pPr>
      <w:r>
        <w:rPr>
          <w:rFonts w:hint="eastAsia" w:ascii="仿宋" w:hAnsi="仿宋" w:eastAsia="仿宋" w:cs="仿宋"/>
          <w:color w:val="FF0000"/>
          <w:kern w:val="2"/>
          <w:sz w:val="32"/>
          <w:szCs w:val="32"/>
          <w:highlight w:val="none"/>
        </w:rPr>
        <w:t>二、</w:t>
      </w:r>
      <w:r>
        <w:rPr>
          <w:rFonts w:hint="eastAsia" w:ascii="仿宋" w:hAnsi="仿宋" w:eastAsia="仿宋" w:cs="仿宋"/>
          <w:color w:val="FF0000"/>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FF0000"/>
          <w:sz w:val="24"/>
          <w:highlight w:val="none"/>
        </w:rPr>
      </w:pPr>
      <w:r>
        <w:rPr>
          <w:rFonts w:hint="eastAsia" w:ascii="仿宋" w:hAnsi="仿宋" w:eastAsia="仿宋" w:cs="仿宋"/>
          <w:b/>
          <w:color w:val="FF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sz w:val="32"/>
          <w:szCs w:val="32"/>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r>
        <w:rPr>
          <w:rFonts w:hint="eastAsia" w:ascii="仿宋" w:hAnsi="仿宋" w:eastAsia="仿宋" w:cs="仿宋"/>
          <w:highlight w:val="none"/>
        </w:rPr>
        <w:t>附件</w:t>
      </w:r>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bookmarkStart w:id="396" w:name="OLE_LINK14"/>
      <w:bookmarkStart w:id="397" w:name="OLE_LINK13"/>
      <w:r>
        <w:rPr>
          <w:rFonts w:hint="eastAsia" w:ascii="仿宋" w:hAnsi="仿宋" w:eastAsia="仿宋" w:cs="仿宋"/>
          <w:b/>
          <w:spacing w:val="6"/>
          <w:sz w:val="32"/>
          <w:szCs w:val="32"/>
          <w:highlight w:val="none"/>
        </w:rPr>
        <w:t>残疾人福利性单位声明函</w:t>
      </w:r>
    </w:p>
    <w:bookmarkEnd w:id="396"/>
    <w:bookmarkEnd w:id="397"/>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highlight w:val="none"/>
          <w:u w:val="single"/>
        </w:rPr>
        <w:t>(采购人)</w:t>
      </w:r>
      <w:r>
        <w:rPr>
          <w:rFonts w:hint="eastAsia" w:ascii="仿宋" w:hAnsi="仿宋" w:eastAsia="仿宋" w:cs="仿宋"/>
          <w:sz w:val="24"/>
          <w:highlight w:val="none"/>
        </w:rPr>
        <w:t>_单位的_</w:t>
      </w:r>
      <w:r>
        <w:rPr>
          <w:rFonts w:hint="eastAsia" w:ascii="仿宋" w:hAnsi="仿宋" w:eastAsia="仿宋" w:cs="仿宋"/>
          <w:color w:val="0000FF"/>
          <w:sz w:val="24"/>
          <w:highlight w:val="none"/>
          <w:u w:val="single"/>
        </w:rPr>
        <w:t>（项目名称）</w:t>
      </w:r>
      <w:r>
        <w:rPr>
          <w:rFonts w:hint="eastAsia" w:ascii="仿宋" w:hAnsi="仿宋" w:eastAsia="仿宋" w:cs="仿宋"/>
          <w:color w:val="0000FF"/>
          <w:sz w:val="24"/>
          <w:highlight w:val="none"/>
        </w:rPr>
        <w:t>_</w:t>
      </w:r>
      <w:r>
        <w:rPr>
          <w:rFonts w:hint="eastAsia" w:ascii="仿宋" w:hAnsi="仿宋" w:eastAsia="仿宋" w:cs="仿宋"/>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jc w:val="center"/>
        <w:rPr>
          <w:rFonts w:hint="eastAsia" w:ascii="仿宋" w:hAnsi="仿宋" w:eastAsia="仿宋" w:cs="仿宋"/>
          <w:b/>
          <w:bCs/>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pPr>
        <w:spacing w:line="360" w:lineRule="auto"/>
        <w:rPr>
          <w:rFonts w:hint="eastAsia" w:ascii="仿宋" w:hAnsi="仿宋" w:eastAsia="仿宋" w:cs="仿宋"/>
          <w:sz w:val="24"/>
          <w:highlight w:val="none"/>
          <w:u w:val="single"/>
        </w:rPr>
      </w:pPr>
    </w:p>
    <w:p>
      <w:pPr>
        <w:spacing w:line="360" w:lineRule="auto"/>
        <w:rPr>
          <w:rFonts w:hint="eastAsia" w:ascii="仿宋" w:hAnsi="仿宋" w:eastAsia="仿宋" w:cs="仿宋"/>
          <w:sz w:val="24"/>
          <w:highlight w:val="none"/>
        </w:rPr>
      </w:pPr>
      <w:r>
        <w:rPr>
          <w:rFonts w:hint="eastAsia" w:ascii="仿宋" w:hAnsi="仿宋" w:eastAsia="仿宋" w:cs="仿宋"/>
          <w:color w:val="0000FF"/>
          <w:sz w:val="24"/>
          <w:highlight w:val="none"/>
          <w:u w:val="single"/>
        </w:rPr>
        <w:t>（采购人）</w:t>
      </w:r>
      <w:r>
        <w:rPr>
          <w:rFonts w:hint="eastAsia" w:ascii="仿宋" w:hAnsi="仿宋" w:eastAsia="仿宋" w:cs="仿宋"/>
          <w:sz w:val="24"/>
          <w:highlight w:val="none"/>
          <w:u w:val="single"/>
        </w:rPr>
        <w:t>、（采购代理机构）：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color w:val="0000FF"/>
          <w:sz w:val="24"/>
          <w:highlight w:val="none"/>
        </w:rPr>
        <w:t>（项目名称）</w:t>
      </w:r>
      <w:r>
        <w:rPr>
          <w:rFonts w:hint="eastAsia" w:ascii="仿宋" w:hAnsi="仿宋" w:eastAsia="仿宋" w:cs="仿宋"/>
          <w:sz w:val="24"/>
          <w:highlight w:val="none"/>
        </w:rPr>
        <w:t>【招标编号：</w:t>
      </w:r>
      <w:r>
        <w:rPr>
          <w:rFonts w:hint="eastAsia" w:ascii="仿宋" w:hAnsi="仿宋" w:eastAsia="仿宋" w:cs="仿宋"/>
          <w:color w:val="FF0000"/>
          <w:sz w:val="24"/>
          <w:highlight w:val="none"/>
        </w:rPr>
        <w:t>（采购编号）</w:t>
      </w:r>
      <w:r>
        <w:rPr>
          <w:rFonts w:hint="eastAsia" w:ascii="仿宋" w:hAnsi="仿宋" w:eastAsia="仿宋" w:cs="仿宋"/>
          <w:sz w:val="24"/>
          <w:highlight w:val="non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rPr>
          <w:rFonts w:hint="eastAsia"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color w:val="0000FF"/>
          <w:sz w:val="24"/>
          <w:highlight w:val="none"/>
        </w:rPr>
        <w:t>（项目名称）</w:t>
      </w:r>
      <w:r>
        <w:rPr>
          <w:rFonts w:hint="eastAsia" w:ascii="仿宋" w:hAnsi="仿宋" w:eastAsia="仿宋" w:cs="仿宋"/>
          <w:sz w:val="24"/>
          <w:highlight w:val="none"/>
        </w:rPr>
        <w:t>【招标编号：</w:t>
      </w:r>
      <w:r>
        <w:rPr>
          <w:rFonts w:hint="eastAsia" w:ascii="仿宋" w:hAnsi="仿宋" w:eastAsia="仿宋" w:cs="仿宋"/>
          <w:color w:val="FF0000"/>
          <w:sz w:val="24"/>
          <w:highlight w:val="none"/>
        </w:rPr>
        <w:t>（采购编号）</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398" w:name="_Hlk101131882"/>
      <w:r>
        <w:rPr>
          <w:rFonts w:hint="eastAsia" w:ascii="仿宋" w:hAnsi="仿宋" w:eastAsia="仿宋" w:cs="仿宋"/>
          <w:kern w:val="0"/>
          <w:sz w:val="24"/>
          <w:highlight w:val="none"/>
          <w:u w:val="single"/>
        </w:rPr>
        <w:t>联合体成员X,……</w:t>
      </w:r>
      <w:bookmarkEnd w:id="398"/>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399"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399"/>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400"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400"/>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snapToGrid w:val="0"/>
        <w:spacing w:line="360" w:lineRule="auto"/>
        <w:ind w:firstLine="3666" w:firstLineChars="1100"/>
        <w:rPr>
          <w:rFonts w:hint="eastAsia" w:ascii="仿宋" w:hAnsi="仿宋" w:eastAsia="仿宋" w:cs="仿宋"/>
          <w:b/>
          <w:spacing w:val="6"/>
          <w:sz w:val="32"/>
          <w:szCs w:val="32"/>
          <w:highlight w:val="none"/>
        </w:rPr>
      </w:pPr>
    </w:p>
    <w:p>
      <w:pPr>
        <w:widowControl/>
        <w:adjustRightInd/>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snapToGrid w:val="0"/>
        <w:spacing w:line="360" w:lineRule="auto"/>
        <w:ind w:firstLine="3666" w:firstLineChars="1100"/>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color w:val="0000FF"/>
          <w:sz w:val="24"/>
          <w:highlight w:val="none"/>
        </w:rPr>
        <w:t>（项目名称）</w:t>
      </w:r>
      <w:r>
        <w:rPr>
          <w:rFonts w:hint="eastAsia" w:ascii="仿宋" w:hAnsi="仿宋" w:eastAsia="仿宋" w:cs="仿宋"/>
          <w:sz w:val="24"/>
          <w:highlight w:val="none"/>
        </w:rPr>
        <w:t>【招标编号：</w:t>
      </w:r>
      <w:r>
        <w:rPr>
          <w:rFonts w:hint="eastAsia" w:ascii="仿宋" w:hAnsi="仿宋" w:eastAsia="仿宋" w:cs="仿宋"/>
          <w:color w:val="FF0000"/>
          <w:sz w:val="24"/>
          <w:highlight w:val="none"/>
        </w:rPr>
        <w:t>（采购编号）</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2"/>
        <w:ind w:left="664" w:leftChars="316" w:firstLine="229" w:firstLineChars="9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pPr>
        <w:rPr>
          <w:rFonts w:hint="eastAsia" w:ascii="仿宋" w:hAnsi="仿宋" w:eastAsia="仿宋" w:cs="仿宋"/>
          <w:highlight w:val="none"/>
        </w:rPr>
      </w:pPr>
      <w:r>
        <w:rPr>
          <w:rFonts w:hint="eastAsia" w:ascii="仿宋" w:hAnsi="仿宋" w:eastAsia="仿宋" w:cs="仿宋"/>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spacing w:line="360" w:lineRule="auto"/>
        <w:jc w:val="left"/>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附件7：中小企业声明函</w:t>
      </w:r>
    </w:p>
    <w:p>
      <w:pPr>
        <w:spacing w:line="360" w:lineRule="auto"/>
        <w:jc w:val="center"/>
        <w:rPr>
          <w:rFonts w:hint="eastAsia" w:ascii="仿宋" w:hAnsi="仿宋" w:eastAsia="仿宋" w:cs="仿宋"/>
          <w:sz w:val="24"/>
          <w:highlight w:val="none"/>
          <w:u w:val="singl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0000FF"/>
          <w:sz w:val="24"/>
          <w:highlight w:val="none"/>
          <w:u w:val="single"/>
        </w:rPr>
        <w:t>（采购人）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 w:hAnsi="仿宋" w:eastAsia="仿宋" w:cs="仿宋"/>
          <w:color w:val="0000FF"/>
          <w:sz w:val="24"/>
          <w:highlight w:val="none"/>
          <w:u w:val="single"/>
        </w:rPr>
        <w:t xml:space="preserve"> （项目名称） </w:t>
      </w:r>
      <w:r>
        <w:rPr>
          <w:rFonts w:hint="eastAsia" w:ascii="仿宋" w:hAnsi="仿宋" w:eastAsia="仿宋" w:cs="仿宋"/>
          <w:sz w:val="24"/>
          <w:highlight w:val="none"/>
        </w:rPr>
        <w:t>采购活动，</w:t>
      </w:r>
      <w:r>
        <w:rPr>
          <w:rFonts w:hint="eastAsia" w:ascii="仿宋" w:hAnsi="仿宋" w:eastAsia="仿宋" w:cs="仿宋"/>
          <w:color w:val="FF0000"/>
          <w:sz w:val="24"/>
          <w:highlight w:val="none"/>
        </w:rPr>
        <w:t>工程的施工单位全部为符合政策要求的中小企业（或者：服务全部由符合政策要求的中小企业承接）</w:t>
      </w:r>
      <w:r>
        <w:rPr>
          <w:rFonts w:hint="eastAsia" w:ascii="仿宋" w:hAnsi="仿宋" w:eastAsia="仿宋" w:cs="仿宋"/>
          <w:sz w:val="24"/>
          <w:highlight w:val="none"/>
        </w:rPr>
        <w:t>。相关企业（含联合体中的中小企业、签订分包意向协议的中小企业）的具体情况如下：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color w:val="0000FF"/>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color w:val="0000FF"/>
          <w:sz w:val="24"/>
          <w:highlight w:val="none"/>
          <w:u w:val="single"/>
        </w:rPr>
        <w:t xml:space="preserve"> （采购文件中明确的所属行业）</w:t>
      </w:r>
      <w:r>
        <w:rPr>
          <w:rFonts w:hint="eastAsia" w:ascii="仿宋" w:hAnsi="仿宋" w:eastAsia="仿宋" w:cs="仿宋"/>
          <w:sz w:val="24"/>
          <w:highlight w:val="none"/>
        </w:rPr>
        <w:t xml:space="preserve"> ；</w:t>
      </w:r>
      <w:r>
        <w:rPr>
          <w:rFonts w:hint="eastAsia" w:ascii="仿宋" w:hAnsi="仿宋" w:eastAsia="仿宋" w:cs="仿宋"/>
          <w:color w:val="FF0000"/>
          <w:sz w:val="24"/>
          <w:highlight w:val="none"/>
        </w:rPr>
        <w:t>承建（承接）</w:t>
      </w:r>
      <w:r>
        <w:rPr>
          <w:rFonts w:hint="eastAsia" w:ascii="仿宋" w:hAnsi="仿宋" w:eastAsia="仿宋" w:cs="仿宋"/>
          <w:sz w:val="24"/>
          <w:highlight w:val="none"/>
        </w:rPr>
        <w:t xml:space="preserve">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color w:val="0000FF"/>
          <w:sz w:val="24"/>
          <w:highlight w:val="none"/>
          <w:u w:val="single"/>
        </w:rPr>
        <w:t xml:space="preserve"> （标的名称），</w:t>
      </w:r>
      <w:r>
        <w:rPr>
          <w:rFonts w:hint="eastAsia" w:ascii="仿宋" w:hAnsi="仿宋" w:eastAsia="仿宋" w:cs="仿宋"/>
          <w:sz w:val="24"/>
          <w:highlight w:val="none"/>
        </w:rPr>
        <w:t xml:space="preserve">属于 </w:t>
      </w:r>
      <w:r>
        <w:rPr>
          <w:rFonts w:hint="eastAsia" w:ascii="仿宋" w:hAnsi="仿宋" w:eastAsia="仿宋" w:cs="仿宋"/>
          <w:color w:val="0000FF"/>
          <w:sz w:val="24"/>
          <w:highlight w:val="none"/>
          <w:u w:val="single"/>
        </w:rPr>
        <w:t xml:space="preserve">（采购文件中明确的所属行业） </w:t>
      </w:r>
      <w:r>
        <w:rPr>
          <w:rFonts w:hint="eastAsia" w:ascii="仿宋" w:hAnsi="仿宋" w:eastAsia="仿宋" w:cs="仿宋"/>
          <w:sz w:val="24"/>
          <w:highlight w:val="none"/>
        </w:rPr>
        <w:t>；</w:t>
      </w:r>
      <w:r>
        <w:rPr>
          <w:rFonts w:hint="eastAsia" w:ascii="仿宋" w:hAnsi="仿宋" w:eastAsia="仿宋" w:cs="仿宋"/>
          <w:color w:val="FF0000"/>
          <w:sz w:val="24"/>
          <w:highlight w:val="none"/>
        </w:rPr>
        <w:t>承建（承接）</w:t>
      </w:r>
      <w:r>
        <w:rPr>
          <w:rFonts w:hint="eastAsia" w:ascii="仿宋" w:hAnsi="仿宋" w:eastAsia="仿宋" w:cs="仿宋"/>
          <w:sz w:val="24"/>
          <w:highlight w:val="none"/>
        </w:rPr>
        <w:t xml:space="preserve">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pStyle w:val="2"/>
        <w:jc w:val="left"/>
        <w:rPr>
          <w:rFonts w:hint="eastAsia" w:ascii="仿宋" w:hAnsi="仿宋" w:eastAsia="仿宋" w:cs="仿宋"/>
          <w:sz w:val="24"/>
          <w:highlight w:val="none"/>
        </w:rPr>
      </w:pPr>
      <w:r>
        <w:rPr>
          <w:rFonts w:hint="eastAsia" w:ascii="仿宋" w:hAnsi="仿宋" w:eastAsia="仿宋" w:cs="仿宋"/>
          <w:highlight w:val="none"/>
        </w:rPr>
        <w:t>附件</w:t>
      </w:r>
      <w:r>
        <w:rPr>
          <w:rFonts w:hint="eastAsia" w:ascii="仿宋" w:hAnsi="仿宋" w:eastAsia="仿宋" w:cs="仿宋"/>
          <w:highlight w:val="none"/>
          <w:lang w:val="en-US" w:eastAsia="zh-CN"/>
        </w:rPr>
        <w:t>8</w:t>
      </w:r>
      <w:r>
        <w:rPr>
          <w:rFonts w:hint="eastAsia" w:ascii="仿宋" w:hAnsi="仿宋" w:eastAsia="仿宋" w:cs="仿宋"/>
          <w:highlight w:val="none"/>
        </w:rPr>
        <w:t>样品（演示）授权委托书</w:t>
      </w:r>
    </w:p>
    <w:p>
      <w:pPr>
        <w:jc w:val="center"/>
        <w:rPr>
          <w:rFonts w:hint="eastAsia" w:ascii="仿宋" w:hAnsi="仿宋" w:eastAsia="仿宋" w:cs="仿宋"/>
          <w:sz w:val="40"/>
          <w:highlight w:val="none"/>
        </w:rPr>
      </w:pPr>
      <w:r>
        <w:rPr>
          <w:rFonts w:hint="eastAsia" w:ascii="仿宋" w:hAnsi="仿宋" w:eastAsia="仿宋" w:cs="仿宋"/>
          <w:sz w:val="40"/>
          <w:highlight w:val="none"/>
        </w:rPr>
        <w:t>样品（演示）授权委托书</w:t>
      </w:r>
    </w:p>
    <w:p>
      <w:pPr>
        <w:jc w:val="center"/>
        <w:rPr>
          <w:rFonts w:hint="eastAsia" w:ascii="仿宋" w:hAnsi="仿宋" w:eastAsia="仿宋" w:cs="仿宋"/>
          <w:sz w:val="40"/>
          <w:highlight w:val="none"/>
        </w:rPr>
      </w:pPr>
    </w:p>
    <w:p>
      <w:pPr>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XXX（单位名称或采购机构名称）</w:t>
      </w:r>
      <w:r>
        <w:rPr>
          <w:rFonts w:hint="eastAsia" w:ascii="仿宋" w:hAnsi="仿宋" w:eastAsia="仿宋" w:cs="仿宋"/>
          <w:color w:val="000000"/>
          <w:highlight w:val="none"/>
          <w:lang w:val="zh-CN"/>
        </w:rPr>
        <w:t>：</w:t>
      </w:r>
    </w:p>
    <w:p>
      <w:pPr>
        <w:snapToGrid w:val="0"/>
        <w:spacing w:line="360" w:lineRule="auto"/>
        <w:ind w:left="254" w:leftChars="121" w:firstLine="420" w:firstLineChars="200"/>
        <w:rPr>
          <w:rFonts w:hint="eastAsia" w:ascii="仿宋" w:hAnsi="仿宋" w:eastAsia="仿宋" w:cs="仿宋"/>
          <w:color w:val="000000"/>
          <w:highlight w:val="none"/>
          <w:u w:val="single"/>
          <w:lang w:val="zh-CN"/>
        </w:rPr>
      </w:pPr>
      <w:r>
        <w:rPr>
          <w:rFonts w:hint="eastAsia" w:ascii="仿宋" w:hAnsi="仿宋" w:eastAsia="仿宋" w:cs="仿宋"/>
          <w:color w:val="000000"/>
          <w:highlight w:val="none"/>
          <w:lang w:val="zh-CN"/>
        </w:rPr>
        <w:t>兹委派</w:t>
      </w:r>
      <w:r>
        <w:rPr>
          <w:rFonts w:hint="eastAsia" w:ascii="仿宋" w:hAnsi="仿宋" w:eastAsia="仿宋" w:cs="仿宋"/>
          <w:color w:val="000000"/>
          <w:highlight w:val="none"/>
          <w:u w:val="single"/>
          <w:lang w:val="zh-CN"/>
        </w:rPr>
        <w:t xml:space="preserve">                </w:t>
      </w:r>
      <w:r>
        <w:rPr>
          <w:rFonts w:hint="eastAsia" w:ascii="仿宋" w:hAnsi="仿宋" w:eastAsia="仿宋" w:cs="仿宋"/>
          <w:color w:val="000000"/>
          <w:highlight w:val="none"/>
          <w:lang w:val="zh-CN"/>
        </w:rPr>
        <w:t>先生/女士，身份证号：</w:t>
      </w:r>
      <w:r>
        <w:rPr>
          <w:rFonts w:hint="eastAsia" w:ascii="仿宋" w:hAnsi="仿宋" w:eastAsia="仿宋" w:cs="仿宋"/>
          <w:color w:val="000000"/>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000000"/>
          <w:highlight w:val="none"/>
        </w:rPr>
      </w:pPr>
      <w:r>
        <w:rPr>
          <w:rFonts w:hint="eastAsia" w:ascii="仿宋" w:hAnsi="仿宋" w:eastAsia="仿宋" w:cs="仿宋"/>
          <w:color w:val="000000"/>
          <w:highlight w:val="none"/>
          <w:lang w:val="zh-CN"/>
        </w:rPr>
        <w:t>手机：</w:t>
      </w:r>
      <w:r>
        <w:rPr>
          <w:rFonts w:hint="eastAsia" w:ascii="仿宋" w:hAnsi="仿宋" w:eastAsia="仿宋" w:cs="仿宋"/>
          <w:color w:val="000000"/>
          <w:highlight w:val="none"/>
          <w:u w:val="single"/>
          <w:lang w:val="zh-CN"/>
        </w:rPr>
        <w:t xml:space="preserve">             </w:t>
      </w:r>
      <w:r>
        <w:rPr>
          <w:rFonts w:hint="eastAsia" w:ascii="仿宋" w:hAnsi="仿宋" w:eastAsia="仿宋" w:cs="仿宋"/>
          <w:color w:val="000000"/>
          <w:highlight w:val="none"/>
          <w:lang w:val="zh-CN"/>
        </w:rPr>
        <w:t>，代表我公司前来递交</w:t>
      </w:r>
      <w:r>
        <w:rPr>
          <w:rFonts w:hint="eastAsia" w:ascii="仿宋" w:hAnsi="仿宋" w:eastAsia="仿宋" w:cs="仿宋"/>
          <w:color w:val="000000"/>
          <w:highlight w:val="none"/>
          <w:u w:val="single"/>
          <w:lang w:val="zh-CN"/>
        </w:rPr>
        <w:t xml:space="preserve">                           采购项目</w:t>
      </w:r>
      <w:r>
        <w:rPr>
          <w:rFonts w:hint="eastAsia" w:ascii="仿宋" w:hAnsi="仿宋" w:eastAsia="仿宋" w:cs="仿宋"/>
          <w:color w:val="000000"/>
          <w:highlight w:val="none"/>
          <w:lang w:val="zh-CN"/>
        </w:rPr>
        <w:t>【项目编号：              】（标项号：  ）投标</w:t>
      </w:r>
      <w:r>
        <w:rPr>
          <w:rFonts w:hint="eastAsia" w:ascii="仿宋" w:hAnsi="仿宋" w:eastAsia="仿宋" w:cs="仿宋"/>
          <w:color w:val="0000FF"/>
          <w:highlight w:val="none"/>
          <w:lang w:val="zh-CN"/>
        </w:rPr>
        <w:t>样品或参加演示</w:t>
      </w:r>
      <w:r>
        <w:rPr>
          <w:rFonts w:hint="eastAsia" w:ascii="仿宋" w:hAnsi="仿宋" w:eastAsia="仿宋" w:cs="仿宋"/>
          <w:color w:val="000000"/>
          <w:highlight w:val="none"/>
          <w:lang w:val="zh-CN"/>
        </w:rPr>
        <w:t>，并全权负责标后取回样品等其他处理事宜。</w:t>
      </w:r>
    </w:p>
    <w:p>
      <w:pPr>
        <w:snapToGrid w:val="0"/>
        <w:spacing w:line="360" w:lineRule="auto"/>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 xml:space="preserve">  </w:t>
      </w:r>
    </w:p>
    <w:p>
      <w:pPr>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lang w:val="zh-CN"/>
        </w:rPr>
        <w:t xml:space="preserve">    特此告知。</w:t>
      </w:r>
    </w:p>
    <w:p>
      <w:pPr>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lang w:val="zh-CN"/>
        </w:rPr>
        <w:t xml:space="preserve">                                                  投标人名称(公章)：</w:t>
      </w:r>
    </w:p>
    <w:p>
      <w:pPr>
        <w:snapToGri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lang w:val="zh-CN"/>
        </w:rPr>
        <w:t xml:space="preserve">                                                  </w:t>
      </w:r>
    </w:p>
    <w:p>
      <w:pPr>
        <w:snapToGrid w:val="0"/>
        <w:spacing w:line="360" w:lineRule="auto"/>
        <w:ind w:right="240"/>
        <w:jc w:val="right"/>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签发日期：  年  月   日</w:t>
      </w:r>
    </w:p>
    <w:p>
      <w:pPr>
        <w:snapToGrid w:val="0"/>
        <w:spacing w:line="360" w:lineRule="auto"/>
        <w:ind w:right="240"/>
        <w:jc w:val="right"/>
        <w:rPr>
          <w:rFonts w:hint="eastAsia" w:ascii="仿宋" w:hAnsi="仿宋" w:eastAsia="仿宋" w:cs="仿宋"/>
          <w:color w:val="000000"/>
          <w:highlight w:val="none"/>
          <w:lang w:val="zh-CN"/>
        </w:rPr>
      </w:pPr>
    </w:p>
    <w:p>
      <w:pPr>
        <w:snapToGrid w:val="0"/>
        <w:spacing w:line="360" w:lineRule="auto"/>
        <w:ind w:right="1920"/>
        <w:rPr>
          <w:rFonts w:hint="eastAsia" w:ascii="仿宋" w:hAnsi="仿宋" w:eastAsia="仿宋" w:cs="仿宋"/>
          <w:color w:val="000000"/>
          <w:highlight w:val="none"/>
          <w:lang w:val="zh-CN"/>
        </w:rPr>
      </w:pPr>
    </w:p>
    <w:p>
      <w:pPr>
        <w:snapToGrid w:val="0"/>
        <w:spacing w:line="360" w:lineRule="auto"/>
        <w:ind w:right="240"/>
        <w:jc w:val="right"/>
        <w:rPr>
          <w:rFonts w:hint="eastAsia" w:ascii="仿宋" w:hAnsi="仿宋" w:eastAsia="仿宋" w:cs="仿宋"/>
          <w:color w:val="000000"/>
          <w:highlight w:val="none"/>
          <w:lang w:val="zh-CN"/>
        </w:rPr>
      </w:pPr>
    </w:p>
    <w:p>
      <w:pPr>
        <w:snapToGrid w:val="0"/>
        <w:spacing w:line="360" w:lineRule="auto"/>
        <w:ind w:right="240"/>
        <w:rPr>
          <w:rFonts w:hint="eastAsia" w:ascii="仿宋" w:hAnsi="仿宋" w:eastAsia="仿宋" w:cs="仿宋"/>
          <w:color w:val="000000"/>
          <w:highlight w:val="none"/>
          <w:lang w:val="zh-CN"/>
        </w:rPr>
      </w:pPr>
      <w:r>
        <w:rPr>
          <w:rFonts w:hint="eastAsia" w:ascii="仿宋" w:hAnsi="仿宋" w:eastAsia="仿宋" w:cs="仿宋"/>
          <w:color w:val="000000"/>
          <w:highlight w:val="none"/>
        </w:rPr>
        <w:t>受委托人</w:t>
      </w:r>
      <w:r>
        <w:rPr>
          <w:rFonts w:hint="eastAsia" w:ascii="仿宋" w:hAnsi="仿宋" w:eastAsia="仿宋" w:cs="仿宋"/>
          <w:color w:val="000000"/>
          <w:highlight w:val="none"/>
          <w:lang w:val="zh-CN"/>
        </w:rPr>
        <w:t>身份证复印件：</w:t>
      </w:r>
    </w:p>
    <w:p>
      <w:pPr>
        <w:snapToGrid w:val="0"/>
        <w:spacing w:line="360" w:lineRule="auto"/>
        <w:ind w:right="240"/>
        <w:rPr>
          <w:rFonts w:hint="eastAsia" w:ascii="仿宋" w:hAnsi="仿宋" w:eastAsia="仿宋" w:cs="仿宋"/>
          <w:color w:val="000000"/>
          <w:highlight w:val="none"/>
          <w:lang w:val="zh-CN"/>
        </w:rPr>
      </w:pPr>
    </w:p>
    <w:p>
      <w:pPr>
        <w:snapToGrid w:val="0"/>
        <w:spacing w:line="360" w:lineRule="auto"/>
        <w:ind w:right="240"/>
        <w:rPr>
          <w:rFonts w:hint="eastAsia" w:ascii="仿宋" w:hAnsi="仿宋" w:eastAsia="仿宋" w:cs="仿宋"/>
          <w:color w:val="000000"/>
          <w:highlight w:val="none"/>
          <w:lang w:val="zh-CN"/>
        </w:rPr>
      </w:pPr>
      <w:r>
        <w:rPr>
          <w:rFonts w:hint="eastAsia" w:ascii="仿宋" w:hAnsi="仿宋" w:eastAsia="仿宋" w:cs="仿宋"/>
          <w:color w:val="000000"/>
          <w:highlight w:val="none"/>
          <w:lang w:val="zh-CN"/>
        </w:rPr>
        <w:t>说明：本委托书在有样品或演示时由受委托人携带至指定地点。</w:t>
      </w:r>
    </w:p>
    <w:p>
      <w:pPr>
        <w:spacing w:line="360" w:lineRule="auto"/>
        <w:rPr>
          <w:rFonts w:hint="eastAsia" w:ascii="仿宋" w:hAnsi="仿宋" w:eastAsia="仿宋" w:cs="仿宋"/>
          <w:b/>
          <w:color w:val="000000"/>
          <w:highlight w:val="none"/>
        </w:rPr>
      </w:pPr>
      <w:r>
        <w:rPr>
          <w:rFonts w:hint="eastAsia" w:ascii="仿宋" w:hAnsi="仿宋" w:eastAsia="仿宋" w:cs="仿宋"/>
          <w:b/>
          <w:color w:val="000000"/>
          <w:highlight w:val="none"/>
        </w:rPr>
        <w:t>同时有样品和演示的，可委托不同人员。</w:t>
      </w:r>
    </w:p>
    <w:p>
      <w:pPr>
        <w:pStyle w:val="2"/>
        <w:rPr>
          <w:rFonts w:hint="eastAsia" w:ascii="仿宋" w:hAnsi="仿宋" w:eastAsia="仿宋" w:cs="仿宋"/>
          <w:highlight w:val="none"/>
        </w:rPr>
      </w:pPr>
    </w:p>
    <w:p>
      <w:pPr>
        <w:spacing w:line="360" w:lineRule="auto"/>
        <w:jc w:val="center"/>
        <w:rPr>
          <w:rFonts w:hint="eastAsia" w:ascii="仿宋" w:hAnsi="仿宋" w:eastAsia="仿宋" w:cs="仿宋"/>
          <w:b/>
          <w:sz w:val="32"/>
          <w:szCs w:val="32"/>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lang w:val="en-US"/>
        </w:rPr>
      </w:pPr>
    </w:p>
    <w:p>
      <w:pPr>
        <w:spacing w:line="360" w:lineRule="auto"/>
        <w:ind w:right="420"/>
        <w:rPr>
          <w:rFonts w:hint="eastAsia" w:ascii="仿宋" w:hAnsi="仿宋" w:eastAsia="仿宋" w:cs="仿宋"/>
          <w:highlight w:val="none"/>
        </w:rPr>
      </w:pPr>
    </w:p>
    <w:p>
      <w:pPr>
        <w:spacing w:line="360" w:lineRule="auto"/>
        <w:rPr>
          <w:rFonts w:hint="eastAsia" w:ascii="仿宋" w:hAnsi="仿宋" w:eastAsia="仿宋" w:cs="仿宋"/>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36110187"/>
    <w:bookmarkStart w:id="402" w:name="_Toc164085800"/>
    <w:bookmarkStart w:id="403" w:name="_Toc13184514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DRmNWNmYmVhZGQwMDlmYWU0ZTU3ZDI4NThhMTIifQ=="/>
    <w:docVar w:name="KSO_WPS_MARK_KEY" w:val="6491ef3d-a9c5-489b-bc93-12c3d21f12e8"/>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74114"/>
    <w:rsid w:val="01EC2C57"/>
    <w:rsid w:val="025F0711"/>
    <w:rsid w:val="026B2E25"/>
    <w:rsid w:val="02824D4D"/>
    <w:rsid w:val="029037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8FF019C"/>
    <w:rsid w:val="09335624"/>
    <w:rsid w:val="093C559A"/>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741D4"/>
    <w:rsid w:val="146D271E"/>
    <w:rsid w:val="14982588"/>
    <w:rsid w:val="149A5AD9"/>
    <w:rsid w:val="14A7619D"/>
    <w:rsid w:val="150536C3"/>
    <w:rsid w:val="150C1963"/>
    <w:rsid w:val="151447A0"/>
    <w:rsid w:val="154A6454"/>
    <w:rsid w:val="15762120"/>
    <w:rsid w:val="15C10692"/>
    <w:rsid w:val="1632430B"/>
    <w:rsid w:val="163E1BEA"/>
    <w:rsid w:val="16A8729C"/>
    <w:rsid w:val="16B33777"/>
    <w:rsid w:val="16BC70A7"/>
    <w:rsid w:val="16C6339E"/>
    <w:rsid w:val="172F2D79"/>
    <w:rsid w:val="17557BEF"/>
    <w:rsid w:val="17827E37"/>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CC1173"/>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19689D"/>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D40319"/>
    <w:rsid w:val="31E3679B"/>
    <w:rsid w:val="31E732FD"/>
    <w:rsid w:val="32517576"/>
    <w:rsid w:val="32BE5C2C"/>
    <w:rsid w:val="32FB6478"/>
    <w:rsid w:val="33263B3F"/>
    <w:rsid w:val="336963EB"/>
    <w:rsid w:val="33774F3C"/>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9031D7"/>
    <w:rsid w:val="37EE7094"/>
    <w:rsid w:val="38296C89"/>
    <w:rsid w:val="383002EB"/>
    <w:rsid w:val="38586797"/>
    <w:rsid w:val="38BC0149"/>
    <w:rsid w:val="38D87D1C"/>
    <w:rsid w:val="39416E46"/>
    <w:rsid w:val="39636459"/>
    <w:rsid w:val="396B7F6C"/>
    <w:rsid w:val="39A959E1"/>
    <w:rsid w:val="39B417A9"/>
    <w:rsid w:val="39FC5695"/>
    <w:rsid w:val="3A006D8E"/>
    <w:rsid w:val="3A3651E5"/>
    <w:rsid w:val="3A4349AB"/>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5F22E0"/>
    <w:rsid w:val="4360274F"/>
    <w:rsid w:val="43977AB6"/>
    <w:rsid w:val="43A3342B"/>
    <w:rsid w:val="43C77C27"/>
    <w:rsid w:val="43DE09EE"/>
    <w:rsid w:val="44002FAD"/>
    <w:rsid w:val="449101DD"/>
    <w:rsid w:val="44DE1391"/>
    <w:rsid w:val="44F66D3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16416"/>
    <w:rsid w:val="4AB82D0F"/>
    <w:rsid w:val="4AEB7664"/>
    <w:rsid w:val="4AFD7C19"/>
    <w:rsid w:val="4B0567D1"/>
    <w:rsid w:val="4B236AAE"/>
    <w:rsid w:val="4B363761"/>
    <w:rsid w:val="4B707271"/>
    <w:rsid w:val="4B9739F7"/>
    <w:rsid w:val="4BEE2503"/>
    <w:rsid w:val="4C245A30"/>
    <w:rsid w:val="4C5D6D63"/>
    <w:rsid w:val="4CB6685F"/>
    <w:rsid w:val="4CC367FE"/>
    <w:rsid w:val="4D077F3C"/>
    <w:rsid w:val="4D123355"/>
    <w:rsid w:val="4D2A3B31"/>
    <w:rsid w:val="4D312C52"/>
    <w:rsid w:val="4D5D41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B171D"/>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627E3"/>
    <w:rsid w:val="54487265"/>
    <w:rsid w:val="544D6070"/>
    <w:rsid w:val="54605E1E"/>
    <w:rsid w:val="54B3506A"/>
    <w:rsid w:val="54CA0D16"/>
    <w:rsid w:val="54DD4057"/>
    <w:rsid w:val="54E7490F"/>
    <w:rsid w:val="550764A4"/>
    <w:rsid w:val="550B2BF6"/>
    <w:rsid w:val="55214EB5"/>
    <w:rsid w:val="55364EFD"/>
    <w:rsid w:val="555D4828"/>
    <w:rsid w:val="557A4C8B"/>
    <w:rsid w:val="55815AED"/>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863D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B3B29"/>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191629"/>
    <w:rsid w:val="752E6DCD"/>
    <w:rsid w:val="7551380D"/>
    <w:rsid w:val="75600BE5"/>
    <w:rsid w:val="7564475C"/>
    <w:rsid w:val="7583797F"/>
    <w:rsid w:val="75D20F1D"/>
    <w:rsid w:val="75DA2C18"/>
    <w:rsid w:val="75F54412"/>
    <w:rsid w:val="761D08E0"/>
    <w:rsid w:val="765D347C"/>
    <w:rsid w:val="76826699"/>
    <w:rsid w:val="768F0933"/>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647D37"/>
    <w:rsid w:val="797E66A9"/>
    <w:rsid w:val="798518A4"/>
    <w:rsid w:val="79A97383"/>
    <w:rsid w:val="79E27E8B"/>
    <w:rsid w:val="79F850CE"/>
    <w:rsid w:val="79FD443C"/>
    <w:rsid w:val="7A1D1975"/>
    <w:rsid w:val="7A3E5150"/>
    <w:rsid w:val="7A4670D6"/>
    <w:rsid w:val="7A534B63"/>
    <w:rsid w:val="7A615382"/>
    <w:rsid w:val="7A67303B"/>
    <w:rsid w:val="7A805066"/>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2"/>
    <w:qFormat/>
    <w:uiPriority w:val="0"/>
    <w:rPr>
      <w:rFonts w:ascii="宋体" w:hAnsi="Courier New" w:cs="Arial"/>
      <w:snapToGrid w:val="0"/>
      <w:szCs w:val="21"/>
    </w:rPr>
  </w:style>
  <w:style w:type="paragraph" w:styleId="33">
    <w:name w:val="Date"/>
    <w:basedOn w:val="1"/>
    <w:next w:val="1"/>
    <w:link w:val="178"/>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1"/>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3"/>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36763</Words>
  <Characters>39600</Characters>
  <Lines>281</Lines>
  <Paragraphs>79</Paragraphs>
  <TotalTime>18</TotalTime>
  <ScaleCrop>false</ScaleCrop>
  <LinksUpToDate>false</LinksUpToDate>
  <CharactersWithSpaces>43856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尚卷卷</cp:lastModifiedBy>
  <cp:lastPrinted>2024-05-17T01:07:00Z</cp:lastPrinted>
  <dcterms:modified xsi:type="dcterms:W3CDTF">2024-06-06T07:11:07Z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D7763A3E29314960ABAABF9E39F55EE8_13</vt:lpwstr>
  </property>
</Properties>
</file>