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bCs/>
          <w:color w:val="auto"/>
          <w:kern w:val="0"/>
          <w:sz w:val="84"/>
          <w:szCs w:val="84"/>
          <w:highlight w:val="none"/>
          <w:lang w:val="en-US" w:eastAsia="zh-CN"/>
        </w:rPr>
      </w:pPr>
    </w:p>
    <w:p>
      <w:pPr>
        <w:widowControl/>
        <w:jc w:val="left"/>
        <w:rPr>
          <w:rFonts w:hint="eastAsia" w:ascii="宋体" w:hAnsi="宋体" w:cs="宋体"/>
          <w:b/>
          <w:bCs/>
          <w:color w:val="auto"/>
          <w:sz w:val="84"/>
          <w:szCs w:val="84"/>
          <w:highlight w:val="none"/>
        </w:rPr>
      </w:pPr>
      <w:r>
        <w:rPr>
          <w:rFonts w:hint="eastAsia" w:ascii="宋体" w:hAnsi="宋体" w:eastAsia="宋体" w:cs="宋体"/>
          <w:b/>
          <w:bCs/>
          <w:color w:val="auto"/>
          <w:kern w:val="0"/>
          <w:sz w:val="84"/>
          <w:szCs w:val="84"/>
          <w:highlight w:val="none"/>
          <w:lang w:val="en-US" w:eastAsia="zh-CN"/>
        </w:rPr>
        <w:t>温州市政府（分散）采</w:t>
      </w:r>
      <w:r>
        <w:rPr>
          <w:rFonts w:hint="eastAsia" w:ascii="宋体" w:hAnsi="宋体" w:cs="宋体"/>
          <w:b/>
          <w:bCs/>
          <w:color w:val="auto"/>
          <w:sz w:val="84"/>
          <w:szCs w:val="84"/>
          <w:highlight w:val="none"/>
        </w:rPr>
        <w:t>购</w:t>
      </w:r>
    </w:p>
    <w:p>
      <w:pPr>
        <w:pStyle w:val="29"/>
        <w:rPr>
          <w:rFonts w:hint="eastAsia" w:ascii="宋体" w:hAnsi="宋体" w:cs="宋体"/>
          <w:b/>
          <w:bCs/>
          <w:color w:val="auto"/>
          <w:spacing w:val="140"/>
          <w:sz w:val="72"/>
          <w:highlight w:val="none"/>
        </w:rPr>
      </w:pPr>
    </w:p>
    <w:p>
      <w:pPr>
        <w:pStyle w:val="29"/>
        <w:rPr>
          <w:rFonts w:hint="eastAsia" w:ascii="宋体" w:hAnsi="宋体" w:cs="宋体"/>
          <w:b/>
          <w:bCs/>
          <w:color w:val="auto"/>
          <w:spacing w:val="140"/>
          <w:sz w:val="72"/>
          <w:highlight w:val="none"/>
        </w:rPr>
      </w:pPr>
    </w:p>
    <w:p>
      <w:pPr>
        <w:spacing w:line="900" w:lineRule="exact"/>
        <w:jc w:val="center"/>
        <w:rPr>
          <w:rFonts w:hint="eastAsia"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招 标 文 件</w:t>
      </w:r>
    </w:p>
    <w:p>
      <w:pPr>
        <w:pStyle w:val="18"/>
        <w:jc w:val="center"/>
        <w:rPr>
          <w:rFonts w:hint="eastAsia"/>
          <w:color w:val="auto"/>
          <w:sz w:val="20"/>
          <w:szCs w:val="22"/>
          <w:highlight w:val="none"/>
        </w:rPr>
      </w:pPr>
      <w:r>
        <w:rPr>
          <w:rFonts w:hint="eastAsia" w:ascii="宋体" w:hAnsi="宋体" w:cs="宋体"/>
          <w:b/>
          <w:bCs/>
          <w:color w:val="auto"/>
          <w:spacing w:val="140"/>
          <w:sz w:val="72"/>
          <w:szCs w:val="72"/>
          <w:highlight w:val="none"/>
        </w:rPr>
        <w:t>（电子投标）</w:t>
      </w:r>
    </w:p>
    <w:p>
      <w:pPr>
        <w:spacing w:line="400" w:lineRule="exact"/>
        <w:jc w:val="center"/>
        <w:rPr>
          <w:rFonts w:hint="eastAsia" w:ascii="宋体" w:hAnsi="宋体" w:cs="宋体"/>
          <w:b/>
          <w:bCs/>
          <w:color w:val="auto"/>
          <w:sz w:val="32"/>
          <w:szCs w:val="32"/>
          <w:highlight w:val="none"/>
        </w:rPr>
      </w:pPr>
    </w:p>
    <w:p>
      <w:pPr>
        <w:spacing w:line="400" w:lineRule="exact"/>
        <w:jc w:val="center"/>
        <w:rPr>
          <w:rFonts w:hint="eastAsia" w:ascii="宋体" w:hAnsi="宋体" w:cs="宋体"/>
          <w:b/>
          <w:bCs/>
          <w:color w:val="auto"/>
          <w:sz w:val="32"/>
          <w:szCs w:val="32"/>
          <w:highlight w:val="none"/>
        </w:rPr>
      </w:pPr>
    </w:p>
    <w:p>
      <w:pPr>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spacing w:line="600" w:lineRule="exact"/>
        <w:ind w:firstLine="1800" w:firstLineChars="500"/>
        <w:jc w:val="left"/>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rPr>
        <w:t>项目编号：</w:t>
      </w:r>
      <w:r>
        <w:rPr>
          <w:rFonts w:hint="eastAsia" w:ascii="宋体" w:hAnsi="宋体"/>
          <w:color w:val="auto"/>
          <w:spacing w:val="30"/>
          <w:sz w:val="30"/>
          <w:highlight w:val="none"/>
          <w:lang w:eastAsia="zh-CN"/>
        </w:rPr>
        <w:t>2024-05-03-1</w:t>
      </w:r>
    </w:p>
    <w:p>
      <w:pPr>
        <w:spacing w:line="600" w:lineRule="exact"/>
        <w:ind w:firstLine="1800" w:firstLineChars="500"/>
        <w:jc w:val="left"/>
        <w:rPr>
          <w:rFonts w:hint="eastAsia" w:ascii="宋体" w:hAnsi="宋体"/>
          <w:color w:val="auto"/>
          <w:spacing w:val="10"/>
          <w:sz w:val="30"/>
          <w:highlight w:val="none"/>
          <w:lang w:eastAsia="zh-CN"/>
        </w:rPr>
      </w:pPr>
      <w:r>
        <w:rPr>
          <w:rFonts w:hint="eastAsia" w:ascii="宋体" w:hAnsi="宋体"/>
          <w:color w:val="auto"/>
          <w:spacing w:val="30"/>
          <w:sz w:val="30"/>
          <w:highlight w:val="none"/>
        </w:rPr>
        <w:t>项目名称：</w:t>
      </w:r>
      <w:r>
        <w:rPr>
          <w:rFonts w:hint="eastAsia" w:ascii="宋体" w:hAnsi="宋体"/>
          <w:color w:val="auto"/>
          <w:spacing w:val="10"/>
          <w:sz w:val="30"/>
          <w:highlight w:val="none"/>
          <w:lang w:eastAsia="zh-CN"/>
        </w:rPr>
        <w:t>浙江省温州市自然灾害应急能力提升工程</w:t>
      </w:r>
    </w:p>
    <w:p>
      <w:pPr>
        <w:spacing w:line="600" w:lineRule="exact"/>
        <w:ind w:left="0" w:leftChars="0" w:firstLine="3577" w:firstLineChars="1118"/>
        <w:jc w:val="left"/>
        <w:rPr>
          <w:rFonts w:hint="eastAsia" w:ascii="宋体" w:hAnsi="宋体" w:eastAsia="宋体"/>
          <w:color w:val="auto"/>
          <w:spacing w:val="10"/>
          <w:sz w:val="30"/>
          <w:highlight w:val="none"/>
          <w:lang w:eastAsia="zh-CN"/>
        </w:rPr>
      </w:pPr>
      <w:r>
        <w:rPr>
          <w:rFonts w:hint="eastAsia" w:ascii="宋体" w:hAnsi="宋体"/>
          <w:color w:val="auto"/>
          <w:spacing w:val="10"/>
          <w:sz w:val="30"/>
          <w:highlight w:val="none"/>
          <w:lang w:eastAsia="zh-CN"/>
        </w:rPr>
        <w:t>基层防灾项目（第二批-车辆及装备）</w:t>
      </w:r>
    </w:p>
    <w:p>
      <w:pPr>
        <w:spacing w:line="600" w:lineRule="exact"/>
        <w:ind w:firstLine="1800" w:firstLineChars="500"/>
        <w:jc w:val="left"/>
        <w:rPr>
          <w:rFonts w:ascii="宋体" w:hAnsi="宋体"/>
          <w:color w:val="auto"/>
          <w:spacing w:val="40"/>
          <w:sz w:val="30"/>
          <w:highlight w:val="none"/>
        </w:rPr>
      </w:pPr>
      <w:r>
        <w:rPr>
          <w:rFonts w:hint="eastAsia" w:ascii="宋体" w:hAnsi="宋体"/>
          <w:color w:val="auto"/>
          <w:spacing w:val="30"/>
          <w:sz w:val="30"/>
          <w:highlight w:val="none"/>
        </w:rPr>
        <w:t>采购方式：公开招标</w:t>
      </w:r>
    </w:p>
    <w:p>
      <w:pPr>
        <w:spacing w:line="600" w:lineRule="exact"/>
        <w:ind w:firstLine="1140" w:firstLineChars="300"/>
        <w:rPr>
          <w:rFonts w:hint="eastAsia" w:ascii="宋体" w:hAnsi="宋体" w:cs="宋体"/>
          <w:color w:val="auto"/>
          <w:spacing w:val="40"/>
          <w:sz w:val="30"/>
          <w:szCs w:val="30"/>
          <w:highlight w:val="none"/>
        </w:rPr>
      </w:pPr>
    </w:p>
    <w:p>
      <w:pPr>
        <w:pStyle w:val="42"/>
        <w:rPr>
          <w:color w:val="auto"/>
          <w:highlight w:val="none"/>
        </w:rPr>
      </w:pPr>
    </w:p>
    <w:p>
      <w:pPr>
        <w:pStyle w:val="61"/>
        <w:rPr>
          <w:color w:val="auto"/>
          <w:highlight w:val="none"/>
        </w:rPr>
      </w:pPr>
    </w:p>
    <w:p>
      <w:pPr>
        <w:pStyle w:val="61"/>
        <w:rPr>
          <w:rFonts w:hint="eastAsia"/>
          <w:color w:val="auto"/>
          <w:highlight w:val="none"/>
        </w:rPr>
      </w:pPr>
    </w:p>
    <w:p>
      <w:pPr>
        <w:spacing w:line="600" w:lineRule="exact"/>
        <w:ind w:firstLine="2108" w:firstLineChars="700"/>
        <w:jc w:val="both"/>
        <w:rPr>
          <w:rFonts w:hint="eastAsia" w:ascii="宋体" w:hAnsi="宋体" w:eastAsia="宋体" w:cs="宋体"/>
          <w:b/>
          <w:color w:val="auto"/>
          <w:sz w:val="30"/>
          <w:szCs w:val="30"/>
          <w:highlight w:val="none"/>
          <w:lang w:eastAsia="zh-CN"/>
        </w:rPr>
      </w:pPr>
      <w:bookmarkStart w:id="0" w:name="_Toc230773770"/>
      <w:r>
        <w:rPr>
          <w:rFonts w:hint="eastAsia" w:ascii="宋体" w:hAnsi="宋体" w:cs="宋体"/>
          <w:b/>
          <w:color w:val="auto"/>
          <w:sz w:val="30"/>
          <w:szCs w:val="30"/>
          <w:highlight w:val="none"/>
        </w:rPr>
        <w:t>采</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购</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人：</w:t>
      </w:r>
      <w:r>
        <w:rPr>
          <w:rFonts w:hint="eastAsia" w:ascii="宋体" w:hAnsi="宋体" w:cs="宋体"/>
          <w:b/>
          <w:color w:val="auto"/>
          <w:sz w:val="30"/>
          <w:szCs w:val="30"/>
          <w:highlight w:val="none"/>
          <w:lang w:eastAsia="zh-CN"/>
        </w:rPr>
        <w:t>温州市应急管理局</w:t>
      </w:r>
    </w:p>
    <w:p>
      <w:pPr>
        <w:spacing w:line="600" w:lineRule="exact"/>
        <w:ind w:left="753" w:hanging="753" w:hangingChars="250"/>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lang w:eastAsia="zh-CN"/>
        </w:rPr>
        <w:t>浙江高申工程咨询有限公司</w:t>
      </w:r>
    </w:p>
    <w:p>
      <w:pPr>
        <w:spacing w:line="760" w:lineRule="exact"/>
        <w:ind w:left="753" w:hanging="753" w:hangingChars="2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eastAsia="zh-CN"/>
        </w:rPr>
        <w:t>四</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十一</w:t>
      </w:r>
      <w:r>
        <w:rPr>
          <w:rFonts w:hint="eastAsia" w:ascii="宋体" w:hAnsi="宋体" w:cs="宋体"/>
          <w:b/>
          <w:color w:val="auto"/>
          <w:sz w:val="30"/>
          <w:szCs w:val="30"/>
          <w:highlight w:val="none"/>
        </w:rPr>
        <w:t>月</w:t>
      </w:r>
    </w:p>
    <w:p>
      <w:pPr>
        <w:pStyle w:val="2"/>
        <w:spacing w:line="600" w:lineRule="exact"/>
        <w:jc w:val="center"/>
        <w:rPr>
          <w:rFonts w:hint="eastAsia" w:ascii="黑体" w:hAnsi="黑体" w:eastAsia="黑体"/>
          <w:bCs/>
          <w:color w:val="auto"/>
          <w:sz w:val="36"/>
          <w:szCs w:val="36"/>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pgNumType w:fmt="decimal" w:start="0"/>
          <w:cols w:space="720" w:num="1"/>
          <w:docGrid w:linePitch="312" w:charSpace="0"/>
        </w:sectPr>
      </w:pPr>
    </w:p>
    <w:p>
      <w:pPr>
        <w:pStyle w:val="2"/>
        <w:tabs>
          <w:tab w:val="left" w:pos="1260"/>
          <w:tab w:val="left" w:pos="1680"/>
          <w:tab w:val="left" w:pos="2100"/>
          <w:tab w:val="left" w:pos="4840"/>
        </w:tabs>
        <w:spacing w:line="600" w:lineRule="exact"/>
        <w:ind w:right="-441" w:rightChars="-210"/>
        <w:jc w:val="center"/>
        <w:rPr>
          <w:rFonts w:hint="eastAsia" w:ascii="黑体" w:hAnsi="黑体" w:eastAsia="黑体"/>
          <w:bCs/>
          <w:color w:val="auto"/>
          <w:sz w:val="36"/>
          <w:szCs w:val="36"/>
          <w:highlight w:val="none"/>
        </w:rPr>
      </w:pPr>
      <w:bookmarkStart w:id="1" w:name="_Toc9982"/>
      <w:r>
        <w:rPr>
          <w:rFonts w:hint="eastAsia" w:ascii="黑体" w:hAnsi="黑体" w:eastAsia="黑体"/>
          <w:bCs/>
          <w:color w:val="auto"/>
          <w:sz w:val="36"/>
          <w:szCs w:val="36"/>
          <w:highlight w:val="none"/>
        </w:rPr>
        <w:t>目    录</w:t>
      </w:r>
      <w:bookmarkEnd w:id="0"/>
      <w:bookmarkEnd w:id="1"/>
    </w:p>
    <w:p>
      <w:pPr>
        <w:jc w:val="right"/>
        <w:rPr>
          <w:rFonts w:hint="eastAsia" w:ascii="宋体" w:hAnsi="宋体" w:cs="宋体"/>
          <w:color w:val="auto"/>
          <w:highlight w:val="none"/>
        </w:rPr>
      </w:pPr>
    </w:p>
    <w:p>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 w:val="0"/>
          <w:bCs w:val="0"/>
          <w:caps w:val="0"/>
          <w:color w:val="auto"/>
          <w:sz w:val="24"/>
          <w:szCs w:val="24"/>
          <w:highlight w:val="none"/>
        </w:rPr>
        <w:fldChar w:fldCharType="begin"/>
      </w:r>
      <w:r>
        <w:rPr>
          <w:rFonts w:hint="eastAsia" w:ascii="宋体" w:hAnsi="宋体" w:eastAsia="宋体" w:cs="宋体"/>
          <w:b w:val="0"/>
          <w:bCs w:val="0"/>
          <w:caps w:val="0"/>
          <w:color w:val="auto"/>
          <w:sz w:val="24"/>
          <w:szCs w:val="24"/>
          <w:highlight w:val="none"/>
        </w:rPr>
        <w:instrText xml:space="preserve"> TOC \o "1-3" \h \z \u </w:instrText>
      </w:r>
      <w:r>
        <w:rPr>
          <w:rFonts w:hint="eastAsia" w:ascii="宋体" w:hAnsi="宋体" w:eastAsia="宋体" w:cs="宋体"/>
          <w:b w:val="0"/>
          <w:bCs w:val="0"/>
          <w:caps w:val="0"/>
          <w:color w:val="auto"/>
          <w:sz w:val="24"/>
          <w:szCs w:val="24"/>
          <w:highlight w:val="none"/>
        </w:rPr>
        <w:fldChar w:fldCharType="separate"/>
      </w: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_Toc9982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目    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_Toc9982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_Toc21177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第一部分   招标公告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_Toc21177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_Toc26067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第二部分   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_Toc26067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_Toc15250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_Toc15250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_Toc22366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一、 说   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_Toc22366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_Toc3661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二、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_Toc3661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_Toc26168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三、 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_Toc26168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_Toc21827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四、 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_Toc21827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_Toc7405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五、 开标和评标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_Toc7405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_Toc23550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六、 中标和合同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_Toc23550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_Toc8008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七、 可中止电子交易活动的情形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_Toc8008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_Toc19427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lang w:val="en-US" w:eastAsia="zh-CN"/>
        </w:rPr>
        <w:t xml:space="preserve">八、 </w:t>
      </w:r>
      <w:r>
        <w:rPr>
          <w:rFonts w:hint="eastAsia" w:ascii="宋体" w:hAnsi="宋体" w:eastAsia="宋体" w:cs="宋体"/>
          <w:color w:val="auto"/>
          <w:sz w:val="22"/>
          <w:szCs w:val="36"/>
          <w:highlight w:val="none"/>
        </w:rPr>
        <w:t>验  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_Toc19427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_Toc15066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第三部分</w:t>
      </w:r>
      <w:r>
        <w:rPr>
          <w:rFonts w:hint="eastAsia" w:ascii="宋体" w:hAnsi="宋体" w:eastAsia="宋体" w:cs="宋体"/>
          <w:color w:val="auto"/>
          <w:sz w:val="22"/>
          <w:szCs w:val="40"/>
          <w:highlight w:val="none"/>
        </w:rPr>
        <w:t xml:space="preserve">  </w:t>
      </w:r>
      <w:r>
        <w:rPr>
          <w:rFonts w:hint="eastAsia" w:ascii="宋体" w:hAnsi="宋体" w:eastAsia="宋体" w:cs="宋体"/>
          <w:color w:val="auto"/>
          <w:sz w:val="22"/>
          <w:szCs w:val="44"/>
          <w:highlight w:val="none"/>
        </w:rPr>
        <w:t>主要合同条款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_Toc15066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_Toc18193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kern w:val="44"/>
          <w:sz w:val="22"/>
          <w:szCs w:val="44"/>
          <w:highlight w:val="none"/>
        </w:rPr>
        <w:t>第</w:t>
      </w:r>
      <w:r>
        <w:rPr>
          <w:rFonts w:hint="eastAsia" w:ascii="宋体" w:hAnsi="宋体" w:eastAsia="宋体" w:cs="宋体"/>
          <w:bCs/>
          <w:color w:val="auto"/>
          <w:kern w:val="44"/>
          <w:sz w:val="22"/>
          <w:szCs w:val="44"/>
          <w:highlight w:val="none"/>
          <w:lang w:eastAsia="zh-CN"/>
        </w:rPr>
        <w:t>四</w:t>
      </w:r>
      <w:r>
        <w:rPr>
          <w:rFonts w:hint="eastAsia" w:ascii="宋体" w:hAnsi="宋体" w:eastAsia="宋体" w:cs="宋体"/>
          <w:bCs/>
          <w:color w:val="auto"/>
          <w:kern w:val="44"/>
          <w:sz w:val="22"/>
          <w:szCs w:val="44"/>
          <w:highlight w:val="none"/>
        </w:rPr>
        <w:t>部分  附   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_Toc18193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_Toc12490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附件一 投标函</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_Toc12490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32</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_Toc15216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附件二 投标报价一览表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_Toc15216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33</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_Toc11070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附件三 投标分项报价表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_Toc11070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_Toc14084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附件四 资格证明文件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_Toc14084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_Toc8914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附件五 商务条款、技术规格偏离表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_Toc8914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41</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_Toc4090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附件六 货物成套供货清单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_Toc4090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42</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_Toc23799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附件七 同类项目业绩一览表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_Toc23799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_Toc1555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w:t>
      </w:r>
      <w:r>
        <w:rPr>
          <w:rFonts w:hint="eastAsia" w:ascii="宋体" w:hAnsi="宋体" w:eastAsia="宋体" w:cs="宋体"/>
          <w:color w:val="auto"/>
          <w:sz w:val="22"/>
          <w:szCs w:val="32"/>
          <w:highlight w:val="none"/>
          <w:lang w:eastAsia="zh-CN"/>
        </w:rPr>
        <w:t>八</w:t>
      </w:r>
      <w:r>
        <w:rPr>
          <w:rFonts w:hint="eastAsia" w:ascii="宋体" w:hAnsi="宋体" w:eastAsia="宋体" w:cs="宋体"/>
          <w:color w:val="auto"/>
          <w:sz w:val="22"/>
          <w:szCs w:val="32"/>
          <w:highlight w:val="none"/>
        </w:rPr>
        <w:t xml:space="preserve"> 政府采购政策功能相关说明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_Toc12856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w:t>
      </w:r>
      <w:r>
        <w:rPr>
          <w:rFonts w:hint="eastAsia" w:ascii="宋体" w:hAnsi="宋体" w:eastAsia="宋体" w:cs="宋体"/>
          <w:bCs/>
          <w:color w:val="auto"/>
          <w:sz w:val="22"/>
          <w:szCs w:val="44"/>
          <w:highlight w:val="none"/>
          <w:lang w:eastAsia="zh-CN"/>
        </w:rPr>
        <w:t>五</w:t>
      </w:r>
      <w:r>
        <w:rPr>
          <w:rFonts w:hint="eastAsia" w:ascii="宋体" w:hAnsi="宋体" w:eastAsia="宋体" w:cs="宋体"/>
          <w:bCs/>
          <w:color w:val="auto"/>
          <w:sz w:val="22"/>
          <w:szCs w:val="44"/>
          <w:highlight w:val="none"/>
        </w:rPr>
        <w:t>部分  招标内容及要求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_Toc12856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50</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_Toc24833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w:t>
      </w:r>
      <w:r>
        <w:rPr>
          <w:rFonts w:hint="eastAsia" w:ascii="宋体" w:hAnsi="宋体" w:eastAsia="宋体" w:cs="宋体"/>
          <w:bCs/>
          <w:color w:val="auto"/>
          <w:sz w:val="22"/>
          <w:szCs w:val="44"/>
          <w:highlight w:val="none"/>
          <w:lang w:eastAsia="zh-CN"/>
        </w:rPr>
        <w:t>六</w:t>
      </w:r>
      <w:r>
        <w:rPr>
          <w:rFonts w:hint="eastAsia" w:ascii="宋体" w:hAnsi="宋体" w:eastAsia="宋体" w:cs="宋体"/>
          <w:bCs/>
          <w:color w:val="auto"/>
          <w:sz w:val="22"/>
          <w:szCs w:val="44"/>
          <w:highlight w:val="none"/>
        </w:rPr>
        <w:t>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_Toc24833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104</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Cs/>
          <w:caps/>
          <w:color w:val="auto"/>
          <w:sz w:val="24"/>
          <w:szCs w:val="24"/>
          <w:highlight w:val="none"/>
        </w:rPr>
        <w:fldChar w:fldCharType="end"/>
      </w:r>
      <w:r>
        <w:rPr>
          <w:rFonts w:hint="eastAsia" w:ascii="宋体" w:hAnsi="宋体" w:eastAsia="宋体" w:cs="宋体"/>
          <w:b/>
          <w:bCs/>
          <w:color w:val="auto"/>
          <w:sz w:val="28"/>
          <w:szCs w:val="28"/>
          <w:highlight w:val="none"/>
        </w:rPr>
        <w:t>注：</w:t>
      </w:r>
      <w:r>
        <w:rPr>
          <w:rFonts w:hint="eastAsia" w:ascii="宋体" w:hAnsi="宋体" w:eastAsia="宋体" w:cs="宋体"/>
          <w:b/>
          <w:bCs/>
          <w:color w:val="auto"/>
          <w:sz w:val="28"/>
          <w:szCs w:val="28"/>
          <w:highlight w:val="none"/>
          <w:u w:val="single"/>
        </w:rPr>
        <w:t>招标文件中带“▲”并加下划线的内容为实质性条款或要求，加下划线或有深色底纹的部分为重要内容，提醒供应商</w:t>
      </w:r>
      <w:r>
        <w:rPr>
          <w:rFonts w:hint="eastAsia" w:ascii="宋体" w:hAnsi="宋体" w:cs="宋体"/>
          <w:b/>
          <w:bCs/>
          <w:color w:val="auto"/>
          <w:sz w:val="28"/>
          <w:szCs w:val="28"/>
          <w:highlight w:val="none"/>
          <w:u w:val="single"/>
          <w:lang w:eastAsia="zh-CN"/>
        </w:rPr>
        <w:t>（投标人）</w:t>
      </w:r>
      <w:r>
        <w:rPr>
          <w:rFonts w:hint="eastAsia" w:ascii="宋体" w:hAnsi="宋体" w:eastAsia="宋体" w:cs="宋体"/>
          <w:b/>
          <w:bCs/>
          <w:color w:val="auto"/>
          <w:sz w:val="28"/>
          <w:szCs w:val="28"/>
          <w:highlight w:val="none"/>
          <w:u w:val="single"/>
        </w:rPr>
        <w:t>审慎阅读，因误读招标文件而造成的后果，招标采购单位概不负责。</w:t>
      </w:r>
    </w:p>
    <w:p>
      <w:pPr>
        <w:spacing w:line="360" w:lineRule="exact"/>
        <w:ind w:right="110"/>
        <w:rPr>
          <w:rFonts w:hint="eastAsia" w:ascii="宋体" w:hAnsi="宋体" w:cs="宋体"/>
          <w:bCs/>
          <w:caps/>
          <w:color w:val="auto"/>
          <w:szCs w:val="21"/>
          <w:highlight w:val="none"/>
        </w:rPr>
      </w:pPr>
    </w:p>
    <w:p>
      <w:pPr>
        <w:spacing w:line="360" w:lineRule="exact"/>
        <w:ind w:right="110"/>
        <w:rPr>
          <w:rFonts w:hint="eastAsia" w:ascii="宋体" w:hAnsi="宋体" w:cs="宋体"/>
          <w:b/>
          <w:color w:val="auto"/>
          <w:sz w:val="22"/>
          <w:szCs w:val="22"/>
          <w:highlight w:val="none"/>
          <w:u w:val="single"/>
        </w:rPr>
      </w:pPr>
    </w:p>
    <w:p>
      <w:pPr>
        <w:pStyle w:val="2"/>
        <w:spacing w:line="600" w:lineRule="exact"/>
        <w:jc w:val="center"/>
        <w:rPr>
          <w:rFonts w:hint="eastAsia" w:ascii="黑体" w:hAnsi="黑体" w:eastAsia="黑体"/>
          <w:bCs/>
          <w:color w:val="auto"/>
          <w:sz w:val="36"/>
          <w:szCs w:val="36"/>
          <w:highlight w:val="none"/>
        </w:rPr>
      </w:pPr>
      <w:r>
        <w:rPr>
          <w:rFonts w:ascii="黑体" w:hAnsi="黑体" w:eastAsia="黑体"/>
          <w:bCs/>
          <w:color w:val="auto"/>
          <w:sz w:val="36"/>
          <w:szCs w:val="36"/>
          <w:highlight w:val="none"/>
        </w:rPr>
        <w:br w:type="page"/>
      </w:r>
      <w:bookmarkStart w:id="2" w:name="_Toc21177"/>
      <w:r>
        <w:rPr>
          <w:rFonts w:hint="eastAsia" w:ascii="黑体" w:hAnsi="黑体" w:eastAsia="黑体"/>
          <w:bCs/>
          <w:color w:val="auto"/>
          <w:sz w:val="36"/>
          <w:szCs w:val="36"/>
          <w:highlight w:val="none"/>
        </w:rPr>
        <w:t>第一部分   招标公告</w:t>
      </w:r>
      <w:bookmarkEnd w:id="2"/>
    </w:p>
    <w:p>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highlight w:val="none"/>
        </w:rPr>
      </w:pPr>
      <w:r>
        <w:rPr>
          <w:rFonts w:hint="eastAsia" w:ascii="宋体" w:hAnsi="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eastAsia="zh-CN"/>
        </w:rPr>
        <w:t>浙江省温州市自然灾害应急能力提升工程基层防灾项目（第二批-车辆及装备）</w:t>
      </w:r>
      <w:r>
        <w:rPr>
          <w:rFonts w:hint="eastAsia" w:ascii="宋体" w:hAnsi="宋体"/>
          <w:color w:val="auto"/>
          <w:sz w:val="22"/>
          <w:szCs w:val="22"/>
          <w:highlight w:val="none"/>
        </w:rPr>
        <w:t>招标项目的潜在投标人应在</w:t>
      </w:r>
      <w:r>
        <w:rPr>
          <w:rFonts w:hint="eastAsia" w:ascii="宋体" w:hAnsi="宋体"/>
          <w:color w:val="auto"/>
          <w:sz w:val="22"/>
          <w:szCs w:val="22"/>
          <w:highlight w:val="none"/>
          <w:u w:val="single"/>
        </w:rPr>
        <w:t>政采云平台（https</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rPr>
        <w:t>//www.zcygov.cn/）</w:t>
      </w:r>
      <w:r>
        <w:rPr>
          <w:rFonts w:hint="eastAsia" w:ascii="宋体" w:hAnsi="宋体"/>
          <w:color w:val="auto"/>
          <w:sz w:val="22"/>
          <w:szCs w:val="22"/>
          <w:highlight w:val="none"/>
        </w:rPr>
        <w:t>获取（下载）招标文件，并于</w:t>
      </w:r>
      <w:r>
        <w:rPr>
          <w:rFonts w:ascii="宋体" w:hAnsi="宋体"/>
          <w:color w:val="auto"/>
          <w:sz w:val="22"/>
          <w:szCs w:val="22"/>
          <w:highlight w:val="none"/>
          <w:u w:val="none"/>
        </w:rPr>
        <w:t>202</w:t>
      </w:r>
      <w:r>
        <w:rPr>
          <w:rFonts w:hint="eastAsia" w:ascii="宋体" w:hAnsi="宋体"/>
          <w:color w:val="auto"/>
          <w:sz w:val="22"/>
          <w:szCs w:val="22"/>
          <w:highlight w:val="none"/>
          <w:u w:val="none"/>
          <w:lang w:val="en-US" w:eastAsia="zh-CN"/>
        </w:rPr>
        <w:t>4</w:t>
      </w:r>
      <w:r>
        <w:rPr>
          <w:rFonts w:hint="eastAsia" w:ascii="宋体" w:hAnsi="宋体"/>
          <w:bCs/>
          <w:color w:val="auto"/>
          <w:sz w:val="22"/>
          <w:szCs w:val="22"/>
          <w:highlight w:val="none"/>
        </w:rPr>
        <w:t>年</w:t>
      </w:r>
      <w:r>
        <w:rPr>
          <w:rFonts w:hint="eastAsia" w:ascii="宋体" w:hAnsi="宋体"/>
          <w:bCs/>
          <w:color w:val="auto"/>
          <w:sz w:val="22"/>
          <w:szCs w:val="22"/>
          <w:highlight w:val="none"/>
          <w:u w:val="single"/>
          <w:lang w:val="en-US" w:eastAsia="zh-CN"/>
        </w:rPr>
        <w:t>12</w:t>
      </w:r>
      <w:r>
        <w:rPr>
          <w:rFonts w:hint="eastAsia" w:ascii="宋体" w:hAnsi="宋体"/>
          <w:bCs/>
          <w:color w:val="auto"/>
          <w:sz w:val="22"/>
          <w:szCs w:val="22"/>
          <w:highlight w:val="none"/>
        </w:rPr>
        <w:t>月</w:t>
      </w:r>
      <w:r>
        <w:rPr>
          <w:rFonts w:hint="eastAsia" w:ascii="宋体" w:hAnsi="宋体"/>
          <w:bCs/>
          <w:color w:val="auto"/>
          <w:sz w:val="22"/>
          <w:szCs w:val="22"/>
          <w:highlight w:val="none"/>
          <w:u w:val="single"/>
          <w:lang w:val="en-US" w:eastAsia="zh-CN"/>
        </w:rPr>
        <w:t xml:space="preserve">10 </w:t>
      </w:r>
      <w:r>
        <w:rPr>
          <w:rFonts w:hint="eastAsia" w:ascii="宋体" w:hAnsi="宋体"/>
          <w:bCs/>
          <w:color w:val="auto"/>
          <w:sz w:val="22"/>
          <w:szCs w:val="22"/>
          <w:highlight w:val="none"/>
        </w:rPr>
        <w:t>日</w:t>
      </w:r>
      <w:r>
        <w:rPr>
          <w:rFonts w:hint="eastAsia" w:ascii="宋体" w:hAnsi="宋体"/>
          <w:bCs/>
          <w:color w:val="auto"/>
          <w:sz w:val="22"/>
          <w:szCs w:val="22"/>
          <w:highlight w:val="none"/>
          <w:u w:val="single"/>
          <w:lang w:val="en-US" w:eastAsia="zh-CN"/>
        </w:rPr>
        <w:t>9</w:t>
      </w:r>
      <w:r>
        <w:rPr>
          <w:rFonts w:hint="eastAsia" w:ascii="宋体" w:hAnsi="宋体"/>
          <w:bCs/>
          <w:color w:val="auto"/>
          <w:sz w:val="22"/>
          <w:szCs w:val="22"/>
          <w:highlight w:val="none"/>
          <w:u w:val="none"/>
          <w:lang w:val="en-US" w:eastAsia="zh-CN"/>
        </w:rPr>
        <w:t>时</w:t>
      </w:r>
      <w:r>
        <w:rPr>
          <w:rFonts w:hint="eastAsia" w:ascii="宋体" w:hAnsi="宋体"/>
          <w:bCs/>
          <w:color w:val="auto"/>
          <w:sz w:val="22"/>
          <w:szCs w:val="22"/>
          <w:highlight w:val="none"/>
          <w:u w:val="single"/>
          <w:lang w:val="en-US" w:eastAsia="zh-CN"/>
        </w:rPr>
        <w:t>30</w:t>
      </w:r>
      <w:r>
        <w:rPr>
          <w:rFonts w:hint="eastAsia" w:ascii="宋体" w:hAnsi="宋体"/>
          <w:bCs/>
          <w:color w:val="auto"/>
          <w:sz w:val="22"/>
          <w:szCs w:val="22"/>
          <w:highlight w:val="none"/>
        </w:rPr>
        <w:t>分（北京时间）前递交（上传）投标</w:t>
      </w:r>
      <w:r>
        <w:rPr>
          <w:rFonts w:ascii="宋体" w:hAnsi="宋体"/>
          <w:bCs/>
          <w:color w:val="auto"/>
          <w:sz w:val="22"/>
          <w:szCs w:val="22"/>
          <w:highlight w:val="none"/>
        </w:rPr>
        <w:t>文件</w:t>
      </w:r>
      <w:r>
        <w:rPr>
          <w:rFonts w:hint="eastAsia" w:ascii="宋体" w:hAnsi="宋体"/>
          <w:color w:val="auto"/>
          <w:sz w:val="22"/>
          <w:szCs w:val="22"/>
          <w:highlight w:val="none"/>
        </w:rPr>
        <w:t>。</w:t>
      </w:r>
    </w:p>
    <w:p>
      <w:pPr>
        <w:widowControl/>
        <w:spacing w:line="440" w:lineRule="exact"/>
        <w:rPr>
          <w:rFonts w:ascii="宋体" w:hAnsi="宋体" w:cs="宋体"/>
          <w:b/>
          <w:color w:val="auto"/>
          <w:sz w:val="22"/>
          <w:szCs w:val="22"/>
          <w:highlight w:val="none"/>
        </w:rPr>
      </w:pPr>
      <w:bookmarkStart w:id="3" w:name="_Toc35393621"/>
      <w:bookmarkStart w:id="4" w:name="_Toc35393790"/>
      <w:bookmarkStart w:id="5" w:name="_Toc28359079"/>
      <w:bookmarkStart w:id="6" w:name="_Toc28359002"/>
      <w:bookmarkStart w:id="7" w:name="_Hlk24379207"/>
      <w:r>
        <w:rPr>
          <w:rFonts w:hint="eastAsia" w:ascii="宋体" w:hAnsi="宋体" w:cs="宋体"/>
          <w:b/>
          <w:color w:val="auto"/>
          <w:sz w:val="22"/>
          <w:szCs w:val="22"/>
          <w:highlight w:val="none"/>
        </w:rPr>
        <w:t>一、项目基本情况</w:t>
      </w:r>
      <w:bookmarkEnd w:id="3"/>
      <w:bookmarkEnd w:id="4"/>
      <w:bookmarkEnd w:id="5"/>
      <w:bookmarkEnd w:id="6"/>
    </w:p>
    <w:p>
      <w:pPr>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项目编号：</w:t>
      </w:r>
      <w:r>
        <w:rPr>
          <w:rFonts w:hint="eastAsia" w:ascii="宋体" w:hAnsi="宋体"/>
          <w:color w:val="auto"/>
          <w:sz w:val="22"/>
          <w:szCs w:val="22"/>
          <w:highlight w:val="none"/>
          <w:lang w:eastAsia="zh-CN"/>
        </w:rPr>
        <w:t>2024-05-03-1</w:t>
      </w:r>
    </w:p>
    <w:p>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项目名称：</w:t>
      </w:r>
      <w:r>
        <w:rPr>
          <w:rFonts w:hint="eastAsia" w:ascii="宋体" w:hAnsi="宋体"/>
          <w:color w:val="auto"/>
          <w:sz w:val="22"/>
          <w:szCs w:val="22"/>
          <w:highlight w:val="none"/>
          <w:lang w:eastAsia="zh-CN"/>
        </w:rPr>
        <w:t>浙江省温州市自然灾害应急能力提升工程基层防灾项目（第二批-车辆及装备）</w:t>
      </w:r>
    </w:p>
    <w:bookmarkEnd w:id="7"/>
    <w:p>
      <w:pPr>
        <w:spacing w:line="44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color w:val="auto"/>
          <w:sz w:val="22"/>
          <w:szCs w:val="22"/>
          <w:highlight w:val="none"/>
        </w:rPr>
        <w:t>预算金额（元）：</w:t>
      </w:r>
      <w:r>
        <w:rPr>
          <w:rFonts w:hint="eastAsia" w:ascii="宋体" w:hAnsi="宋体"/>
          <w:color w:val="auto"/>
          <w:sz w:val="22"/>
          <w:szCs w:val="22"/>
          <w:highlight w:val="none"/>
          <w:u w:val="single"/>
          <w:lang w:val="en-US" w:eastAsia="zh-CN"/>
        </w:rPr>
        <w:t>标项1，399万元；标项2，1030.344万元；</w:t>
      </w:r>
    </w:p>
    <w:p>
      <w:pPr>
        <w:spacing w:line="440" w:lineRule="exact"/>
        <w:ind w:firstLine="440" w:firstLineChars="200"/>
        <w:rPr>
          <w:rFonts w:hint="eastAsia" w:ascii="宋体" w:hAnsi="宋体" w:eastAsia="宋体" w:cs="Times New Roman"/>
          <w:color w:val="auto"/>
          <w:sz w:val="22"/>
          <w:szCs w:val="22"/>
          <w:highlight w:val="none"/>
          <w:u w:val="single"/>
          <w:lang w:val="en-US" w:eastAsia="zh-CN"/>
        </w:rPr>
      </w:pPr>
      <w:r>
        <w:rPr>
          <w:rFonts w:hint="eastAsia" w:ascii="宋体" w:hAnsi="宋体"/>
          <w:color w:val="auto"/>
          <w:sz w:val="22"/>
          <w:szCs w:val="22"/>
          <w:highlight w:val="none"/>
        </w:rPr>
        <w:t>最高限价（元）：</w:t>
      </w:r>
      <w:r>
        <w:rPr>
          <w:rFonts w:hint="eastAsia" w:ascii="宋体" w:hAnsi="宋体"/>
          <w:color w:val="auto"/>
          <w:sz w:val="22"/>
          <w:szCs w:val="22"/>
          <w:highlight w:val="none"/>
          <w:u w:val="single"/>
          <w:lang w:val="en-US" w:eastAsia="zh-CN"/>
        </w:rPr>
        <w:t>标项1，399万元；标项2，1024.179万元</w:t>
      </w:r>
      <w:r>
        <w:rPr>
          <w:rFonts w:hint="eastAsia" w:ascii="宋体" w:hAnsi="宋体" w:eastAsia="宋体" w:cs="Times New Roman"/>
          <w:color w:val="auto"/>
          <w:sz w:val="22"/>
          <w:szCs w:val="22"/>
          <w:highlight w:val="none"/>
          <w:u w:val="single"/>
          <w:lang w:val="en-US" w:eastAsia="zh-CN"/>
        </w:rPr>
        <w:t>。</w:t>
      </w:r>
    </w:p>
    <w:p>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采购需求：</w:t>
      </w:r>
    </w:p>
    <w:p>
      <w:pPr>
        <w:spacing w:line="440" w:lineRule="exact"/>
        <w:ind w:firstLine="440" w:firstLineChars="200"/>
        <w:rPr>
          <w:rFonts w:hint="eastAsia" w:ascii="宋体" w:hAnsi="宋体"/>
          <w:color w:val="auto"/>
          <w:sz w:val="22"/>
          <w:szCs w:val="22"/>
          <w:highlight w:val="none"/>
        </w:rPr>
      </w:pPr>
      <w:r>
        <w:rPr>
          <w:rFonts w:hint="eastAsia" w:ascii="宋体" w:hAnsi="宋体" w:cs="宋体"/>
          <w:i w:val="0"/>
          <w:iCs w:val="0"/>
          <w:color w:val="auto"/>
          <w:kern w:val="0"/>
          <w:sz w:val="22"/>
          <w:szCs w:val="22"/>
          <w:highlight w:val="none"/>
          <w:u w:val="none"/>
          <w:lang w:val="en-US" w:eastAsia="zh-CN"/>
        </w:rPr>
        <w:t>标项1 ：中小型水罐消防车、应急电源车等；</w:t>
      </w:r>
    </w:p>
    <w:p>
      <w:pPr>
        <w:spacing w:line="440" w:lineRule="exact"/>
        <w:ind w:firstLine="440" w:firstLineChars="200"/>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cs="宋体"/>
          <w:i w:val="0"/>
          <w:iCs w:val="0"/>
          <w:color w:val="auto"/>
          <w:kern w:val="0"/>
          <w:sz w:val="22"/>
          <w:szCs w:val="22"/>
          <w:highlight w:val="none"/>
          <w:u w:val="none"/>
          <w:lang w:val="en-US" w:eastAsia="zh-CN"/>
        </w:rPr>
        <w:t>标项2 ：液压破拆工具组、汽(柴)油机泵、氧气呼吸器等</w:t>
      </w:r>
      <w:r>
        <w:rPr>
          <w:rFonts w:hint="eastAsia" w:ascii="宋体" w:hAnsi="宋体" w:eastAsia="宋体" w:cs="宋体"/>
          <w:i w:val="0"/>
          <w:iCs w:val="0"/>
          <w:color w:val="auto"/>
          <w:kern w:val="0"/>
          <w:sz w:val="22"/>
          <w:szCs w:val="22"/>
          <w:highlight w:val="none"/>
          <w:u w:val="none"/>
          <w:lang w:val="en-US" w:eastAsia="zh-CN"/>
        </w:rPr>
        <w:t>；</w:t>
      </w:r>
    </w:p>
    <w:p>
      <w:pPr>
        <w:spacing w:line="440" w:lineRule="exact"/>
        <w:ind w:firstLine="440" w:firstLineChars="200"/>
        <w:rPr>
          <w:rFonts w:hint="eastAsia"/>
          <w:color w:val="auto"/>
          <w:highlight w:val="none"/>
        </w:rPr>
      </w:pPr>
      <w:r>
        <w:rPr>
          <w:rFonts w:hint="eastAsia" w:ascii="宋体" w:hAnsi="宋体"/>
          <w:color w:val="auto"/>
          <w:sz w:val="22"/>
          <w:szCs w:val="22"/>
          <w:highlight w:val="none"/>
        </w:rPr>
        <w:t>简要规格描述或项目基本概况介绍、用途：</w:t>
      </w:r>
      <w:r>
        <w:rPr>
          <w:rFonts w:hint="eastAsia" w:ascii="宋体" w:hAnsi="宋体"/>
          <w:color w:val="auto"/>
          <w:sz w:val="22"/>
          <w:szCs w:val="22"/>
          <w:highlight w:val="none"/>
          <w:lang w:eastAsia="zh-CN"/>
        </w:rPr>
        <w:t>具体采购要求详见招标文件第五部分</w:t>
      </w:r>
      <w:r>
        <w:rPr>
          <w:rFonts w:hint="eastAsia" w:ascii="宋体" w:hAnsi="宋体"/>
          <w:color w:val="auto"/>
          <w:sz w:val="22"/>
          <w:szCs w:val="22"/>
          <w:highlight w:val="none"/>
        </w:rPr>
        <w:t>。</w:t>
      </w:r>
    </w:p>
    <w:p>
      <w:pPr>
        <w:spacing w:line="440" w:lineRule="exact"/>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备注：合同履行期限</w:t>
      </w:r>
      <w:r>
        <w:rPr>
          <w:rFonts w:hint="eastAsia" w:ascii="宋体" w:hAnsi="宋体"/>
          <w:color w:val="auto"/>
          <w:sz w:val="22"/>
          <w:szCs w:val="22"/>
          <w:highlight w:val="none"/>
          <w:lang w:val="en-US" w:eastAsia="zh-CN"/>
        </w:rPr>
        <w:t>，</w:t>
      </w:r>
      <w:r>
        <w:rPr>
          <w:rFonts w:hint="eastAsia" w:ascii="宋体" w:hAnsi="宋体"/>
          <w:color w:val="auto"/>
          <w:sz w:val="22"/>
          <w:szCs w:val="22"/>
          <w:highlight w:val="none"/>
          <w:lang w:eastAsia="zh-CN"/>
        </w:rPr>
        <w:t>合同签订后</w:t>
      </w:r>
      <w:r>
        <w:rPr>
          <w:rFonts w:hint="eastAsia" w:ascii="宋体" w:hAnsi="宋体"/>
          <w:color w:val="auto"/>
          <w:sz w:val="22"/>
          <w:szCs w:val="22"/>
          <w:highlight w:val="none"/>
          <w:lang w:val="en-US" w:eastAsia="zh-CN"/>
        </w:rPr>
        <w:t>30日历天内完成供货</w:t>
      </w:r>
      <w:r>
        <w:rPr>
          <w:rFonts w:hint="eastAsia" w:ascii="宋体" w:hAnsi="宋体" w:cs="宋体"/>
          <w:color w:val="auto"/>
          <w:sz w:val="22"/>
          <w:szCs w:val="22"/>
          <w:highlight w:val="none"/>
        </w:rPr>
        <w:t>。</w:t>
      </w:r>
    </w:p>
    <w:p>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本项目（</w:t>
      </w:r>
      <w:r>
        <w:rPr>
          <w:rFonts w:hint="eastAsia" w:ascii="宋体" w:hAnsi="宋体"/>
          <w:color w:val="auto"/>
          <w:sz w:val="22"/>
          <w:szCs w:val="22"/>
          <w:highlight w:val="none"/>
          <w:lang w:eastAsia="zh-CN"/>
        </w:rPr>
        <w:t>否</w:t>
      </w:r>
      <w:r>
        <w:rPr>
          <w:rFonts w:hint="eastAsia" w:ascii="宋体" w:hAnsi="宋体"/>
          <w:color w:val="auto"/>
          <w:sz w:val="22"/>
          <w:szCs w:val="22"/>
          <w:highlight w:val="none"/>
        </w:rPr>
        <w:t>）接受联合体投标。</w:t>
      </w:r>
    </w:p>
    <w:p>
      <w:pPr>
        <w:widowControl/>
        <w:spacing w:line="440" w:lineRule="exact"/>
        <w:rPr>
          <w:rFonts w:ascii="宋体" w:hAnsi="宋体" w:cs="宋体"/>
          <w:b/>
          <w:color w:val="auto"/>
          <w:sz w:val="22"/>
          <w:szCs w:val="22"/>
          <w:highlight w:val="none"/>
        </w:rPr>
      </w:pPr>
      <w:bookmarkStart w:id="8" w:name="_Toc28359080"/>
      <w:bookmarkStart w:id="9" w:name="_Toc35393791"/>
      <w:bookmarkStart w:id="10" w:name="_Toc35393622"/>
      <w:bookmarkStart w:id="11" w:name="_Toc28359003"/>
      <w:r>
        <w:rPr>
          <w:rFonts w:hint="eastAsia" w:ascii="宋体" w:hAnsi="宋体" w:cs="宋体"/>
          <w:b/>
          <w:color w:val="auto"/>
          <w:sz w:val="22"/>
          <w:szCs w:val="22"/>
          <w:highlight w:val="none"/>
        </w:rPr>
        <w:t>二、申请人的资格要求：</w:t>
      </w:r>
      <w:bookmarkEnd w:id="8"/>
      <w:bookmarkEnd w:id="9"/>
      <w:bookmarkEnd w:id="10"/>
      <w:bookmarkEnd w:id="11"/>
    </w:p>
    <w:p>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1.满足《中华人民共和国政府采购法》第二十二条规定</w:t>
      </w:r>
      <w:r>
        <w:rPr>
          <w:rFonts w:hint="eastAsia" w:ascii="宋体" w:hAnsi="宋体"/>
          <w:color w:val="auto"/>
          <w:sz w:val="22"/>
          <w:szCs w:val="22"/>
          <w:highlight w:val="none"/>
          <w:lang w:eastAsia="zh-CN"/>
        </w:rPr>
        <w:t>；</w:t>
      </w:r>
      <w:r>
        <w:rPr>
          <w:rFonts w:hint="eastAsia" w:ascii="宋体" w:hAnsi="宋体"/>
          <w:color w:val="auto"/>
          <w:sz w:val="22"/>
          <w:szCs w:val="22"/>
          <w:highlight w:val="none"/>
        </w:rPr>
        <w:t>未被“信用中国”（www.creditchina.gov.cn)、中国政府采购网（www.ccgp.gov.cn）列入失信被执行人、重大税收违法案件当事人名单、政府采购严重违法失信行为记录名单</w:t>
      </w:r>
      <w:r>
        <w:rPr>
          <w:rFonts w:hint="eastAsia" w:ascii="宋体" w:hAnsi="宋体"/>
          <w:color w:val="auto"/>
          <w:sz w:val="22"/>
          <w:szCs w:val="22"/>
          <w:highlight w:val="none"/>
          <w:lang w:eastAsia="zh-CN"/>
        </w:rPr>
        <w:t>；</w:t>
      </w:r>
    </w:p>
    <w:p>
      <w:pPr>
        <w:spacing w:line="440" w:lineRule="exact"/>
        <w:ind w:firstLine="440" w:firstLineChars="200"/>
        <w:rPr>
          <w:rFonts w:hint="eastAsia" w:ascii="宋体" w:hAnsi="宋体" w:eastAsia="宋体"/>
          <w:b/>
          <w:bCs/>
          <w:color w:val="auto"/>
          <w:sz w:val="22"/>
          <w:szCs w:val="22"/>
          <w:highlight w:val="none"/>
          <w:u w:val="single"/>
          <w:lang w:eastAsia="zh-CN"/>
        </w:rPr>
      </w:pPr>
      <w:bookmarkStart w:id="12" w:name="_Toc28359004"/>
      <w:bookmarkStart w:id="13" w:name="_Toc28359081"/>
      <w:r>
        <w:rPr>
          <w:rFonts w:ascii="宋体" w:hAnsi="宋体"/>
          <w:color w:val="auto"/>
          <w:sz w:val="22"/>
          <w:szCs w:val="22"/>
          <w:highlight w:val="none"/>
        </w:rPr>
        <w:t>2</w:t>
      </w:r>
      <w:r>
        <w:rPr>
          <w:rFonts w:hint="eastAsia" w:ascii="宋体" w:hAnsi="宋体"/>
          <w:color w:val="auto"/>
          <w:sz w:val="22"/>
          <w:szCs w:val="22"/>
          <w:highlight w:val="none"/>
        </w:rPr>
        <w:t>.落实政府采购政策需满足的资格要求：</w:t>
      </w:r>
      <w:r>
        <w:rPr>
          <w:rFonts w:hint="eastAsia" w:ascii="宋体" w:hAnsi="宋体"/>
          <w:b w:val="0"/>
          <w:bCs w:val="0"/>
          <w:color w:val="auto"/>
          <w:sz w:val="22"/>
          <w:szCs w:val="22"/>
          <w:highlight w:val="none"/>
          <w:u w:val="none"/>
          <w:lang w:eastAsia="zh-CN"/>
        </w:rPr>
        <w:t>无；</w:t>
      </w:r>
    </w:p>
    <w:p>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3.本项目的特定资格要求：无。</w:t>
      </w:r>
    </w:p>
    <w:p>
      <w:pPr>
        <w:widowControl/>
        <w:spacing w:line="440" w:lineRule="exact"/>
        <w:rPr>
          <w:rFonts w:ascii="宋体" w:hAnsi="宋体" w:cs="宋体"/>
          <w:b/>
          <w:color w:val="auto"/>
          <w:sz w:val="22"/>
          <w:szCs w:val="22"/>
          <w:highlight w:val="none"/>
        </w:rPr>
      </w:pPr>
      <w:bookmarkStart w:id="14" w:name="_Toc35393792"/>
      <w:bookmarkStart w:id="15" w:name="_Toc35393623"/>
      <w:r>
        <w:rPr>
          <w:rFonts w:hint="eastAsia" w:ascii="宋体" w:hAnsi="宋体" w:cs="宋体"/>
          <w:b/>
          <w:color w:val="auto"/>
          <w:sz w:val="22"/>
          <w:szCs w:val="22"/>
          <w:highlight w:val="none"/>
        </w:rPr>
        <w:t>三、获取招标文件</w:t>
      </w:r>
      <w:bookmarkEnd w:id="12"/>
      <w:bookmarkEnd w:id="13"/>
      <w:bookmarkEnd w:id="14"/>
      <w:bookmarkEnd w:id="15"/>
    </w:p>
    <w:p>
      <w:pPr>
        <w:pStyle w:val="39"/>
        <w:spacing w:before="75" w:beforeAutospacing="0" w:after="75" w:afterAutospacing="0" w:line="440" w:lineRule="exact"/>
        <w:ind w:firstLine="440" w:firstLineChars="200"/>
        <w:rPr>
          <w:color w:val="auto"/>
          <w:sz w:val="22"/>
          <w:szCs w:val="22"/>
          <w:highlight w:val="none"/>
        </w:rPr>
      </w:pPr>
      <w:r>
        <w:rPr>
          <w:rFonts w:hint="eastAsia"/>
          <w:color w:val="auto"/>
          <w:sz w:val="22"/>
          <w:szCs w:val="22"/>
          <w:highlight w:val="none"/>
        </w:rPr>
        <w:t>时间：公告发布之日起至</w:t>
      </w:r>
      <w:r>
        <w:rPr>
          <w:rFonts w:hint="eastAsia"/>
          <w:color w:val="auto"/>
          <w:sz w:val="22"/>
          <w:szCs w:val="22"/>
          <w:highlight w:val="none"/>
          <w:lang w:eastAsia="zh-CN"/>
        </w:rPr>
        <w:t>投标</w:t>
      </w:r>
      <w:r>
        <w:rPr>
          <w:rFonts w:hint="eastAsia"/>
          <w:color w:val="auto"/>
          <w:sz w:val="22"/>
          <w:szCs w:val="22"/>
          <w:highlight w:val="none"/>
        </w:rPr>
        <w:t>文件递交截止时间</w:t>
      </w:r>
    </w:p>
    <w:p>
      <w:pPr>
        <w:pStyle w:val="39"/>
        <w:spacing w:before="75" w:beforeAutospacing="0" w:after="75" w:afterAutospacing="0" w:line="440" w:lineRule="exact"/>
        <w:ind w:firstLine="440" w:firstLineChars="200"/>
        <w:rPr>
          <w:rFonts w:hint="eastAsia"/>
          <w:color w:val="auto"/>
          <w:sz w:val="22"/>
          <w:szCs w:val="22"/>
          <w:highlight w:val="none"/>
        </w:rPr>
      </w:pPr>
      <w:r>
        <w:rPr>
          <w:rFonts w:hint="eastAsia"/>
          <w:color w:val="auto"/>
          <w:sz w:val="22"/>
          <w:szCs w:val="22"/>
          <w:highlight w:val="none"/>
        </w:rPr>
        <w:t>地点（网址）：政采云平台（https</w:t>
      </w:r>
      <w:r>
        <w:rPr>
          <w:rFonts w:hint="eastAsia"/>
          <w:color w:val="auto"/>
          <w:sz w:val="22"/>
          <w:szCs w:val="22"/>
          <w:highlight w:val="none"/>
          <w:lang w:eastAsia="zh-CN"/>
        </w:rPr>
        <w:t>：</w:t>
      </w:r>
      <w:r>
        <w:rPr>
          <w:rFonts w:hint="eastAsia"/>
          <w:color w:val="auto"/>
          <w:sz w:val="22"/>
          <w:szCs w:val="22"/>
          <w:highlight w:val="none"/>
        </w:rPr>
        <w:t>//www.zcygov.cn/）</w:t>
      </w:r>
    </w:p>
    <w:p>
      <w:pPr>
        <w:pStyle w:val="39"/>
        <w:spacing w:before="75" w:beforeAutospacing="0" w:after="75" w:afterAutospacing="0" w:line="440" w:lineRule="exact"/>
        <w:rPr>
          <w:rFonts w:hint="eastAsia"/>
          <w:color w:val="auto"/>
          <w:sz w:val="22"/>
          <w:szCs w:val="22"/>
          <w:highlight w:val="none"/>
          <w:u w:val="singl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方式：供应商登录政采云平台</w:t>
      </w:r>
      <w:r>
        <w:rPr>
          <w:rFonts w:hint="eastAsia"/>
          <w:color w:val="auto"/>
          <w:sz w:val="22"/>
          <w:szCs w:val="22"/>
          <w:highlight w:val="none"/>
          <w:lang w:eastAsia="zh-CN"/>
        </w:rPr>
        <w:t>（</w:t>
      </w:r>
      <w:r>
        <w:rPr>
          <w:rFonts w:hint="eastAsia"/>
          <w:color w:val="auto"/>
          <w:sz w:val="22"/>
          <w:szCs w:val="22"/>
          <w:highlight w:val="none"/>
        </w:rPr>
        <w:t>https</w:t>
      </w:r>
      <w:r>
        <w:rPr>
          <w:rFonts w:hint="eastAsia"/>
          <w:color w:val="auto"/>
          <w:sz w:val="22"/>
          <w:szCs w:val="22"/>
          <w:highlight w:val="none"/>
          <w:lang w:eastAsia="zh-CN"/>
        </w:rPr>
        <w:t>：</w:t>
      </w:r>
      <w:r>
        <w:rPr>
          <w:rFonts w:hint="eastAsia"/>
          <w:color w:val="auto"/>
          <w:sz w:val="22"/>
          <w:szCs w:val="22"/>
          <w:highlight w:val="none"/>
        </w:rPr>
        <w:t>//www.zcygov.cn/</w:t>
      </w:r>
      <w:r>
        <w:rPr>
          <w:rFonts w:hint="eastAsia"/>
          <w:color w:val="auto"/>
          <w:sz w:val="22"/>
          <w:szCs w:val="22"/>
          <w:highlight w:val="none"/>
          <w:lang w:eastAsia="zh-CN"/>
        </w:rPr>
        <w:t>）</w:t>
      </w:r>
      <w:r>
        <w:rPr>
          <w:rFonts w:hint="eastAsia"/>
          <w:color w:val="auto"/>
          <w:sz w:val="22"/>
          <w:szCs w:val="22"/>
          <w:highlight w:val="none"/>
        </w:rPr>
        <w:t xml:space="preserve">在线申请获取采购文件（进入“项目采购”应用，在获取采购文件菜单中选择项目，申请获取采购文件） </w:t>
      </w:r>
    </w:p>
    <w:p>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售价（元）：0 </w:t>
      </w:r>
    </w:p>
    <w:p>
      <w:pPr>
        <w:widowControl/>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四、提交投标文件截止时间、开标时间和地点</w:t>
      </w:r>
    </w:p>
    <w:p>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提交投标文件截止时间：</w:t>
      </w:r>
      <w:r>
        <w:rPr>
          <w:rFonts w:hint="eastAsia"/>
          <w:color w:val="auto"/>
          <w:sz w:val="22"/>
          <w:szCs w:val="22"/>
          <w:highlight w:val="none"/>
          <w:u w:val="none"/>
        </w:rPr>
        <w:t>202</w:t>
      </w:r>
      <w:r>
        <w:rPr>
          <w:rFonts w:hint="eastAsia"/>
          <w:color w:val="auto"/>
          <w:sz w:val="22"/>
          <w:szCs w:val="22"/>
          <w:highlight w:val="none"/>
          <w:u w:val="none"/>
          <w:lang w:val="en-US" w:eastAsia="zh-CN"/>
        </w:rPr>
        <w:t>4</w:t>
      </w:r>
      <w:r>
        <w:rPr>
          <w:rFonts w:hint="eastAsia"/>
          <w:color w:val="auto"/>
          <w:sz w:val="22"/>
          <w:szCs w:val="22"/>
          <w:highlight w:val="none"/>
        </w:rPr>
        <w:t>年</w:t>
      </w:r>
      <w:r>
        <w:rPr>
          <w:rFonts w:hint="eastAsia"/>
          <w:bCs/>
          <w:color w:val="auto"/>
          <w:sz w:val="22"/>
          <w:szCs w:val="22"/>
          <w:highlight w:val="none"/>
          <w:u w:val="single"/>
          <w:lang w:val="en-US" w:eastAsia="zh-CN"/>
        </w:rPr>
        <w:t>12</w:t>
      </w:r>
      <w:r>
        <w:rPr>
          <w:rFonts w:hint="eastAsia"/>
          <w:color w:val="auto"/>
          <w:sz w:val="22"/>
          <w:szCs w:val="22"/>
          <w:highlight w:val="none"/>
        </w:rPr>
        <w:t>月</w:t>
      </w:r>
      <w:r>
        <w:rPr>
          <w:rFonts w:hint="eastAsia"/>
          <w:bCs/>
          <w:color w:val="auto"/>
          <w:sz w:val="22"/>
          <w:szCs w:val="22"/>
          <w:highlight w:val="none"/>
          <w:u w:val="single"/>
          <w:lang w:val="en-US" w:eastAsia="zh-CN"/>
        </w:rPr>
        <w:t xml:space="preserve"> 10 </w:t>
      </w:r>
      <w:r>
        <w:rPr>
          <w:rFonts w:hint="eastAsia"/>
          <w:color w:val="auto"/>
          <w:sz w:val="22"/>
          <w:szCs w:val="22"/>
          <w:highlight w:val="none"/>
        </w:rPr>
        <w:t>日</w:t>
      </w:r>
      <w:r>
        <w:rPr>
          <w:rFonts w:hint="eastAsia"/>
          <w:color w:val="auto"/>
          <w:sz w:val="22"/>
          <w:szCs w:val="22"/>
          <w:highlight w:val="none"/>
          <w:lang w:val="en-US" w:eastAsia="zh-CN"/>
        </w:rPr>
        <w:t>9</w:t>
      </w: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rPr>
        <w:t>0（北京时间）</w:t>
      </w:r>
    </w:p>
    <w:p>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投标地点（网址）：请登录政采云投标客户端投标</w:t>
      </w:r>
    </w:p>
    <w:p>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开标时间：202</w:t>
      </w:r>
      <w:r>
        <w:rPr>
          <w:rFonts w:hint="eastAsia"/>
          <w:color w:val="auto"/>
          <w:sz w:val="22"/>
          <w:szCs w:val="22"/>
          <w:highlight w:val="none"/>
          <w:lang w:val="en-US" w:eastAsia="zh-CN"/>
        </w:rPr>
        <w:t>4</w:t>
      </w:r>
      <w:r>
        <w:rPr>
          <w:rFonts w:hint="eastAsia"/>
          <w:color w:val="auto"/>
          <w:sz w:val="22"/>
          <w:szCs w:val="22"/>
          <w:highlight w:val="none"/>
        </w:rPr>
        <w:t>年</w:t>
      </w:r>
      <w:r>
        <w:rPr>
          <w:rFonts w:hint="eastAsia"/>
          <w:bCs/>
          <w:color w:val="auto"/>
          <w:sz w:val="22"/>
          <w:szCs w:val="22"/>
          <w:highlight w:val="none"/>
          <w:u w:val="single"/>
          <w:lang w:val="en-US" w:eastAsia="zh-CN"/>
        </w:rPr>
        <w:t>12</w:t>
      </w:r>
      <w:r>
        <w:rPr>
          <w:rFonts w:hint="eastAsia"/>
          <w:color w:val="auto"/>
          <w:sz w:val="22"/>
          <w:szCs w:val="22"/>
          <w:highlight w:val="none"/>
        </w:rPr>
        <w:t>月</w:t>
      </w:r>
      <w:r>
        <w:rPr>
          <w:rFonts w:hint="eastAsia"/>
          <w:bCs/>
          <w:color w:val="auto"/>
          <w:sz w:val="22"/>
          <w:szCs w:val="22"/>
          <w:highlight w:val="none"/>
          <w:u w:val="single"/>
          <w:lang w:val="en-US" w:eastAsia="zh-CN"/>
        </w:rPr>
        <w:t xml:space="preserve"> 10 </w:t>
      </w:r>
      <w:r>
        <w:rPr>
          <w:rFonts w:hint="eastAsia"/>
          <w:color w:val="auto"/>
          <w:sz w:val="22"/>
          <w:szCs w:val="22"/>
          <w:highlight w:val="none"/>
        </w:rPr>
        <w:t>日</w:t>
      </w:r>
      <w:r>
        <w:rPr>
          <w:rFonts w:hint="eastAsia"/>
          <w:color w:val="auto"/>
          <w:sz w:val="22"/>
          <w:szCs w:val="22"/>
          <w:highlight w:val="none"/>
          <w:lang w:val="en-US" w:eastAsia="zh-CN"/>
        </w:rPr>
        <w:t>9</w:t>
      </w: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rPr>
        <w:t>0（北京时间）</w:t>
      </w:r>
    </w:p>
    <w:p>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开标地点（网址）：政采云平台（https</w:t>
      </w:r>
      <w:r>
        <w:rPr>
          <w:rFonts w:hint="eastAsia"/>
          <w:color w:val="auto"/>
          <w:sz w:val="22"/>
          <w:szCs w:val="22"/>
          <w:highlight w:val="none"/>
          <w:lang w:eastAsia="zh-CN"/>
        </w:rPr>
        <w:t>：</w:t>
      </w:r>
      <w:r>
        <w:rPr>
          <w:rFonts w:hint="eastAsia"/>
          <w:color w:val="auto"/>
          <w:sz w:val="22"/>
          <w:szCs w:val="22"/>
          <w:highlight w:val="none"/>
        </w:rPr>
        <w:t>//www.zcygov.cn）在线</w:t>
      </w:r>
      <w:r>
        <w:rPr>
          <w:rFonts w:hint="eastAsia"/>
          <w:color w:val="auto"/>
          <w:sz w:val="22"/>
          <w:szCs w:val="22"/>
          <w:highlight w:val="none"/>
          <w:lang w:eastAsia="zh-CN"/>
        </w:rPr>
        <w:t>开</w:t>
      </w:r>
      <w:r>
        <w:rPr>
          <w:rFonts w:hint="eastAsia"/>
          <w:color w:val="auto"/>
          <w:sz w:val="22"/>
          <w:szCs w:val="22"/>
          <w:highlight w:val="none"/>
        </w:rPr>
        <w:t>标</w:t>
      </w:r>
    </w:p>
    <w:p>
      <w:pPr>
        <w:widowControl/>
        <w:spacing w:line="440" w:lineRule="exact"/>
        <w:rPr>
          <w:rFonts w:ascii="宋体" w:hAnsi="宋体" w:cs="宋体"/>
          <w:b/>
          <w:color w:val="auto"/>
          <w:sz w:val="22"/>
          <w:szCs w:val="22"/>
          <w:highlight w:val="none"/>
        </w:rPr>
      </w:pPr>
      <w:bookmarkStart w:id="16" w:name="_Toc35393625"/>
      <w:bookmarkStart w:id="17" w:name="_Toc35393794"/>
      <w:bookmarkStart w:id="18" w:name="_Toc28359084"/>
      <w:bookmarkStart w:id="19" w:name="_Toc28359007"/>
      <w:r>
        <w:rPr>
          <w:rFonts w:hint="eastAsia" w:ascii="宋体" w:hAnsi="宋体" w:cs="宋体"/>
          <w:b/>
          <w:color w:val="auto"/>
          <w:sz w:val="22"/>
          <w:szCs w:val="22"/>
          <w:highlight w:val="none"/>
        </w:rPr>
        <w:t>五、公告期限</w:t>
      </w:r>
      <w:bookmarkEnd w:id="16"/>
      <w:bookmarkEnd w:id="17"/>
      <w:bookmarkEnd w:id="18"/>
      <w:bookmarkEnd w:id="19"/>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pPr>
        <w:widowControl/>
        <w:spacing w:line="440" w:lineRule="exact"/>
        <w:rPr>
          <w:rFonts w:ascii="宋体" w:hAnsi="宋体" w:cs="宋体"/>
          <w:b/>
          <w:color w:val="auto"/>
          <w:sz w:val="22"/>
          <w:szCs w:val="22"/>
          <w:highlight w:val="none"/>
        </w:rPr>
      </w:pPr>
      <w:bookmarkStart w:id="20" w:name="_Toc35393795"/>
      <w:bookmarkStart w:id="21" w:name="_Toc35393626"/>
      <w:r>
        <w:rPr>
          <w:rFonts w:hint="eastAsia" w:ascii="宋体" w:hAnsi="宋体" w:cs="宋体"/>
          <w:b/>
          <w:color w:val="auto"/>
          <w:sz w:val="22"/>
          <w:szCs w:val="22"/>
          <w:highlight w:val="none"/>
        </w:rPr>
        <w:t>六、其他补充事宜</w:t>
      </w:r>
      <w:bookmarkEnd w:id="20"/>
      <w:bookmarkEnd w:id="21"/>
    </w:p>
    <w:p>
      <w:pPr>
        <w:widowControl/>
        <w:spacing w:line="440" w:lineRule="exact"/>
        <w:rPr>
          <w:rFonts w:hint="eastAsia" w:ascii="宋体" w:hAnsi="宋体" w:cs="宋体"/>
          <w:color w:val="auto"/>
          <w:sz w:val="22"/>
          <w:szCs w:val="22"/>
          <w:highlight w:val="none"/>
        </w:rPr>
      </w:pPr>
      <w:bookmarkStart w:id="22" w:name="_Hlk47793939"/>
      <w:r>
        <w:rPr>
          <w:rFonts w:hint="eastAsia" w:ascii="宋体" w:hAnsi="宋体" w:cs="宋体"/>
          <w:color w:val="auto"/>
          <w:sz w:val="22"/>
          <w:szCs w:val="22"/>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.其他事项：</w:t>
      </w:r>
    </w:p>
    <w:p>
      <w:pPr>
        <w:widowControl/>
        <w:spacing w:line="440" w:lineRule="exact"/>
        <w:ind w:firstLine="420" w:firstLineChars="200"/>
        <w:rPr>
          <w:rFonts w:hint="eastAsia" w:ascii="宋体" w:hAnsi="宋体" w:cs="宋体"/>
          <w:color w:val="auto"/>
          <w:sz w:val="22"/>
          <w:szCs w:val="22"/>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其他事项</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②投标准备：注册账号--点击“商家入驻”，进行政府采购供应商资料填写</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申领CA数字证书---申领流程详见“浙江政府采购网-下载专区-电子交易客户端-CA驱动和申领流程”</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安装“政采云电子交易客户端”----前往“浙江政府采购网-下载专区-电子交易客户端”进行下载并安装</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③招标文件的获取：使用账号登录或者使用CA登录政采云平台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进入“项目采购”应用，在获取采购文件菜单中选择项目，获取招标文件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④投标文件的制作：在“政采云电子交易客户端”中完成“填写基本信息”、“导入投标文件”、“标书关联”、“标书检查”、“电子签名”、“生成电子标书”等操作</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⑤投标文件的传输递交：投标人在投标截止时间前将加密的投标文件上传至政府采购云平台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 xml:space="preserve"> ⑥投标文件的解密：投标人按照平台提示和招标文件的规定在半小时内完成在线解密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⑦ 具体操作指南：详见政采云平台“服务中心-帮助文档-项目采购-操作流程-电子招投标-政府采购项目电子交易管理操作指南-供应商”：浙江省政府采购项目政采云平台学习专题https</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//edu.zcygov.cn/luban/e-biding。（三）招标公告附件的采购文件仅供阅览使用，未按照本公告规定的方式获取采购文件的潜在供应商提起的质疑采购组织机构将不予受理、答复。</w:t>
      </w:r>
    </w:p>
    <w:p>
      <w:pPr>
        <w:widowControl/>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七、对本次招标提出询问、质疑、投诉，请按以下方式联系</w:t>
      </w:r>
    </w:p>
    <w:bookmarkEnd w:id="22"/>
    <w:p>
      <w:pPr>
        <w:widowControl/>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1.采购人信息</w:t>
      </w:r>
    </w:p>
    <w:p>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温州市应急管理局</w:t>
      </w:r>
    </w:p>
    <w:p>
      <w:pPr>
        <w:widowControl/>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地    址：温州市行政管理中心发展大楼</w:t>
      </w:r>
      <w:r>
        <w:rPr>
          <w:rFonts w:hint="eastAsia" w:ascii="宋体" w:hAnsi="宋体" w:cs="宋体"/>
          <w:color w:val="auto"/>
          <w:sz w:val="22"/>
          <w:szCs w:val="22"/>
          <w:highlight w:val="none"/>
          <w:lang w:val="en-US" w:eastAsia="zh-CN"/>
        </w:rPr>
        <w:t>9号楼</w:t>
      </w:r>
      <w:r>
        <w:rPr>
          <w:rFonts w:hint="eastAsia" w:ascii="宋体" w:hAnsi="宋体" w:cs="宋体"/>
          <w:color w:val="auto"/>
          <w:sz w:val="22"/>
          <w:szCs w:val="22"/>
          <w:highlight w:val="none"/>
        </w:rPr>
        <w:t xml:space="preserve"> </w:t>
      </w:r>
    </w:p>
    <w:p>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w:t>
      </w:r>
      <w:bookmarkStart w:id="23" w:name="_Hlk47793869"/>
      <w:r>
        <w:rPr>
          <w:rFonts w:hint="eastAsia" w:ascii="宋体" w:hAnsi="宋体" w:cs="宋体"/>
          <w:color w:val="auto"/>
          <w:sz w:val="22"/>
          <w:szCs w:val="22"/>
          <w:highlight w:val="none"/>
        </w:rPr>
        <w:t xml:space="preserve"> 项目联系人（询问）：</w:t>
      </w:r>
      <w:r>
        <w:rPr>
          <w:rFonts w:hint="eastAsia" w:ascii="宋体" w:hAnsi="宋体" w:cs="宋体"/>
          <w:color w:val="auto"/>
          <w:sz w:val="22"/>
          <w:szCs w:val="22"/>
          <w:highlight w:val="none"/>
          <w:lang w:eastAsia="zh-CN"/>
        </w:rPr>
        <w:t>苏先生</w:t>
      </w:r>
    </w:p>
    <w:p>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项目联系方式（询问）：0577-88965155</w:t>
      </w:r>
      <w:r>
        <w:rPr>
          <w:rFonts w:hint="eastAsia" w:ascii="宋体" w:hAnsi="宋体" w:cs="宋体"/>
          <w:color w:val="auto"/>
          <w:sz w:val="22"/>
          <w:szCs w:val="22"/>
          <w:highlight w:val="none"/>
          <w:lang w:eastAsia="zh-CN"/>
        </w:rPr>
        <w:t>，0577-88962800</w:t>
      </w:r>
    </w:p>
    <w:p>
      <w:pPr>
        <w:widowControl/>
        <w:spacing w:line="440" w:lineRule="exact"/>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质疑联系人：程先生</w:t>
      </w:r>
      <w:r>
        <w:rPr>
          <w:rFonts w:hint="eastAsia" w:ascii="宋体" w:hAnsi="宋体" w:cs="宋体"/>
          <w:color w:val="auto"/>
          <w:sz w:val="22"/>
          <w:szCs w:val="22"/>
          <w:highlight w:val="none"/>
          <w:lang w:val="en-US" w:eastAsia="zh-CN"/>
        </w:rPr>
        <w:t xml:space="preserve">  </w:t>
      </w:r>
    </w:p>
    <w:p>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质疑联系方式：</w:t>
      </w:r>
      <w:r>
        <w:rPr>
          <w:rFonts w:hint="eastAsia" w:ascii="宋体" w:hAnsi="宋体" w:cs="宋体"/>
          <w:color w:val="auto"/>
          <w:sz w:val="22"/>
          <w:szCs w:val="22"/>
          <w:highlight w:val="none"/>
          <w:lang w:val="en-US" w:eastAsia="zh-CN"/>
        </w:rPr>
        <w:t>0577-88965155</w:t>
      </w:r>
    </w:p>
    <w:bookmarkEnd w:id="23"/>
    <w:p>
      <w:pPr>
        <w:widowControl/>
        <w:spacing w:line="440" w:lineRule="exact"/>
        <w:ind w:firstLine="660" w:firstLineChars="300"/>
        <w:jc w:val="left"/>
        <w:rPr>
          <w:rFonts w:hint="eastAsia" w:ascii="宋体" w:hAnsi="宋体" w:cs="宋体"/>
          <w:color w:val="auto"/>
          <w:sz w:val="22"/>
          <w:szCs w:val="22"/>
          <w:highlight w:val="none"/>
        </w:rPr>
      </w:pPr>
    </w:p>
    <w:p>
      <w:pPr>
        <w:widowControl/>
        <w:spacing w:line="440" w:lineRule="exact"/>
        <w:ind w:firstLine="660" w:firstLineChars="3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浙江高申工程咨询有限公司</w:t>
      </w:r>
    </w:p>
    <w:p>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地    址：</w:t>
      </w:r>
      <w:r>
        <w:rPr>
          <w:rFonts w:hint="eastAsia" w:ascii="宋体" w:hAnsi="宋体" w:cs="宋体"/>
          <w:color w:val="auto"/>
          <w:sz w:val="22"/>
          <w:szCs w:val="22"/>
          <w:highlight w:val="none"/>
          <w:lang w:eastAsia="zh-CN"/>
        </w:rPr>
        <w:t>温州市市府路新益大厦1栋1302A室</w:t>
      </w:r>
    </w:p>
    <w:p>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项目联系人（询问）：</w:t>
      </w:r>
      <w:r>
        <w:rPr>
          <w:rFonts w:hint="eastAsia" w:ascii="宋体" w:hAnsi="宋体" w:cs="宋体"/>
          <w:color w:val="auto"/>
          <w:sz w:val="22"/>
          <w:szCs w:val="22"/>
          <w:highlight w:val="none"/>
          <w:lang w:eastAsia="zh-CN"/>
        </w:rPr>
        <w:t>项炳锡</w:t>
      </w:r>
    </w:p>
    <w:p>
      <w:pPr>
        <w:widowControl/>
        <w:spacing w:line="440" w:lineRule="exact"/>
        <w:ind w:firstLine="660" w:firstLineChars="30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项目联系方式（询问）：</w:t>
      </w:r>
      <w:r>
        <w:rPr>
          <w:rFonts w:hint="eastAsia" w:ascii="宋体" w:hAnsi="宋体" w:cs="宋体"/>
          <w:color w:val="auto"/>
          <w:sz w:val="22"/>
          <w:szCs w:val="22"/>
          <w:highlight w:val="none"/>
          <w:lang w:eastAsia="zh-CN"/>
        </w:rPr>
        <w:t>13732056561</w:t>
      </w:r>
    </w:p>
    <w:p>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质疑联系人：</w:t>
      </w:r>
      <w:r>
        <w:rPr>
          <w:rFonts w:hint="eastAsia" w:ascii="宋体" w:hAnsi="宋体" w:cs="宋体"/>
          <w:color w:val="auto"/>
          <w:sz w:val="22"/>
          <w:szCs w:val="22"/>
          <w:highlight w:val="none"/>
          <w:lang w:eastAsia="zh-CN"/>
        </w:rPr>
        <w:t>肖沙</w:t>
      </w:r>
    </w:p>
    <w:p>
      <w:pPr>
        <w:widowControl/>
        <w:spacing w:line="440" w:lineRule="exact"/>
        <w:ind w:firstLine="66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质疑联系方式：</w:t>
      </w:r>
      <w:r>
        <w:rPr>
          <w:rFonts w:hint="eastAsia" w:ascii="宋体" w:hAnsi="宋体" w:cs="宋体"/>
          <w:color w:val="auto"/>
          <w:sz w:val="22"/>
          <w:szCs w:val="22"/>
          <w:highlight w:val="none"/>
          <w:lang w:val="en-US" w:eastAsia="zh-CN"/>
        </w:rPr>
        <w:t>0577-88120091</w:t>
      </w:r>
    </w:p>
    <w:p>
      <w:pPr>
        <w:outlineLvl w:val="9"/>
        <w:rPr>
          <w:rFonts w:hint="eastAsia" w:ascii="宋体" w:hAnsi="宋体" w:cs="宋体"/>
          <w:color w:val="auto"/>
          <w:sz w:val="22"/>
          <w:szCs w:val="22"/>
          <w:highlight w:val="none"/>
          <w:lang w:val="en-US" w:eastAsia="zh-CN"/>
        </w:rPr>
      </w:pPr>
    </w:p>
    <w:p>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3.同级政府采购监督管理部门</w:t>
      </w:r>
    </w:p>
    <w:p>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名    称：温州市财政局政府采购监管处</w:t>
      </w:r>
    </w:p>
    <w:p>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地    址：温州市鹿城区绣山路299号</w:t>
      </w:r>
    </w:p>
    <w:p>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传    真：</w:t>
      </w:r>
    </w:p>
    <w:p>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联 系 人：项先生、蔡女士</w:t>
      </w:r>
    </w:p>
    <w:p>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监督投诉电话：0577-88532725、88521948</w:t>
      </w:r>
    </w:p>
    <w:p>
      <w:pPr>
        <w:widowControl/>
        <w:spacing w:line="440" w:lineRule="exact"/>
        <w:ind w:firstLine="420"/>
        <w:jc w:val="left"/>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//www.zcygov.cn/），点击右侧咨询小采，获取采小蜜智能服务管家帮助，或拨打政采云服务热线400-881-7190获取热线服务帮助。</w:t>
      </w:r>
    </w:p>
    <w:p>
      <w:pPr>
        <w:adjustRightInd w:val="0"/>
        <w:snapToGrid w:val="0"/>
        <w:spacing w:line="44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CA问题联系电话（人工）：汇信CA 400-888-4636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天谷CA 400-087-8198。</w:t>
      </w:r>
    </w:p>
    <w:p>
      <w:pPr>
        <w:pStyle w:val="29"/>
        <w:rPr>
          <w:rFonts w:hint="eastAsia" w:ascii="宋体" w:hAnsi="宋体" w:cs="宋体"/>
          <w:color w:val="auto"/>
          <w:sz w:val="22"/>
          <w:szCs w:val="22"/>
          <w:highlight w:val="none"/>
        </w:rPr>
      </w:pPr>
    </w:p>
    <w:p>
      <w:pPr>
        <w:pStyle w:val="42"/>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温州市应急管理局</w:t>
      </w:r>
    </w:p>
    <w:p>
      <w:pPr>
        <w:pStyle w:val="42"/>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浙江高申工程咨询有限公司</w:t>
      </w:r>
    </w:p>
    <w:p>
      <w:pPr>
        <w:pStyle w:val="42"/>
        <w:jc w:val="righ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2024</w:t>
      </w:r>
      <w:r>
        <w:rPr>
          <w:rFonts w:hint="eastAsia" w:ascii="宋体" w:hAnsi="宋体" w:cs="宋体"/>
          <w:color w:val="auto"/>
          <w:sz w:val="22"/>
          <w:szCs w:val="22"/>
          <w:highlight w:val="none"/>
        </w:rPr>
        <w:t>年</w:t>
      </w:r>
      <w:r>
        <w:rPr>
          <w:rFonts w:hint="eastAsia" w:ascii="宋体" w:hAnsi="宋体"/>
          <w:bCs/>
          <w:color w:val="auto"/>
          <w:sz w:val="22"/>
          <w:szCs w:val="22"/>
          <w:highlight w:val="none"/>
          <w:u w:val="none"/>
        </w:rPr>
        <w:t xml:space="preserve"> </w:t>
      </w:r>
      <w:r>
        <w:rPr>
          <w:rFonts w:hint="eastAsia" w:ascii="宋体" w:hAnsi="宋体"/>
          <w:bCs/>
          <w:color w:val="auto"/>
          <w:sz w:val="22"/>
          <w:szCs w:val="22"/>
          <w:highlight w:val="none"/>
          <w:u w:val="none"/>
          <w:lang w:val="en-US" w:eastAsia="zh-CN"/>
        </w:rPr>
        <w:t>11</w:t>
      </w:r>
      <w:r>
        <w:rPr>
          <w:rFonts w:hint="eastAsia" w:ascii="宋体" w:hAnsi="宋体"/>
          <w:bCs/>
          <w:color w:val="auto"/>
          <w:sz w:val="22"/>
          <w:szCs w:val="22"/>
          <w:highlight w:val="none"/>
          <w:u w:val="none"/>
        </w:rPr>
        <w:t xml:space="preserve"> </w:t>
      </w:r>
      <w:r>
        <w:rPr>
          <w:rFonts w:hint="eastAsia" w:ascii="宋体" w:hAnsi="宋体" w:cs="宋体"/>
          <w:color w:val="auto"/>
          <w:sz w:val="22"/>
          <w:szCs w:val="22"/>
          <w:highlight w:val="none"/>
          <w:u w:val="none"/>
        </w:rPr>
        <w:t>月</w:t>
      </w:r>
      <w:r>
        <w:rPr>
          <w:rFonts w:hint="eastAsia" w:ascii="宋体" w:hAnsi="宋体"/>
          <w:bCs/>
          <w:color w:val="auto"/>
          <w:sz w:val="22"/>
          <w:szCs w:val="22"/>
          <w:highlight w:val="none"/>
          <w:u w:val="none"/>
        </w:rPr>
        <w:t xml:space="preserve"> </w:t>
      </w:r>
      <w:r>
        <w:rPr>
          <w:rFonts w:hint="eastAsia" w:ascii="宋体" w:hAnsi="宋体"/>
          <w:bCs/>
          <w:color w:val="auto"/>
          <w:sz w:val="22"/>
          <w:szCs w:val="22"/>
          <w:highlight w:val="none"/>
          <w:u w:val="none"/>
          <w:lang w:val="en-US" w:eastAsia="zh-CN"/>
        </w:rPr>
        <w:t>18</w:t>
      </w:r>
      <w:r>
        <w:rPr>
          <w:rFonts w:hint="eastAsia" w:ascii="宋体" w:hAnsi="宋体" w:cs="宋体"/>
          <w:color w:val="auto"/>
          <w:sz w:val="22"/>
          <w:szCs w:val="22"/>
          <w:highlight w:val="none"/>
        </w:rPr>
        <w:t>日</w:t>
      </w:r>
    </w:p>
    <w:p>
      <w:pPr>
        <w:pStyle w:val="2"/>
        <w:spacing w:line="600" w:lineRule="exact"/>
        <w:jc w:val="center"/>
        <w:rPr>
          <w:rFonts w:hint="eastAsia" w:ascii="黑体" w:hAnsi="黑体" w:eastAsia="黑体"/>
          <w:bCs/>
          <w:color w:val="auto"/>
          <w:sz w:val="36"/>
          <w:szCs w:val="36"/>
          <w:highlight w:val="none"/>
        </w:rPr>
      </w:pPr>
      <w:bookmarkStart w:id="24" w:name="_Toc230773774"/>
      <w:r>
        <w:rPr>
          <w:rFonts w:ascii="黑体" w:hAnsi="黑体" w:eastAsia="黑体"/>
          <w:bCs/>
          <w:color w:val="auto"/>
          <w:sz w:val="36"/>
          <w:szCs w:val="36"/>
          <w:highlight w:val="none"/>
        </w:rPr>
        <w:br w:type="page"/>
      </w:r>
      <w:bookmarkStart w:id="25" w:name="_Toc26067"/>
      <w:r>
        <w:rPr>
          <w:rFonts w:hint="eastAsia" w:ascii="黑体" w:hAnsi="黑体" w:eastAsia="黑体"/>
          <w:bCs/>
          <w:color w:val="auto"/>
          <w:sz w:val="36"/>
          <w:szCs w:val="36"/>
          <w:highlight w:val="none"/>
        </w:rPr>
        <w:t>第二部分   投标人须知</w:t>
      </w:r>
      <w:bookmarkEnd w:id="24"/>
      <w:bookmarkEnd w:id="25"/>
    </w:p>
    <w:p>
      <w:pPr>
        <w:pStyle w:val="3"/>
        <w:tabs>
          <w:tab w:val="left" w:pos="840"/>
        </w:tabs>
        <w:spacing w:line="680" w:lineRule="exact"/>
        <w:jc w:val="center"/>
        <w:rPr>
          <w:rFonts w:hint="eastAsia" w:ascii="宋体" w:hAnsi="宋体" w:eastAsia="宋体" w:cs="宋体"/>
          <w:color w:val="auto"/>
          <w:sz w:val="28"/>
          <w:szCs w:val="28"/>
          <w:highlight w:val="none"/>
        </w:rPr>
      </w:pPr>
      <w:bookmarkStart w:id="26" w:name="_Toc486600281"/>
      <w:bookmarkStart w:id="27" w:name="_Toc15250"/>
      <w:r>
        <w:rPr>
          <w:rFonts w:hint="eastAsia" w:ascii="宋体" w:hAnsi="宋体" w:eastAsia="宋体" w:cs="宋体"/>
          <w:color w:val="auto"/>
          <w:sz w:val="28"/>
          <w:szCs w:val="28"/>
          <w:highlight w:val="none"/>
        </w:rPr>
        <w:t>投标人须知前附表</w:t>
      </w:r>
      <w:bookmarkEnd w:id="26"/>
      <w:bookmarkEnd w:id="27"/>
    </w:p>
    <w:tbl>
      <w:tblPr>
        <w:tblStyle w:val="44"/>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0"/>
        <w:gridCol w:w="1836"/>
        <w:gridCol w:w="7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030" w:type="dxa"/>
            <w:tcBorders>
              <w:top w:val="single" w:color="auto" w:sz="4" w:space="0"/>
              <w:left w:val="single" w:color="auto" w:sz="4" w:space="0"/>
              <w:bottom w:val="single" w:color="auto" w:sz="4" w:space="0"/>
              <w:right w:val="single" w:color="auto" w:sz="4" w:space="0"/>
            </w:tcBorders>
            <w:vAlign w:val="center"/>
          </w:tcPr>
          <w:p>
            <w:pPr>
              <w:tabs>
                <w:tab w:val="left" w:pos="851"/>
                <w:tab w:val="center" w:pos="5812"/>
                <w:tab w:val="decimal" w:pos="6804"/>
                <w:tab w:val="decimal" w:pos="8789"/>
              </w:tabs>
              <w:adjustRightInd w:val="0"/>
              <w:snapToGrid w:val="0"/>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Times New Roman" w:hAnsi="宋体" w:eastAsia="宋体" w:cs="Times New Roman"/>
                <w:color w:val="auto"/>
                <w:sz w:val="22"/>
                <w:szCs w:val="22"/>
                <w:highlight w:val="none"/>
                <w:lang w:val="en-US" w:eastAsia="zh-CN"/>
              </w:rPr>
            </w:pP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及资金来源</w:t>
            </w:r>
          </w:p>
        </w:tc>
        <w:tc>
          <w:tcPr>
            <w:tcW w:w="7030" w:type="dxa"/>
            <w:tcBorders>
              <w:top w:val="single" w:color="auto" w:sz="4" w:space="0"/>
              <w:left w:val="single" w:color="auto" w:sz="4" w:space="0"/>
              <w:bottom w:val="single" w:color="auto" w:sz="4" w:space="0"/>
              <w:right w:val="single" w:color="auto" w:sz="4" w:space="0"/>
            </w:tcBorders>
            <w:vAlign w:val="center"/>
          </w:tcPr>
          <w:p>
            <w:pPr>
              <w:tabs>
                <w:tab w:val="left" w:pos="851"/>
                <w:tab w:val="center" w:pos="5812"/>
                <w:tab w:val="decimal" w:pos="6804"/>
                <w:tab w:val="decimal" w:pos="8789"/>
              </w:tabs>
              <w:adjustRightInd w:val="0"/>
              <w:snapToGrid w:val="0"/>
              <w:spacing w:before="0" w:beforeAutospacing="0" w:after="0" w:afterAutospacing="0" w:line="360" w:lineRule="exact"/>
              <w:ind w:left="0" w:right="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见第一部分“招标公告”</w:t>
            </w:r>
            <w:r>
              <w:rPr>
                <w:rFonts w:hint="eastAsia" w:ascii="宋体" w:hAnsi="宋体" w:cs="宋体"/>
                <w:color w:val="auto"/>
                <w:sz w:val="22"/>
                <w:szCs w:val="22"/>
                <w:highlight w:val="none"/>
                <w:lang w:val="en-US" w:eastAsia="zh-CN"/>
              </w:rPr>
              <w:t>和第五部分。</w:t>
            </w:r>
          </w:p>
          <w:p>
            <w:pPr>
              <w:pStyle w:val="42"/>
              <w:tabs>
                <w:tab w:val="left" w:pos="851"/>
                <w:tab w:val="center" w:pos="5812"/>
                <w:tab w:val="decimal" w:pos="6804"/>
                <w:tab w:val="decimal" w:pos="8789"/>
              </w:tabs>
              <w:adjustRightInd w:val="0"/>
              <w:snapToGrid w:val="0"/>
              <w:spacing w:before="0" w:beforeAutospacing="0" w:afterAutospacing="0"/>
              <w:ind w:left="0" w:right="0" w:firstLine="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资金来源：</w:t>
            </w:r>
            <w:r>
              <w:rPr>
                <w:rFonts w:hint="eastAsia" w:ascii="宋体" w:hAnsi="宋体" w:cs="宋体"/>
                <w:color w:val="auto"/>
                <w:kern w:val="0"/>
                <w:sz w:val="22"/>
                <w:szCs w:val="22"/>
                <w:highlight w:val="none"/>
                <w:lang w:eastAsia="zh-CN"/>
              </w:rPr>
              <w:t>国债和</w:t>
            </w:r>
            <w:r>
              <w:rPr>
                <w:rFonts w:hint="eastAsia" w:ascii="宋体" w:hAnsi="宋体" w:cs="宋体"/>
                <w:color w:val="auto"/>
                <w:kern w:val="0"/>
                <w:sz w:val="22"/>
                <w:szCs w:val="22"/>
                <w:highlight w:val="none"/>
              </w:rPr>
              <w:t>财政性资金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Times New Roman"/>
                <w:color w:val="auto"/>
                <w:sz w:val="22"/>
                <w:szCs w:val="22"/>
                <w:highlight w:val="none"/>
              </w:rPr>
              <w:t>交付时间</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见第一部分“招标公告”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cs="Times New Roman"/>
                <w:color w:val="auto"/>
                <w:sz w:val="22"/>
                <w:szCs w:val="22"/>
                <w:highlight w:val="none"/>
              </w:rPr>
              <w:sym w:font="Wingdings 2" w:char="0052"/>
            </w:r>
            <w:r>
              <w:rPr>
                <w:rFonts w:hint="eastAsia" w:ascii="宋体" w:hAnsi="宋体" w:eastAsia="宋体" w:cs="宋体"/>
                <w:color w:val="auto"/>
                <w:sz w:val="22"/>
                <w:szCs w:val="22"/>
                <w:highlight w:val="none"/>
              </w:rPr>
              <w:t>不接受</w:t>
            </w:r>
          </w:p>
          <w:p>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 xml:space="preserve">接受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sym w:font="Wingdings 2" w:char="F052"/>
            </w:r>
            <w:r>
              <w:rPr>
                <w:rFonts w:hint="eastAsia" w:ascii="宋体" w:hAnsi="宋体" w:cs="Times New Roman"/>
                <w:color w:val="auto"/>
                <w:sz w:val="22"/>
                <w:szCs w:val="22"/>
                <w:highlight w:val="none"/>
              </w:rPr>
              <w:t>不组织</w:t>
            </w:r>
          </w:p>
          <w:p>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sym w:font="Wingdings 2" w:char="F0A3"/>
            </w:r>
            <w:r>
              <w:rPr>
                <w:rFonts w:hint="eastAsia" w:ascii="宋体" w:hAnsi="宋体" w:cs="Times New Roman"/>
                <w:color w:val="auto"/>
                <w:sz w:val="22"/>
                <w:szCs w:val="22"/>
                <w:highlight w:val="none"/>
              </w:rPr>
              <w:t>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开标前答疑会</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cs="仿宋"/>
                <w:color w:val="auto"/>
                <w:sz w:val="22"/>
                <w:szCs w:val="22"/>
                <w:highlight w:val="none"/>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bCs/>
                <w:color w:val="auto"/>
                <w:sz w:val="22"/>
                <w:szCs w:val="22"/>
                <w:highlight w:val="none"/>
              </w:rPr>
              <w:t>分包与转包</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仿宋"/>
                <w:bCs/>
                <w:color w:val="auto"/>
                <w:sz w:val="22"/>
                <w:szCs w:val="22"/>
                <w:highlight w:val="none"/>
              </w:rPr>
              <w:t>（1）分包：</w:t>
            </w:r>
          </w:p>
          <w:p>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Times New Roman"/>
                <w:color w:val="auto"/>
                <w:sz w:val="22"/>
                <w:szCs w:val="22"/>
                <w:highlight w:val="none"/>
              </w:rPr>
              <w:sym w:font="Wingdings 2" w:char="F0A3"/>
            </w:r>
            <w:r>
              <w:rPr>
                <w:rFonts w:hint="eastAsia" w:ascii="宋体" w:hAnsi="宋体" w:cs="仿宋"/>
                <w:bCs/>
                <w:color w:val="auto"/>
                <w:sz w:val="22"/>
                <w:szCs w:val="22"/>
                <w:highlight w:val="none"/>
              </w:rPr>
              <w:t>同意将非主体、非关键性的工作分包。</w:t>
            </w:r>
          </w:p>
          <w:p>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cs="仿宋"/>
                <w:bCs/>
                <w:color w:val="auto"/>
                <w:sz w:val="22"/>
                <w:szCs w:val="22"/>
                <w:highlight w:val="none"/>
              </w:rPr>
              <w:t>不同意分包。</w:t>
            </w:r>
          </w:p>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t>（2）转包：本项目不允许转包。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10</w:t>
            </w:r>
          </w:p>
        </w:tc>
        <w:tc>
          <w:tcPr>
            <w:tcW w:w="1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0" w:beforeAutospacing="0" w:after="0" w:afterAutospacing="0" w:line="360" w:lineRule="exact"/>
              <w:ind w:left="0" w:right="0"/>
              <w:jc w:val="center"/>
              <w:rPr>
                <w:rFonts w:hint="eastAsia" w:ascii="宋体" w:hAnsi="宋体" w:cs="仿宋"/>
                <w:bCs/>
                <w:color w:val="auto"/>
                <w:sz w:val="22"/>
                <w:szCs w:val="22"/>
                <w:highlight w:val="none"/>
              </w:rPr>
            </w:pPr>
            <w:r>
              <w:rPr>
                <w:rFonts w:hint="eastAsia" w:ascii="宋体" w:hAnsi="宋体" w:cs="宋体"/>
                <w:snapToGrid w:val="0"/>
                <w:color w:val="auto"/>
                <w:sz w:val="22"/>
                <w:szCs w:val="22"/>
                <w:highlight w:val="none"/>
              </w:rPr>
              <w:t>报价要求</w:t>
            </w:r>
          </w:p>
        </w:tc>
        <w:tc>
          <w:tcPr>
            <w:tcW w:w="7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line="360" w:lineRule="exact"/>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本项目采用人民币报价</w:t>
            </w:r>
          </w:p>
          <w:p>
            <w:pPr>
              <w:adjustRightInd w:val="0"/>
              <w:snapToGrid w:val="0"/>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宋体"/>
                <w:snapToGrid w:val="0"/>
                <w:color w:val="auto"/>
                <w:sz w:val="22"/>
                <w:szCs w:val="22"/>
                <w:highlight w:val="none"/>
              </w:rPr>
              <w:t>客户端填写的报价与以pdf格式上传文件中的报价不一致的，应以Pdf格式上传文件中的报价为准。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投标有效期</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 xml:space="preserve">投标有效期为从提交投标文件的截止之日起 </w:t>
            </w:r>
            <w:r>
              <w:rPr>
                <w:rFonts w:hint="default" w:ascii="宋体" w:hAnsi="宋体" w:cs="仿宋"/>
                <w:color w:val="auto"/>
                <w:sz w:val="22"/>
                <w:szCs w:val="22"/>
                <w:highlight w:val="none"/>
              </w:rPr>
              <w:t>90</w:t>
            </w:r>
            <w:r>
              <w:rPr>
                <w:rFonts w:hint="eastAsia" w:ascii="宋体" w:hAnsi="宋体" w:cs="仿宋"/>
                <w:color w:val="auto"/>
                <w:sz w:val="22"/>
                <w:szCs w:val="22"/>
                <w:highlight w:val="none"/>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13</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合同签订时间</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中标通知书发出之日起</w:t>
            </w:r>
            <w:r>
              <w:rPr>
                <w:rFonts w:hint="eastAsia" w:ascii="宋体" w:hAnsi="宋体" w:cs="仿宋"/>
                <w:color w:val="auto"/>
                <w:sz w:val="22"/>
                <w:szCs w:val="22"/>
                <w:highlight w:val="none"/>
                <w:lang w:eastAsia="zh-CN"/>
              </w:rPr>
              <w:t>30</w:t>
            </w:r>
            <w:r>
              <w:rPr>
                <w:rFonts w:hint="eastAsia" w:ascii="宋体" w:hAnsi="宋体" w:cs="仿宋"/>
                <w:color w:val="auto"/>
                <w:sz w:val="22"/>
                <w:szCs w:val="22"/>
                <w:highlight w:val="none"/>
                <w:lang w:val="en-US" w:eastAsia="zh-CN"/>
              </w:rPr>
              <w:t xml:space="preserve"> </w:t>
            </w:r>
            <w:r>
              <w:rPr>
                <w:rFonts w:hint="eastAsia" w:ascii="宋体" w:hAnsi="宋体" w:cs="仿宋"/>
                <w:color w:val="auto"/>
                <w:sz w:val="22"/>
                <w:szCs w:val="22"/>
                <w:highlight w:val="none"/>
                <w:lang w:eastAsia="zh-CN"/>
              </w:rPr>
              <w:t>天</w:t>
            </w:r>
            <w:r>
              <w:rPr>
                <w:rFonts w:hint="eastAsia" w:ascii="宋体" w:hAnsi="宋体" w:cs="仿宋"/>
                <w:color w:val="auto"/>
                <w:sz w:val="22"/>
                <w:szCs w:val="22"/>
                <w:highlight w:val="none"/>
              </w:rPr>
              <w:t>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14</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提交投标文件截止时间、开标时间和地点</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详见第一部分“招标公告”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15</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t>详见第二部分“投标人须知”第三款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16</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030"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0" w:beforeAutospacing="0" w:after="0" w:afterAutospacing="0" w:line="360" w:lineRule="exact"/>
              <w:ind w:left="0" w:right="0"/>
              <w:rPr>
                <w:rFonts w:hint="eastAsia" w:ascii="Times New Roman" w:hAnsi="宋体" w:eastAsia="宋体" w:cs="宋体"/>
                <w:b/>
                <w:bCs/>
                <w:color w:val="auto"/>
                <w:sz w:val="22"/>
                <w:szCs w:val="22"/>
                <w:highlight w:val="none"/>
                <w:lang w:eastAsia="zh-CN"/>
              </w:rPr>
            </w:pPr>
            <w:r>
              <w:rPr>
                <w:rFonts w:hint="eastAsia" w:ascii="Times New Roman" w:hAnsi="宋体" w:cs="宋体"/>
                <w:b/>
                <w:bCs/>
                <w:color w:val="auto"/>
                <w:sz w:val="22"/>
                <w:szCs w:val="22"/>
                <w:highlight w:val="none"/>
              </w:rPr>
              <w:t>本项目实行网上电子投标。</w:t>
            </w:r>
            <w:r>
              <w:rPr>
                <w:rFonts w:hint="eastAsia" w:ascii="Times New Roman" w:hAnsi="宋体" w:cs="宋体"/>
                <w:b/>
                <w:bCs/>
                <w:color w:val="auto"/>
                <w:sz w:val="22"/>
                <w:szCs w:val="22"/>
                <w:highlight w:val="none"/>
                <w:lang w:eastAsia="zh-CN"/>
              </w:rPr>
              <w:t>（每个标项分别提供投标资料）</w:t>
            </w:r>
          </w:p>
          <w:p>
            <w:pPr>
              <w:pStyle w:val="24"/>
              <w:snapToGrid w:val="0"/>
              <w:spacing w:before="0" w:beforeAutospacing="0" w:after="0" w:afterAutospacing="0" w:line="360" w:lineRule="exact"/>
              <w:ind w:left="0" w:right="0"/>
              <w:rPr>
                <w:rFonts w:hint="eastAsia" w:ascii="Times New Roman" w:hAnsi="宋体" w:cs="宋体"/>
                <w:b/>
                <w:bCs/>
                <w:color w:val="auto"/>
                <w:sz w:val="22"/>
                <w:szCs w:val="24"/>
                <w:highlight w:val="none"/>
              </w:rPr>
            </w:pPr>
            <w:r>
              <w:rPr>
                <w:rFonts w:hint="eastAsia" w:ascii="Times New Roman" w:hAnsi="宋体" w:cs="宋体"/>
                <w:b/>
                <w:bCs/>
                <w:color w:val="auto"/>
                <w:sz w:val="22"/>
                <w:szCs w:val="24"/>
                <w:highlight w:val="none"/>
              </w:rPr>
              <w:t>供应商应准备电子响应文件、以介质存储的数据电文形式的备份响应文件二类：</w:t>
            </w:r>
          </w:p>
          <w:p>
            <w:pPr>
              <w:pStyle w:val="24"/>
              <w:snapToGrid w:val="0"/>
              <w:spacing w:before="0" w:beforeAutospacing="0" w:after="0" w:afterAutospacing="0" w:line="360" w:lineRule="exact"/>
              <w:ind w:left="0" w:right="0" w:firstLine="221" w:firstLineChars="100"/>
              <w:rPr>
                <w:rFonts w:hint="eastAsia" w:ascii="Times New Roman" w:hAnsi="宋体" w:cs="宋体"/>
                <w:b/>
                <w:bCs/>
                <w:color w:val="auto"/>
                <w:sz w:val="22"/>
                <w:szCs w:val="24"/>
                <w:highlight w:val="none"/>
              </w:rPr>
            </w:pPr>
            <w:r>
              <w:rPr>
                <w:rFonts w:hint="eastAsia" w:ascii="Times New Roman" w:hAnsi="宋体" w:cs="宋体"/>
                <w:b/>
                <w:bCs/>
                <w:color w:val="auto"/>
                <w:sz w:val="22"/>
                <w:szCs w:val="24"/>
                <w:highlight w:val="none"/>
              </w:rPr>
              <w:t>(1)电子响应文件：通过政采云电子交易客户端（政采云投标客户端）完成响应文件编制后生成并加密的数据电文形式的响应文件（文件扩展名为.jmbs）</w:t>
            </w:r>
            <w:r>
              <w:rPr>
                <w:rFonts w:hint="eastAsia" w:ascii="Times New Roman" w:hAnsi="宋体" w:cs="宋体"/>
                <w:b/>
                <w:bCs/>
                <w:color w:val="auto"/>
                <w:sz w:val="22"/>
                <w:szCs w:val="24"/>
                <w:highlight w:val="none"/>
                <w:lang w:val="zh-CN"/>
              </w:rPr>
              <w:t>。</w:t>
            </w:r>
          </w:p>
          <w:p>
            <w:pPr>
              <w:spacing w:before="0" w:beforeAutospacing="0" w:after="0" w:afterAutospacing="0" w:line="360" w:lineRule="exact"/>
              <w:ind w:left="0" w:right="0" w:firstLine="221" w:firstLineChars="100"/>
              <w:rPr>
                <w:rStyle w:val="47"/>
                <w:rFonts w:hint="eastAsia" w:ascii="宋体" w:hAnsi="宋体" w:cs="宋体"/>
                <w:color w:val="auto"/>
                <w:sz w:val="22"/>
                <w:szCs w:val="24"/>
                <w:highlight w:val="none"/>
              </w:rPr>
            </w:pPr>
            <w:r>
              <w:rPr>
                <w:rFonts w:hint="eastAsia" w:ascii="宋体" w:hAnsi="宋体" w:cs="宋体"/>
                <w:b/>
                <w:bCs/>
                <w:color w:val="auto"/>
                <w:sz w:val="22"/>
                <w:szCs w:val="24"/>
                <w:highlight w:val="none"/>
              </w:rPr>
              <w:t>(2)以介质存储的数据电文形式的备份响应文件：</w:t>
            </w:r>
            <w:r>
              <w:rPr>
                <w:rStyle w:val="47"/>
                <w:rFonts w:hint="eastAsia" w:ascii="宋体" w:hAnsi="宋体" w:cs="宋体"/>
                <w:color w:val="auto"/>
                <w:sz w:val="22"/>
                <w:szCs w:val="24"/>
                <w:highlight w:val="none"/>
              </w:rPr>
              <w:t>与“电子响应文件”同时生成的数据电文形式的备份响应文件(文件扩展名为.bfbs)</w:t>
            </w:r>
            <w:r>
              <w:rPr>
                <w:rFonts w:hint="eastAsia" w:ascii="宋体" w:hAnsi="宋体" w:cs="宋体"/>
                <w:b/>
                <w:bCs/>
                <w:color w:val="auto"/>
                <w:sz w:val="22"/>
                <w:szCs w:val="24"/>
                <w:highlight w:val="none"/>
              </w:rPr>
              <w:t>，投标文件提交截止时间前以</w:t>
            </w:r>
            <w:r>
              <w:rPr>
                <w:rFonts w:hint="eastAsia" w:ascii="宋体" w:hAnsi="宋体" w:cs="宋体"/>
                <w:b/>
                <w:bCs/>
                <w:color w:val="auto"/>
                <w:sz w:val="22"/>
                <w:szCs w:val="24"/>
                <w:highlight w:val="none"/>
                <w:lang w:val="zh-CN"/>
              </w:rPr>
              <w:t>电子邮件方式传送至</w:t>
            </w:r>
            <w:r>
              <w:rPr>
                <w:rFonts w:hint="eastAsia" w:ascii="宋体" w:hAnsi="宋体" w:cs="宋体"/>
                <w:b/>
                <w:bCs/>
                <w:color w:val="auto"/>
                <w:sz w:val="22"/>
                <w:szCs w:val="24"/>
                <w:highlight w:val="none"/>
                <w:lang w:eastAsia="zh-CN"/>
              </w:rPr>
              <w:t>浙江高申工程咨询有限公司</w:t>
            </w:r>
            <w:r>
              <w:rPr>
                <w:rFonts w:hint="eastAsia" w:ascii="宋体" w:hAnsi="宋体" w:cs="宋体"/>
                <w:b/>
                <w:bCs/>
                <w:color w:val="auto"/>
                <w:sz w:val="22"/>
                <w:szCs w:val="24"/>
                <w:highlight w:val="none"/>
                <w:lang w:val="zh-CN"/>
              </w:rPr>
              <w:t>电子邮箱</w:t>
            </w:r>
            <w:r>
              <w:rPr>
                <w:rFonts w:hint="eastAsia" w:ascii="宋体" w:hAnsi="宋体" w:cs="Times New Roman"/>
                <w:b/>
                <w:bCs/>
                <w:color w:val="auto"/>
                <w:sz w:val="22"/>
                <w:szCs w:val="24"/>
                <w:highlight w:val="none"/>
                <w:u w:val="single"/>
                <w:lang w:eastAsia="zh-CN"/>
              </w:rPr>
              <w:t>379443850@qq.com</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递交</w:t>
            </w:r>
            <w:r>
              <w:rPr>
                <w:rFonts w:hint="eastAsia" w:ascii="宋体" w:hAnsi="宋体" w:cs="宋体"/>
                <w:b/>
                <w:bCs/>
                <w:color w:val="auto"/>
                <w:sz w:val="22"/>
                <w:szCs w:val="24"/>
                <w:highlight w:val="none"/>
              </w:rPr>
              <w:t>1</w:t>
            </w:r>
            <w:r>
              <w:rPr>
                <w:rFonts w:hint="eastAsia" w:ascii="宋体" w:hAnsi="宋体" w:cs="宋体"/>
                <w:b/>
                <w:bCs/>
                <w:color w:val="auto"/>
                <w:sz w:val="22"/>
                <w:szCs w:val="24"/>
                <w:highlight w:val="none"/>
                <w:lang w:val="zh-CN"/>
              </w:rPr>
              <w:t>份</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传送的备份响应文件需打包压缩并加密</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加密密码由供应商自行保管</w:t>
            </w:r>
            <w:r>
              <w:rPr>
                <w:rFonts w:hint="eastAsia" w:ascii="宋体" w:hAnsi="宋体" w:cs="宋体"/>
                <w:b/>
                <w:bCs/>
                <w:color w:val="auto"/>
                <w:sz w:val="22"/>
                <w:szCs w:val="24"/>
                <w:highlight w:val="none"/>
              </w:rPr>
              <w:t>，未加密导致投标信息泄露的风险由供应商自行承担。</w:t>
            </w:r>
          </w:p>
          <w:p>
            <w:pPr>
              <w:pStyle w:val="24"/>
              <w:snapToGrid w:val="0"/>
              <w:spacing w:before="0" w:beforeAutospacing="0" w:after="0" w:afterAutospacing="0" w:line="360" w:lineRule="exact"/>
              <w:ind w:left="0" w:right="0"/>
              <w:rPr>
                <w:rFonts w:hint="eastAsia" w:ascii="Times New Roman" w:hAnsi="宋体" w:cs="宋体"/>
                <w:color w:val="auto"/>
                <w:sz w:val="22"/>
                <w:szCs w:val="22"/>
                <w:highlight w:val="none"/>
              </w:rPr>
            </w:pPr>
            <w:r>
              <w:rPr>
                <w:rFonts w:hint="eastAsia" w:ascii="Times New Roman" w:hAnsi="宋体" w:cs="宋体"/>
                <w:b/>
                <w:bCs/>
                <w:color w:val="auto"/>
                <w:sz w:val="22"/>
                <w:szCs w:val="22"/>
                <w:highlight w:val="none"/>
              </w:rPr>
              <w:t>响应文件由报价文件、</w:t>
            </w:r>
            <w:r>
              <w:rPr>
                <w:rFonts w:hint="eastAsia" w:ascii="Times New Roman" w:hAnsi="宋体" w:cs="宋体"/>
                <w:b/>
                <w:color w:val="auto"/>
                <w:sz w:val="22"/>
                <w:szCs w:val="22"/>
                <w:highlight w:val="none"/>
              </w:rPr>
              <w:t>资格文件、商务和</w:t>
            </w:r>
            <w:r>
              <w:rPr>
                <w:rFonts w:hint="eastAsia" w:ascii="Times New Roman" w:hAnsi="宋体" w:cs="宋体"/>
                <w:b/>
                <w:bCs/>
                <w:color w:val="auto"/>
                <w:sz w:val="22"/>
                <w:szCs w:val="22"/>
                <w:highlight w:val="none"/>
              </w:rPr>
              <w:t>技术文件三部分组成。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17</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开评标程序</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待开标→投标文件在线解密→代理机构或采购人在线资格性审查→评标委员会在线符合性审查→评标委员会在线商务技术评审→系统公开商务技术文件评审结果→系统公开报价情况→评标委员会对报价文件进行评审→系统公布评审结果。</w:t>
            </w:r>
          </w:p>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18</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w:t>
            </w:r>
          </w:p>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的组建</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Times New Roman"/>
                <w:color w:val="auto"/>
                <w:sz w:val="22"/>
                <w:szCs w:val="22"/>
                <w:highlight w:val="none"/>
              </w:rPr>
              <w:t>评标委员会成员由采购人代表和有关技术、经济等方面的专家组成，成员人数为5人或以上单数，除采购人代表外的专家将在政采云的评标专家库中随机抽取产生。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19</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履约担保的形式：接受</w:t>
            </w:r>
            <w:r>
              <w:rPr>
                <w:rFonts w:hint="default" w:ascii="宋体" w:hAnsi="宋体" w:cs="宋体"/>
                <w:color w:val="auto"/>
                <w:sz w:val="22"/>
                <w:szCs w:val="22"/>
                <w:highlight w:val="none"/>
              </w:rPr>
              <w:t>支票、汇票、本票或者金融机构、担保机构出具的</w:t>
            </w:r>
            <w:r>
              <w:rPr>
                <w:rFonts w:hint="eastAsia" w:ascii="宋体" w:hAnsi="宋体" w:eastAsia="宋体" w:cs="宋体"/>
                <w:color w:val="auto"/>
                <w:sz w:val="22"/>
                <w:szCs w:val="22"/>
                <w:highlight w:val="none"/>
              </w:rPr>
              <w:t>保函等非现金形式。</w:t>
            </w:r>
          </w:p>
          <w:p>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履约保证金的金额：</w:t>
            </w:r>
            <w:r>
              <w:rPr>
                <w:rFonts w:hint="eastAsia" w:ascii="宋体" w:hAnsi="宋体" w:cs="宋体"/>
                <w:color w:val="auto"/>
                <w:sz w:val="22"/>
                <w:szCs w:val="22"/>
                <w:highlight w:val="none"/>
                <w:lang w:val="en-US" w:eastAsia="zh-CN"/>
              </w:rPr>
              <w:t>合同</w:t>
            </w:r>
            <w:r>
              <w:rPr>
                <w:rFonts w:hint="eastAsia" w:ascii="宋体" w:hAnsi="宋体" w:eastAsia="宋体" w:cs="宋体"/>
                <w:color w:val="auto"/>
                <w:sz w:val="22"/>
                <w:szCs w:val="22"/>
                <w:highlight w:val="none"/>
              </w:rPr>
              <w:t>金额的1%</w:t>
            </w:r>
          </w:p>
          <w:p>
            <w:pPr>
              <w:spacing w:before="0" w:beforeAutospacing="0" w:after="0" w:afterAutospacing="0" w:line="360" w:lineRule="exact"/>
              <w:ind w:left="0" w:right="0"/>
              <w:rPr>
                <w:rFonts w:hint="eastAsia" w:ascii="Times New Roman" w:hAnsi="Times New Roman" w:cs="Times New Roman"/>
                <w:color w:val="auto"/>
                <w:sz w:val="20"/>
                <w:szCs w:val="20"/>
                <w:highlight w:val="none"/>
              </w:rPr>
            </w:pPr>
            <w:r>
              <w:rPr>
                <w:rFonts w:hint="eastAsia" w:ascii="宋体" w:hAnsi="宋体" w:eastAsia="宋体" w:cs="宋体"/>
                <w:color w:val="auto"/>
                <w:sz w:val="22"/>
                <w:szCs w:val="22"/>
                <w:highlight w:val="none"/>
              </w:rPr>
              <w:t>供应商在签订合同后7个工作日内提交，用于补偿因供应商不能履行其合同义务而造成的损失。合同期满或合同解除后扣除供应商应承担的违约赔偿责任外，剩余部分返还供应商。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20</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投标文件无效标条款</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b/>
                <w:color w:val="auto"/>
                <w:sz w:val="22"/>
                <w:szCs w:val="22"/>
                <w:highlight w:val="none"/>
              </w:rPr>
            </w:pPr>
            <w:r>
              <w:rPr>
                <w:rFonts w:hint="eastAsia" w:ascii="宋体" w:hAnsi="宋体" w:cs="宋体"/>
                <w:b/>
                <w:color w:val="auto"/>
                <w:sz w:val="22"/>
                <w:szCs w:val="22"/>
                <w:highlight w:val="none"/>
              </w:rPr>
              <w:t>详见招标文件第1</w:t>
            </w:r>
            <w:r>
              <w:rPr>
                <w:rFonts w:hint="default" w:ascii="宋体" w:hAnsi="宋体" w:cs="宋体"/>
                <w:b/>
                <w:color w:val="auto"/>
                <w:sz w:val="22"/>
                <w:szCs w:val="22"/>
                <w:highlight w:val="none"/>
              </w:rPr>
              <w:t>8</w:t>
            </w:r>
            <w:r>
              <w:rPr>
                <w:rFonts w:hint="eastAsia" w:ascii="宋体" w:hAnsi="宋体" w:cs="宋体"/>
                <w:b/>
                <w:color w:val="auto"/>
                <w:sz w:val="22"/>
                <w:szCs w:val="22"/>
                <w:highlight w:val="none"/>
              </w:rPr>
              <w:t>页，第7点。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21</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供应商信用信息查询</w:t>
            </w:r>
          </w:p>
        </w:tc>
        <w:tc>
          <w:tcPr>
            <w:tcW w:w="7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line="360" w:lineRule="exact"/>
              <w:ind w:left="0" w:right="0"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1.信用信息查询的截止时点：响应文件递交截止时间</w:t>
            </w:r>
            <w:r>
              <w:rPr>
                <w:rFonts w:hint="eastAsia" w:ascii="宋体" w:hAnsi="宋体" w:cs="宋体"/>
                <w:color w:val="auto"/>
                <w:sz w:val="22"/>
                <w:szCs w:val="22"/>
                <w:highlight w:val="none"/>
                <w:lang w:eastAsia="zh-CN"/>
              </w:rPr>
              <w:t>；</w:t>
            </w:r>
          </w:p>
          <w:p>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2.查询渠道：“信用中国”（</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"http://www.creditchina.gov.cn/" </w:instrText>
            </w:r>
            <w:r>
              <w:rPr>
                <w:rFonts w:hint="eastAsia" w:ascii="宋体" w:hAnsi="宋体" w:cs="宋体"/>
                <w:color w:val="auto"/>
                <w:sz w:val="22"/>
                <w:szCs w:val="22"/>
                <w:highlight w:val="none"/>
              </w:rPr>
              <w:fldChar w:fldCharType="separate"/>
            </w:r>
            <w:r>
              <w:rPr>
                <w:rStyle w:val="54"/>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"http://www.ccgp.gov.cn/" </w:instrText>
            </w:r>
            <w:r>
              <w:rPr>
                <w:rFonts w:hint="eastAsia" w:ascii="宋体" w:hAnsi="宋体" w:cs="宋体"/>
                <w:color w:val="auto"/>
                <w:sz w:val="22"/>
                <w:szCs w:val="22"/>
                <w:highlight w:val="none"/>
              </w:rPr>
              <w:fldChar w:fldCharType="separate"/>
            </w:r>
            <w:r>
              <w:rPr>
                <w:rStyle w:val="54"/>
                <w:rFonts w:hint="eastAsia" w:ascii="宋体" w:hAnsi="宋体" w:cs="宋体"/>
                <w:color w:val="auto"/>
                <w:sz w:val="22"/>
                <w:szCs w:val="22"/>
                <w:highlight w:val="none"/>
              </w:rPr>
              <w:t>www.ccgp.gov.cn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p>
          <w:p>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3.信用信息的使用规则：供应商存在不良信用记录的，其投标将被作为无效投标被拒绝</w:t>
            </w:r>
            <w:r>
              <w:rPr>
                <w:rFonts w:hint="eastAsia" w:ascii="宋体" w:hAnsi="宋体" w:cs="宋体"/>
                <w:color w:val="auto"/>
                <w:sz w:val="22"/>
                <w:szCs w:val="22"/>
                <w:highlight w:val="none"/>
                <w:lang w:eastAsia="zh-CN"/>
              </w:rPr>
              <w:t>；</w:t>
            </w:r>
          </w:p>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4.不良信用记录指：“信用中国”被列入失信被执行人和重大税收违法案件当事人名单或存在《中华人民共和国政府采购法实施条例》第十九条规定</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中国政府采购网被列入政府采购严重违法失信行为记录名单。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22</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政府采购节能环保产品</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1</w:t>
            </w:r>
            <w:r>
              <w:rPr>
                <w:rFonts w:hint="default" w:ascii="宋体" w:hAnsi="宋体" w:cs="宋体"/>
                <w:color w:val="auto"/>
                <w:sz w:val="22"/>
                <w:szCs w:val="22"/>
                <w:highlight w:val="none"/>
              </w:rPr>
              <w:t>.</w:t>
            </w:r>
            <w:r>
              <w:rPr>
                <w:rFonts w:hint="eastAsia" w:ascii="宋体" w:hAnsi="宋体" w:cs="宋体"/>
                <w:color w:val="auto"/>
                <w:sz w:val="22"/>
                <w:szCs w:val="22"/>
                <w:highlight w:val="none"/>
              </w:rPr>
              <w:t>投标产品若属于节能（环保）产品的，请提供参与实施政府采购节能（环境标志）产品认证机构出具的认证证书或证书发布平台的投标产品认证证书查询截图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参与实施政府采购节能（环境标志）产品认证机构详见《市场监督总局关于发布参与实施政府采购节能产品、环境标志产品认证机构名录的公告》（2019第16号）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证书发布平台详见《财政部发展改革委生态环境部市场监管总局关于调整优化节能产品、环境标志产品政府采购执行机制的通知》（财库〔2019〕9号）。</w:t>
            </w:r>
          </w:p>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default" w:ascii="宋体" w:hAnsi="宋体" w:cs="宋体"/>
                <w:color w:val="auto"/>
                <w:sz w:val="22"/>
                <w:szCs w:val="22"/>
                <w:highlight w:val="none"/>
              </w:rPr>
              <w:t>.</w:t>
            </w:r>
            <w:r>
              <w:rPr>
                <w:rFonts w:hint="eastAsia" w:ascii="宋体" w:hAnsi="宋体" w:cs="宋体"/>
                <w:color w:val="auto"/>
                <w:sz w:val="22"/>
                <w:szCs w:val="22"/>
                <w:highlight w:val="none"/>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本文件另有规定的除外。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23</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bCs/>
                <w:color w:val="auto"/>
                <w:sz w:val="22"/>
                <w:szCs w:val="22"/>
                <w:highlight w:val="none"/>
              </w:rPr>
              <w:t>是否允许采购进口产品</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仿宋"/>
                <w:color w:val="auto"/>
                <w:sz w:val="22"/>
                <w:szCs w:val="22"/>
                <w:highlight w:val="none"/>
              </w:rPr>
              <w:sym w:font="Wingdings" w:char="F0FE"/>
            </w:r>
            <w:r>
              <w:rPr>
                <w:rFonts w:hint="eastAsia" w:ascii="宋体" w:hAnsi="宋体" w:cs="仿宋"/>
                <w:bCs/>
                <w:color w:val="auto"/>
                <w:sz w:val="22"/>
                <w:szCs w:val="22"/>
                <w:highlight w:val="none"/>
              </w:rPr>
              <w:t>本项目不允许采购进口产品。</w:t>
            </w:r>
          </w:p>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sym w:font="Wingdings" w:char="00A8"/>
            </w:r>
            <w:r>
              <w:rPr>
                <w:rFonts w:hint="eastAsia" w:ascii="宋体" w:hAnsi="宋体" w:cs="仿宋"/>
                <w:bCs/>
                <w:color w:val="auto"/>
                <w:sz w:val="22"/>
                <w:szCs w:val="22"/>
                <w:highlight w:val="none"/>
              </w:rPr>
              <w:t>可以采购进口产品，优先采购向我国企业转让技术、与我国企业签订消化吸收再创新方案的供应商的进口产品</w:t>
            </w:r>
            <w:r>
              <w:rPr>
                <w:rFonts w:hint="eastAsia" w:ascii="宋体" w:hAnsi="宋体" w:cs="仿宋"/>
                <w:bCs/>
                <w:color w:val="auto"/>
                <w:sz w:val="22"/>
                <w:szCs w:val="22"/>
                <w:highlight w:val="none"/>
                <w:lang w:eastAsia="zh-CN"/>
              </w:rPr>
              <w:t>；</w:t>
            </w:r>
            <w:r>
              <w:rPr>
                <w:rFonts w:hint="eastAsia" w:ascii="宋体" w:hAnsi="宋体" w:cs="仿宋"/>
                <w:bCs/>
                <w:color w:val="auto"/>
                <w:sz w:val="22"/>
                <w:szCs w:val="22"/>
                <w:highlight w:val="none"/>
              </w:rPr>
              <w:t>但如果因信息不对称等原因，仍有满足需求的国内产品要求参与采购竞争的，采购人及其委托的采购代理机构不对其加以限制，将按照公平竞争原则实施采购。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24</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Times New Roman"/>
                <w:b/>
                <w:color w:val="auto"/>
                <w:sz w:val="22"/>
                <w:szCs w:val="22"/>
                <w:highlight w:val="none"/>
              </w:rPr>
            </w:pPr>
            <w:r>
              <w:rPr>
                <w:rFonts w:hint="eastAsia" w:ascii="宋体" w:hAnsi="宋体" w:cs="仿宋"/>
                <w:bCs/>
                <w:color w:val="auto"/>
                <w:sz w:val="22"/>
                <w:szCs w:val="22"/>
                <w:highlight w:val="none"/>
              </w:rPr>
              <w:t>本项目扶持中小企业（监狱企业、残疾人福利性单位）有关政策</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仿宋"/>
                <w:b/>
                <w:bCs/>
                <w:color w:val="auto"/>
                <w:sz w:val="22"/>
                <w:szCs w:val="22"/>
                <w:highlight w:val="none"/>
                <w:lang w:eastAsia="zh-CN"/>
              </w:rPr>
            </w:pPr>
            <w:r>
              <w:rPr>
                <w:rFonts w:hint="eastAsia" w:ascii="宋体" w:hAnsi="宋体" w:cs="仿宋"/>
                <w:b/>
                <w:bCs/>
                <w:color w:val="auto"/>
                <w:sz w:val="22"/>
                <w:szCs w:val="22"/>
                <w:highlight w:val="none"/>
              </w:rPr>
              <w:t>1、扶持中小企业（监狱企业、残疾人福利性单位）：</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（1）根据工信部等部委发布的《关于印发中小企业划型标准规定的通知》（工信部联企业〔2011〕300号），本项目属于</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农、林、牧、渔业，</w:t>
            </w:r>
            <w:r>
              <w:rPr>
                <w:rFonts w:hint="eastAsia" w:ascii="宋体" w:hAnsi="宋体" w:cs="仿宋"/>
                <w:color w:val="auto"/>
                <w:sz w:val="22"/>
                <w:szCs w:val="22"/>
                <w:highlight w:val="none"/>
                <w:u w:val="single"/>
              </w:rPr>
              <w:sym w:font="Wingdings" w:char="00FE"/>
            </w:r>
            <w:r>
              <w:rPr>
                <w:rFonts w:hint="eastAsia" w:ascii="宋体" w:hAnsi="宋体" w:cs="仿宋"/>
                <w:color w:val="auto"/>
                <w:sz w:val="22"/>
                <w:szCs w:val="22"/>
                <w:highlight w:val="none"/>
                <w:u w:val="single"/>
              </w:rPr>
              <w:t>工业（包括采矿业，制造业，电力、热力、燃气及水生产和供应业），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建筑业，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批发业，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零售业，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交通运输业（不含铁路运输业），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仓储业，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邮政业，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住宿业，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餐饮业，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信息传输业（包括电信、互联网和相关服务），</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软件和信息技术服务业，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房地产开发经营，</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物业管理，</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租赁和商务服务业，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其他未列明行业（包括科学研究和技术服务业，水利、环境和公共设施管理业，居民服务、修理和其他服务业，社会工作，文化、体育和娱乐业等）</w:t>
            </w:r>
            <w:r>
              <w:rPr>
                <w:rFonts w:hint="eastAsia" w:ascii="宋体" w:hAnsi="宋体" w:cs="仿宋"/>
                <w:color w:val="auto"/>
                <w:sz w:val="22"/>
                <w:szCs w:val="22"/>
                <w:highlight w:val="none"/>
              </w:rPr>
              <w:t>行业。</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w:t>
            </w:r>
            <w:r>
              <w:rPr>
                <w:rFonts w:hint="default" w:ascii="宋体" w:hAnsi="宋体" w:cs="仿宋"/>
                <w:color w:val="auto"/>
                <w:sz w:val="22"/>
                <w:szCs w:val="22"/>
                <w:highlight w:val="none"/>
              </w:rPr>
              <w:t>8</w:t>
            </w:r>
            <w:r>
              <w:rPr>
                <w:rFonts w:hint="eastAsia" w:ascii="宋体" w:hAnsi="宋体" w:cs="仿宋"/>
                <w:color w:val="auto"/>
                <w:sz w:val="22"/>
                <w:szCs w:val="22"/>
                <w:highlight w:val="none"/>
              </w:rPr>
              <w:t>号）、（财库〔2022〕19号）的相关规定：</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2.1.是否为预留份额项目：</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本项目为预留份额项目，专门面向中小企业采购。</w:t>
            </w:r>
          </w:p>
          <w:p>
            <w:pPr>
              <w:spacing w:before="0" w:beforeAutospacing="0" w:after="0" w:afterAutospacing="0" w:line="360" w:lineRule="exact"/>
              <w:ind w:left="220" w:right="0" w:hanging="220" w:hangingChars="10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本项目为非预留份额项目、非专门面向中小企业的项目</w:t>
            </w:r>
          </w:p>
          <w:p>
            <w:pPr>
              <w:spacing w:before="0" w:beforeAutospacing="0" w:after="0" w:afterAutospacing="0" w:line="360" w:lineRule="exact"/>
              <w:ind w:left="220" w:right="0" w:hanging="220" w:hangingChars="10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在评审时对小型和微型企业报价给予</w:t>
            </w:r>
            <w:r>
              <w:rPr>
                <w:rFonts w:hint="eastAsia" w:ascii="宋体" w:hAnsi="宋体" w:cs="仿宋"/>
                <w:color w:val="auto"/>
                <w:sz w:val="22"/>
                <w:szCs w:val="22"/>
                <w:highlight w:val="none"/>
                <w:u w:val="single"/>
              </w:rPr>
              <w:t xml:space="preserve"> </w:t>
            </w:r>
            <w:r>
              <w:rPr>
                <w:rFonts w:hint="eastAsia" w:ascii="宋体" w:hAnsi="宋体" w:cs="仿宋"/>
                <w:b/>
                <w:bCs/>
                <w:color w:val="auto"/>
                <w:sz w:val="22"/>
                <w:szCs w:val="22"/>
                <w:highlight w:val="none"/>
                <w:u w:val="single"/>
              </w:rPr>
              <w:t>10%</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 xml:space="preserve"> /</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%（3%-5%）作为其价格分。</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接受大中型企业与小微企业组成联合体、</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4</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6</w:t>
            </w:r>
            <w:r>
              <w:rPr>
                <w:rFonts w:hint="eastAsia" w:ascii="宋体" w:hAnsi="宋体" w:cs="仿宋"/>
                <w:color w:val="auto"/>
                <w:sz w:val="22"/>
                <w:szCs w:val="22"/>
                <w:highlight w:val="none"/>
              </w:rPr>
              <w:t>%），工程项目为</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 xml:space="preserve"> /</w:t>
            </w:r>
            <w:r>
              <w:rPr>
                <w:rFonts w:hint="eastAsia" w:ascii="宋体" w:hAnsi="宋体" w:cs="仿宋"/>
                <w:color w:val="auto"/>
                <w:sz w:val="22"/>
                <w:szCs w:val="22"/>
                <w:highlight w:val="none"/>
                <w:u w:val="single"/>
              </w:rPr>
              <w:t xml:space="preserve">  %（1%—2%）</w:t>
            </w:r>
            <w:r>
              <w:rPr>
                <w:rFonts w:hint="eastAsia" w:ascii="宋体" w:hAnsi="宋体" w:cs="仿宋"/>
                <w:color w:val="auto"/>
                <w:sz w:val="22"/>
                <w:szCs w:val="22"/>
                <w:highlight w:val="none"/>
              </w:rPr>
              <w:t>的扣除，用扣除后的价格参加评审。</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 xml:space="preserve"> %（1%—2%）作为其价格分。</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2.2组成联合体或者接受分包的小微企业与联合体内其他企业、分包企业之间存在直接控股、管理关系的，不享受价格扣除优惠政策。</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2.3价格扣除比例或者价格分加分比例对小型企业和微型企业同等对待，不作区分。</w:t>
            </w:r>
          </w:p>
          <w:p>
            <w:pPr>
              <w:spacing w:before="0" w:beforeAutospacing="0" w:after="0" w:afterAutospacing="0" w:line="360" w:lineRule="exact"/>
              <w:ind w:left="0" w:right="0"/>
              <w:rPr>
                <w:rFonts w:hint="eastAsia" w:ascii="宋体" w:hAnsi="宋体" w:cs="仿宋"/>
                <w:b/>
                <w:bCs/>
                <w:color w:val="auto"/>
                <w:sz w:val="22"/>
                <w:szCs w:val="22"/>
                <w:highlight w:val="none"/>
              </w:rPr>
            </w:pPr>
            <w:r>
              <w:rPr>
                <w:rFonts w:hint="eastAsia" w:ascii="宋体" w:hAnsi="宋体" w:cs="仿宋"/>
                <w:color w:val="auto"/>
                <w:sz w:val="22"/>
                <w:szCs w:val="22"/>
                <w:highlight w:val="none"/>
              </w:rPr>
              <w:t>2.4在货物采购项目中，</w:t>
            </w:r>
            <w:r>
              <w:rPr>
                <w:rFonts w:hint="eastAsia" w:ascii="宋体" w:hAnsi="宋体" w:cs="仿宋"/>
                <w:b/>
                <w:bCs/>
                <w:color w:val="auto"/>
                <w:sz w:val="22"/>
                <w:szCs w:val="22"/>
                <w:highlight w:val="none"/>
              </w:rPr>
              <w:t>在货物采购项目中，供应商提供的货物既有中小企业制造货物，也有大型企业制造货物的，不享受本办法规定的中</w:t>
            </w:r>
          </w:p>
          <w:p>
            <w:pPr>
              <w:spacing w:before="0" w:beforeAutospacing="0" w:after="0" w:afterAutospacing="0" w:line="360" w:lineRule="exact"/>
              <w:ind w:left="0" w:right="0"/>
              <w:rPr>
                <w:rFonts w:hint="eastAsia" w:ascii="宋体" w:hAnsi="宋体" w:cs="仿宋"/>
                <w:b/>
                <w:bCs/>
                <w:color w:val="auto"/>
                <w:sz w:val="22"/>
                <w:szCs w:val="22"/>
                <w:highlight w:val="none"/>
              </w:rPr>
            </w:pPr>
            <w:r>
              <w:rPr>
                <w:rFonts w:hint="eastAsia" w:ascii="宋体" w:hAnsi="宋体" w:cs="仿宋"/>
                <w:b/>
                <w:bCs/>
                <w:color w:val="auto"/>
                <w:sz w:val="22"/>
                <w:szCs w:val="22"/>
                <w:highlight w:val="none"/>
              </w:rPr>
              <w:t>小企业扶持政策。</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2.5接受分包的项目，享受扶持政策获得政府采购合同的，小微企业不得将合同分包给大中型企业，中型企业不得将合同分包给大型企业。</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仿宋"/>
                <w:b/>
                <w:bCs/>
                <w:color w:val="auto"/>
                <w:sz w:val="22"/>
                <w:szCs w:val="22"/>
                <w:highlight w:val="none"/>
              </w:rPr>
              <w:t>(注：未提供以上材料的，均不给予价格扣除，以上优惠政策只享受一次）。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25</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Times New Roman"/>
                <w:color w:val="auto"/>
                <w:sz w:val="22"/>
                <w:szCs w:val="22"/>
                <w:highlight w:val="none"/>
              </w:rPr>
            </w:pPr>
            <w:r>
              <w:rPr>
                <w:rFonts w:hint="eastAsia" w:ascii="宋体" w:hAnsi="宋体" w:cs="仿宋"/>
                <w:color w:val="auto"/>
                <w:sz w:val="22"/>
                <w:szCs w:val="22"/>
                <w:highlight w:val="none"/>
              </w:rPr>
              <w:t>项目属性与核心产品</w:t>
            </w:r>
          </w:p>
        </w:tc>
        <w:tc>
          <w:tcPr>
            <w:tcW w:w="70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宋体" w:hAnsi="宋体" w:eastAsia="宋体" w:cs="宋体"/>
                <w:b/>
                <w:snapToGrid w:val="0"/>
                <w:color w:val="auto"/>
                <w:sz w:val="22"/>
                <w:szCs w:val="22"/>
                <w:highlight w:val="none"/>
                <w:lang w:eastAsia="zh-CN"/>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货物类，</w:t>
            </w:r>
            <w:r>
              <w:rPr>
                <w:rFonts w:hint="eastAsia" w:ascii="宋体" w:hAnsi="宋体" w:eastAsia="宋体" w:cs="宋体"/>
                <w:color w:val="auto"/>
                <w:sz w:val="22"/>
                <w:szCs w:val="22"/>
                <w:highlight w:val="none"/>
              </w:rPr>
              <w:sym w:font="Wingdings 2" w:char="00A3"/>
            </w:r>
            <w:r>
              <w:rPr>
                <w:rFonts w:hint="eastAsia" w:ascii="宋体" w:hAnsi="宋体" w:cs="仿宋"/>
                <w:color w:val="auto"/>
                <w:sz w:val="22"/>
                <w:szCs w:val="22"/>
                <w:highlight w:val="none"/>
              </w:rPr>
              <w:t>单</w:t>
            </w:r>
            <w:r>
              <w:rPr>
                <w:rFonts w:hint="eastAsia" w:ascii="宋体" w:hAnsi="宋体" w:cs="宋体"/>
                <w:b/>
                <w:snapToGrid w:val="0"/>
                <w:color w:val="auto"/>
                <w:sz w:val="22"/>
                <w:szCs w:val="22"/>
                <w:highlight w:val="none"/>
              </w:rPr>
              <w:t>一</w:t>
            </w:r>
            <w:r>
              <w:rPr>
                <w:rFonts w:hint="eastAsia" w:ascii="宋体" w:hAnsi="宋体" w:cs="宋体"/>
                <w:color w:val="auto"/>
                <w:sz w:val="22"/>
                <w:szCs w:val="22"/>
                <w:highlight w:val="none"/>
              </w:rPr>
              <w:t>产品或核心产品为：</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 </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宋体"/>
                <w:b/>
                <w:snapToGrid w:val="0"/>
                <w:color w:val="auto"/>
                <w:sz w:val="22"/>
                <w:szCs w:val="22"/>
                <w:highlight w:val="none"/>
              </w:rPr>
              <w:t>非单一产品采购项目，采购人应当</w:t>
            </w:r>
            <w:r>
              <w:rPr>
                <w:rFonts w:hint="eastAsia" w:ascii="宋体" w:hAnsi="宋体" w:eastAsia="宋体" w:cs="宋体"/>
                <w:b/>
                <w:snapToGrid w:val="0"/>
                <w:color w:val="auto"/>
                <w:sz w:val="22"/>
                <w:szCs w:val="22"/>
                <w:highlight w:val="none"/>
              </w:rPr>
              <w:t>根据采购项目技术构成、产品价格比重等合理确定核心产品，</w:t>
            </w:r>
            <w:r>
              <w:rPr>
                <w:rFonts w:hint="eastAsia" w:ascii="宋体" w:hAnsi="宋体" w:cs="宋体"/>
                <w:b/>
                <w:snapToGrid w:val="0"/>
                <w:color w:val="auto"/>
                <w:sz w:val="22"/>
                <w:szCs w:val="22"/>
                <w:highlight w:val="none"/>
                <w:lang w:val="en-US" w:eastAsia="zh-CN"/>
              </w:rPr>
              <w:t>标项1</w:t>
            </w:r>
            <w:r>
              <w:rPr>
                <w:rFonts w:hint="eastAsia" w:ascii="宋体" w:hAnsi="宋体" w:eastAsia="宋体" w:cs="宋体"/>
                <w:b/>
                <w:snapToGrid w:val="0"/>
                <w:color w:val="auto"/>
                <w:sz w:val="22"/>
                <w:szCs w:val="22"/>
                <w:highlight w:val="none"/>
              </w:rPr>
              <w:t>本项目核心产品：</w:t>
            </w:r>
            <w:r>
              <w:rPr>
                <w:rFonts w:hint="eastAsia" w:ascii="宋体" w:hAnsi="宋体" w:cs="宋体"/>
                <w:b/>
                <w:snapToGrid w:val="0"/>
                <w:color w:val="auto"/>
                <w:sz w:val="22"/>
                <w:szCs w:val="22"/>
                <w:highlight w:val="none"/>
                <w:u w:val="single"/>
                <w:lang w:val="en-US" w:eastAsia="zh-CN"/>
              </w:rPr>
              <w:t xml:space="preserve"> 中小型水罐消防车（瓯海区）</w:t>
            </w:r>
            <w:r>
              <w:rPr>
                <w:rFonts w:hint="eastAsia" w:ascii="宋体" w:hAnsi="宋体" w:cs="宋体"/>
                <w:b/>
                <w:bCs/>
                <w:color w:val="auto"/>
                <w:sz w:val="22"/>
                <w:szCs w:val="22"/>
                <w:highlight w:val="none"/>
                <w:u w:val="single"/>
                <w:lang w:val="en-US" w:eastAsia="zh-CN"/>
              </w:rPr>
              <w:t>（不含器材和装备）</w:t>
            </w:r>
            <w:r>
              <w:rPr>
                <w:rFonts w:hint="eastAsia" w:ascii="宋体" w:hAnsi="宋体" w:cs="宋体"/>
                <w:b/>
                <w:snapToGrid w:val="0"/>
                <w:color w:val="auto"/>
                <w:sz w:val="22"/>
                <w:szCs w:val="22"/>
                <w:highlight w:val="none"/>
                <w:u w:val="single"/>
                <w:lang w:val="en-US" w:eastAsia="zh-CN"/>
              </w:rPr>
              <w:t xml:space="preserve"> </w:t>
            </w:r>
            <w:r>
              <w:rPr>
                <w:rFonts w:hint="eastAsia" w:ascii="宋体" w:hAnsi="宋体" w:cs="宋体"/>
                <w:b/>
                <w:snapToGrid w:val="0"/>
                <w:color w:val="auto"/>
                <w:sz w:val="22"/>
                <w:szCs w:val="22"/>
                <w:highlight w:val="none"/>
                <w:u w:val="none"/>
                <w:lang w:val="en-US" w:eastAsia="zh-CN"/>
              </w:rPr>
              <w:t>；</w:t>
            </w:r>
            <w:r>
              <w:rPr>
                <w:rFonts w:hint="eastAsia" w:ascii="宋体" w:hAnsi="宋体" w:cs="宋体"/>
                <w:b/>
                <w:snapToGrid w:val="0"/>
                <w:color w:val="auto"/>
                <w:sz w:val="22"/>
                <w:szCs w:val="22"/>
                <w:highlight w:val="none"/>
                <w:lang w:val="en-US" w:eastAsia="zh-CN"/>
              </w:rPr>
              <w:t>标项2</w:t>
            </w:r>
            <w:r>
              <w:rPr>
                <w:rFonts w:hint="eastAsia" w:ascii="宋体" w:hAnsi="宋体" w:eastAsia="宋体" w:cs="宋体"/>
                <w:b/>
                <w:snapToGrid w:val="0"/>
                <w:color w:val="auto"/>
                <w:sz w:val="22"/>
                <w:szCs w:val="22"/>
                <w:highlight w:val="none"/>
              </w:rPr>
              <w:t>本项目核心产品：</w:t>
            </w:r>
            <w:r>
              <w:rPr>
                <w:rFonts w:hint="eastAsia" w:ascii="宋体" w:hAnsi="宋体" w:cs="宋体"/>
                <w:b/>
                <w:snapToGrid w:val="0"/>
                <w:color w:val="auto"/>
                <w:sz w:val="22"/>
                <w:szCs w:val="22"/>
                <w:highlight w:val="none"/>
                <w:u w:val="single"/>
                <w:lang w:val="en-US" w:eastAsia="zh-CN"/>
              </w:rPr>
              <w:t xml:space="preserve"> </w:t>
            </w:r>
            <w:r>
              <w:rPr>
                <w:rFonts w:hint="eastAsia" w:ascii="宋体" w:hAnsi="宋体" w:cs="宋体"/>
                <w:b/>
                <w:bCs/>
                <w:color w:val="auto"/>
                <w:sz w:val="22"/>
                <w:szCs w:val="22"/>
                <w:highlight w:val="none"/>
                <w:u w:val="single"/>
                <w:lang w:val="en-US" w:eastAsia="zh-CN"/>
              </w:rPr>
              <w:t xml:space="preserve">自救呼吸器 </w:t>
            </w:r>
            <w:r>
              <w:rPr>
                <w:rFonts w:hint="eastAsia" w:ascii="宋体" w:hAnsi="宋体" w:cs="宋体"/>
                <w:b/>
                <w:snapToGrid w:val="0"/>
                <w:color w:val="auto"/>
                <w:sz w:val="22"/>
                <w:szCs w:val="22"/>
                <w:highlight w:val="none"/>
                <w:u w:val="none"/>
                <w:lang w:val="en-US" w:eastAsia="zh-CN"/>
              </w:rPr>
              <w:t>；</w:t>
            </w:r>
          </w:p>
          <w:p>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default" w:ascii="宋体" w:hAnsi="宋体" w:cs="宋体"/>
                <w:color w:val="auto"/>
                <w:sz w:val="22"/>
                <w:szCs w:val="22"/>
                <w:highlight w:val="none"/>
              </w:rPr>
              <w:t>6</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仿宋"/>
                <w:color w:val="auto"/>
                <w:sz w:val="22"/>
                <w:szCs w:val="22"/>
                <w:highlight w:val="none"/>
              </w:rPr>
            </w:pPr>
            <w:r>
              <w:rPr>
                <w:rFonts w:hint="eastAsia" w:ascii="宋体" w:hAnsi="宋体" w:cs="Times New Roman"/>
                <w:color w:val="auto"/>
                <w:sz w:val="22"/>
                <w:szCs w:val="22"/>
                <w:highlight w:val="none"/>
              </w:rPr>
              <w:t>视频演示及述标情况</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default" w:ascii="宋体" w:hAnsi="宋体" w:cs="Times New Roman"/>
                <w:color w:val="auto"/>
                <w:sz w:val="22"/>
                <w:szCs w:val="22"/>
                <w:highlight w:val="none"/>
              </w:rPr>
            </w:pPr>
            <w:r>
              <w:rPr>
                <w:rFonts w:hint="eastAsia" w:ascii="宋体" w:hAnsi="宋体" w:cs="仿宋"/>
                <w:color w:val="auto"/>
                <w:sz w:val="22"/>
                <w:szCs w:val="22"/>
                <w:highlight w:val="none"/>
              </w:rPr>
              <w:sym w:font="Wingdings" w:char="00FE"/>
            </w:r>
            <w:r>
              <w:rPr>
                <w:rFonts w:hint="default" w:ascii="宋体" w:hAnsi="宋体" w:cs="Arial"/>
                <w:color w:val="auto"/>
                <w:sz w:val="22"/>
                <w:szCs w:val="22"/>
                <w:highlight w:val="none"/>
              </w:rPr>
              <w:t>A</w:t>
            </w:r>
            <w:r>
              <w:rPr>
                <w:rFonts w:hint="eastAsia" w:ascii="宋体" w:hAnsi="宋体" w:cs="Times New Roman"/>
                <w:color w:val="auto"/>
                <w:sz w:val="22"/>
                <w:szCs w:val="22"/>
                <w:highlight w:val="none"/>
              </w:rPr>
              <w:t>不组织。</w:t>
            </w:r>
          </w:p>
          <w:p>
            <w:pPr>
              <w:spacing w:before="0" w:beforeAutospacing="0" w:after="0" w:afterAutospacing="0" w:line="360" w:lineRule="exact"/>
              <w:ind w:left="0" w:right="0"/>
              <w:rPr>
                <w:rFonts w:hint="eastAsia" w:ascii="宋体" w:hAnsi="宋体" w:cs="宋体"/>
                <w:b/>
                <w:snapToGrid w:val="0"/>
                <w:color w:val="auto"/>
                <w:sz w:val="22"/>
                <w:szCs w:val="22"/>
                <w:highlight w:val="none"/>
              </w:rPr>
            </w:pPr>
            <w:r>
              <w:rPr>
                <w:rFonts w:hint="eastAsia" w:ascii="宋体" w:hAnsi="宋体" w:cs="仿宋"/>
                <w:color w:val="auto"/>
                <w:sz w:val="22"/>
                <w:szCs w:val="22"/>
                <w:highlight w:val="none"/>
              </w:rPr>
              <w:sym w:font="Wingdings" w:char="00A8"/>
            </w:r>
            <w:r>
              <w:rPr>
                <w:rFonts w:hint="default" w:ascii="宋体" w:hAnsi="宋体" w:cs="Times New Roman"/>
                <w:color w:val="auto"/>
                <w:sz w:val="22"/>
                <w:szCs w:val="22"/>
                <w:highlight w:val="none"/>
              </w:rPr>
              <w:t>B组织。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7</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宋体"/>
                <w:b/>
                <w:color w:val="auto"/>
                <w:kern w:val="0"/>
                <w:sz w:val="22"/>
                <w:szCs w:val="22"/>
                <w:highlight w:val="none"/>
                <w:lang w:val="en-US" w:eastAsia="zh-CN" w:bidi="ar-SA"/>
              </w:rPr>
            </w:pPr>
            <w:r>
              <w:rPr>
                <w:rFonts w:hint="eastAsia" w:ascii="宋体" w:hAnsi="宋体" w:cs="宋体"/>
                <w:color w:val="auto"/>
                <w:kern w:val="0"/>
                <w:sz w:val="22"/>
                <w:szCs w:val="22"/>
                <w:highlight w:val="none"/>
              </w:rPr>
              <w:t>政府采购信用融资</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//jinrong.zcygov.cn，查看信用融资政策文件及各相关银行服务方案，也可直接向各银行咨询相关业务。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b/>
                <w:bCs w:val="0"/>
                <w:color w:val="auto"/>
                <w:sz w:val="22"/>
                <w:szCs w:val="22"/>
                <w:highlight w:val="none"/>
              </w:rPr>
            </w:pPr>
            <w:r>
              <w:rPr>
                <w:rFonts w:hint="default"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r>
              <w:rPr>
                <w:rFonts w:hint="eastAsia" w:ascii="宋体" w:hAnsi="宋体" w:eastAsia="宋体" w:cs="宋体"/>
                <w:b/>
                <w:bCs w:val="0"/>
                <w:color w:val="auto"/>
                <w:sz w:val="22"/>
                <w:szCs w:val="22"/>
                <w:highlight w:val="none"/>
                <w:u w:val="single"/>
                <w:lang w:eastAsia="zh-CN"/>
              </w:rPr>
              <w:t>根据国家计委印发的《招标代理服务收费管理暂行办法》(计价格【2002】1980号文)货物类的</w:t>
            </w:r>
            <w:r>
              <w:rPr>
                <w:rFonts w:hint="eastAsia" w:ascii="宋体" w:hAnsi="宋体" w:eastAsia="宋体" w:cs="宋体"/>
                <w:b/>
                <w:bCs w:val="0"/>
                <w:color w:val="auto"/>
                <w:sz w:val="22"/>
                <w:szCs w:val="22"/>
                <w:highlight w:val="none"/>
                <w:u w:val="single"/>
                <w:lang w:val="en-US" w:eastAsia="zh-CN"/>
              </w:rPr>
              <w:t>60%</w:t>
            </w:r>
            <w:r>
              <w:rPr>
                <w:rFonts w:hint="eastAsia" w:ascii="宋体" w:hAnsi="宋体" w:eastAsia="宋体" w:cs="宋体"/>
                <w:b/>
                <w:bCs w:val="0"/>
                <w:color w:val="auto"/>
                <w:sz w:val="22"/>
                <w:szCs w:val="22"/>
                <w:highlight w:val="none"/>
                <w:u w:val="single"/>
                <w:lang w:eastAsia="zh-CN"/>
              </w:rPr>
              <w:t>收费，由</w:t>
            </w:r>
            <w:r>
              <w:rPr>
                <w:rFonts w:hint="eastAsia" w:ascii="宋体" w:hAnsi="宋体" w:cs="宋体"/>
                <w:b/>
                <w:bCs w:val="0"/>
                <w:color w:val="auto"/>
                <w:sz w:val="22"/>
                <w:szCs w:val="22"/>
                <w:highlight w:val="none"/>
                <w:u w:val="single"/>
              </w:rPr>
              <w:t>中标人在领取中标通知书时支付给采购代理机构。</w:t>
            </w:r>
          </w:p>
          <w:p>
            <w:pPr>
              <w:spacing w:before="0" w:beforeAutospacing="0" w:after="0" w:afterAutospacing="0" w:line="360" w:lineRule="exact"/>
              <w:ind w:left="0" w:right="0"/>
              <w:rPr>
                <w:rFonts w:hint="eastAsia" w:ascii="宋体" w:hAnsi="宋体" w:cs="宋体"/>
                <w:color w:val="auto"/>
                <w:spacing w:val="6"/>
                <w:sz w:val="22"/>
                <w:szCs w:val="22"/>
                <w:highlight w:val="none"/>
              </w:rPr>
            </w:pPr>
            <w:r>
              <w:rPr>
                <w:rFonts w:hint="default"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pPr>
              <w:spacing w:before="0" w:beforeAutospacing="0" w:after="0" w:afterAutospacing="0" w:line="360" w:lineRule="exact"/>
              <w:ind w:left="0" w:right="0"/>
              <w:rPr>
                <w:rFonts w:hint="eastAsia" w:ascii="宋体" w:hAnsi="宋体" w:cs="宋体"/>
                <w:color w:val="auto"/>
                <w:sz w:val="22"/>
                <w:szCs w:val="22"/>
                <w:highlight w:val="none"/>
              </w:rPr>
            </w:pPr>
            <w:r>
              <w:rPr>
                <w:rFonts w:hint="default"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pPr>
              <w:spacing w:before="0" w:beforeAutospacing="0" w:after="0" w:afterAutospacing="0" w:line="360" w:lineRule="exact"/>
              <w:ind w:left="0" w:right="0" w:firstLine="550" w:firstLineChars="250"/>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rPr>
              <w:t>户  名：</w:t>
            </w:r>
            <w:r>
              <w:rPr>
                <w:rFonts w:hint="eastAsia" w:ascii="宋体" w:hAnsi="宋体" w:cs="宋体"/>
                <w:color w:val="auto"/>
                <w:sz w:val="22"/>
                <w:szCs w:val="20"/>
                <w:highlight w:val="none"/>
                <w:lang w:eastAsia="zh-CN"/>
              </w:rPr>
              <w:t>浙江高申工程咨询有限公司</w:t>
            </w:r>
          </w:p>
          <w:p>
            <w:pPr>
              <w:spacing w:before="0" w:beforeAutospacing="0" w:after="0" w:afterAutospacing="0" w:line="360" w:lineRule="exact"/>
              <w:ind w:left="0" w:right="0" w:firstLine="550" w:firstLineChars="250"/>
              <w:rPr>
                <w:rFonts w:hint="eastAsia" w:ascii="宋体" w:hAnsi="宋体" w:cs="宋体"/>
                <w:color w:val="auto"/>
                <w:sz w:val="22"/>
                <w:szCs w:val="20"/>
                <w:highlight w:val="none"/>
              </w:rPr>
            </w:pPr>
            <w:r>
              <w:rPr>
                <w:rFonts w:hint="eastAsia" w:ascii="宋体" w:hAnsi="宋体" w:cs="宋体"/>
                <w:color w:val="auto"/>
                <w:sz w:val="22"/>
                <w:szCs w:val="20"/>
                <w:highlight w:val="none"/>
              </w:rPr>
              <w:t>账  号：3301 0401 6001 7545 628</w:t>
            </w:r>
          </w:p>
          <w:p>
            <w:pPr>
              <w:spacing w:before="0" w:beforeAutospacing="0" w:after="0" w:afterAutospacing="0" w:line="360" w:lineRule="exact"/>
              <w:ind w:left="0" w:right="0" w:firstLine="550" w:firstLineChars="250"/>
              <w:rPr>
                <w:rFonts w:hint="eastAsia" w:ascii="宋体" w:hAnsi="宋体" w:cs="宋体"/>
                <w:color w:val="auto"/>
                <w:sz w:val="22"/>
                <w:szCs w:val="22"/>
                <w:highlight w:val="none"/>
              </w:rPr>
            </w:pPr>
            <w:r>
              <w:rPr>
                <w:rFonts w:hint="eastAsia" w:ascii="宋体" w:hAnsi="宋体" w:cs="宋体"/>
                <w:color w:val="auto"/>
                <w:sz w:val="22"/>
                <w:szCs w:val="20"/>
                <w:highlight w:val="none"/>
              </w:rPr>
              <w:t>开户行：</w:t>
            </w:r>
            <w:r>
              <w:rPr>
                <w:rFonts w:hint="eastAsia" w:ascii="Times New Roman" w:hAnsi="Times New Roman" w:cs="Times New Roman"/>
                <w:bCs/>
                <w:color w:val="auto"/>
                <w:sz w:val="22"/>
                <w:szCs w:val="22"/>
                <w:highlight w:val="none"/>
              </w:rPr>
              <w:t>杭州银行保俶支行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9</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0"/>
                <w:highlight w:val="none"/>
              </w:rPr>
              <w:t>支持创新发展</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0"/>
                <w:highlight w:val="none"/>
              </w:rPr>
              <w:t>根据浙财采监〔2022〕8号文相关的规定，对省级以上主管部门认定的首台套产品，自纳入《省推广应用指导目录》起三年内参加政府采购活动，视同已具备相应销售业绩，业绩分为满分。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项目需要增加的其他约定</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b/>
                <w:bCs/>
                <w:color w:val="auto"/>
                <w:sz w:val="22"/>
                <w:szCs w:val="22"/>
                <w:highlight w:val="none"/>
              </w:rPr>
              <w:t>成交供应商在领取中标通知书时应提供与电子响应文件内容一致的纸质响应文件（</w:t>
            </w:r>
            <w:r>
              <w:rPr>
                <w:rFonts w:hint="eastAsia" w:ascii="宋体" w:hAnsi="宋体" w:cs="宋体"/>
                <w:b/>
                <w:bCs/>
                <w:color w:val="auto"/>
                <w:sz w:val="22"/>
                <w:szCs w:val="22"/>
                <w:highlight w:val="none"/>
                <w:lang w:eastAsia="zh-CN"/>
              </w:rPr>
              <w:t>每个市县区各</w:t>
            </w:r>
            <w:r>
              <w:rPr>
                <w:rFonts w:hint="eastAsia" w:ascii="宋体" w:hAnsi="宋体" w:cs="宋体"/>
                <w:b/>
                <w:bCs/>
                <w:color w:val="auto"/>
                <w:sz w:val="22"/>
                <w:szCs w:val="22"/>
                <w:highlight w:val="none"/>
              </w:rPr>
              <w:t>一正二副）。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18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rPr>
              <w:t>解释权</w:t>
            </w:r>
          </w:p>
        </w:tc>
        <w:tc>
          <w:tcPr>
            <w:tcW w:w="70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投标人须知的内容如与投标人须知前附表不一致，以投标人须知前附表为准。评标原则及方法的内容如与评标办法附表不一致，以评标办法附表为准。</w:t>
            </w:r>
          </w:p>
          <w:p>
            <w:pPr>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（2）发布招标公告的媒体网站供下载的招标文件与纸质招标文件不一致的，以招标公告的媒体网站供下载的招标文件为准。</w:t>
            </w:r>
          </w:p>
          <w:p>
            <w:pPr>
              <w:spacing w:before="0" w:beforeAutospacing="0" w:after="0" w:afterAutospacing="0" w:line="3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本招标文件章节中出现的措辞的“采购人”和“投标人”，</w:t>
            </w:r>
            <w:r>
              <w:rPr>
                <w:rFonts w:hint="eastAsia" w:ascii="宋体" w:hAnsi="宋体" w:eastAsia="宋体" w:cs="宋体"/>
                <w:color w:val="auto"/>
                <w:sz w:val="21"/>
                <w:szCs w:val="21"/>
                <w:highlight w:val="none"/>
              </w:rPr>
              <w:t>在招标投标阶段应当分别按“招标人”和“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”进行理解</w:t>
            </w:r>
            <w:r>
              <w:rPr>
                <w:rFonts w:hint="eastAsia" w:ascii="宋体" w:hAnsi="宋体" w:eastAsia="宋体" w:cs="宋体"/>
                <w:color w:val="auto"/>
                <w:sz w:val="21"/>
                <w:szCs w:val="21"/>
                <w:highlight w:val="none"/>
                <w:lang w:eastAsia="zh-CN"/>
              </w:rPr>
              <w:t>。</w:t>
            </w:r>
          </w:p>
          <w:p>
            <w:pPr>
              <w:spacing w:before="0" w:beforeAutospacing="0" w:after="0" w:afterAutospacing="0" w:line="360" w:lineRule="exact"/>
              <w:ind w:left="0" w:right="0"/>
              <w:rPr>
                <w:rFonts w:hint="eastAsia" w:ascii="Times New Roman" w:hAnsi="Times New Roman" w:cs="Times New Roman"/>
                <w:color w:val="auto"/>
                <w:sz w:val="20"/>
                <w:szCs w:val="20"/>
                <w:lang w:eastAsia="zh-CN"/>
              </w:rPr>
            </w:pPr>
            <w:r>
              <w:rPr>
                <w:rFonts w:hint="eastAsia" w:ascii="宋体" w:hAnsi="宋体" w:eastAsia="宋体" w:cs="宋体"/>
                <w:color w:val="auto"/>
                <w:sz w:val="21"/>
                <w:szCs w:val="21"/>
                <w:highlight w:val="none"/>
                <w:lang w:eastAsia="zh-CN"/>
              </w:rPr>
              <w:t>（4）构成本招标文件的各个组成文件应互为解释，互为说明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如有不明确或不一致，构成合同文件组成内容的，以合同文件约定内容为准，且以专用合同条款约定的合同文件优先顺序解释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除招标文件中有特别规定外，仅适用于招标投标阶段的规定，按招标公告（投标邀请书）、投标人须知、评标办法、投标文件格式的先后顺序解释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同一组成文件中就同一事项的规定或约定不一致的，以编排顺序在后者为准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同一组成文件不同版本之间有不一致的，以形成时间在后者为准。</w:t>
            </w:r>
            <w:r>
              <w:rPr>
                <w:rFonts w:hint="eastAsia" w:ascii="Times New Roman" w:hAnsi="Times New Roman" w:cs="Times New Roman"/>
                <w:color w:val="auto"/>
                <w:sz w:val="20"/>
                <w:szCs w:val="20"/>
                <w:lang w:eastAsia="zh-CN"/>
              </w:rPr>
              <w:t>按本款前述规定仍不能形成结论的，由招标人负责解释。</w:t>
            </w:r>
          </w:p>
        </w:tc>
      </w:tr>
    </w:tbl>
    <w:p>
      <w:pPr>
        <w:tabs>
          <w:tab w:val="left" w:pos="1365"/>
        </w:tabs>
        <w:spacing w:line="440" w:lineRule="exact"/>
        <w:ind w:left="550" w:hanging="550" w:hangingChars="250"/>
        <w:rPr>
          <w:rFonts w:hint="eastAsia" w:ascii="宋体" w:hAnsi="宋体" w:cs="宋体"/>
          <w:color w:val="auto"/>
          <w:kern w:val="2"/>
          <w:sz w:val="22"/>
          <w:szCs w:val="22"/>
          <w:highlight w:val="none"/>
        </w:rPr>
      </w:pPr>
    </w:p>
    <w:p>
      <w:pPr>
        <w:tabs>
          <w:tab w:val="left" w:pos="1365"/>
        </w:tabs>
        <w:spacing w:line="440" w:lineRule="exact"/>
        <w:ind w:left="550" w:hanging="550" w:hangingChars="250"/>
        <w:rPr>
          <w:rFonts w:hint="eastAsia" w:ascii="宋体" w:hAnsi="宋体" w:cs="宋体"/>
          <w:color w:val="auto"/>
          <w:kern w:val="2"/>
          <w:sz w:val="22"/>
          <w:szCs w:val="22"/>
          <w:highlight w:val="none"/>
        </w:rPr>
        <w:sectPr>
          <w:footerReference r:id="rId9" w:type="first"/>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pPr>
        <w:pStyle w:val="3"/>
        <w:spacing w:line="680" w:lineRule="exact"/>
        <w:jc w:val="center"/>
        <w:rPr>
          <w:rFonts w:hint="eastAsia" w:ascii="宋体" w:hAnsi="宋体" w:eastAsia="宋体" w:cs="宋体"/>
          <w:color w:val="auto"/>
          <w:sz w:val="28"/>
          <w:szCs w:val="28"/>
          <w:highlight w:val="none"/>
        </w:rPr>
      </w:pPr>
      <w:bookmarkStart w:id="28" w:name="_Toc22366"/>
      <w:r>
        <w:rPr>
          <w:rFonts w:hint="eastAsia" w:ascii="宋体" w:hAnsi="宋体" w:eastAsia="宋体" w:cs="宋体"/>
          <w:color w:val="auto"/>
          <w:sz w:val="28"/>
          <w:szCs w:val="28"/>
          <w:highlight w:val="none"/>
        </w:rPr>
        <w:t>一、 说   明</w:t>
      </w:r>
      <w:bookmarkEnd w:id="28"/>
    </w:p>
    <w:p>
      <w:pPr>
        <w:tabs>
          <w:tab w:val="left" w:pos="360"/>
        </w:tabs>
        <w:spacing w:line="440" w:lineRule="exact"/>
        <w:ind w:left="550" w:hanging="550" w:hangingChars="250"/>
        <w:rPr>
          <w:rFonts w:hint="eastAsia" w:ascii="宋体" w:hAnsi="宋体" w:cs="宋体"/>
          <w:color w:val="auto"/>
          <w:sz w:val="22"/>
          <w:szCs w:val="22"/>
          <w:highlight w:val="none"/>
        </w:rPr>
      </w:pPr>
      <w:bookmarkStart w:id="29" w:name="_Toc230773776"/>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pPr>
        <w:tabs>
          <w:tab w:val="left" w:pos="360"/>
        </w:tabs>
        <w:spacing w:line="440" w:lineRule="exact"/>
        <w:ind w:left="550" w:hanging="550" w:hangingChars="250"/>
        <w:rPr>
          <w:rFonts w:hint="eastAsia" w:ascii="宋体" w:hAnsi="宋体" w:cs="宋体"/>
          <w:color w:val="auto"/>
          <w:sz w:val="22"/>
          <w:szCs w:val="22"/>
          <w:highlight w:val="none"/>
        </w:rPr>
      </w:pPr>
      <w:bookmarkStart w:id="30" w:name="_Toc31546"/>
      <w:bookmarkStart w:id="31" w:name="_Toc19066"/>
      <w:bookmarkStart w:id="32" w:name="_Toc3235"/>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30"/>
      <w:bookmarkEnd w:id="31"/>
      <w:bookmarkEnd w:id="32"/>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2.1 “采购人”系指招标公告中载明的本项目的采购人。</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2.2 “采购代理机构”系指招标公告中载明的本项目的采购代理机构。</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2.3 “投标人、供应商、申请人”均系指响应招标、参加投标竞争的法人、其他组织或者自然人。</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“公章”系指单位法定名称章。</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//www.zcygov.cn/）。</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w:t>
      </w:r>
      <w:r>
        <w:rPr>
          <w:rFonts w:hint="eastAsia" w:ascii="宋体" w:hAnsi="宋体" w:cs="仿宋"/>
          <w:color w:val="auto"/>
          <w:sz w:val="22"/>
          <w:szCs w:val="22"/>
          <w:highlight w:val="none"/>
          <w:lang w:eastAsia="zh-CN"/>
        </w:rPr>
        <w:t>（</w:t>
      </w:r>
      <w:r>
        <w:rPr>
          <w:rFonts w:hint="eastAsia" w:ascii="宋体" w:hAnsi="宋体" w:cs="仿宋"/>
          <w:snapToGrid w:val="0"/>
          <w:color w:val="auto"/>
          <w:kern w:val="28"/>
          <w:sz w:val="22"/>
          <w:szCs w:val="22"/>
          <w:highlight w:val="none"/>
        </w:rPr>
        <w:t>下划线</w:t>
      </w:r>
      <w:r>
        <w:rPr>
          <w:rFonts w:hint="eastAsia" w:ascii="宋体" w:hAnsi="宋体" w:cs="仿宋"/>
          <w:snapToGrid w:val="0"/>
          <w:color w:val="auto"/>
          <w:kern w:val="28"/>
          <w:sz w:val="22"/>
          <w:szCs w:val="22"/>
          <w:highlight w:val="none"/>
          <w:lang w:eastAsia="zh-CN"/>
        </w:rPr>
        <w:t>在技术参数要求中除外</w:t>
      </w:r>
      <w:r>
        <w:rPr>
          <w:rFonts w:hint="eastAsia" w:ascii="宋体" w:hAnsi="宋体" w:cs="仿宋"/>
          <w:color w:val="auto"/>
          <w:sz w:val="22"/>
          <w:szCs w:val="22"/>
          <w:highlight w:val="none"/>
          <w:lang w:eastAsia="zh-CN"/>
        </w:rPr>
        <w:t>）</w:t>
      </w:r>
      <w:r>
        <w:rPr>
          <w:rFonts w:ascii="宋体" w:hAnsi="宋体" w:cs="仿宋"/>
          <w:color w:val="auto"/>
          <w:sz w:val="22"/>
          <w:szCs w:val="22"/>
          <w:highlight w:val="none"/>
        </w:rPr>
        <w:t>，不满足实质性要求条款的投标无效</w:t>
      </w:r>
      <w:r>
        <w:rPr>
          <w:rFonts w:hint="eastAsia" w:ascii="宋体" w:hAnsi="宋体" w:cs="仿宋"/>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”系指不适用本项目的要求。</w:t>
      </w:r>
    </w:p>
    <w:p>
      <w:pPr>
        <w:spacing w:line="440" w:lineRule="exact"/>
        <w:rPr>
          <w:rFonts w:hint="eastAsia" w:ascii="宋体" w:hAnsi="宋体" w:cs="仿宋"/>
          <w:b/>
          <w:color w:val="auto"/>
          <w:sz w:val="22"/>
          <w:szCs w:val="22"/>
          <w:highlight w:val="none"/>
        </w:rPr>
      </w:pPr>
      <w:r>
        <w:rPr>
          <w:rFonts w:ascii="宋体" w:hAnsi="宋体" w:cs="仿宋"/>
          <w:b/>
          <w:color w:val="auto"/>
          <w:sz w:val="22"/>
          <w:szCs w:val="22"/>
          <w:highlight w:val="none"/>
        </w:rPr>
        <w:t xml:space="preserve">3.  </w:t>
      </w:r>
      <w:r>
        <w:rPr>
          <w:rFonts w:hint="eastAsia" w:ascii="宋体" w:hAnsi="宋体" w:cs="仿宋"/>
          <w:b/>
          <w:color w:val="auto"/>
          <w:sz w:val="22"/>
          <w:szCs w:val="22"/>
          <w:highlight w:val="none"/>
        </w:rPr>
        <w:t>合格投标人要求</w:t>
      </w:r>
    </w:p>
    <w:p>
      <w:pPr>
        <w:tabs>
          <w:tab w:val="left" w:pos="540"/>
          <w:tab w:val="left" w:pos="900"/>
        </w:tabs>
        <w:snapToGrid w:val="0"/>
        <w:spacing w:line="440" w:lineRule="exact"/>
        <w:ind w:firstLine="440" w:firstLineChars="200"/>
        <w:rPr>
          <w:rFonts w:hint="eastAsia" w:ascii="宋体" w:hAnsi="宋体" w:cs="仿宋"/>
          <w:bCs/>
          <w:color w:val="auto"/>
          <w:sz w:val="22"/>
          <w:szCs w:val="22"/>
          <w:highlight w:val="none"/>
        </w:rPr>
      </w:pPr>
      <w:r>
        <w:rPr>
          <w:rFonts w:hint="eastAsia" w:ascii="宋体" w:hAnsi="宋体" w:cs="仿宋"/>
          <w:bCs/>
          <w:color w:val="auto"/>
          <w:sz w:val="22"/>
          <w:szCs w:val="22"/>
          <w:highlight w:val="none"/>
        </w:rPr>
        <w:t>3.1合格的投标人应满足招标文件第一部分“招标公告”对投标人的资格要求。</w:t>
      </w:r>
    </w:p>
    <w:p>
      <w:pPr>
        <w:tabs>
          <w:tab w:val="left" w:pos="540"/>
          <w:tab w:val="left" w:pos="900"/>
        </w:tabs>
        <w:snapToGrid w:val="0"/>
        <w:spacing w:line="440" w:lineRule="exact"/>
        <w:ind w:firstLine="440" w:firstLineChars="200"/>
        <w:rPr>
          <w:rFonts w:hint="eastAsia" w:ascii="宋体" w:hAnsi="宋体" w:cs="仿宋"/>
          <w:bCs/>
          <w:color w:val="auto"/>
          <w:sz w:val="22"/>
          <w:szCs w:val="22"/>
          <w:highlight w:val="none"/>
        </w:rPr>
      </w:pPr>
      <w:r>
        <w:rPr>
          <w:rFonts w:hint="eastAsia" w:ascii="宋体" w:hAnsi="宋体" w:cs="仿宋"/>
          <w:bCs/>
          <w:color w:val="auto"/>
          <w:sz w:val="22"/>
          <w:szCs w:val="22"/>
          <w:highlight w:val="none"/>
        </w:rPr>
        <w:t>3.2</w:t>
      </w:r>
      <w:r>
        <w:rPr>
          <w:rFonts w:hint="eastAsia" w:ascii="宋体" w:hAnsi="宋体" w:cs="仿宋"/>
          <w:b/>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tabs>
          <w:tab w:val="left" w:pos="540"/>
          <w:tab w:val="left" w:pos="900"/>
        </w:tabs>
        <w:snapToGrid w:val="0"/>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snapToGrid w:val="0"/>
        <w:spacing w:line="440" w:lineRule="exact"/>
        <w:ind w:firstLine="464" w:firstLineChars="200"/>
        <w:rPr>
          <w:rFonts w:hint="eastAsia"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3.4采用最低评标价法的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采购项目，提供相同品牌产品的不同投标人参加同一合同项下投标的，以其中通过资格审查、符合性审查且报价最低的参加评标</w:t>
      </w:r>
      <w:r>
        <w:rPr>
          <w:rFonts w:hint="eastAsia" w:ascii="宋体" w:hAnsi="宋体" w:cs="仿宋"/>
          <w:bCs/>
          <w:color w:val="auto"/>
          <w:spacing w:val="6"/>
          <w:sz w:val="22"/>
          <w:szCs w:val="22"/>
          <w:highlight w:val="none"/>
          <w:lang w:eastAsia="zh-CN"/>
        </w:rPr>
        <w:t>；</w:t>
      </w:r>
      <w:r>
        <w:rPr>
          <w:rFonts w:hint="eastAsia" w:ascii="宋体" w:hAnsi="宋体" w:cs="仿宋"/>
          <w:bCs/>
          <w:color w:val="auto"/>
          <w:spacing w:val="6"/>
          <w:sz w:val="22"/>
          <w:szCs w:val="22"/>
          <w:highlight w:val="none"/>
        </w:rPr>
        <w:t>报价相同的，由采购人或者采购人委托评标委员会按照招标文件规定的方式确定一个参加评标的投标人，招标文件未规定的采取随机抽取方式确定，其他投标无效。</w:t>
      </w:r>
    </w:p>
    <w:p>
      <w:pPr>
        <w:snapToGrid w:val="0"/>
        <w:spacing w:line="440" w:lineRule="exact"/>
        <w:ind w:firstLine="464" w:firstLineChars="200"/>
        <w:rPr>
          <w:rFonts w:hint="eastAsia"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使用综合评分法的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采购项目，提供相同品牌产品且通过资格审查、符合性审查的不同投标人参加同一合同项下投标的，评审后得分最高的同品牌投标人获得中标人推荐资格</w:t>
      </w:r>
      <w:r>
        <w:rPr>
          <w:rFonts w:hint="eastAsia" w:ascii="宋体" w:hAnsi="宋体" w:cs="仿宋"/>
          <w:bCs/>
          <w:color w:val="auto"/>
          <w:spacing w:val="6"/>
          <w:sz w:val="22"/>
          <w:szCs w:val="22"/>
          <w:highlight w:val="none"/>
          <w:lang w:eastAsia="zh-CN"/>
        </w:rPr>
        <w:t>；</w:t>
      </w:r>
      <w:r>
        <w:rPr>
          <w:rFonts w:hint="eastAsia" w:ascii="宋体" w:hAnsi="宋体" w:cs="仿宋"/>
          <w:bCs/>
          <w:color w:val="auto"/>
          <w:spacing w:val="6"/>
          <w:sz w:val="22"/>
          <w:szCs w:val="22"/>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40" w:lineRule="exact"/>
        <w:ind w:firstLine="466" w:firstLineChars="200"/>
        <w:rPr>
          <w:rFonts w:hint="eastAsia" w:ascii="宋体" w:hAnsi="宋体" w:cs="仿宋"/>
          <w:bCs/>
          <w:color w:val="auto"/>
          <w:spacing w:val="6"/>
          <w:sz w:val="22"/>
          <w:szCs w:val="22"/>
          <w:highlight w:val="none"/>
        </w:rPr>
      </w:pPr>
      <w:r>
        <w:rPr>
          <w:rFonts w:hint="eastAsia" w:ascii="宋体" w:hAnsi="宋体" w:cs="仿宋"/>
          <w:b/>
          <w:bCs w:val="0"/>
          <w:color w:val="auto"/>
          <w:spacing w:val="6"/>
          <w:sz w:val="22"/>
          <w:szCs w:val="22"/>
          <w:highlight w:val="none"/>
        </w:rPr>
        <w:t>非单一产品采购项目，多家投标人提供的核心产品（见</w:t>
      </w:r>
      <w:r>
        <w:rPr>
          <w:rFonts w:hint="eastAsia" w:ascii="宋体" w:hAnsi="宋体" w:cs="仿宋"/>
          <w:b/>
          <w:bCs w:val="0"/>
          <w:color w:val="auto"/>
          <w:sz w:val="22"/>
          <w:szCs w:val="22"/>
          <w:highlight w:val="none"/>
        </w:rPr>
        <w:t>投标人须知前附表</w:t>
      </w:r>
      <w:r>
        <w:rPr>
          <w:rFonts w:hint="eastAsia" w:ascii="宋体" w:hAnsi="宋体" w:cs="仿宋"/>
          <w:b/>
          <w:bCs w:val="0"/>
          <w:color w:val="auto"/>
          <w:spacing w:val="6"/>
          <w:sz w:val="22"/>
          <w:szCs w:val="22"/>
          <w:highlight w:val="none"/>
        </w:rPr>
        <w:t>）品牌相同的，按前两款规定处理。</w:t>
      </w:r>
    </w:p>
    <w:p>
      <w:pPr>
        <w:snapToGrid w:val="0"/>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3.5货物类是否允许采购进口产品、是否要求节能/环境标志产品等情况见投标人须知前附表。</w:t>
      </w:r>
    </w:p>
    <w:p>
      <w:pPr>
        <w:spacing w:line="440" w:lineRule="exact"/>
        <w:rPr>
          <w:rFonts w:hint="eastAsia" w:ascii="宋体" w:hAnsi="宋体" w:cs="仿宋"/>
          <w:b/>
          <w:color w:val="auto"/>
          <w:sz w:val="22"/>
          <w:szCs w:val="22"/>
          <w:highlight w:val="none"/>
        </w:rPr>
      </w:pPr>
      <w:r>
        <w:rPr>
          <w:rFonts w:ascii="宋体" w:hAnsi="宋体" w:cs="仿宋"/>
          <w:b/>
          <w:color w:val="auto"/>
          <w:sz w:val="22"/>
          <w:szCs w:val="22"/>
          <w:highlight w:val="none"/>
        </w:rPr>
        <w:t xml:space="preserve">4.  </w:t>
      </w:r>
      <w:r>
        <w:rPr>
          <w:rFonts w:hint="eastAsia" w:ascii="宋体" w:hAnsi="宋体" w:cs="仿宋"/>
          <w:b/>
          <w:color w:val="auto"/>
          <w:sz w:val="22"/>
          <w:szCs w:val="22"/>
          <w:highlight w:val="none"/>
        </w:rPr>
        <w:t>采购项目需要落实的政府采购政策</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 支持绿色发展</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4.3支持中小企业发展</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符合中小企业划分标准的个体工商户，在政府采购活动中视同中小企业。</w:t>
      </w:r>
    </w:p>
    <w:p>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bCs/>
          <w:color w:val="auto"/>
          <w:sz w:val="22"/>
          <w:szCs w:val="22"/>
          <w:highlight w:val="none"/>
        </w:rPr>
        <w:t>4.3.2</w:t>
      </w:r>
      <w:r>
        <w:rPr>
          <w:rFonts w:hint="eastAsia" w:ascii="宋体" w:hAnsi="宋体" w:cs="仿宋"/>
          <w:color w:val="auto"/>
          <w:sz w:val="22"/>
          <w:szCs w:val="22"/>
          <w:highlight w:val="none"/>
        </w:rPr>
        <w:t>在政府采购活动中，投标人提供的货物、工程或者服务符合下列情形的，享受中小企业扶持政策：</w:t>
      </w:r>
    </w:p>
    <w:p>
      <w:pPr>
        <w:widowControl/>
        <w:spacing w:line="440" w:lineRule="exact"/>
        <w:ind w:firstLine="440" w:firstLineChars="200"/>
        <w:jc w:val="left"/>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4.3.2.1在货物采购项目中，货物由中小企业制造，即货物由中小企业生产且使用该中小企业商号或者注册商标</w:t>
      </w:r>
      <w:r>
        <w:rPr>
          <w:rFonts w:hint="eastAsia" w:ascii="宋体" w:hAnsi="宋体" w:cs="仿宋"/>
          <w:color w:val="auto"/>
          <w:sz w:val="22"/>
          <w:szCs w:val="22"/>
          <w:highlight w:val="none"/>
          <w:lang w:eastAsia="zh-CN"/>
        </w:rPr>
        <w:t>；</w:t>
      </w:r>
    </w:p>
    <w:p>
      <w:pPr>
        <w:widowControl/>
        <w:spacing w:line="440" w:lineRule="exact"/>
        <w:ind w:firstLine="440" w:firstLineChars="200"/>
        <w:jc w:val="left"/>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4.3.2.2在工程采购项目中，工程由中小企业承建，即工程施工单位为中小企业</w:t>
      </w:r>
      <w:r>
        <w:rPr>
          <w:rFonts w:hint="eastAsia" w:ascii="宋体" w:hAnsi="宋体" w:cs="仿宋"/>
          <w:color w:val="auto"/>
          <w:sz w:val="22"/>
          <w:szCs w:val="22"/>
          <w:highlight w:val="none"/>
          <w:lang w:eastAsia="zh-CN"/>
        </w:rPr>
        <w:t>；</w:t>
      </w:r>
    </w:p>
    <w:p>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4.3.2.3在服务采购项目中，服务由中小企业承接，即提供服务的人员为中小企业依照《中华人民共和国劳动合同法》订立劳动合同的从业人员。</w:t>
      </w:r>
    </w:p>
    <w:p>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在货物采购项目中，投标人提供的货物既有中小企业制造货物，也有大型企业制造货物的，不享受中小企业扶持政策。</w:t>
      </w:r>
    </w:p>
    <w:p>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w:t>
      </w:r>
      <w:r>
        <w:rPr>
          <w:rFonts w:hint="eastAsia" w:ascii="宋体" w:hAnsi="宋体" w:cs="仿宋"/>
          <w:color w:val="auto"/>
          <w:sz w:val="22"/>
          <w:szCs w:val="22"/>
          <w:highlight w:val="none"/>
          <w:lang w:val="en-US" w:eastAsia="zh-CN"/>
        </w:rPr>
        <w:t>10</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2</w:t>
      </w:r>
      <w:r>
        <w:rPr>
          <w:rFonts w:hint="eastAsia" w:ascii="宋体" w:hAnsi="宋体" w:cs="仿宋"/>
          <w:color w:val="auto"/>
          <w:sz w:val="22"/>
          <w:szCs w:val="22"/>
          <w:highlight w:val="none"/>
        </w:rPr>
        <w:t>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仿宋"/>
          <w:color w:val="auto"/>
          <w:sz w:val="22"/>
          <w:szCs w:val="22"/>
          <w:highlight w:val="none"/>
          <w:lang w:val="en-US" w:eastAsia="zh-CN"/>
        </w:rPr>
        <w:t>4</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6</w:t>
      </w:r>
      <w:r>
        <w:rPr>
          <w:rFonts w:hint="eastAsia" w:ascii="宋体" w:hAnsi="宋体" w:cs="仿宋"/>
          <w:color w:val="auto"/>
          <w:sz w:val="22"/>
          <w:szCs w:val="22"/>
          <w:highlight w:val="none"/>
        </w:rPr>
        <w:t>%（工程项目为1%-2%）的扣除，用扣除后的价格参加评审。组成联合体或者接受分包的小微企业与联合体内其他企业、分包企业之间存在直接控股、管理关系的，不享受价格扣除优惠政策。</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4.3.4符合《关于促进残疾人就业政府采购政策的通知》（财库〔2017〕141号）规定的条件并提供《残疾人福利性单位声明函》（附件</w:t>
      </w:r>
      <w:r>
        <w:rPr>
          <w:rFonts w:hint="eastAsia" w:ascii="宋体" w:hAnsi="宋体" w:cs="仿宋"/>
          <w:color w:val="auto"/>
          <w:sz w:val="22"/>
          <w:szCs w:val="22"/>
          <w:highlight w:val="none"/>
          <w:lang w:val="en-US" w:eastAsia="zh-CN"/>
        </w:rPr>
        <w:t>八</w:t>
      </w:r>
      <w:r>
        <w:rPr>
          <w:rFonts w:hint="eastAsia" w:ascii="宋体" w:hAnsi="宋体" w:cs="仿宋"/>
          <w:color w:val="auto"/>
          <w:sz w:val="22"/>
          <w:szCs w:val="22"/>
          <w:highlight w:val="none"/>
        </w:rPr>
        <w:t>）的残疾人福利性单位视同小型、微型企业。</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4.3.7中小企业享受扶持政策获得政府采购合同的，小微企业不得将合同分包给大中型企业，中型企业不得将合同分包给大型企业。</w:t>
      </w:r>
    </w:p>
    <w:p>
      <w:pPr>
        <w:spacing w:line="440" w:lineRule="exact"/>
        <w:rPr>
          <w:rFonts w:hint="eastAsia" w:ascii="宋体" w:hAnsi="宋体" w:cs="仿宋"/>
          <w:b/>
          <w:color w:val="auto"/>
          <w:sz w:val="22"/>
          <w:szCs w:val="22"/>
          <w:highlight w:val="none"/>
        </w:rPr>
      </w:pPr>
      <w:r>
        <w:rPr>
          <w:rFonts w:hint="eastAsia" w:ascii="宋体" w:hAnsi="宋体" w:cs="仿宋"/>
          <w:b/>
          <w:color w:val="auto"/>
          <w:sz w:val="22"/>
          <w:szCs w:val="22"/>
          <w:highlight w:val="none"/>
        </w:rPr>
        <w:t>5.</w:t>
      </w:r>
      <w:r>
        <w:rPr>
          <w:rFonts w:ascii="宋体" w:hAnsi="宋体" w:cs="仿宋"/>
          <w:b/>
          <w:color w:val="auto"/>
          <w:sz w:val="22"/>
          <w:szCs w:val="22"/>
          <w:highlight w:val="none"/>
        </w:rPr>
        <w:t xml:space="preserve">  </w:t>
      </w:r>
      <w:r>
        <w:rPr>
          <w:rFonts w:hint="eastAsia" w:ascii="宋体" w:hAnsi="宋体" w:cs="仿宋"/>
          <w:b/>
          <w:color w:val="auto"/>
          <w:sz w:val="22"/>
          <w:szCs w:val="22"/>
          <w:highlight w:val="none"/>
        </w:rPr>
        <w:t>询问、质疑、投诉</w:t>
      </w:r>
    </w:p>
    <w:p>
      <w:pPr>
        <w:autoSpaceDE w:val="0"/>
        <w:autoSpaceDN w:val="0"/>
        <w:spacing w:line="440" w:lineRule="exact"/>
        <w:ind w:firstLine="220" w:firstLineChars="1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.1供应商询问</w:t>
      </w:r>
    </w:p>
    <w:p>
      <w:pPr>
        <w:autoSpaceDE w:val="0"/>
        <w:autoSpaceDN w:val="0"/>
        <w:spacing w:line="440" w:lineRule="exact"/>
        <w:ind w:firstLine="440" w:firstLineChars="2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40" w:lineRule="exact"/>
        <w:ind w:firstLine="220" w:firstLineChars="1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.2供应商质疑</w:t>
      </w:r>
    </w:p>
    <w:p>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2"/>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//www.zcygov.cn/）通过“询问质疑投诉”栏向采购机构内设的质疑联系人提交并上传书面质疑材料。</w:t>
      </w:r>
    </w:p>
    <w:p>
      <w:pPr>
        <w:pStyle w:val="12"/>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5.2.2.2对招标文件提出质疑的，质疑期限为供应商获得招标文件之日或者质疑期限为招标文件公告期限届满之日起计算。</w:t>
      </w:r>
    </w:p>
    <w:p>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.2.3.6提出质疑的日期。</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供应商为自然人的，应当由本人签字</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供应商为法人或者其他组织的，应当由法定代表人、主要负责人，或者其授权代表签字或者盖章，并加盖公章。</w:t>
      </w:r>
    </w:p>
    <w:p>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质疑函范本及制作说明详见浙江政府采购网相关格式内容。</w:t>
      </w:r>
    </w:p>
    <w:p>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.2.5询问或者质疑事项可能影响采购结果的，采购人应当暂停签订合同，已经签订合同的，应当中止履行合同。</w:t>
      </w:r>
    </w:p>
    <w:p>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.3供应商投诉</w:t>
      </w:r>
    </w:p>
    <w:p>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5.3.2供应商投诉的事项不得超出已质疑事项的范围，基于质疑答复内容提出的投诉事项除外。</w:t>
      </w:r>
    </w:p>
    <w:p>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5.3.3供应商投诉应当有明确的请求和必要的证明材料。</w:t>
      </w:r>
    </w:p>
    <w:p>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w:t>
      </w:r>
      <w:r>
        <w:rPr>
          <w:rFonts w:hint="eastAsia" w:ascii="宋体" w:hAnsi="宋体" w:cs="仿宋"/>
          <w:color w:val="auto"/>
          <w:sz w:val="22"/>
          <w:szCs w:val="22"/>
          <w:highlight w:val="none"/>
        </w:rPr>
        <w:t>4</w:t>
      </w:r>
      <w:r>
        <w:rPr>
          <w:rFonts w:hint="eastAsia" w:ascii="宋体" w:hAnsi="宋体" w:cs="仿宋"/>
          <w:color w:val="auto"/>
          <w:sz w:val="22"/>
          <w:szCs w:val="22"/>
          <w:highlight w:val="none"/>
          <w:lang w:val="zh-CN"/>
        </w:rPr>
        <w:t>以联合体形式参加政府采购活动的，其投诉应当由组成联合体的所有供应商共同提出。</w:t>
      </w:r>
    </w:p>
    <w:p>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投诉书范本及制作说明详见浙江政府采购网相关格式内容。</w:t>
      </w:r>
    </w:p>
    <w:p>
      <w:pPr>
        <w:pStyle w:val="3"/>
        <w:spacing w:line="680" w:lineRule="exact"/>
        <w:jc w:val="center"/>
        <w:rPr>
          <w:rFonts w:hint="eastAsia" w:ascii="宋体" w:hAnsi="宋体" w:eastAsia="宋体" w:cs="宋体"/>
          <w:color w:val="auto"/>
          <w:sz w:val="28"/>
          <w:szCs w:val="28"/>
          <w:highlight w:val="none"/>
        </w:rPr>
      </w:pPr>
      <w:bookmarkStart w:id="33" w:name="_Toc3661"/>
      <w:r>
        <w:rPr>
          <w:rFonts w:hint="eastAsia" w:ascii="宋体" w:hAnsi="宋体" w:eastAsia="宋体" w:cs="宋体"/>
          <w:color w:val="auto"/>
          <w:sz w:val="28"/>
          <w:szCs w:val="28"/>
          <w:highlight w:val="none"/>
        </w:rPr>
        <w:t>二、 招标文件</w:t>
      </w:r>
      <w:bookmarkEnd w:id="29"/>
      <w:bookmarkEnd w:id="33"/>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招标文件的澄清或者修改</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2.1  采购人或者采购代理机构可以对已发出的招标文件进行必要的澄清或者修改。澄清或者修改应当在原公告发布媒体上发布澄清公告。澄清或者修改的内容为招标文件的组成部分。</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2.2  澄清或者修改的内容可能影响投标文件编制的，采购人或者采购代理机构应当在投标截止时间至少15日前，以书面形式通知所有获取招标文件的潜在投标人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不足15日的，采购人或者采购代理机构应当顺延提交投标文件的截止时间。潜在投标人在收到该书面通知后，应立即书面回复确认已收到该通知。</w:t>
      </w:r>
    </w:p>
    <w:p>
      <w:pPr>
        <w:pStyle w:val="3"/>
        <w:spacing w:line="680" w:lineRule="exact"/>
        <w:jc w:val="center"/>
        <w:rPr>
          <w:rFonts w:hint="eastAsia" w:ascii="宋体" w:hAnsi="宋体" w:eastAsia="宋体" w:cs="宋体"/>
          <w:color w:val="auto"/>
          <w:sz w:val="28"/>
          <w:szCs w:val="28"/>
          <w:highlight w:val="none"/>
        </w:rPr>
      </w:pPr>
      <w:bookmarkStart w:id="34" w:name="_Toc26168"/>
      <w:bookmarkStart w:id="35" w:name="_Toc230773777"/>
      <w:r>
        <w:rPr>
          <w:rFonts w:hint="eastAsia" w:ascii="宋体" w:hAnsi="宋体" w:eastAsia="宋体" w:cs="宋体"/>
          <w:color w:val="auto"/>
          <w:sz w:val="28"/>
          <w:szCs w:val="28"/>
          <w:highlight w:val="none"/>
        </w:rPr>
        <w:t>三、 投标文件的编制</w:t>
      </w:r>
      <w:bookmarkEnd w:id="34"/>
      <w:bookmarkEnd w:id="35"/>
    </w:p>
    <w:p>
      <w:pPr>
        <w:spacing w:line="44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1.   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pPr>
        <w:spacing w:line="44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2. ▲</w:t>
      </w:r>
      <w:r>
        <w:rPr>
          <w:rFonts w:hint="eastAsia" w:ascii="宋体" w:hAnsi="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highlight w:val="none"/>
        </w:rPr>
        <w:t>。</w:t>
      </w:r>
    </w:p>
    <w:p>
      <w:pPr>
        <w:spacing w:line="440" w:lineRule="exact"/>
        <w:ind w:left="550" w:hanging="550" w:hangingChars="250"/>
        <w:rPr>
          <w:rFonts w:hint="eastAsia"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投标文件分为电子投标文件以及备份投标文件。</w:t>
      </w:r>
    </w:p>
    <w:p>
      <w:pPr>
        <w:spacing w:line="440" w:lineRule="exact"/>
        <w:ind w:left="550" w:hanging="550" w:hangingChars="250"/>
        <w:rPr>
          <w:rFonts w:hint="eastAsia"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Cs/>
          <w:color w:val="auto"/>
          <w:sz w:val="22"/>
          <w:szCs w:val="22"/>
          <w:highlight w:val="none"/>
        </w:rPr>
        <w:t xml:space="preserve"> </w:t>
      </w:r>
      <w:r>
        <w:rPr>
          <w:rFonts w:hint="eastAsia" w:ascii="宋体" w:hAnsi="宋体"/>
          <w:b/>
          <w:bCs/>
          <w:color w:val="auto"/>
          <w:sz w:val="22"/>
          <w:szCs w:val="22"/>
          <w:highlight w:val="none"/>
          <w:u w:val="single"/>
        </w:rPr>
        <w:t>电子投标文件：投标人根据“政采云供应商项目采购-电子招投标操作指南”及本招标文件规定的格式和顺序编制电子投标文件关联定位、加密并递交。</w:t>
      </w:r>
    </w:p>
    <w:p>
      <w:pPr>
        <w:spacing w:line="440" w:lineRule="exact"/>
        <w:ind w:left="552" w:hanging="552" w:hangingChars="250"/>
        <w:rPr>
          <w:rFonts w:hint="eastAsia"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备份投标文件：投标人</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平台传输递交投标文件后，还可以在投标截止时间前提交以介质存储的数据电文形式的备份投标文件。</w:t>
      </w:r>
      <w:r>
        <w:rPr>
          <w:rFonts w:hint="eastAsia" w:ascii="宋体" w:hAnsi="宋体"/>
          <w:b/>
          <w:bCs/>
          <w:color w:val="auto"/>
          <w:sz w:val="22"/>
          <w:szCs w:val="22"/>
          <w:highlight w:val="none"/>
          <w:u w:val="single"/>
        </w:rPr>
        <w:t>电子投标文件按“政采云平台项目采购-电子招投标操作指南”上传。</w:t>
      </w:r>
    </w:p>
    <w:p>
      <w:pPr>
        <w:spacing w:line="440" w:lineRule="exact"/>
        <w:ind w:left="552" w:hanging="552" w:hangingChars="250"/>
        <w:rPr>
          <w:rFonts w:hint="eastAsia" w:ascii="宋体" w:hAnsi="宋体"/>
          <w:b/>
          <w:color w:val="auto"/>
          <w:sz w:val="22"/>
          <w:szCs w:val="22"/>
          <w:highlight w:val="none"/>
        </w:rPr>
      </w:pPr>
      <w:r>
        <w:rPr>
          <w:rFonts w:hint="eastAsia" w:ascii="宋体" w:hAnsi="宋体"/>
          <w:b/>
          <w:color w:val="auto"/>
          <w:sz w:val="22"/>
          <w:szCs w:val="22"/>
          <w:highlight w:val="none"/>
        </w:rPr>
        <w:t>4.   投标文件的效力</w:t>
      </w:r>
    </w:p>
    <w:p>
      <w:pPr>
        <w:spacing w:line="440" w:lineRule="exact"/>
        <w:ind w:left="533" w:leftChars="254"/>
        <w:rPr>
          <w:rFonts w:ascii="宋体" w:hAnsi="宋体"/>
          <w:color w:val="auto"/>
          <w:sz w:val="22"/>
          <w:szCs w:val="22"/>
          <w:highlight w:val="none"/>
        </w:rPr>
      </w:pPr>
      <w:r>
        <w:rPr>
          <w:rFonts w:hint="eastAsia" w:ascii="宋体" w:hAnsi="宋体"/>
          <w:color w:val="auto"/>
          <w:sz w:val="22"/>
          <w:szCs w:val="22"/>
          <w:highlight w:val="none"/>
        </w:rPr>
        <w:t>投标文件的启用，按先后顺位分别为电子投标文件和备份投标文件。在下一顺位的投标文件启用时，前一顺位的投标文件自动失效。</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投标文件的组成：</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投标文件由资格文件、商务技术文件、报价文件三部分组成：</w:t>
      </w:r>
    </w:p>
    <w:p>
      <w:pPr>
        <w:spacing w:line="44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5.1.1</w:t>
      </w:r>
      <w:r>
        <w:rPr>
          <w:rFonts w:hint="eastAsia" w:ascii="宋体" w:hAnsi="宋体" w:cs="宋体"/>
          <w:b/>
          <w:color w:val="auto"/>
          <w:sz w:val="22"/>
          <w:szCs w:val="22"/>
          <w:highlight w:val="none"/>
        </w:rPr>
        <w:t>资格文件</w:t>
      </w:r>
    </w:p>
    <w:tbl>
      <w:tblPr>
        <w:tblStyle w:val="44"/>
        <w:tblW w:w="96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pPr>
              <w:autoSpaceDE w:val="0"/>
              <w:autoSpaceDN w:val="0"/>
              <w:adjustRightInd w:val="0"/>
              <w:snapToGrid w:val="0"/>
              <w:spacing w:before="0" w:beforeAutospacing="0" w:after="0" w:afterAutospacing="0" w:line="430" w:lineRule="atLeast"/>
              <w:ind w:left="0" w:right="0"/>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449" w:type="dxa"/>
            <w:vAlign w:val="top"/>
          </w:tcPr>
          <w:p>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440" w:type="dxa"/>
            <w:vAlign w:val="top"/>
          </w:tcPr>
          <w:p>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default" w:ascii="宋体" w:hAnsi="宋体" w:cs="宋体"/>
                <w:color w:val="auto"/>
                <w:sz w:val="22"/>
                <w:szCs w:val="20"/>
                <w:highlight w:val="none"/>
                <w:lang w:val="zh-CN"/>
              </w:rPr>
              <w:t>1</w:t>
            </w:r>
          </w:p>
        </w:tc>
        <w:tc>
          <w:tcPr>
            <w:tcW w:w="7449" w:type="dxa"/>
            <w:vAlign w:val="center"/>
          </w:tcPr>
          <w:p>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40"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附件四-1、2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0"/>
                <w:highlight w:val="none"/>
              </w:rPr>
            </w:pPr>
            <w:r>
              <w:rPr>
                <w:rFonts w:hint="default" w:ascii="宋体" w:hAnsi="宋体" w:cs="宋体"/>
                <w:color w:val="auto"/>
                <w:sz w:val="22"/>
                <w:szCs w:val="20"/>
                <w:highlight w:val="none"/>
              </w:rPr>
              <w:t>2</w:t>
            </w:r>
          </w:p>
        </w:tc>
        <w:tc>
          <w:tcPr>
            <w:tcW w:w="7449" w:type="dxa"/>
            <w:vAlign w:val="center"/>
          </w:tcPr>
          <w:p>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40"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附件四-</w:t>
            </w:r>
            <w:r>
              <w:rPr>
                <w:rFonts w:hint="default" w:ascii="宋体" w:hAnsi="宋体" w:cs="宋体"/>
                <w:color w:val="auto"/>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default" w:ascii="宋体" w:hAnsi="宋体" w:cs="宋体"/>
                <w:color w:val="auto"/>
                <w:sz w:val="22"/>
                <w:szCs w:val="20"/>
                <w:highlight w:val="none"/>
                <w:lang w:val="zh-CN"/>
              </w:rPr>
              <w:t>3</w:t>
            </w:r>
          </w:p>
        </w:tc>
        <w:tc>
          <w:tcPr>
            <w:tcW w:w="7449" w:type="dxa"/>
            <w:vAlign w:val="center"/>
          </w:tcPr>
          <w:p>
            <w:pPr>
              <w:autoSpaceDE w:val="0"/>
              <w:autoSpaceDN w:val="0"/>
              <w:adjustRightInd w:val="0"/>
              <w:snapToGrid w:val="0"/>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投标人企业法人有效营业执照（或事业法人登记证书或其它工商等登记证明材料，自然人提供身份证)复制件（如为联合体，则联合体各方均应提供）（五选一）</w:t>
            </w:r>
          </w:p>
          <w:p>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①如投标人是企业（包括合伙企业），提供在工商部门注册的有效“企业法人营业执照”或“营业执照”</w:t>
            </w:r>
            <w:r>
              <w:rPr>
                <w:rFonts w:hint="eastAsia" w:ascii="宋体" w:hAnsi="宋体" w:cs="宋体"/>
                <w:color w:val="auto"/>
                <w:sz w:val="22"/>
                <w:szCs w:val="22"/>
                <w:highlight w:val="none"/>
                <w:lang w:eastAsia="zh-CN"/>
              </w:rPr>
              <w:t>；</w:t>
            </w:r>
          </w:p>
          <w:p>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②如投标人是事业单位，提供有效的“事业单位法人证书”</w:t>
            </w:r>
            <w:r>
              <w:rPr>
                <w:rFonts w:hint="eastAsia" w:ascii="宋体" w:hAnsi="宋体" w:cs="宋体"/>
                <w:color w:val="auto"/>
                <w:sz w:val="22"/>
                <w:szCs w:val="22"/>
                <w:highlight w:val="none"/>
                <w:lang w:eastAsia="zh-CN"/>
              </w:rPr>
              <w:t>；</w:t>
            </w:r>
          </w:p>
          <w:p>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③如投标人是非企业专业服务机构的，提供执业许可证等证明文件</w:t>
            </w:r>
            <w:r>
              <w:rPr>
                <w:rFonts w:hint="eastAsia" w:ascii="宋体" w:hAnsi="宋体" w:cs="宋体"/>
                <w:color w:val="auto"/>
                <w:sz w:val="22"/>
                <w:szCs w:val="22"/>
                <w:highlight w:val="none"/>
                <w:lang w:eastAsia="zh-CN"/>
              </w:rPr>
              <w:t>；</w:t>
            </w:r>
          </w:p>
          <w:p>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④如投标人是个体工商户，提供有效的“个体工商户营业执照”</w:t>
            </w:r>
            <w:r>
              <w:rPr>
                <w:rFonts w:hint="eastAsia" w:ascii="宋体" w:hAnsi="宋体" w:cs="宋体"/>
                <w:color w:val="auto"/>
                <w:sz w:val="22"/>
                <w:szCs w:val="22"/>
                <w:highlight w:val="none"/>
                <w:lang w:eastAsia="zh-CN"/>
              </w:rPr>
              <w:t>；</w:t>
            </w:r>
          </w:p>
          <w:p>
            <w:pPr>
              <w:autoSpaceDE w:val="0"/>
              <w:autoSpaceDN w:val="0"/>
              <w:adjustRightInd w:val="0"/>
              <w:snapToGrid w:val="0"/>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⑤如投标人是自然人，提供有效的自然人身份证明（居民身份证正反面或公安机关出具的临时居民身份证正反面或港澳台胞证或护照）。</w:t>
            </w:r>
          </w:p>
          <w:p>
            <w:pPr>
              <w:autoSpaceDE w:val="0"/>
              <w:autoSpaceDN w:val="0"/>
              <w:adjustRightInd w:val="0"/>
              <w:snapToGrid w:val="0"/>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lang w:val="en-US" w:eastAsia="zh-CN"/>
              </w:rPr>
              <w:t>4</w:t>
            </w:r>
          </w:p>
        </w:tc>
        <w:tc>
          <w:tcPr>
            <w:tcW w:w="7449" w:type="dxa"/>
            <w:vAlign w:val="center"/>
          </w:tcPr>
          <w:p>
            <w:pPr>
              <w:autoSpaceDE w:val="0"/>
              <w:autoSpaceDN w:val="0"/>
              <w:adjustRightInd w:val="0"/>
              <w:snapToGrid w:val="0"/>
              <w:spacing w:before="0" w:beforeAutospacing="0" w:after="0" w:afterAutospacing="0" w:line="440" w:lineRule="exact"/>
              <w:ind w:left="0" w:right="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分包意向协议（如有分包，请根据格式提供）</w:t>
            </w:r>
          </w:p>
        </w:tc>
        <w:tc>
          <w:tcPr>
            <w:tcW w:w="1440" w:type="dxa"/>
            <w:vAlign w:val="top"/>
          </w:tcPr>
          <w:p>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附件四-5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0"/>
                <w:highlight w:val="none"/>
              </w:rPr>
            </w:pPr>
            <w:r>
              <w:rPr>
                <w:rFonts w:hint="eastAsia" w:ascii="宋体" w:hAnsi="宋体" w:cs="宋体"/>
                <w:color w:val="auto"/>
                <w:sz w:val="22"/>
                <w:szCs w:val="20"/>
                <w:highlight w:val="none"/>
              </w:rPr>
              <w:t>说明：</w:t>
            </w:r>
            <w:r>
              <w:rPr>
                <w:rFonts w:hint="eastAsia" w:ascii="宋体" w:hAnsi="宋体" w:cs="宋体"/>
                <w:color w:val="auto"/>
                <w:sz w:val="22"/>
                <w:szCs w:val="22"/>
                <w:highlight w:val="none"/>
              </w:rPr>
              <w:t>以上所需的各种实物照片、证书、证件、证明、执照若系复印件的，须在复印件上加盖投标人有效的单位公章。</w:t>
            </w:r>
          </w:p>
        </w:tc>
      </w:tr>
    </w:tbl>
    <w:p>
      <w:pPr>
        <w:spacing w:line="440" w:lineRule="exact"/>
        <w:rPr>
          <w:rFonts w:hint="eastAsia" w:ascii="宋体" w:hAnsi="宋体" w:cs="宋体"/>
          <w:b/>
          <w:color w:val="auto"/>
          <w:sz w:val="22"/>
          <w:szCs w:val="22"/>
          <w:highlight w:val="none"/>
        </w:rPr>
      </w:pPr>
    </w:p>
    <w:p>
      <w:pPr>
        <w:spacing w:line="440" w:lineRule="exact"/>
        <w:rPr>
          <w:color w:val="auto"/>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3" w:type="dxa"/>
            <w:vAlign w:val="top"/>
          </w:tcPr>
          <w:p>
            <w:pPr>
              <w:autoSpaceDE w:val="0"/>
              <w:autoSpaceDN w:val="0"/>
              <w:adjustRightInd w:val="0"/>
              <w:snapToGrid w:val="0"/>
              <w:spacing w:before="0" w:beforeAutospacing="0" w:after="0" w:afterAutospacing="0" w:line="430" w:lineRule="atLeast"/>
              <w:ind w:left="0" w:right="0"/>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350" w:type="dxa"/>
            <w:vAlign w:val="top"/>
          </w:tcPr>
          <w:p>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516" w:type="dxa"/>
            <w:vAlign w:val="top"/>
          </w:tcPr>
          <w:p>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vAlign w:val="top"/>
          </w:tcPr>
          <w:p>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rPr>
            </w:pPr>
            <w:r>
              <w:rPr>
                <w:rFonts w:hint="eastAsia" w:ascii="宋体" w:hAnsi="宋体" w:cs="宋体"/>
                <w:bCs/>
                <w:color w:val="auto"/>
                <w:sz w:val="22"/>
                <w:szCs w:val="20"/>
                <w:highlight w:val="none"/>
              </w:rPr>
              <w:t>1</w:t>
            </w:r>
          </w:p>
        </w:tc>
        <w:tc>
          <w:tcPr>
            <w:tcW w:w="7350" w:type="dxa"/>
            <w:vAlign w:val="top"/>
          </w:tcPr>
          <w:p>
            <w:pPr>
              <w:autoSpaceDE w:val="0"/>
              <w:autoSpaceDN w:val="0"/>
              <w:adjustRightInd w:val="0"/>
              <w:snapToGrid w:val="0"/>
              <w:spacing w:before="0" w:beforeAutospacing="0" w:after="0" w:afterAutospacing="0" w:line="430" w:lineRule="atLeast"/>
              <w:ind w:left="0" w:right="0"/>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投标函</w:t>
            </w:r>
          </w:p>
        </w:tc>
        <w:tc>
          <w:tcPr>
            <w:tcW w:w="1516" w:type="dxa"/>
            <w:vAlign w:val="top"/>
          </w:tcPr>
          <w:p>
            <w:pPr>
              <w:autoSpaceDE w:val="0"/>
              <w:autoSpaceDN w:val="0"/>
              <w:adjustRightInd w:val="0"/>
              <w:snapToGrid w:val="0"/>
              <w:spacing w:before="0" w:beforeAutospacing="0" w:after="0" w:afterAutospacing="0" w:line="430" w:lineRule="atLeast"/>
              <w:ind w:left="0" w:right="0"/>
              <w:jc w:val="center"/>
              <w:rPr>
                <w:rFonts w:hint="default" w:ascii="宋体" w:hAnsi="宋体" w:cs="宋体"/>
                <w:bCs/>
                <w:color w:val="auto"/>
                <w:sz w:val="22"/>
                <w:szCs w:val="20"/>
                <w:highlight w:val="none"/>
              </w:rPr>
            </w:pPr>
            <w:r>
              <w:rPr>
                <w:rFonts w:hint="eastAsia" w:ascii="宋体" w:hAnsi="宋体" w:cs="宋体"/>
                <w:bCs/>
                <w:color w:val="auto"/>
                <w:sz w:val="22"/>
                <w:szCs w:val="20"/>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2</w:t>
            </w:r>
          </w:p>
        </w:tc>
        <w:tc>
          <w:tcPr>
            <w:tcW w:w="7350" w:type="dxa"/>
            <w:vAlign w:val="top"/>
          </w:tcPr>
          <w:p>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516"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3</w:t>
            </w:r>
          </w:p>
        </w:tc>
        <w:tc>
          <w:tcPr>
            <w:tcW w:w="7350" w:type="dxa"/>
            <w:vAlign w:val="top"/>
          </w:tcPr>
          <w:p>
            <w:pPr>
              <w:autoSpaceDE w:val="0"/>
              <w:autoSpaceDN w:val="0"/>
              <w:adjustRightInd w:val="0"/>
              <w:snapToGrid w:val="0"/>
              <w:spacing w:before="0" w:beforeAutospacing="0" w:after="0" w:afterAutospacing="0" w:line="440" w:lineRule="exact"/>
              <w:ind w:left="0" w:right="0"/>
              <w:rPr>
                <w:rFonts w:hint="eastAsia" w:ascii="宋体" w:hAnsi="Times New Roman" w:cs="宋体"/>
                <w:color w:val="auto"/>
                <w:sz w:val="22"/>
                <w:szCs w:val="20"/>
                <w:highlight w:val="none"/>
              </w:rPr>
            </w:pPr>
            <w:r>
              <w:rPr>
                <w:rFonts w:hint="eastAsia" w:ascii="宋体" w:hAnsi="宋体" w:cs="Times New Roman"/>
                <w:color w:val="auto"/>
                <w:sz w:val="22"/>
                <w:szCs w:val="22"/>
                <w:highlight w:val="none"/>
              </w:rPr>
              <w:t>货物成套供货清单</w:t>
            </w:r>
          </w:p>
        </w:tc>
        <w:tc>
          <w:tcPr>
            <w:tcW w:w="1516"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4</w:t>
            </w:r>
          </w:p>
        </w:tc>
        <w:tc>
          <w:tcPr>
            <w:tcW w:w="7350" w:type="dxa"/>
            <w:vAlign w:val="top"/>
          </w:tcPr>
          <w:p>
            <w:pPr>
              <w:autoSpaceDE w:val="0"/>
              <w:autoSpaceDN w:val="0"/>
              <w:adjustRightInd w:val="0"/>
              <w:snapToGrid w:val="0"/>
              <w:spacing w:before="0" w:beforeAutospacing="0" w:after="0" w:afterAutospacing="0" w:line="440" w:lineRule="exact"/>
              <w:ind w:left="0" w:right="0"/>
              <w:rPr>
                <w:rFonts w:hint="default" w:ascii="宋体" w:hAnsi="Times New Roman" w:cs="宋体"/>
                <w:color w:val="auto"/>
                <w:sz w:val="22"/>
                <w:szCs w:val="20"/>
                <w:highlight w:val="none"/>
              </w:rPr>
            </w:pPr>
            <w:r>
              <w:rPr>
                <w:rFonts w:hint="eastAsia" w:ascii="宋体" w:hAnsi="宋体" w:cs="Times New Roman"/>
                <w:bCs/>
                <w:color w:val="auto"/>
                <w:sz w:val="22"/>
                <w:szCs w:val="22"/>
                <w:highlight w:val="none"/>
              </w:rPr>
              <w:t>随机备品备件、易损易耗件、耗材和专用工具清单</w:t>
            </w:r>
          </w:p>
        </w:tc>
        <w:tc>
          <w:tcPr>
            <w:tcW w:w="1516"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eastAsia" w:ascii="宋体" w:hAnsi="宋体" w:cs="宋体"/>
                <w:color w:val="auto"/>
                <w:sz w:val="22"/>
                <w:szCs w:val="20"/>
                <w:highlight w:val="none"/>
              </w:rPr>
              <w:t>5</w:t>
            </w:r>
          </w:p>
        </w:tc>
        <w:tc>
          <w:tcPr>
            <w:tcW w:w="7350" w:type="dxa"/>
            <w:vAlign w:val="top"/>
          </w:tcPr>
          <w:p>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Times New Roman" w:hAnsi="宋体" w:cs="Times New Roman"/>
                <w:color w:val="auto"/>
                <w:sz w:val="22"/>
                <w:szCs w:val="22"/>
                <w:highlight w:val="none"/>
              </w:rPr>
              <w:t>投标人同类项目业绩一览表</w:t>
            </w:r>
          </w:p>
        </w:tc>
        <w:tc>
          <w:tcPr>
            <w:tcW w:w="1516" w:type="dxa"/>
            <w:vAlign w:val="center"/>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6</w:t>
            </w:r>
          </w:p>
        </w:tc>
        <w:tc>
          <w:tcPr>
            <w:tcW w:w="7350" w:type="dxa"/>
            <w:vAlign w:val="center"/>
          </w:tcPr>
          <w:p>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投标人</w:t>
            </w:r>
            <w:r>
              <w:rPr>
                <w:rFonts w:hint="default" w:ascii="宋体" w:hAnsi="宋体" w:cs="Times New Roman"/>
                <w:color w:val="auto"/>
                <w:sz w:val="22"/>
                <w:szCs w:val="22"/>
                <w:highlight w:val="none"/>
              </w:rPr>
              <w:t>所投产品</w:t>
            </w:r>
            <w:r>
              <w:rPr>
                <w:rFonts w:hint="eastAsia" w:ascii="宋体" w:hAnsi="宋体" w:cs="Times New Roman"/>
                <w:color w:val="auto"/>
                <w:sz w:val="22"/>
                <w:szCs w:val="22"/>
                <w:highlight w:val="none"/>
              </w:rPr>
              <w:t>节能环保水平相关证明材料</w:t>
            </w:r>
          </w:p>
        </w:tc>
        <w:tc>
          <w:tcPr>
            <w:tcW w:w="1516"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r>
              <w:rPr>
                <w:rFonts w:hint="default" w:ascii="宋体" w:hAnsi="宋体" w:cs="宋体"/>
                <w:color w:val="auto"/>
                <w:sz w:val="22"/>
                <w:szCs w:val="22"/>
                <w:highlight w:val="none"/>
              </w:rPr>
              <w:t>2</w:t>
            </w:r>
            <w:r>
              <w:rPr>
                <w:rFonts w:hint="eastAsia" w:ascii="宋体" w:hAnsi="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before="0" w:beforeAutospacing="0" w:after="0" w:afterAutospacing="0" w:line="440" w:lineRule="exact"/>
              <w:ind w:left="0" w:right="0"/>
              <w:jc w:val="center"/>
              <w:rPr>
                <w:rFonts w:hint="default" w:ascii="宋体" w:hAnsi="宋体" w:eastAsia="宋体" w:cs="宋体"/>
                <w:color w:val="auto"/>
                <w:sz w:val="22"/>
                <w:szCs w:val="20"/>
                <w:highlight w:val="none"/>
                <w:lang w:val="en-US" w:eastAsia="zh-CN"/>
              </w:rPr>
            </w:pPr>
            <w:r>
              <w:rPr>
                <w:rFonts w:hint="eastAsia" w:ascii="宋体" w:hAnsi="宋体" w:cs="宋体"/>
                <w:color w:val="auto"/>
                <w:sz w:val="22"/>
                <w:szCs w:val="20"/>
                <w:highlight w:val="none"/>
                <w:lang w:val="en-US" w:eastAsia="zh-CN"/>
              </w:rPr>
              <w:t>7</w:t>
            </w:r>
          </w:p>
        </w:tc>
        <w:tc>
          <w:tcPr>
            <w:tcW w:w="7350" w:type="dxa"/>
            <w:vAlign w:val="center"/>
          </w:tcPr>
          <w:p>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Times New Roman" w:cs="Times New Roman"/>
                <w:color w:val="auto"/>
                <w:sz w:val="20"/>
                <w:szCs w:val="20"/>
                <w:highlight w:val="none"/>
              </w:rPr>
              <w:t>根据招标文件中的采购内容与技术要求、评标细则，需要提供的其它文件和资料。</w:t>
            </w:r>
          </w:p>
        </w:tc>
        <w:tc>
          <w:tcPr>
            <w:tcW w:w="1516"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pPr>
              <w:autoSpaceDE w:val="0"/>
              <w:autoSpaceDN w:val="0"/>
              <w:adjustRightInd w:val="0"/>
              <w:snapToGrid w:val="0"/>
              <w:spacing w:before="0" w:beforeAutospacing="0" w:after="0" w:afterAutospacing="0" w:line="430" w:lineRule="atLeast"/>
              <w:ind w:left="0" w:right="0"/>
              <w:rPr>
                <w:rFonts w:hint="eastAsia" w:ascii="宋体" w:hAnsi="宋体" w:cs="宋体"/>
                <w:color w:val="auto"/>
                <w:sz w:val="22"/>
                <w:szCs w:val="20"/>
                <w:highlight w:val="none"/>
              </w:rPr>
            </w:pPr>
            <w:r>
              <w:rPr>
                <w:rFonts w:hint="eastAsia" w:ascii="宋体" w:hAnsi="宋体" w:cs="宋体"/>
                <w:color w:val="auto"/>
                <w:sz w:val="22"/>
                <w:szCs w:val="20"/>
                <w:highlight w:val="none"/>
              </w:rPr>
              <w:t>说明：</w:t>
            </w:r>
            <w:r>
              <w:rPr>
                <w:rFonts w:hint="eastAsia" w:ascii="宋体" w:hAnsi="宋体" w:cs="宋体"/>
                <w:color w:val="auto"/>
                <w:sz w:val="22"/>
                <w:szCs w:val="22"/>
                <w:highlight w:val="none"/>
              </w:rPr>
              <w:t>以上所需的各种检测报告、实物照片、证书、证件、证明、执照若系复印件的，须在复印件上加盖投标人有效的单位公章。</w:t>
            </w:r>
          </w:p>
        </w:tc>
      </w:tr>
    </w:tbl>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5.1.3</w:t>
      </w:r>
      <w:r>
        <w:rPr>
          <w:rFonts w:hint="eastAsia" w:ascii="宋体" w:hAnsi="宋体" w:cs="宋体"/>
          <w:b/>
          <w:bCs/>
          <w:color w:val="auto"/>
          <w:sz w:val="22"/>
          <w:szCs w:val="22"/>
          <w:highlight w:val="none"/>
        </w:rPr>
        <w:t>报价响应文件</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305" w:type="dxa"/>
            <w:vAlign w:val="top"/>
          </w:tcPr>
          <w:p>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550" w:type="dxa"/>
            <w:vAlign w:val="top"/>
          </w:tcPr>
          <w:p>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1</w:t>
            </w:r>
          </w:p>
        </w:tc>
        <w:tc>
          <w:tcPr>
            <w:tcW w:w="7305" w:type="dxa"/>
            <w:vAlign w:val="top"/>
          </w:tcPr>
          <w:p>
            <w:pPr>
              <w:autoSpaceDE w:val="0"/>
              <w:autoSpaceDN w:val="0"/>
              <w:adjustRightInd w:val="0"/>
              <w:spacing w:before="0" w:beforeAutospacing="0" w:after="0" w:afterAutospacing="0" w:line="430" w:lineRule="atLeast"/>
              <w:ind w:left="0" w:right="0"/>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投标报价一览表</w:t>
            </w:r>
          </w:p>
        </w:tc>
        <w:tc>
          <w:tcPr>
            <w:tcW w:w="1550" w:type="dxa"/>
            <w:vAlign w:val="top"/>
          </w:tcPr>
          <w:p>
            <w:pPr>
              <w:autoSpaceDE w:val="0"/>
              <w:autoSpaceDN w:val="0"/>
              <w:adjustRightInd w:val="0"/>
              <w:spacing w:before="0" w:beforeAutospacing="0" w:after="0" w:afterAutospacing="0" w:line="430" w:lineRule="atLeast"/>
              <w:ind w:left="0" w:right="0"/>
              <w:jc w:val="center"/>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2</w:t>
            </w:r>
          </w:p>
        </w:tc>
        <w:tc>
          <w:tcPr>
            <w:tcW w:w="7305" w:type="dxa"/>
            <w:vAlign w:val="top"/>
          </w:tcPr>
          <w:p>
            <w:pPr>
              <w:autoSpaceDE w:val="0"/>
              <w:autoSpaceDN w:val="0"/>
              <w:adjustRightInd w:val="0"/>
              <w:spacing w:before="0" w:beforeAutospacing="0" w:after="0" w:afterAutospacing="0" w:line="430" w:lineRule="atLeast"/>
              <w:ind w:left="0" w:right="0"/>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投标分项报价表</w:t>
            </w:r>
          </w:p>
        </w:tc>
        <w:tc>
          <w:tcPr>
            <w:tcW w:w="1550" w:type="dxa"/>
            <w:vAlign w:val="top"/>
          </w:tcPr>
          <w:p>
            <w:pPr>
              <w:autoSpaceDE w:val="0"/>
              <w:autoSpaceDN w:val="0"/>
              <w:adjustRightInd w:val="0"/>
              <w:spacing w:before="0" w:beforeAutospacing="0" w:after="0" w:afterAutospacing="0" w:line="430" w:lineRule="atLeast"/>
              <w:ind w:left="0" w:right="0"/>
              <w:jc w:val="center"/>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3</w:t>
            </w:r>
          </w:p>
        </w:tc>
        <w:tc>
          <w:tcPr>
            <w:tcW w:w="7305" w:type="dxa"/>
            <w:vAlign w:val="top"/>
          </w:tcPr>
          <w:p>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中小企业声明函</w:t>
            </w:r>
          </w:p>
        </w:tc>
        <w:tc>
          <w:tcPr>
            <w:tcW w:w="1550"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4</w:t>
            </w:r>
          </w:p>
        </w:tc>
        <w:tc>
          <w:tcPr>
            <w:tcW w:w="7305" w:type="dxa"/>
            <w:vAlign w:val="top"/>
          </w:tcPr>
          <w:p>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残疾人福利性单位声明函（如为残疾人单位的请根据附件内容提供）</w:t>
            </w:r>
          </w:p>
        </w:tc>
        <w:tc>
          <w:tcPr>
            <w:tcW w:w="1550"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5</w:t>
            </w:r>
          </w:p>
        </w:tc>
        <w:tc>
          <w:tcPr>
            <w:tcW w:w="7305" w:type="dxa"/>
            <w:vAlign w:val="top"/>
          </w:tcPr>
          <w:p>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监狱企业提供的相关证明材料（如为监狱企业的请根据附件内容提供）</w:t>
            </w:r>
          </w:p>
        </w:tc>
        <w:tc>
          <w:tcPr>
            <w:tcW w:w="1550" w:type="dxa"/>
            <w:vAlign w:val="top"/>
          </w:tcPr>
          <w:p>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bl>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5.2  投标文件格式</w:t>
      </w:r>
    </w:p>
    <w:p>
      <w:pPr>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投标人应根据招标文件中所提供的格式，内容按顺序填写，编写目录和页码，分别写入资格文件、商务技术文件和</w:t>
      </w:r>
      <w:r>
        <w:rPr>
          <w:rFonts w:hint="eastAsia" w:ascii="宋体" w:hAnsi="宋体"/>
          <w:color w:val="auto"/>
          <w:sz w:val="22"/>
          <w:szCs w:val="22"/>
          <w:highlight w:val="none"/>
        </w:rPr>
        <w:t>报价响应文件中</w:t>
      </w:r>
      <w:r>
        <w:rPr>
          <w:rFonts w:hint="eastAsia" w:ascii="宋体" w:hAnsi="宋体" w:cs="宋体"/>
          <w:color w:val="auto"/>
          <w:sz w:val="22"/>
          <w:szCs w:val="22"/>
          <w:highlight w:val="none"/>
        </w:rPr>
        <w:t>。</w:t>
      </w:r>
    </w:p>
    <w:p>
      <w:pPr>
        <w:tabs>
          <w:tab w:val="left" w:pos="-180"/>
          <w:tab w:val="left" w:pos="180"/>
          <w:tab w:val="left" w:pos="360"/>
        </w:tabs>
        <w:spacing w:line="440" w:lineRule="exact"/>
        <w:rPr>
          <w:rFonts w:hint="eastAsia" w:ascii="宋体" w:hAnsi="宋体" w:cs="宋体"/>
          <w:b/>
          <w:bCs/>
          <w:color w:val="auto"/>
          <w:sz w:val="22"/>
          <w:szCs w:val="22"/>
          <w:highlight w:val="none"/>
          <w:u w:val="single"/>
        </w:rPr>
      </w:pPr>
      <w:r>
        <w:rPr>
          <w:rFonts w:hint="eastAsia" w:ascii="宋体" w:hAnsi="宋体" w:cs="宋体"/>
          <w:bCs/>
          <w:color w:val="auto"/>
          <w:sz w:val="22"/>
          <w:szCs w:val="22"/>
          <w:highlight w:val="none"/>
        </w:rPr>
        <w:t xml:space="preserve">6. </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投标报价</w:t>
      </w:r>
    </w:p>
    <w:p>
      <w:pPr>
        <w:tabs>
          <w:tab w:val="left" w:pos="-180"/>
          <w:tab w:val="left" w:pos="180"/>
          <w:tab w:val="left" w:pos="360"/>
        </w:tabs>
        <w:spacing w:line="440" w:lineRule="exact"/>
        <w:ind w:left="550" w:hanging="550" w:hangingChars="250"/>
        <w:rPr>
          <w:rFonts w:hint="eastAsia" w:hAnsi="宋体" w:cs="宋体"/>
          <w:color w:val="auto"/>
          <w:sz w:val="22"/>
          <w:szCs w:val="22"/>
          <w:highlight w:val="none"/>
        </w:rPr>
      </w:pPr>
      <w:r>
        <w:rPr>
          <w:rFonts w:hint="eastAsia" w:ascii="宋体" w:hAnsi="宋体" w:cs="宋体"/>
          <w:color w:val="auto"/>
          <w:sz w:val="22"/>
          <w:szCs w:val="22"/>
          <w:highlight w:val="none"/>
        </w:rPr>
        <w:t xml:space="preserve">6.1 </w:t>
      </w:r>
      <w:r>
        <w:rPr>
          <w:rFonts w:ascii="宋体" w:hAnsi="宋体" w:cs="宋体"/>
          <w:color w:val="auto"/>
          <w:sz w:val="22"/>
          <w:szCs w:val="22"/>
          <w:highlight w:val="none"/>
        </w:rPr>
        <w:t xml:space="preserve"> </w:t>
      </w:r>
      <w:r>
        <w:rPr>
          <w:rFonts w:hint="eastAsia" w:ascii="宋体" w:hAnsi="宋体"/>
          <w:b/>
          <w:color w:val="auto"/>
          <w:sz w:val="22"/>
          <w:szCs w:val="22"/>
          <w:highlight w:val="none"/>
        </w:rPr>
        <w:t>投标报价包括：全部货物、专用工具、税金、包装、运输、保险、装卸就位、安装调试</w:t>
      </w:r>
      <w:r>
        <w:rPr>
          <w:rFonts w:hint="eastAsia" w:ascii="宋体" w:hAnsi="宋体"/>
          <w:b/>
          <w:color w:val="auto"/>
          <w:sz w:val="22"/>
          <w:szCs w:val="22"/>
          <w:highlight w:val="none"/>
          <w:lang w:eastAsia="zh-CN"/>
        </w:rPr>
        <w:t>（试车）</w:t>
      </w:r>
      <w:r>
        <w:rPr>
          <w:rFonts w:hint="eastAsia" w:ascii="宋体" w:hAnsi="宋体"/>
          <w:b/>
          <w:color w:val="auto"/>
          <w:sz w:val="22"/>
          <w:szCs w:val="22"/>
          <w:highlight w:val="none"/>
        </w:rPr>
        <w:t>、技术服务、售后服务、材料、质保期</w:t>
      </w:r>
      <w:r>
        <w:rPr>
          <w:rFonts w:hint="eastAsia" w:ascii="宋体" w:hAnsi="宋体"/>
          <w:b/>
          <w:color w:val="auto"/>
          <w:sz w:val="22"/>
          <w:szCs w:val="22"/>
          <w:highlight w:val="none"/>
          <w:lang w:eastAsia="zh-CN"/>
        </w:rPr>
        <w:t>维保</w:t>
      </w:r>
      <w:r>
        <w:rPr>
          <w:rFonts w:hint="eastAsia" w:ascii="宋体" w:hAnsi="宋体"/>
          <w:b/>
          <w:color w:val="auto"/>
          <w:sz w:val="22"/>
          <w:szCs w:val="22"/>
          <w:highlight w:val="none"/>
        </w:rPr>
        <w:t>、采购代理服务费</w:t>
      </w:r>
      <w:r>
        <w:rPr>
          <w:rFonts w:hint="eastAsia" w:ascii="宋体" w:hAnsi="宋体" w:cs="宋体"/>
          <w:b/>
          <w:color w:val="auto"/>
          <w:sz w:val="22"/>
          <w:szCs w:val="22"/>
          <w:highlight w:val="none"/>
        </w:rPr>
        <w:t>等全部费用。</w:t>
      </w:r>
      <w:r>
        <w:rPr>
          <w:rFonts w:hint="eastAsia" w:hAnsi="宋体" w:cs="宋体"/>
          <w:color w:val="auto"/>
          <w:sz w:val="22"/>
          <w:szCs w:val="22"/>
          <w:highlight w:val="none"/>
        </w:rPr>
        <w:t>投标人应根据上述因素自行考虑含入投标总价。</w:t>
      </w:r>
    </w:p>
    <w:p>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2</w:t>
      </w:r>
      <w:r>
        <w:rPr>
          <w:rFonts w:hint="eastAsia" w:ascii="宋体" w:hAnsi="宋体" w:cs="宋体"/>
          <w:color w:val="auto"/>
          <w:sz w:val="22"/>
          <w:szCs w:val="22"/>
          <w:highlight w:val="none"/>
        </w:rPr>
        <w:t xml:space="preserve">  投标人必须按附件中的投标报价一览表、投标分项报价表（均统一格式）内容填写单价、合价和总价，并由法定代表人或投标人代表签署。</w:t>
      </w:r>
    </w:p>
    <w:p>
      <w:pPr>
        <w:tabs>
          <w:tab w:val="left" w:pos="-180"/>
          <w:tab w:val="left" w:pos="180"/>
          <w:tab w:val="left" w:pos="360"/>
        </w:tabs>
        <w:spacing w:line="440" w:lineRule="exact"/>
        <w:ind w:left="442" w:hanging="442" w:hangingChars="200"/>
        <w:rPr>
          <w:rFonts w:hint="eastAsia" w:ascii="宋体" w:hAnsi="宋体" w:cs="宋体"/>
          <w:color w:val="auto"/>
          <w:sz w:val="22"/>
          <w:szCs w:val="22"/>
          <w:highlight w:val="none"/>
        </w:rPr>
      </w:pPr>
      <w:r>
        <w:rPr>
          <w:rFonts w:hint="eastAsia" w:ascii="宋体" w:hAnsi="宋体" w:cs="宋体"/>
          <w:b/>
          <w:color w:val="auto"/>
          <w:sz w:val="22"/>
          <w:szCs w:val="22"/>
          <w:highlight w:val="none"/>
        </w:rPr>
        <w:t>6.</w:t>
      </w:r>
      <w:r>
        <w:rPr>
          <w:rFonts w:ascii="宋体" w:hAnsi="宋体" w:cs="宋体"/>
          <w:b/>
          <w:color w:val="auto"/>
          <w:sz w:val="22"/>
          <w:szCs w:val="22"/>
          <w:highlight w:val="none"/>
        </w:rPr>
        <w:t>3</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szCs w:val="22"/>
          <w:highlight w:val="none"/>
        </w:rPr>
        <w:t>。</w:t>
      </w:r>
    </w:p>
    <w:p>
      <w:pPr>
        <w:tabs>
          <w:tab w:val="left" w:pos="-180"/>
          <w:tab w:val="left" w:pos="180"/>
          <w:tab w:val="left" w:pos="36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4</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招标采购单位不接受任何选择报价，对任何货物或服务只允许一个报价</w:t>
      </w:r>
      <w:r>
        <w:rPr>
          <w:rFonts w:hint="eastAsia" w:ascii="宋体" w:hAnsi="宋体" w:cs="宋体"/>
          <w:color w:val="auto"/>
          <w:sz w:val="22"/>
          <w:szCs w:val="22"/>
          <w:highlight w:val="none"/>
        </w:rPr>
        <w:t>。</w:t>
      </w:r>
    </w:p>
    <w:p>
      <w:pPr>
        <w:tabs>
          <w:tab w:val="left" w:pos="-180"/>
          <w:tab w:val="left" w:pos="180"/>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5</w:t>
      </w:r>
      <w:r>
        <w:rPr>
          <w:rFonts w:hint="eastAsia" w:ascii="宋体" w:hAnsi="宋体" w:cs="宋体"/>
          <w:color w:val="auto"/>
          <w:sz w:val="22"/>
          <w:szCs w:val="22"/>
          <w:highlight w:val="none"/>
        </w:rPr>
        <w:t xml:space="preserve">  招标采购单位要求分类报价是为了方便评标，但在任何情况下不限制采购人以其认为最合适的条款、条件签订合同的权利。</w:t>
      </w:r>
    </w:p>
    <w:p>
      <w:pPr>
        <w:tabs>
          <w:tab w:val="left" w:pos="-180"/>
          <w:tab w:val="left" w:pos="180"/>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6</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highlight w:val="none"/>
        </w:rPr>
        <w:t>。</w:t>
      </w:r>
    </w:p>
    <w:p>
      <w:pPr>
        <w:spacing w:line="440" w:lineRule="exact"/>
        <w:rPr>
          <w:rFonts w:hint="eastAsia" w:ascii="宋体" w:hAnsi="宋体" w:cs="宋体"/>
          <w:color w:val="auto"/>
          <w:sz w:val="22"/>
          <w:szCs w:val="22"/>
          <w:highlight w:val="none"/>
        </w:rPr>
      </w:pPr>
      <w:bookmarkStart w:id="36" w:name="_Toc230773778"/>
      <w:r>
        <w:rPr>
          <w:rFonts w:hint="eastAsia" w:ascii="宋体" w:hAnsi="宋体" w:cs="宋体"/>
          <w:bCs/>
          <w:color w:val="auto"/>
          <w:sz w:val="22"/>
          <w:szCs w:val="22"/>
          <w:highlight w:val="none"/>
        </w:rPr>
        <w:t xml:space="preserve">7.   </w:t>
      </w:r>
      <w:r>
        <w:rPr>
          <w:rFonts w:hint="eastAsia" w:ascii="宋体" w:hAnsi="宋体" w:cs="宋体"/>
          <w:b/>
          <w:bCs/>
          <w:color w:val="auto"/>
          <w:sz w:val="22"/>
          <w:szCs w:val="22"/>
          <w:highlight w:val="none"/>
          <w:u w:val="single"/>
        </w:rPr>
        <w:t>投标有效期</w:t>
      </w:r>
    </w:p>
    <w:p>
      <w:pPr>
        <w:spacing w:line="44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天内投标应保持投标有效</w:t>
      </w:r>
      <w:r>
        <w:rPr>
          <w:rFonts w:hint="eastAsia" w:ascii="宋体" w:hAnsi="宋体" w:cs="宋体"/>
          <w:b/>
          <w:color w:val="auto"/>
          <w:sz w:val="22"/>
          <w:szCs w:val="22"/>
          <w:highlight w:val="none"/>
        </w:rPr>
        <w:t>。</w:t>
      </w:r>
    </w:p>
    <w:p>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pPr>
        <w:spacing w:line="440" w:lineRule="exact"/>
        <w:rPr>
          <w:rFonts w:ascii="宋体" w:hAnsi="宋体"/>
          <w:b/>
          <w:bCs/>
          <w:color w:val="auto"/>
          <w:sz w:val="22"/>
          <w:szCs w:val="22"/>
          <w:highlight w:val="none"/>
        </w:rPr>
      </w:pPr>
      <w:r>
        <w:rPr>
          <w:rFonts w:hint="eastAsia" w:ascii="宋体" w:hAnsi="宋体"/>
          <w:bCs/>
          <w:color w:val="auto"/>
          <w:sz w:val="22"/>
          <w:szCs w:val="22"/>
          <w:highlight w:val="none"/>
        </w:rPr>
        <w:t xml:space="preserve">8.   </w:t>
      </w:r>
      <w:r>
        <w:rPr>
          <w:rFonts w:hint="eastAsia" w:ascii="宋体" w:hAnsi="宋体"/>
          <w:b/>
          <w:bCs/>
          <w:color w:val="auto"/>
          <w:sz w:val="22"/>
          <w:szCs w:val="22"/>
          <w:highlight w:val="none"/>
        </w:rPr>
        <w:t>投标文件的签署和规定</w:t>
      </w:r>
    </w:p>
    <w:p>
      <w:pPr>
        <w:spacing w:line="440" w:lineRule="exact"/>
        <w:ind w:left="550" w:hanging="550" w:hangingChars="250"/>
        <w:rPr>
          <w:rFonts w:hint="eastAsia"/>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投标人应根据招标文件的规定对投标文件进行电子盖章及签署</w:t>
      </w:r>
      <w:r>
        <w:rPr>
          <w:rFonts w:hint="eastAsia" w:ascii="宋体" w:hAnsi="宋体"/>
          <w:color w:val="auto"/>
          <w:sz w:val="22"/>
          <w:szCs w:val="22"/>
          <w:highlight w:val="none"/>
        </w:rPr>
        <w:t>。</w:t>
      </w:r>
    </w:p>
    <w:p>
      <w:pPr>
        <w:pStyle w:val="3"/>
        <w:spacing w:line="680" w:lineRule="exact"/>
        <w:jc w:val="center"/>
        <w:rPr>
          <w:rFonts w:hint="eastAsia" w:ascii="宋体" w:hAnsi="宋体" w:eastAsia="宋体" w:cs="宋体"/>
          <w:color w:val="auto"/>
          <w:sz w:val="28"/>
          <w:szCs w:val="28"/>
          <w:highlight w:val="none"/>
        </w:rPr>
      </w:pPr>
      <w:bookmarkStart w:id="37" w:name="_Toc21827"/>
      <w:r>
        <w:rPr>
          <w:rFonts w:hint="eastAsia" w:ascii="宋体" w:hAnsi="宋体" w:eastAsia="宋体" w:cs="宋体"/>
          <w:color w:val="auto"/>
          <w:sz w:val="28"/>
          <w:szCs w:val="28"/>
          <w:highlight w:val="none"/>
        </w:rPr>
        <w:t>四、 投标文件的递交</w:t>
      </w:r>
      <w:bookmarkEnd w:id="36"/>
      <w:bookmarkEnd w:id="37"/>
    </w:p>
    <w:p>
      <w:pPr>
        <w:spacing w:line="440" w:lineRule="exact"/>
        <w:rPr>
          <w:rFonts w:hint="eastAsia" w:ascii="宋体" w:hAnsi="宋体" w:cs="宋体"/>
          <w:b/>
          <w:bCs/>
          <w:color w:val="auto"/>
          <w:sz w:val="22"/>
          <w:szCs w:val="22"/>
          <w:highlight w:val="none"/>
        </w:rPr>
      </w:pPr>
      <w:bookmarkStart w:id="38" w:name="_Toc230773779"/>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投标文件的递交</w:t>
      </w:r>
    </w:p>
    <w:p>
      <w:pPr>
        <w:spacing w:line="440" w:lineRule="exact"/>
        <w:ind w:left="552" w:hanging="552" w:hangingChars="250"/>
        <w:rPr>
          <w:rFonts w:ascii="宋体" w:hAnsi="宋体" w:cs="宋体"/>
          <w:b/>
          <w:bCs/>
          <w:color w:val="auto"/>
          <w:sz w:val="22"/>
          <w:szCs w:val="22"/>
          <w:highlight w:val="none"/>
          <w:u w:val="single"/>
        </w:rPr>
      </w:pP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rPr>
        <w:t xml:space="preserve"> </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投标文件必须在招标文件规定的投标文件截止时间前完成电子投标文件的传输递交。投标截止时间前未完成传输的，视为撤回投标文件。投标截止时间后送达的投标文件，将被政采云平台拒收。</w:t>
      </w:r>
    </w:p>
    <w:p>
      <w:pPr>
        <w:spacing w:line="440" w:lineRule="exact"/>
        <w:ind w:left="550" w:hanging="550" w:hangingChars="250"/>
        <w:rPr>
          <w:rFonts w:ascii="宋体" w:hAnsi="宋体" w:cs="宋体"/>
          <w:b/>
          <w:bCs/>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投标文件的补充、修改和撤回</w:t>
      </w:r>
    </w:p>
    <w:p>
      <w:pPr>
        <w:spacing w:line="440" w:lineRule="exact"/>
        <w:ind w:left="550" w:hanging="550" w:hangingChars="250"/>
        <w:rPr>
          <w:rFonts w:hint="eastAsia"/>
          <w:color w:val="auto"/>
          <w:highlight w:val="none"/>
        </w:rPr>
      </w:pPr>
      <w:r>
        <w:rPr>
          <w:rFonts w:hint="eastAsia" w:ascii="宋体" w:hAnsi="宋体" w:cs="宋体"/>
          <w:color w:val="auto"/>
          <w:sz w:val="22"/>
          <w:szCs w:val="22"/>
          <w:highlight w:val="none"/>
        </w:rPr>
        <w:t xml:space="preserve"> </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投标人在投标截止时间前，可以补充、修改或者撤回电子投标文件。补充或者修改电子投标文件的，应当先行撤回原文件，补充、修改后重新传输递交。</w:t>
      </w:r>
    </w:p>
    <w:p>
      <w:pPr>
        <w:pStyle w:val="3"/>
        <w:spacing w:line="680" w:lineRule="exact"/>
        <w:jc w:val="center"/>
        <w:rPr>
          <w:rFonts w:hint="eastAsia" w:ascii="宋体" w:hAnsi="宋体" w:eastAsia="宋体" w:cs="宋体"/>
          <w:color w:val="auto"/>
          <w:sz w:val="28"/>
          <w:szCs w:val="28"/>
          <w:highlight w:val="none"/>
        </w:rPr>
      </w:pPr>
      <w:bookmarkStart w:id="39" w:name="_Toc7405"/>
      <w:r>
        <w:rPr>
          <w:rFonts w:hint="eastAsia" w:ascii="宋体" w:hAnsi="宋体" w:eastAsia="宋体" w:cs="宋体"/>
          <w:color w:val="auto"/>
          <w:sz w:val="28"/>
          <w:szCs w:val="28"/>
          <w:highlight w:val="none"/>
        </w:rPr>
        <w:t>五、 开标和评标</w:t>
      </w:r>
      <w:bookmarkEnd w:id="38"/>
      <w:bookmarkEnd w:id="39"/>
    </w:p>
    <w:p>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评标委员会</w:t>
      </w:r>
    </w:p>
    <w:p>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sz w:val="22"/>
          <w:szCs w:val="22"/>
          <w:highlight w:val="none"/>
        </w:rPr>
        <w:t>中华人民共和国政府采购法</w:t>
      </w:r>
      <w:r>
        <w:rPr>
          <w:rFonts w:hint="eastAsia" w:ascii="宋体" w:hAnsi="宋体" w:cs="宋体"/>
          <w:bCs/>
          <w:color w:val="auto"/>
          <w:sz w:val="22"/>
          <w:szCs w:val="22"/>
          <w:highlight w:val="none"/>
        </w:rPr>
        <w:t>》等有关法律、法规的规定。</w:t>
      </w:r>
    </w:p>
    <w:p>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评标过程的保密性</w:t>
      </w:r>
    </w:p>
    <w:p>
      <w:pPr>
        <w:spacing w:line="440" w:lineRule="exact"/>
        <w:ind w:left="558" w:leftChars="4"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评标前准备</w:t>
      </w:r>
    </w:p>
    <w:p>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投标文件签收及解密：由采购代理机构开始签收并开始解密投标文件。</w:t>
      </w:r>
    </w:p>
    <w:p>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highlight w:val="none"/>
        </w:rPr>
        <w:t>投标文件未按时解密，</w:t>
      </w:r>
      <w:r>
        <w:rPr>
          <w:rFonts w:hint="eastAsia" w:ascii="宋体" w:hAnsi="宋体" w:cs="宋体"/>
          <w:bCs/>
          <w:color w:val="auto"/>
          <w:sz w:val="22"/>
          <w:szCs w:val="22"/>
          <w:highlight w:val="none"/>
        </w:rPr>
        <w:t>投标人</w:t>
      </w:r>
      <w:r>
        <w:rPr>
          <w:rFonts w:ascii="宋体" w:hAnsi="宋体" w:cs="宋体"/>
          <w:bCs/>
          <w:color w:val="auto"/>
          <w:sz w:val="22"/>
          <w:szCs w:val="22"/>
          <w:highlight w:val="none"/>
        </w:rPr>
        <w:t>提供了备份投标文件的，以备份投标文件作为依据，否则视为投标文件撤回。投标文件已按时解密的，备份投标文件自动失效。</w:t>
      </w:r>
    </w:p>
    <w:p>
      <w:pPr>
        <w:spacing w:line="440" w:lineRule="exact"/>
        <w:ind w:left="558" w:leftChars="4"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投标文件解密结束。投标人在线解密投标文件完毕后，由采购代理机构结束解密投标文件。</w:t>
      </w:r>
    </w:p>
    <w:p>
      <w:pPr>
        <w:spacing w:line="440" w:lineRule="exact"/>
        <w:ind w:left="560" w:leftChars="4" w:hanging="552" w:hangingChars="250"/>
        <w:rPr>
          <w:rFonts w:ascii="宋体" w:hAnsi="宋体" w:cs="宋体"/>
          <w:b/>
          <w:color w:val="auto"/>
          <w:sz w:val="22"/>
          <w:szCs w:val="22"/>
          <w:highlight w:val="none"/>
        </w:rPr>
      </w:pPr>
      <w:r>
        <w:rPr>
          <w:rFonts w:ascii="宋体" w:hAnsi="宋体" w:cs="宋体"/>
          <w:b/>
          <w:color w:val="auto"/>
          <w:sz w:val="22"/>
          <w:szCs w:val="22"/>
          <w:highlight w:val="none"/>
        </w:rPr>
        <w:t xml:space="preserve">4.   </w:t>
      </w:r>
      <w:r>
        <w:rPr>
          <w:rFonts w:hint="eastAsia" w:ascii="宋体" w:hAnsi="宋体" w:cs="宋体"/>
          <w:b/>
          <w:color w:val="auto"/>
          <w:sz w:val="22"/>
          <w:szCs w:val="22"/>
          <w:highlight w:val="none"/>
        </w:rPr>
        <w:t>开标评标</w:t>
      </w:r>
    </w:p>
    <w:p>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4.1</w:t>
      </w:r>
      <w:r>
        <w:rPr>
          <w:rFonts w:hint="eastAsia" w:ascii="宋体" w:hAnsi="宋体" w:cs="宋体"/>
          <w:bCs/>
          <w:color w:val="auto"/>
          <w:sz w:val="22"/>
          <w:szCs w:val="22"/>
          <w:highlight w:val="none"/>
        </w:rPr>
        <w:t xml:space="preserve">  资格性审查</w:t>
      </w:r>
    </w:p>
    <w:p>
      <w:pPr>
        <w:spacing w:line="440" w:lineRule="exact"/>
        <w:ind w:left="533" w:leftChars="254"/>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只要有一项审查不合格，则该投标人的资格审查不合格，审查不合格的投标文件将不予评审。</w:t>
      </w:r>
    </w:p>
    <w:p>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4.2</w:t>
      </w:r>
      <w:r>
        <w:rPr>
          <w:rFonts w:hint="eastAsia" w:ascii="宋体" w:hAnsi="宋体" w:cs="宋体"/>
          <w:bCs/>
          <w:color w:val="auto"/>
          <w:sz w:val="22"/>
          <w:szCs w:val="22"/>
          <w:highlight w:val="none"/>
        </w:rPr>
        <w:t xml:space="preserve">  符合性审查</w:t>
      </w:r>
    </w:p>
    <w:p>
      <w:pPr>
        <w:spacing w:line="440" w:lineRule="exact"/>
        <w:ind w:left="525" w:left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highlight w:val="none"/>
          <w:u w:val="single"/>
        </w:rPr>
        <w:t>评标委员会决定投标的响应性只根据投标文件本身的内容，而不寻求外部的证据。</w:t>
      </w:r>
    </w:p>
    <w:p>
      <w:pPr>
        <w:spacing w:line="440" w:lineRule="exact"/>
        <w:ind w:left="539" w:hanging="539" w:hanging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投标文件评审</w:t>
      </w:r>
    </w:p>
    <w:p>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highlight w:val="none"/>
        </w:rPr>
        <w:t>按照招标文件中制订的评标方法进行综合评定打分，并提交评审报告。</w:t>
      </w:r>
    </w:p>
    <w:p>
      <w:pPr>
        <w:tabs>
          <w:tab w:val="left" w:pos="1365"/>
        </w:tabs>
        <w:spacing w:line="440" w:lineRule="exact"/>
        <w:ind w:left="552" w:hanging="552" w:hangingChars="250"/>
        <w:rPr>
          <w:rFonts w:hint="eastAsia"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   投标文件的澄清</w:t>
      </w:r>
    </w:p>
    <w:p>
      <w:pPr>
        <w:tabs>
          <w:tab w:val="left" w:pos="1365"/>
        </w:tabs>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.1  对于投标文件中含义不明确、同类问题表述不一致或者有明显文字和计算错误的内容，评标委员会应当以书面形式要求投标人作出必要的澄清、说明或者补正。</w:t>
      </w:r>
    </w:p>
    <w:p>
      <w:pPr>
        <w:tabs>
          <w:tab w:val="left" w:pos="1365"/>
        </w:tabs>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.2  投标人的澄清、说明或者补正应当采用电子传输形式。</w:t>
      </w:r>
      <w:r>
        <w:rPr>
          <w:rFonts w:hint="eastAsia" w:ascii="宋体" w:hAnsi="宋体" w:cs="宋体"/>
          <w:b/>
          <w:color w:val="auto"/>
          <w:sz w:val="22"/>
          <w:szCs w:val="22"/>
          <w:highlight w:val="none"/>
          <w:u w:val="single"/>
        </w:rPr>
        <w:t>投标人的澄清、说明或者补正不得超出投标文件的范围或者改变投标文件的实质性内容。</w:t>
      </w:r>
    </w:p>
    <w:p>
      <w:pPr>
        <w:spacing w:line="440" w:lineRule="exact"/>
        <w:ind w:left="552" w:hanging="552" w:hangingChars="2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投标价格修正</w:t>
      </w:r>
    </w:p>
    <w:p>
      <w:pPr>
        <w:spacing w:line="440" w:lineRule="exact"/>
        <w:ind w:left="571" w:leftChars="1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评标委员会对各投标人的投标报价进行核查，核查时发现投标报价内容不清楚可要求投标人书面澄清，投标文件报价出现前后不一致的，按照下列规定修正：</w:t>
      </w:r>
    </w:p>
    <w:p>
      <w:pPr>
        <w:spacing w:line="440" w:lineRule="exact"/>
        <w:ind w:left="571" w:leftChars="10"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（1）投标文件中投标报价一览表内容与投标分项报价表不一致的，以投标报价一览表为准</w:t>
      </w:r>
      <w:r>
        <w:rPr>
          <w:rFonts w:hint="eastAsia" w:ascii="宋体" w:hAnsi="宋体" w:cs="宋体"/>
          <w:bCs/>
          <w:color w:val="auto"/>
          <w:sz w:val="22"/>
          <w:szCs w:val="22"/>
          <w:highlight w:val="none"/>
          <w:lang w:eastAsia="zh-CN"/>
        </w:rPr>
        <w:t>；</w:t>
      </w:r>
    </w:p>
    <w:p>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（2）大写金额与小写金额不一致的，以大写金额为准</w:t>
      </w:r>
      <w:r>
        <w:rPr>
          <w:rFonts w:hint="eastAsia" w:ascii="宋体" w:hAnsi="宋体" w:cs="宋体"/>
          <w:bCs/>
          <w:color w:val="auto"/>
          <w:sz w:val="22"/>
          <w:szCs w:val="22"/>
          <w:highlight w:val="none"/>
          <w:lang w:eastAsia="zh-CN"/>
        </w:rPr>
        <w:t>；</w:t>
      </w:r>
    </w:p>
    <w:p>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（3）单价金额小数点或者百分比有明显错位的，以投标报价一览表的总价为准，并修改单价</w:t>
      </w:r>
      <w:r>
        <w:rPr>
          <w:rFonts w:hint="eastAsia" w:ascii="宋体" w:hAnsi="宋体" w:cs="宋体"/>
          <w:bCs/>
          <w:color w:val="auto"/>
          <w:sz w:val="22"/>
          <w:szCs w:val="22"/>
          <w:highlight w:val="none"/>
          <w:lang w:eastAsia="zh-CN"/>
        </w:rPr>
        <w:t>；</w:t>
      </w:r>
    </w:p>
    <w:p>
      <w:pPr>
        <w:spacing w:line="440" w:lineRule="exact"/>
        <w:ind w:left="567" w:leftChars="8"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pPr>
        <w:spacing w:line="440" w:lineRule="exact"/>
        <w:ind w:left="571" w:leftChars="10" w:hanging="550" w:hangingChars="250"/>
        <w:rPr>
          <w:rFonts w:hint="eastAsia" w:ascii="宋体" w:hAnsi="宋体" w:cs="宋体"/>
          <w:b/>
          <w:bCs/>
          <w:color w:val="auto"/>
          <w:sz w:val="22"/>
          <w:szCs w:val="22"/>
          <w:highlight w:val="none"/>
          <w:u w:val="single"/>
        </w:rPr>
      </w:pPr>
      <w:r>
        <w:rPr>
          <w:rFonts w:hint="eastAsia" w:ascii="宋体" w:hAnsi="宋体" w:cs="宋体"/>
          <w:bCs/>
          <w:color w:val="auto"/>
          <w:sz w:val="22"/>
          <w:szCs w:val="22"/>
          <w:highlight w:val="none"/>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同时出现两种以上不一致的，按照前款规定的顺序修正。修正后的报价按照第</w:t>
      </w:r>
      <w:r>
        <w:rPr>
          <w:rFonts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rPr>
        <w:t>点的规定经投标人确认后产生约束力，投标人不确认的，其投标无效</w:t>
      </w:r>
      <w:r>
        <w:rPr>
          <w:rFonts w:hint="eastAsia" w:ascii="宋体" w:hAnsi="宋体" w:cs="宋体"/>
          <w:bCs/>
          <w:color w:val="auto"/>
          <w:sz w:val="22"/>
          <w:szCs w:val="22"/>
          <w:highlight w:val="none"/>
        </w:rPr>
        <w:t>。</w:t>
      </w:r>
    </w:p>
    <w:p>
      <w:pPr>
        <w:spacing w:line="440" w:lineRule="exact"/>
        <w:ind w:left="541" w:hanging="541" w:hangingChars="245"/>
        <w:rPr>
          <w:rFonts w:hint="eastAsia" w:ascii="宋体" w:hAnsi="宋体" w:cs="宋体"/>
          <w:bCs/>
          <w:color w:val="auto"/>
          <w:sz w:val="22"/>
          <w:szCs w:val="22"/>
          <w:highlight w:val="none"/>
        </w:rPr>
      </w:pPr>
      <w:r>
        <w:rPr>
          <w:rFonts w:hint="eastAsia" w:ascii="宋体" w:hAnsi="宋体" w:cs="宋体"/>
          <w:b/>
          <w:color w:val="auto"/>
          <w:sz w:val="22"/>
          <w:szCs w:val="22"/>
          <w:highlight w:val="none"/>
        </w:rPr>
        <w:t>7. ▲</w:t>
      </w:r>
      <w:r>
        <w:rPr>
          <w:rFonts w:hint="eastAsia" w:ascii="宋体" w:hAnsi="宋体" w:cs="宋体"/>
          <w:b/>
          <w:bCs/>
          <w:color w:val="auto"/>
          <w:sz w:val="22"/>
          <w:szCs w:val="22"/>
          <w:highlight w:val="none"/>
          <w:u w:val="single"/>
        </w:rPr>
        <w:t>评标委员会认定投标人存在下列情况之一的，投标无效</w:t>
      </w:r>
      <w:r>
        <w:rPr>
          <w:rFonts w:hint="eastAsia" w:ascii="宋体" w:hAnsi="宋体" w:cs="宋体"/>
          <w:b/>
          <w:bCs/>
          <w:color w:val="auto"/>
          <w:sz w:val="22"/>
          <w:szCs w:val="22"/>
          <w:highlight w:val="none"/>
        </w:rPr>
        <w:t>：</w:t>
      </w:r>
    </w:p>
    <w:p>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1</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投标文件未按招标文件要求签署、盖章的</w:t>
      </w:r>
      <w:r>
        <w:rPr>
          <w:rFonts w:hint="eastAsia" w:ascii="宋体" w:hAnsi="宋体" w:cs="宋体"/>
          <w:bCs/>
          <w:color w:val="auto"/>
          <w:sz w:val="22"/>
          <w:szCs w:val="22"/>
          <w:highlight w:val="none"/>
          <w:lang w:eastAsia="zh-CN"/>
        </w:rPr>
        <w:t>；</w:t>
      </w:r>
    </w:p>
    <w:p>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2</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highlight w:val="none"/>
          <w:lang w:eastAsia="zh-CN"/>
        </w:rPr>
        <w:t>；</w:t>
      </w:r>
    </w:p>
    <w:p>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3</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lang w:eastAsia="zh-CN"/>
        </w:rPr>
        <w:t>；</w:t>
      </w:r>
    </w:p>
    <w:p>
      <w:pPr>
        <w:spacing w:line="44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w:t>
      </w:r>
      <w:r>
        <w:rPr>
          <w:rFonts w:ascii="宋体" w:hAnsi="宋体" w:cs="宋体"/>
          <w:color w:val="auto"/>
          <w:sz w:val="22"/>
          <w:highlight w:val="none"/>
        </w:rPr>
        <w:t>4</w:t>
      </w:r>
      <w:r>
        <w:rPr>
          <w:rFonts w:hint="eastAsia" w:ascii="宋体" w:hAnsi="宋体" w:cs="宋体"/>
          <w:color w:val="auto"/>
          <w:sz w:val="22"/>
          <w:highlight w:val="none"/>
        </w:rPr>
        <w:t>）</w:t>
      </w:r>
      <w:r>
        <w:rPr>
          <w:rFonts w:hint="eastAsia" w:ascii="宋体" w:hAnsi="宋体" w:cs="宋体"/>
          <w:color w:val="auto"/>
          <w:sz w:val="22"/>
          <w:highlight w:val="none"/>
          <w:u w:val="single"/>
        </w:rPr>
        <w:t>投标报价超过招标文件中规定的预算金额或者最高限价的</w:t>
      </w:r>
      <w:r>
        <w:rPr>
          <w:rFonts w:hint="eastAsia" w:ascii="宋体" w:hAnsi="宋体" w:cs="宋体"/>
          <w:color w:val="auto"/>
          <w:sz w:val="22"/>
          <w:highlight w:val="none"/>
          <w:lang w:eastAsia="zh-CN"/>
        </w:rPr>
        <w:t>；</w:t>
      </w:r>
    </w:p>
    <w:p>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color w:val="auto"/>
          <w:sz w:val="22"/>
          <w:highlight w:val="none"/>
        </w:rPr>
        <w:t>（</w:t>
      </w:r>
      <w:r>
        <w:rPr>
          <w:rFonts w:ascii="宋体" w:hAnsi="宋体" w:cs="宋体"/>
          <w:color w:val="auto"/>
          <w:sz w:val="22"/>
          <w:highlight w:val="none"/>
        </w:rPr>
        <w:t>5</w:t>
      </w:r>
      <w:r>
        <w:rPr>
          <w:rFonts w:hint="eastAsia" w:ascii="宋体" w:hAnsi="宋体" w:cs="宋体"/>
          <w:color w:val="auto"/>
          <w:sz w:val="22"/>
          <w:highlight w:val="none"/>
        </w:rPr>
        <w:t>）</w:t>
      </w:r>
      <w:r>
        <w:rPr>
          <w:rFonts w:hint="eastAsia" w:ascii="宋体" w:hAnsi="宋体" w:cs="宋体"/>
          <w:color w:val="auto"/>
          <w:sz w:val="22"/>
          <w:highlight w:val="none"/>
          <w:u w:val="single"/>
        </w:rPr>
        <w:t>资格文件或商务技术文件中出现投标报价的</w:t>
      </w:r>
      <w:r>
        <w:rPr>
          <w:rFonts w:hint="eastAsia" w:ascii="宋体" w:hAnsi="宋体" w:cs="宋体"/>
          <w:color w:val="auto"/>
          <w:sz w:val="22"/>
          <w:highlight w:val="none"/>
          <w:lang w:eastAsia="zh-CN"/>
        </w:rPr>
        <w:t>；</w:t>
      </w:r>
    </w:p>
    <w:p>
      <w:pPr>
        <w:spacing w:line="440" w:lineRule="exact"/>
        <w:rPr>
          <w:rFonts w:hint="eastAsia" w:ascii="宋体" w:hAnsi="宋体" w:eastAsia="宋体" w:cs="宋体"/>
          <w:color w:val="auto"/>
          <w:sz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6</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lang w:eastAsia="zh-CN"/>
        </w:rPr>
        <w:t>；</w:t>
      </w:r>
    </w:p>
    <w:p>
      <w:pPr>
        <w:spacing w:line="440" w:lineRule="exact"/>
        <w:rPr>
          <w:rFonts w:hint="eastAsia" w:ascii="宋体" w:hAnsi="宋体" w:eastAsia="宋体" w:cs="宋体"/>
          <w:color w:val="auto"/>
          <w:sz w:val="22"/>
          <w:highlight w:val="none"/>
          <w:u w:val="single"/>
          <w:lang w:eastAsia="zh-CN"/>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r>
        <w:rPr>
          <w:rFonts w:hint="eastAsia" w:ascii="宋体" w:hAnsi="宋体" w:cs="宋体"/>
          <w:color w:val="auto"/>
          <w:sz w:val="22"/>
          <w:highlight w:val="none"/>
          <w:u w:val="single"/>
          <w:lang w:eastAsia="zh-CN"/>
        </w:rPr>
        <w:t>；</w:t>
      </w:r>
    </w:p>
    <w:p>
      <w:pPr>
        <w:spacing w:line="440" w:lineRule="exact"/>
        <w:rPr>
          <w:rFonts w:ascii="宋体" w:hAnsi="宋体" w:cs="宋体"/>
          <w:color w:val="auto"/>
          <w:sz w:val="22"/>
          <w:highlight w:val="none"/>
        </w:rPr>
      </w:pPr>
      <w:r>
        <w:rPr>
          <w:rFonts w:hint="eastAsia" w:ascii="宋体" w:hAnsi="宋体" w:cs="宋体"/>
          <w:bCs/>
          <w:color w:val="auto"/>
          <w:sz w:val="22"/>
          <w:szCs w:val="22"/>
          <w:highlight w:val="none"/>
        </w:rPr>
        <w:t>（</w:t>
      </w:r>
      <w:r>
        <w:rPr>
          <w:rFonts w:ascii="宋体" w:hAnsi="宋体" w:cs="宋体"/>
          <w:bCs/>
          <w:color w:val="auto"/>
          <w:sz w:val="22"/>
          <w:szCs w:val="22"/>
          <w:highlight w:val="none"/>
        </w:rPr>
        <w:t>8</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法律、法规和招标文件中规定的其它无效情形</w:t>
      </w:r>
      <w:r>
        <w:rPr>
          <w:rFonts w:hint="eastAsia" w:ascii="宋体" w:hAnsi="宋体" w:cs="宋体"/>
          <w:color w:val="auto"/>
          <w:sz w:val="22"/>
          <w:highlight w:val="none"/>
        </w:rPr>
        <w:t>。</w:t>
      </w:r>
    </w:p>
    <w:p>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8.   评标过程中遇到特殊情况，由评标委员会遵循公开、公正原则，采取投票方式按照少数服从多数原则决定。</w:t>
      </w:r>
    </w:p>
    <w:p>
      <w:pPr>
        <w:tabs>
          <w:tab w:val="left" w:pos="1365"/>
        </w:tabs>
        <w:spacing w:line="44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9．  推荐中标候选人</w:t>
      </w:r>
    </w:p>
    <w:p>
      <w:pPr>
        <w:tabs>
          <w:tab w:val="left" w:pos="1365"/>
        </w:tabs>
        <w:spacing w:line="44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9.1  本次招标</w:t>
      </w:r>
      <w:r>
        <w:rPr>
          <w:rFonts w:hint="eastAsia" w:ascii="宋体" w:hAnsi="宋体" w:cs="宋体"/>
          <w:color w:val="auto"/>
          <w:sz w:val="22"/>
          <w:szCs w:val="22"/>
          <w:highlight w:val="none"/>
          <w:lang w:val="en-US" w:eastAsia="zh-CN"/>
        </w:rPr>
        <w:t>标项</w:t>
      </w:r>
      <w:r>
        <w:rPr>
          <w:rFonts w:hint="eastAsia" w:ascii="宋体" w:hAnsi="宋体" w:cs="宋体"/>
          <w:color w:val="auto"/>
          <w:sz w:val="22"/>
          <w:szCs w:val="22"/>
          <w:highlight w:val="none"/>
        </w:rPr>
        <w:t>由评标委员会推荐2名中标候选人。</w:t>
      </w:r>
    </w:p>
    <w:p>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9.2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得分且投标报价相同的</w:t>
      </w:r>
      <w:r>
        <w:rPr>
          <w:rFonts w:hint="eastAsia" w:ascii="宋体" w:hAnsi="宋体" w:cs="宋体"/>
          <w:color w:val="auto"/>
          <w:sz w:val="22"/>
          <w:szCs w:val="22"/>
          <w:highlight w:val="none"/>
          <w:lang w:eastAsia="zh-CN"/>
        </w:rPr>
        <w:t>抽签确定名次</w:t>
      </w:r>
      <w:r>
        <w:rPr>
          <w:rFonts w:hint="eastAsia" w:ascii="宋体" w:hAnsi="宋体" w:cs="宋体"/>
          <w:color w:val="auto"/>
          <w:sz w:val="22"/>
          <w:szCs w:val="22"/>
          <w:highlight w:val="none"/>
        </w:rPr>
        <w:t>）。</w:t>
      </w:r>
    </w:p>
    <w:p>
      <w:pPr>
        <w:widowControl/>
        <w:spacing w:line="440" w:lineRule="exact"/>
        <w:ind w:left="440" w:hanging="440" w:hangingChars="200"/>
        <w:jc w:val="left"/>
        <w:rPr>
          <w:rFonts w:hint="eastAsia" w:ascii="宋体" w:hAnsi="宋体" w:cs="宋体"/>
          <w:color w:val="auto"/>
          <w:sz w:val="22"/>
          <w:highlight w:val="none"/>
        </w:rPr>
      </w:pPr>
      <w:r>
        <w:rPr>
          <w:rFonts w:hint="eastAsia" w:ascii="宋体" w:hAnsi="宋体" w:cs="宋体"/>
          <w:color w:val="auto"/>
          <w:sz w:val="22"/>
          <w:szCs w:val="22"/>
          <w:highlight w:val="none"/>
        </w:rPr>
        <w:t xml:space="preserve">9.3 </w:t>
      </w:r>
      <w:r>
        <w:rPr>
          <w:rFonts w:hint="eastAsia" w:ascii="宋体" w:hAnsi="宋体" w:cs="宋体"/>
          <w:color w:val="auto"/>
          <w:sz w:val="22"/>
          <w:highlight w:val="none"/>
        </w:rPr>
        <w:t>排名第一的中标候选人放弃中标</w:t>
      </w:r>
      <w:r>
        <w:rPr>
          <w:rFonts w:hint="eastAsia" w:ascii="宋体" w:hAnsi="宋体" w:cs="宋体"/>
          <w:color w:val="auto"/>
          <w:sz w:val="22"/>
          <w:highlight w:val="none"/>
          <w:lang w:eastAsia="zh-CN"/>
        </w:rPr>
        <w:t>；</w:t>
      </w:r>
      <w:r>
        <w:rPr>
          <w:rFonts w:hint="eastAsia" w:ascii="宋体" w:hAnsi="宋体" w:cs="宋体"/>
          <w:color w:val="auto"/>
          <w:sz w:val="22"/>
          <w:highlight w:val="none"/>
        </w:rPr>
        <w:t>因不可抗力提出不能履行合同</w:t>
      </w:r>
      <w:r>
        <w:rPr>
          <w:rFonts w:hint="eastAsia" w:ascii="宋体" w:hAnsi="宋体" w:cs="宋体"/>
          <w:color w:val="auto"/>
          <w:sz w:val="22"/>
          <w:highlight w:val="none"/>
          <w:lang w:eastAsia="zh-CN"/>
        </w:rPr>
        <w:t>；</w:t>
      </w:r>
      <w:r>
        <w:rPr>
          <w:rFonts w:hint="eastAsia" w:ascii="宋体" w:hAnsi="宋体" w:cs="宋体"/>
          <w:color w:val="auto"/>
          <w:sz w:val="22"/>
          <w:highlight w:val="none"/>
        </w:rPr>
        <w:t>或者招标文件规定应当提交履约保证金而在规定的期限内未能提交的</w:t>
      </w:r>
      <w:r>
        <w:rPr>
          <w:rFonts w:hint="eastAsia" w:ascii="宋体" w:hAnsi="宋体" w:cs="宋体"/>
          <w:color w:val="auto"/>
          <w:sz w:val="22"/>
          <w:highlight w:val="none"/>
          <w:lang w:eastAsia="zh-CN"/>
        </w:rPr>
        <w:t>；</w:t>
      </w:r>
      <w:r>
        <w:rPr>
          <w:rFonts w:hint="eastAsia" w:ascii="宋体" w:hAnsi="宋体" w:cs="宋体"/>
          <w:color w:val="auto"/>
          <w:sz w:val="22"/>
          <w:highlight w:val="none"/>
        </w:rPr>
        <w:t>或未能在规定时间内与采购人签订合同的</w:t>
      </w:r>
      <w:r>
        <w:rPr>
          <w:rFonts w:hint="eastAsia" w:ascii="宋体" w:hAnsi="宋体" w:cs="宋体"/>
          <w:color w:val="auto"/>
          <w:sz w:val="22"/>
          <w:highlight w:val="none"/>
          <w:lang w:eastAsia="zh-CN"/>
        </w:rPr>
        <w:t>；</w:t>
      </w:r>
      <w:r>
        <w:rPr>
          <w:rFonts w:hint="eastAsia" w:ascii="宋体" w:hAnsi="宋体" w:cs="宋体"/>
          <w:color w:val="auto"/>
          <w:sz w:val="22"/>
          <w:highlight w:val="none"/>
        </w:rPr>
        <w:t>或者经质疑，采购人审查后，确因排名第一的候选人在本次采购活动中存在违法违规行为或其他原因使质疑成立的，采购人可以直接确定排名第二的中标候选人为中标人，也可重新组织采购。</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10.  投标截止时间止及评审期间，如出现</w:t>
      </w:r>
      <w:r>
        <w:rPr>
          <w:rFonts w:hint="eastAsia" w:ascii="宋体" w:hAnsi="宋体" w:cs="宋体"/>
          <w:color w:val="auto"/>
          <w:sz w:val="22"/>
          <w:szCs w:val="22"/>
          <w:highlight w:val="none"/>
          <w:lang w:val="en-US" w:eastAsia="zh-CN"/>
        </w:rPr>
        <w:t>某标项</w:t>
      </w:r>
      <w:r>
        <w:rPr>
          <w:rFonts w:hint="eastAsia" w:ascii="宋体" w:hAnsi="宋体" w:cs="宋体"/>
          <w:color w:val="auto"/>
          <w:sz w:val="22"/>
          <w:szCs w:val="22"/>
          <w:highlight w:val="none"/>
        </w:rPr>
        <w:t>有效投标人＜3家时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该标项</w:t>
      </w:r>
      <w:r>
        <w:rPr>
          <w:rFonts w:hint="eastAsia" w:ascii="宋体" w:hAnsi="宋体" w:cs="宋体"/>
          <w:color w:val="auto"/>
          <w:sz w:val="22"/>
          <w:szCs w:val="22"/>
          <w:highlight w:val="none"/>
        </w:rPr>
        <w:t>废标，并重新组织招标。</w:t>
      </w:r>
    </w:p>
    <w:p>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11.  评标细则详见第七部分“评标原则及方法”。</w:t>
      </w:r>
    </w:p>
    <w:p>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12.  未尽事宜遵循相关法律法规及规范性文件执行。</w:t>
      </w:r>
    </w:p>
    <w:p>
      <w:pPr>
        <w:pStyle w:val="3"/>
        <w:spacing w:line="680" w:lineRule="exact"/>
        <w:jc w:val="center"/>
        <w:rPr>
          <w:rFonts w:hint="eastAsia" w:ascii="宋体" w:hAnsi="宋体" w:eastAsia="宋体" w:cs="宋体"/>
          <w:color w:val="auto"/>
          <w:sz w:val="28"/>
          <w:szCs w:val="28"/>
          <w:highlight w:val="none"/>
        </w:rPr>
      </w:pPr>
      <w:bookmarkStart w:id="40" w:name="_Toc23550"/>
      <w:bookmarkStart w:id="41" w:name="_Toc230773780"/>
      <w:r>
        <w:rPr>
          <w:rFonts w:hint="eastAsia" w:ascii="宋体" w:hAnsi="宋体" w:eastAsia="宋体" w:cs="宋体"/>
          <w:color w:val="auto"/>
          <w:sz w:val="28"/>
          <w:szCs w:val="28"/>
          <w:highlight w:val="none"/>
        </w:rPr>
        <w:t>六、 中标和合同</w:t>
      </w:r>
      <w:bookmarkEnd w:id="40"/>
      <w:bookmarkEnd w:id="41"/>
    </w:p>
    <w:p>
      <w:pPr>
        <w:tabs>
          <w:tab w:val="left" w:pos="1365"/>
        </w:tabs>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1.   确定中标人</w:t>
      </w:r>
    </w:p>
    <w:p>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1.1  采购代理机构应当在评标结束后2个工作日内将评标报告送采购人。</w:t>
      </w:r>
    </w:p>
    <w:p>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1.2  采购人应当自收到评标报告之日起5个工作日内，在评标报告确定的中标候选人名单中按顺序确定中标人。</w:t>
      </w:r>
    </w:p>
    <w:p>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1.3  采购人在收到评标报告5个工作日内未按评标报告推荐的中标候选人顺序确定中标人，又不能说明合法理由的，视同按评标报告推荐的顺序确定排名第一的中标候选人为中标人。</w:t>
      </w:r>
    </w:p>
    <w:p>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中标公告</w:t>
      </w:r>
    </w:p>
    <w:p>
      <w:pPr>
        <w:spacing w:line="440" w:lineRule="exact"/>
        <w:ind w:left="550"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采购人或者采购代理机构应当自中标人确定之日起2个工作日内，在省级以上财政部门指定的媒体上公告中标结果，招标文件应当随中标结果同时公告。</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   </w:t>
      </w:r>
      <w:r>
        <w:rPr>
          <w:rFonts w:hint="eastAsia" w:ascii="宋体" w:hAnsi="宋体" w:cs="宋体"/>
          <w:b/>
          <w:bCs/>
          <w:color w:val="auto"/>
          <w:sz w:val="22"/>
          <w:szCs w:val="22"/>
          <w:highlight w:val="none"/>
        </w:rPr>
        <w:t>中标通知书</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3.1  在公告中标结果的同时</w:t>
      </w:r>
      <w:r>
        <w:rPr>
          <w:rFonts w:hint="eastAsia" w:ascii="宋体" w:hAnsi="宋体" w:cs="宋体"/>
          <w:color w:val="auto"/>
          <w:sz w:val="22"/>
          <w:szCs w:val="22"/>
          <w:highlight w:val="none"/>
        </w:rPr>
        <w:t>，采购人或采购代理机构向中标人发出中标通知书。</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sz w:val="22"/>
          <w:szCs w:val="22"/>
          <w:highlight w:val="none"/>
        </w:rPr>
        <w:t>中标通知书是合同的一个组成部分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对采购人和中标人均具有同等法律效力。</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4.   </w:t>
      </w:r>
      <w:r>
        <w:rPr>
          <w:rFonts w:hint="eastAsia" w:ascii="宋体" w:hAnsi="宋体" w:cs="宋体"/>
          <w:b/>
          <w:bCs/>
          <w:color w:val="auto"/>
          <w:sz w:val="22"/>
          <w:szCs w:val="22"/>
          <w:highlight w:val="none"/>
        </w:rPr>
        <w:t>签订合同</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4.1  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4.2  在签订合同前，采购人有权在中标总价不变的前提下要求中标人对商务报价中的不平衡报价和缺漏项进行调整，如果中标人无合理理由拒绝调整，其中标资格将被取消，且将导致其它进一步的赔偿和处罚。</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4.3  招标文件、中标人的投标文件、投标修改文件、评标过程中有关澄清文件及经投标人和评委双方签字的询标纪要和中标通知书均作为合同附件。</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4.4  采购人不得向中标人提出任何不合理的要求作为签订合同的条件。</w:t>
      </w:r>
    </w:p>
    <w:p>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color w:val="auto"/>
          <w:sz w:val="22"/>
          <w:szCs w:val="22"/>
          <w:highlight w:val="none"/>
        </w:rPr>
        <w:t>4.5  拒签合同的违约责任</w:t>
      </w:r>
    </w:p>
    <w:p>
      <w:pPr>
        <w:spacing w:line="440" w:lineRule="exact"/>
        <w:ind w:left="565" w:leftChars="269"/>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中标人接到中标通知书后，在规定时间内借故否认已经承诺的条件而拒签合同的，以违约处理。</w:t>
      </w:r>
    </w:p>
    <w:p>
      <w:pPr>
        <w:spacing w:line="440" w:lineRule="exact"/>
        <w:ind w:left="571" w:hanging="571" w:hangingChars="245"/>
        <w:rPr>
          <w:rFonts w:hint="eastAsia" w:ascii="宋体" w:hAnsi="宋体" w:eastAsia="宋体" w:cs="宋体"/>
          <w:b/>
          <w:color w:val="auto"/>
          <w:spacing w:val="6"/>
          <w:sz w:val="22"/>
          <w:szCs w:val="22"/>
          <w:highlight w:val="none"/>
        </w:rPr>
      </w:pPr>
      <w:r>
        <w:rPr>
          <w:rFonts w:hint="eastAsia" w:ascii="宋体" w:hAnsi="宋体" w:cs="宋体"/>
          <w:b/>
          <w:color w:val="auto"/>
          <w:spacing w:val="6"/>
          <w:sz w:val="22"/>
          <w:szCs w:val="22"/>
          <w:highlight w:val="none"/>
        </w:rPr>
        <w:t>4.6 合同一式</w:t>
      </w:r>
      <w:r>
        <w:rPr>
          <w:rFonts w:hint="eastAsia" w:ascii="宋体" w:hAnsi="宋体" w:cs="宋体"/>
          <w:b/>
          <w:color w:val="auto"/>
          <w:spacing w:val="6"/>
          <w:sz w:val="22"/>
          <w:szCs w:val="22"/>
          <w:highlight w:val="none"/>
          <w:lang w:eastAsia="zh-CN"/>
        </w:rPr>
        <w:t>六</w:t>
      </w:r>
      <w:r>
        <w:rPr>
          <w:rFonts w:hint="eastAsia" w:ascii="宋体" w:hAnsi="宋体" w:cs="宋体"/>
          <w:b/>
          <w:color w:val="auto"/>
          <w:spacing w:val="6"/>
          <w:sz w:val="22"/>
          <w:szCs w:val="22"/>
          <w:highlight w:val="none"/>
        </w:rPr>
        <w:t>份，其中采购人</w:t>
      </w:r>
      <w:r>
        <w:rPr>
          <w:rFonts w:hint="eastAsia" w:ascii="宋体" w:hAnsi="宋体" w:cs="宋体"/>
          <w:b/>
          <w:color w:val="auto"/>
          <w:spacing w:val="6"/>
          <w:sz w:val="22"/>
          <w:szCs w:val="22"/>
          <w:highlight w:val="none"/>
          <w:lang w:eastAsia="zh-CN"/>
        </w:rPr>
        <w:t>三</w:t>
      </w:r>
      <w:r>
        <w:rPr>
          <w:rFonts w:hint="eastAsia" w:ascii="宋体" w:hAnsi="宋体" w:cs="宋体"/>
          <w:b/>
          <w:color w:val="auto"/>
          <w:spacing w:val="6"/>
          <w:sz w:val="22"/>
          <w:szCs w:val="22"/>
          <w:highlight w:val="none"/>
        </w:rPr>
        <w:t>份，中标人</w:t>
      </w:r>
      <w:r>
        <w:rPr>
          <w:rFonts w:hint="eastAsia" w:ascii="宋体" w:hAnsi="宋体" w:cs="宋体"/>
          <w:b/>
          <w:color w:val="auto"/>
          <w:spacing w:val="6"/>
          <w:sz w:val="22"/>
          <w:szCs w:val="22"/>
          <w:highlight w:val="none"/>
          <w:lang w:eastAsia="zh-CN"/>
        </w:rPr>
        <w:t>二</w:t>
      </w:r>
      <w:r>
        <w:rPr>
          <w:rFonts w:hint="eastAsia" w:ascii="宋体" w:hAnsi="宋体" w:cs="宋体"/>
          <w:b/>
          <w:color w:val="auto"/>
          <w:spacing w:val="6"/>
          <w:sz w:val="22"/>
          <w:szCs w:val="22"/>
          <w:highlight w:val="none"/>
        </w:rPr>
        <w:t>份，采购代理机构备案一份。中标人在采购合同签订后应及时提交</w:t>
      </w:r>
      <w:r>
        <w:rPr>
          <w:rFonts w:hint="eastAsia" w:ascii="宋体" w:hAnsi="宋体" w:cs="宋体"/>
          <w:b/>
          <w:color w:val="auto"/>
          <w:spacing w:val="6"/>
          <w:sz w:val="22"/>
          <w:szCs w:val="22"/>
          <w:highlight w:val="none"/>
          <w:lang w:eastAsia="zh-CN"/>
        </w:rPr>
        <w:t>一</w:t>
      </w:r>
      <w:r>
        <w:rPr>
          <w:rFonts w:hint="eastAsia" w:ascii="宋体" w:hAnsi="宋体" w:cs="宋体"/>
          <w:b/>
          <w:color w:val="auto"/>
          <w:spacing w:val="6"/>
          <w:sz w:val="22"/>
          <w:szCs w:val="22"/>
          <w:highlight w:val="none"/>
        </w:rPr>
        <w:t>份交采购</w:t>
      </w:r>
      <w:r>
        <w:rPr>
          <w:rFonts w:hint="eastAsia" w:ascii="宋体" w:hAnsi="宋体" w:eastAsia="宋体" w:cs="宋体"/>
          <w:b/>
          <w:color w:val="auto"/>
          <w:spacing w:val="6"/>
          <w:sz w:val="22"/>
          <w:szCs w:val="22"/>
          <w:highlight w:val="none"/>
        </w:rPr>
        <w:t>代理机构备案。同时提交一份投标文件正式版的</w:t>
      </w:r>
      <w:r>
        <w:rPr>
          <w:rFonts w:hint="eastAsia" w:ascii="宋体" w:hAnsi="宋体" w:cs="宋体"/>
          <w:b/>
          <w:color w:val="auto"/>
          <w:spacing w:val="6"/>
          <w:sz w:val="22"/>
          <w:szCs w:val="22"/>
          <w:highlight w:val="none"/>
          <w:lang w:eastAsia="zh-CN"/>
        </w:rPr>
        <w:t>复制件</w:t>
      </w:r>
      <w:r>
        <w:rPr>
          <w:rFonts w:hint="eastAsia" w:ascii="宋体" w:hAnsi="宋体" w:eastAsia="宋体" w:cs="宋体"/>
          <w:b/>
          <w:color w:val="auto"/>
          <w:spacing w:val="6"/>
          <w:sz w:val="22"/>
          <w:szCs w:val="22"/>
          <w:highlight w:val="none"/>
        </w:rPr>
        <w:t>（PDF格式）供采购人备案用。</w:t>
      </w:r>
    </w:p>
    <w:p>
      <w:pPr>
        <w:spacing w:line="440" w:lineRule="exact"/>
        <w:rPr>
          <w:rFonts w:hint="eastAsia" w:ascii="宋体" w:hAnsi="宋体" w:cs="宋体"/>
          <w:b/>
          <w:color w:val="auto"/>
          <w:spacing w:val="6"/>
          <w:sz w:val="22"/>
          <w:szCs w:val="22"/>
          <w:highlight w:val="none"/>
        </w:rPr>
      </w:pPr>
      <w:r>
        <w:rPr>
          <w:rFonts w:hint="eastAsia" w:ascii="宋体" w:hAnsi="宋体" w:cs="宋体"/>
          <w:color w:val="auto"/>
          <w:spacing w:val="6"/>
          <w:sz w:val="22"/>
          <w:szCs w:val="22"/>
          <w:highlight w:val="none"/>
        </w:rPr>
        <w:t xml:space="preserve">5.   </w:t>
      </w:r>
      <w:r>
        <w:rPr>
          <w:rFonts w:hint="eastAsia" w:ascii="宋体" w:hAnsi="宋体" w:cs="宋体"/>
          <w:b/>
          <w:color w:val="auto"/>
          <w:spacing w:val="6"/>
          <w:sz w:val="22"/>
          <w:szCs w:val="22"/>
          <w:highlight w:val="none"/>
          <w:u w:val="single"/>
        </w:rPr>
        <w:t>履约保证金</w:t>
      </w:r>
    </w:p>
    <w:p>
      <w:pPr>
        <w:spacing w:line="440" w:lineRule="exact"/>
        <w:ind w:left="580" w:hanging="580" w:hangingChars="25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5.1  </w:t>
      </w:r>
      <w:r>
        <w:rPr>
          <w:rFonts w:hint="eastAsia" w:ascii="宋体" w:hAnsi="宋体" w:cs="宋体"/>
          <w:color w:val="auto"/>
          <w:sz w:val="22"/>
          <w:szCs w:val="22"/>
          <w:highlight w:val="none"/>
        </w:rPr>
        <w:t>中标人在收到中标通知书后，签订合同后</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个工作日内，中标人须向采购人提交履约保证。</w:t>
      </w:r>
    </w:p>
    <w:p>
      <w:pPr>
        <w:spacing w:line="440" w:lineRule="exact"/>
        <w:ind w:left="464" w:hanging="464" w:hanging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5.2  履约保证金用于补偿采购人因中标人不能履行其合同义务而蒙受的损失。</w:t>
      </w:r>
    </w:p>
    <w:p>
      <w:pPr>
        <w:spacing w:line="440" w:lineRule="exact"/>
        <w:ind w:left="580" w:hanging="580" w:hangingChars="25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5.3  </w:t>
      </w:r>
      <w:r>
        <w:rPr>
          <w:rFonts w:hint="eastAsia" w:ascii="宋体" w:hAnsi="宋体" w:cs="宋体"/>
          <w:color w:val="auto"/>
          <w:sz w:val="22"/>
          <w:highlight w:val="none"/>
        </w:rPr>
        <w:t>履约保证金自合同签订之日起至项目验收合格之日起有效。项目验收结束后，采购人应及时将履约保证金无息退还给中标人。</w:t>
      </w:r>
    </w:p>
    <w:p>
      <w:pPr>
        <w:spacing w:line="440" w:lineRule="exact"/>
        <w:ind w:left="442" w:hanging="442" w:hanging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合同履行时更改采购数量的权利</w:t>
      </w:r>
    </w:p>
    <w:p>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bookmarkStart w:id="42" w:name="_Toc77407760"/>
      <w:bookmarkStart w:id="43" w:name="_Toc77410345"/>
      <w:bookmarkStart w:id="44" w:name="_Toc89248785"/>
      <w:bookmarkStart w:id="45" w:name="_Toc230773781"/>
      <w:bookmarkStart w:id="46" w:name="_Toc208045865"/>
      <w:bookmarkStart w:id="47" w:name="_Toc185326503"/>
    </w:p>
    <w:p>
      <w:pPr>
        <w:pStyle w:val="3"/>
        <w:spacing w:line="680" w:lineRule="exact"/>
        <w:jc w:val="center"/>
        <w:rPr>
          <w:rFonts w:hint="eastAsia" w:ascii="宋体" w:hAnsi="宋体" w:eastAsia="宋体" w:cs="宋体"/>
          <w:color w:val="auto"/>
          <w:sz w:val="28"/>
          <w:szCs w:val="28"/>
          <w:highlight w:val="none"/>
        </w:rPr>
      </w:pPr>
      <w:bookmarkStart w:id="48" w:name="_Toc8008"/>
      <w:r>
        <w:rPr>
          <w:rFonts w:hint="eastAsia" w:ascii="宋体" w:hAnsi="宋体" w:eastAsia="宋体" w:cs="宋体"/>
          <w:color w:val="auto"/>
          <w:sz w:val="28"/>
          <w:szCs w:val="28"/>
          <w:highlight w:val="none"/>
        </w:rPr>
        <w:t>七、 可中止电子交易活动的情形</w:t>
      </w:r>
      <w:bookmarkEnd w:id="42"/>
      <w:bookmarkEnd w:id="43"/>
      <w:bookmarkEnd w:id="44"/>
      <w:bookmarkEnd w:id="48"/>
    </w:p>
    <w:p>
      <w:pPr>
        <w:tabs>
          <w:tab w:val="left" w:pos="1365"/>
        </w:tabs>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r>
        <w:rPr>
          <w:rFonts w:hint="eastAsia" w:ascii="宋体" w:hAnsi="宋体" w:cs="宋体"/>
          <w:color w:val="auto"/>
          <w:sz w:val="22"/>
          <w:szCs w:val="22"/>
          <w:highlight w:val="none"/>
          <w:lang w:eastAsia="zh-CN"/>
        </w:rPr>
        <w:t>；</w:t>
      </w:r>
    </w:p>
    <w:p>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r>
        <w:rPr>
          <w:rFonts w:hint="eastAsia" w:ascii="宋体" w:hAnsi="宋体" w:cs="宋体"/>
          <w:color w:val="auto"/>
          <w:sz w:val="22"/>
          <w:szCs w:val="22"/>
          <w:highlight w:val="none"/>
          <w:lang w:eastAsia="zh-CN"/>
        </w:rPr>
        <w:t>；</w:t>
      </w:r>
    </w:p>
    <w:p>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r>
        <w:rPr>
          <w:rFonts w:hint="eastAsia" w:ascii="宋体" w:hAnsi="宋体" w:cs="宋体"/>
          <w:color w:val="auto"/>
          <w:sz w:val="22"/>
          <w:szCs w:val="22"/>
          <w:highlight w:val="none"/>
          <w:lang w:eastAsia="zh-CN"/>
        </w:rPr>
        <w:t>；</w:t>
      </w:r>
    </w:p>
    <w:p>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r>
        <w:rPr>
          <w:rFonts w:hint="eastAsia" w:ascii="宋体" w:hAnsi="宋体" w:cs="宋体"/>
          <w:color w:val="auto"/>
          <w:sz w:val="22"/>
          <w:szCs w:val="22"/>
          <w:highlight w:val="none"/>
          <w:lang w:eastAsia="zh-CN"/>
        </w:rPr>
        <w:t>；</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   其他无法保证电子交易的公平、公正和安全的情况。</w:t>
      </w:r>
    </w:p>
    <w:p>
      <w:pPr>
        <w:spacing w:line="440" w:lineRule="exact"/>
        <w:ind w:left="550"/>
        <w:rPr>
          <w:rFonts w:hint="eastAsia"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影响或可能影响采购公平、公正性的，应当重新采购。</w:t>
      </w:r>
    </w:p>
    <w:p>
      <w:pPr>
        <w:pStyle w:val="3"/>
        <w:numPr>
          <w:ilvl w:val="0"/>
          <w:numId w:val="0"/>
        </w:numPr>
        <w:spacing w:line="680" w:lineRule="exact"/>
        <w:jc w:val="center"/>
        <w:rPr>
          <w:rFonts w:hint="eastAsia" w:ascii="宋体" w:hAnsi="宋体" w:eastAsia="宋体" w:cs="宋体"/>
          <w:color w:val="auto"/>
          <w:sz w:val="28"/>
          <w:szCs w:val="28"/>
          <w:highlight w:val="none"/>
        </w:rPr>
      </w:pPr>
      <w:bookmarkStart w:id="49" w:name="_Toc19427"/>
      <w:bookmarkStart w:id="50" w:name="_Toc20131"/>
      <w:bookmarkStart w:id="51" w:name="_Toc7573"/>
      <w:r>
        <w:rPr>
          <w:rFonts w:hint="eastAsia" w:ascii="宋体" w:hAnsi="宋体" w:eastAsia="宋体" w:cs="宋体"/>
          <w:color w:val="auto"/>
          <w:sz w:val="28"/>
          <w:szCs w:val="28"/>
          <w:highlight w:val="none"/>
          <w:lang w:val="en-US" w:eastAsia="zh-CN"/>
        </w:rPr>
        <w:t xml:space="preserve">八、 </w:t>
      </w:r>
      <w:r>
        <w:rPr>
          <w:rFonts w:hint="eastAsia" w:ascii="宋体" w:hAnsi="宋体" w:eastAsia="宋体" w:cs="宋体"/>
          <w:color w:val="auto"/>
          <w:sz w:val="28"/>
          <w:szCs w:val="28"/>
          <w:highlight w:val="none"/>
        </w:rPr>
        <w:t>验  收</w:t>
      </w:r>
      <w:bookmarkEnd w:id="49"/>
      <w:bookmarkEnd w:id="50"/>
      <w:bookmarkEnd w:id="51"/>
    </w:p>
    <w:p>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2.   采购人可以邀请参加本项目的其他供应商或者第三方机构参与验收。参与验收的供应商或者第三方机构的意见作为验收书的参考资料一并存档。</w:t>
      </w:r>
    </w:p>
    <w:p>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1365"/>
        </w:tabs>
        <w:spacing w:line="440" w:lineRule="exact"/>
        <w:ind w:left="550" w:hanging="550" w:hangingChars="250"/>
        <w:rPr>
          <w:rFonts w:hint="eastAsia" w:ascii="宋体" w:hAnsi="宋体" w:cs="宋体"/>
          <w:color w:val="auto"/>
          <w:kern w:val="2"/>
          <w:sz w:val="22"/>
          <w:szCs w:val="22"/>
          <w:highlight w:val="none"/>
        </w:rPr>
        <w:sectPr>
          <w:footerReference r:id="rId11" w:type="firs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45"/>
    <w:bookmarkEnd w:id="46"/>
    <w:bookmarkEnd w:id="47"/>
    <w:p>
      <w:pPr>
        <w:pStyle w:val="2"/>
        <w:tabs>
          <w:tab w:val="clear" w:pos="840"/>
        </w:tabs>
        <w:adjustRightInd/>
        <w:snapToGrid/>
        <w:spacing w:before="340" w:after="330" w:line="600" w:lineRule="exact"/>
        <w:jc w:val="center"/>
        <w:rPr>
          <w:rFonts w:hint="eastAsia" w:ascii="黑体" w:hAnsi="黑体" w:eastAsia="黑体"/>
          <w:bCs/>
          <w:color w:val="auto"/>
          <w:sz w:val="36"/>
          <w:szCs w:val="36"/>
          <w:highlight w:val="none"/>
        </w:rPr>
      </w:pPr>
      <w:bookmarkStart w:id="52" w:name="_Toc8176"/>
      <w:bookmarkStart w:id="53" w:name="_Toc15066"/>
      <w:bookmarkStart w:id="54" w:name="_Toc230773782"/>
      <w:r>
        <w:rPr>
          <w:rFonts w:hint="eastAsia" w:ascii="黑体" w:hAnsi="黑体" w:eastAsia="黑体"/>
          <w:bCs/>
          <w:color w:val="auto"/>
          <w:sz w:val="36"/>
          <w:szCs w:val="36"/>
          <w:highlight w:val="none"/>
        </w:rPr>
        <w:t>第三部分</w:t>
      </w:r>
      <w:r>
        <w:rPr>
          <w:rFonts w:hint="eastAsia" w:hAnsi="宋体" w:cs="宋体"/>
          <w:color w:val="auto"/>
          <w:sz w:val="32"/>
          <w:szCs w:val="32"/>
          <w:highlight w:val="none"/>
        </w:rPr>
        <w:t xml:space="preserve"> </w:t>
      </w:r>
      <w:bookmarkEnd w:id="52"/>
      <w:r>
        <w:rPr>
          <w:rFonts w:hint="eastAsia" w:hAnsi="宋体" w:cs="宋体"/>
          <w:color w:val="auto"/>
          <w:sz w:val="32"/>
          <w:szCs w:val="32"/>
          <w:highlight w:val="none"/>
        </w:rPr>
        <w:t xml:space="preserve"> </w:t>
      </w:r>
      <w:r>
        <w:rPr>
          <w:rFonts w:hint="eastAsia" w:ascii="黑体" w:hAnsi="黑体" w:eastAsia="黑体"/>
          <w:color w:val="auto"/>
          <w:sz w:val="36"/>
          <w:szCs w:val="36"/>
          <w:highlight w:val="none"/>
        </w:rPr>
        <w:t>主要合同条款</w:t>
      </w:r>
      <w:bookmarkEnd w:id="53"/>
    </w:p>
    <w:bookmarkEnd w:id="54"/>
    <w:p>
      <w:pPr>
        <w:spacing w:line="1000" w:lineRule="exact"/>
        <w:jc w:val="center"/>
        <w:rPr>
          <w:rFonts w:ascii="新宋体" w:hAnsi="新宋体" w:eastAsia="新宋体" w:cs="Arial"/>
          <w:b/>
          <w:color w:val="auto"/>
          <w:sz w:val="72"/>
          <w:szCs w:val="72"/>
          <w:highlight w:val="none"/>
        </w:rPr>
      </w:pPr>
      <w:bookmarkStart w:id="55" w:name="_Toc7821_WPSOffice_Level2"/>
      <w:bookmarkStart w:id="56" w:name="_Toc2505009"/>
      <w:bookmarkStart w:id="57" w:name="_Toc230773783"/>
    </w:p>
    <w:p>
      <w:pPr>
        <w:spacing w:line="1000" w:lineRule="exact"/>
        <w:jc w:val="center"/>
        <w:rPr>
          <w:rFonts w:ascii="新宋体" w:hAnsi="新宋体" w:eastAsia="新宋体" w:cs="Arial"/>
          <w:b/>
          <w:color w:val="auto"/>
          <w:sz w:val="72"/>
          <w:szCs w:val="72"/>
          <w:highlight w:val="none"/>
        </w:rPr>
      </w:pPr>
    </w:p>
    <w:p>
      <w:pPr>
        <w:spacing w:line="1000" w:lineRule="exact"/>
        <w:jc w:val="center"/>
        <w:rPr>
          <w:rFonts w:ascii="新宋体" w:hAnsi="新宋体" w:eastAsia="新宋体" w:cs="Arial"/>
          <w:b/>
          <w:color w:val="auto"/>
          <w:sz w:val="72"/>
          <w:szCs w:val="72"/>
          <w:highlight w:val="none"/>
        </w:rPr>
      </w:pPr>
    </w:p>
    <w:p>
      <w:pPr>
        <w:spacing w:line="1000" w:lineRule="exact"/>
        <w:jc w:val="center"/>
        <w:rPr>
          <w:rFonts w:hint="eastAsia" w:ascii="宋体" w:hAnsi="宋体" w:cs="宋体"/>
          <w:b/>
          <w:color w:val="auto"/>
          <w:sz w:val="22"/>
          <w:szCs w:val="22"/>
          <w:highlight w:val="none"/>
        </w:rPr>
      </w:pPr>
      <w:r>
        <w:rPr>
          <w:rFonts w:ascii="新宋体" w:hAnsi="新宋体" w:eastAsia="新宋体" w:cs="Arial"/>
          <w:b/>
          <w:color w:val="auto"/>
          <w:sz w:val="72"/>
          <w:szCs w:val="72"/>
          <w:highlight w:val="none"/>
        </w:rPr>
        <w:t>政</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府</w:t>
      </w:r>
      <w:r>
        <w:rPr>
          <w:rFonts w:hint="eastAsia" w:ascii="宋体" w:hAnsi="宋体" w:cs="宋体"/>
          <w:b/>
          <w:color w:val="auto"/>
          <w:sz w:val="72"/>
          <w:szCs w:val="72"/>
          <w:highlight w:val="none"/>
        </w:rPr>
        <w:t xml:space="preserve"> 采 购 合 同</w:t>
      </w:r>
      <w:bookmarkEnd w:id="55"/>
    </w:p>
    <w:p>
      <w:pPr>
        <w:spacing w:line="400" w:lineRule="exact"/>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eastAsia="zh-CN"/>
        </w:rPr>
        <w:t>标项</w:t>
      </w:r>
      <w:r>
        <w:rPr>
          <w:rFonts w:hint="eastAsia" w:ascii="宋体" w:hAnsi="宋体" w:cs="宋体"/>
          <w:b/>
          <w:color w:val="auto"/>
          <w:sz w:val="22"/>
          <w:szCs w:val="22"/>
          <w:highlight w:val="none"/>
          <w:lang w:val="en-US" w:eastAsia="zh-CN"/>
        </w:rPr>
        <w:t>1</w:t>
      </w:r>
    </w:p>
    <w:p>
      <w:pPr>
        <w:spacing w:line="400" w:lineRule="exact"/>
        <w:rPr>
          <w:rFonts w:hint="eastAsia" w:ascii="宋体" w:hAnsi="宋体" w:cs="宋体"/>
          <w:b/>
          <w:color w:val="auto"/>
          <w:sz w:val="22"/>
          <w:szCs w:val="22"/>
          <w:highlight w:val="none"/>
        </w:rPr>
      </w:pPr>
    </w:p>
    <w:p>
      <w:pPr>
        <w:spacing w:line="600" w:lineRule="exact"/>
        <w:ind w:firstLine="2413" w:firstLineChars="862"/>
        <w:rPr>
          <w:rFonts w:hint="eastAsia" w:ascii="宋体" w:hAnsi="宋体" w:cs="宋体"/>
          <w:color w:val="auto"/>
          <w:sz w:val="28"/>
          <w:highlight w:val="none"/>
        </w:rPr>
      </w:pPr>
      <w:bookmarkStart w:id="58" w:name="_Toc20798_WPSOffice_Level2"/>
      <w:r>
        <w:rPr>
          <w:rFonts w:hint="eastAsia" w:ascii="宋体" w:hAnsi="宋体" w:cs="宋体"/>
          <w:color w:val="auto"/>
          <w:sz w:val="28"/>
          <w:highlight w:val="none"/>
        </w:rPr>
        <w:t>项 目 名 称：</w:t>
      </w:r>
      <w:bookmarkEnd w:id="58"/>
      <w:r>
        <w:rPr>
          <w:rFonts w:hint="eastAsia" w:ascii="宋体" w:hAnsi="宋体" w:cs="宋体"/>
          <w:color w:val="auto"/>
          <w:sz w:val="28"/>
          <w:highlight w:val="none"/>
          <w:u w:val="single"/>
        </w:rPr>
        <w:t xml:space="preserve">                      </w:t>
      </w:r>
    </w:p>
    <w:p>
      <w:pPr>
        <w:spacing w:line="600" w:lineRule="exact"/>
        <w:ind w:firstLine="2413" w:firstLineChars="862"/>
        <w:rPr>
          <w:rFonts w:hint="eastAsia" w:ascii="宋体" w:hAnsi="宋体" w:cs="宋体"/>
          <w:color w:val="auto"/>
          <w:sz w:val="28"/>
          <w:highlight w:val="none"/>
        </w:rPr>
      </w:pPr>
      <w:bookmarkStart w:id="59" w:name="_Toc27451_WPSOffice_Level2"/>
      <w:r>
        <w:rPr>
          <w:rFonts w:hint="eastAsia" w:ascii="宋体" w:hAnsi="宋体" w:cs="宋体"/>
          <w:color w:val="auto"/>
          <w:sz w:val="28"/>
          <w:highlight w:val="none"/>
        </w:rPr>
        <w:t>项 目 地 点：</w:t>
      </w:r>
      <w:bookmarkEnd w:id="59"/>
      <w:r>
        <w:rPr>
          <w:rFonts w:hint="eastAsia" w:ascii="宋体" w:hAnsi="宋体" w:cs="宋体"/>
          <w:color w:val="auto"/>
          <w:sz w:val="28"/>
          <w:highlight w:val="none"/>
          <w:u w:val="single"/>
        </w:rPr>
        <w:t xml:space="preserve">                      </w:t>
      </w:r>
    </w:p>
    <w:p>
      <w:pPr>
        <w:spacing w:line="600" w:lineRule="exact"/>
        <w:ind w:firstLine="2413" w:firstLineChars="862"/>
        <w:rPr>
          <w:rFonts w:hint="eastAsia" w:ascii="宋体" w:hAnsi="宋体" w:cs="宋体"/>
          <w:color w:val="auto"/>
          <w:sz w:val="28"/>
          <w:highlight w:val="none"/>
          <w:u w:val="single"/>
        </w:rPr>
      </w:pPr>
      <w:bookmarkStart w:id="60" w:name="_Toc22212_WPSOffice_Level2"/>
      <w:r>
        <w:rPr>
          <w:rFonts w:hint="eastAsia" w:ascii="宋体" w:hAnsi="宋体" w:cs="宋体"/>
          <w:color w:val="auto"/>
          <w:sz w:val="28"/>
          <w:highlight w:val="none"/>
        </w:rPr>
        <w:t>合 同 编 号：</w:t>
      </w:r>
      <w:bookmarkEnd w:id="60"/>
      <w:r>
        <w:rPr>
          <w:rFonts w:hint="eastAsia" w:ascii="宋体" w:hAnsi="宋体" w:cs="宋体"/>
          <w:color w:val="auto"/>
          <w:sz w:val="28"/>
          <w:highlight w:val="none"/>
          <w:u w:val="single"/>
        </w:rPr>
        <w:t xml:space="preserve">                      </w:t>
      </w:r>
    </w:p>
    <w:p>
      <w:pPr>
        <w:outlineLvl w:val="9"/>
        <w:rPr>
          <w:rFonts w:hint="eastAsia" w:ascii="宋体" w:hAnsi="宋体" w:cs="宋体"/>
          <w:color w:val="auto"/>
          <w:sz w:val="28"/>
          <w:highlight w:val="none"/>
          <w:u w:val="single"/>
        </w:rPr>
      </w:pPr>
    </w:p>
    <w:p>
      <w:pPr>
        <w:outlineLvl w:val="9"/>
        <w:rPr>
          <w:rFonts w:hint="eastAsia"/>
          <w:color w:val="auto"/>
          <w:highlight w:val="none"/>
        </w:rPr>
      </w:pPr>
    </w:p>
    <w:p>
      <w:pPr>
        <w:spacing w:line="600" w:lineRule="exact"/>
        <w:ind w:firstLine="2413" w:firstLineChars="862"/>
        <w:rPr>
          <w:rFonts w:hint="eastAsia" w:ascii="宋体" w:hAnsi="宋体" w:cs="宋体"/>
          <w:color w:val="auto"/>
          <w:sz w:val="28"/>
          <w:highlight w:val="none"/>
        </w:rPr>
      </w:pPr>
    </w:p>
    <w:p>
      <w:pPr>
        <w:spacing w:line="600" w:lineRule="exact"/>
        <w:ind w:firstLine="2413" w:firstLineChars="862"/>
        <w:rPr>
          <w:rFonts w:hint="eastAsia" w:ascii="宋体" w:hAnsi="宋体" w:cs="宋体"/>
          <w:color w:val="auto"/>
          <w:sz w:val="28"/>
          <w:highlight w:val="none"/>
        </w:rPr>
      </w:pPr>
    </w:p>
    <w:p>
      <w:pPr>
        <w:spacing w:line="600" w:lineRule="exact"/>
        <w:ind w:firstLine="2413" w:firstLineChars="862"/>
        <w:rPr>
          <w:rFonts w:hint="eastAsia" w:ascii="宋体" w:hAnsi="宋体" w:cs="宋体"/>
          <w:color w:val="auto"/>
          <w:sz w:val="28"/>
          <w:highlight w:val="none"/>
          <w:u w:val="single"/>
        </w:rPr>
      </w:pPr>
      <w:bookmarkStart w:id="61" w:name="_Toc14492_WPSOffice_Level2"/>
      <w:r>
        <w:rPr>
          <w:rFonts w:hint="eastAsia" w:ascii="宋体" w:hAnsi="宋体" w:cs="宋体"/>
          <w:color w:val="auto"/>
          <w:sz w:val="28"/>
          <w:highlight w:val="none"/>
        </w:rPr>
        <w:t>采 购 人：</w:t>
      </w:r>
      <w:bookmarkEnd w:id="61"/>
      <w:r>
        <w:rPr>
          <w:rFonts w:hint="eastAsia" w:ascii="宋体" w:hAnsi="宋体" w:cs="宋体"/>
          <w:color w:val="auto"/>
          <w:sz w:val="28"/>
          <w:highlight w:val="none"/>
          <w:u w:val="single"/>
        </w:rPr>
        <w:t xml:space="preserve">                       </w:t>
      </w:r>
    </w:p>
    <w:p>
      <w:pPr>
        <w:spacing w:line="600" w:lineRule="exact"/>
        <w:ind w:firstLine="2410" w:firstLineChars="861"/>
        <w:rPr>
          <w:rFonts w:hint="eastAsia" w:ascii="宋体" w:hAnsi="宋体" w:cs="宋体"/>
          <w:color w:val="auto"/>
          <w:sz w:val="28"/>
          <w:highlight w:val="none"/>
        </w:rPr>
      </w:pPr>
      <w:bookmarkStart w:id="62" w:name="_Toc29423_WPSOffice_Level2"/>
      <w:r>
        <w:rPr>
          <w:rFonts w:hint="eastAsia" w:ascii="宋体" w:hAnsi="宋体" w:cs="宋体"/>
          <w:color w:val="auto"/>
          <w:sz w:val="28"/>
          <w:highlight w:val="none"/>
        </w:rPr>
        <w:t>成交供应商：</w:t>
      </w:r>
      <w:bookmarkEnd w:id="62"/>
      <w:r>
        <w:rPr>
          <w:rFonts w:hint="eastAsia" w:ascii="宋体" w:hAnsi="宋体" w:cs="宋体"/>
          <w:color w:val="auto"/>
          <w:sz w:val="28"/>
          <w:highlight w:val="none"/>
          <w:u w:val="single"/>
        </w:rPr>
        <w:t xml:space="preserve">                      </w:t>
      </w:r>
    </w:p>
    <w:p>
      <w:pPr>
        <w:spacing w:line="600" w:lineRule="exact"/>
        <w:ind w:left="701" w:leftChars="334" w:firstLine="1680" w:firstLineChars="600"/>
        <w:rPr>
          <w:rFonts w:hint="eastAsia" w:ascii="宋体" w:hAnsi="宋体" w:cs="宋体"/>
          <w:color w:val="auto"/>
          <w:sz w:val="22"/>
          <w:szCs w:val="22"/>
          <w:highlight w:val="none"/>
        </w:rPr>
      </w:pPr>
      <w:bookmarkStart w:id="63" w:name="_Toc31956_WPSOffice_Level2"/>
      <w:r>
        <w:rPr>
          <w:rFonts w:hint="eastAsia" w:ascii="宋体" w:hAnsi="宋体" w:cs="宋体"/>
          <w:color w:val="auto"/>
          <w:sz w:val="28"/>
          <w:highlight w:val="none"/>
        </w:rPr>
        <w:t>签  订 日 期：</w:t>
      </w:r>
      <w:bookmarkEnd w:id="63"/>
      <w:r>
        <w:rPr>
          <w:rFonts w:hint="eastAsia" w:ascii="宋体" w:hAnsi="宋体" w:cs="宋体"/>
          <w:color w:val="auto"/>
          <w:sz w:val="28"/>
          <w:highlight w:val="none"/>
          <w:u w:val="single"/>
        </w:rPr>
        <w:t xml:space="preserve">                      </w:t>
      </w:r>
    </w:p>
    <w:p>
      <w:pPr>
        <w:spacing w:line="440" w:lineRule="exact"/>
        <w:ind w:left="550" w:hanging="550" w:hangingChars="250"/>
        <w:rPr>
          <w:rFonts w:hint="eastAsia" w:ascii="宋体" w:hAnsi="宋体" w:cs="宋体"/>
          <w:color w:val="auto"/>
          <w:sz w:val="22"/>
          <w:szCs w:val="22"/>
          <w:highlight w:val="none"/>
        </w:rPr>
      </w:pPr>
    </w:p>
    <w:p>
      <w:pPr>
        <w:spacing w:line="400" w:lineRule="exact"/>
        <w:rPr>
          <w:rFonts w:hint="eastAsia" w:ascii="宋体" w:hAnsi="宋体" w:cs="宋体"/>
          <w:b/>
          <w:color w:val="auto"/>
          <w:sz w:val="22"/>
          <w:szCs w:val="22"/>
          <w:highlight w:val="none"/>
        </w:rPr>
      </w:pPr>
    </w:p>
    <w:p>
      <w:pPr>
        <w:wordWrap/>
        <w:spacing w:line="44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color w:val="auto"/>
          <w:sz w:val="22"/>
          <w:szCs w:val="22"/>
          <w:highlight w:val="none"/>
        </w:rPr>
        <w:br w:type="page"/>
      </w:r>
    </w:p>
    <w:p>
      <w:pPr>
        <w:wordWrap/>
        <w:spacing w:line="440" w:lineRule="exact"/>
        <w:rPr>
          <w:rFonts w:hint="eastAsia" w:ascii="宋体" w:hAnsi="宋体" w:cs="宋体"/>
          <w:color w:val="auto"/>
          <w:sz w:val="22"/>
          <w:szCs w:val="22"/>
          <w:highlight w:val="none"/>
        </w:rPr>
      </w:pPr>
    </w:p>
    <w:p>
      <w:pPr>
        <w:wordWrap/>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lang w:eastAsia="zh-CN"/>
        </w:rPr>
        <w:t>温州市应急管理局</w:t>
      </w:r>
    </w:p>
    <w:p>
      <w:pPr>
        <w:wordWrap/>
        <w:spacing w:line="440" w:lineRule="exact"/>
        <w:rPr>
          <w:rFonts w:ascii="宋体" w:hAnsi="宋体" w:cs="宋体"/>
          <w:color w:val="auto"/>
          <w:sz w:val="22"/>
          <w:szCs w:val="22"/>
          <w:highlight w:val="none"/>
          <w:u w:val="single"/>
          <w:shd w:val="clear" w:color="auto" w:fill="FFFFFF"/>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u w:val="single"/>
          <w:shd w:val="clear" w:color="auto" w:fill="FFFFFF"/>
          <w:lang w:val="en-US" w:eastAsia="zh-CN"/>
        </w:rPr>
        <w:t xml:space="preserve">         </w:t>
      </w:r>
      <w:r>
        <w:rPr>
          <w:rFonts w:hint="eastAsia" w:ascii="宋体" w:hAnsi="宋体" w:cs="宋体"/>
          <w:color w:val="auto"/>
          <w:sz w:val="22"/>
          <w:szCs w:val="22"/>
          <w:highlight w:val="none"/>
          <w:u w:val="single"/>
          <w:shd w:val="clear" w:color="auto" w:fill="FFFFFF"/>
        </w:rPr>
        <w:t xml:space="preserve"> </w:t>
      </w:r>
    </w:p>
    <w:p>
      <w:pPr>
        <w:wordWrap/>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温州市应急管理局</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shd w:val="clear" w:color="auto" w:fill="FFFFFF"/>
          <w:lang w:eastAsia="zh-CN"/>
        </w:rPr>
        <w:t>（项目、编号、标项）在国内</w:t>
      </w:r>
      <w:r>
        <w:rPr>
          <w:rFonts w:hint="eastAsia" w:ascii="宋体" w:hAnsi="宋体" w:cs="宋体"/>
          <w:color w:val="auto"/>
          <w:sz w:val="22"/>
          <w:szCs w:val="22"/>
          <w:highlight w:val="none"/>
          <w:shd w:val="clear" w:color="auto" w:fill="FFFFFF"/>
        </w:rPr>
        <w:t>以</w:t>
      </w:r>
      <w:r>
        <w:rPr>
          <w:rFonts w:hint="eastAsia" w:ascii="宋体" w:hAnsi="宋体" w:cs="宋体"/>
          <w:color w:val="auto"/>
          <w:sz w:val="22"/>
          <w:szCs w:val="22"/>
          <w:highlight w:val="none"/>
          <w:u w:val="none"/>
          <w:shd w:val="clear" w:color="auto" w:fill="FFFFFF"/>
        </w:rPr>
        <w:t>公开招标</w:t>
      </w:r>
      <w:r>
        <w:rPr>
          <w:rFonts w:hint="eastAsia" w:ascii="宋体" w:hAnsi="宋体" w:cs="宋体"/>
          <w:color w:val="auto"/>
          <w:sz w:val="22"/>
          <w:szCs w:val="22"/>
          <w:highlight w:val="none"/>
          <w:shd w:val="clear" w:color="auto" w:fill="FFFFFF"/>
        </w:rPr>
        <w:t>方式进行</w:t>
      </w:r>
      <w:r>
        <w:rPr>
          <w:rFonts w:hint="eastAsia" w:ascii="宋体" w:hAnsi="宋体" w:cs="宋体"/>
          <w:color w:val="auto"/>
          <w:sz w:val="22"/>
          <w:szCs w:val="22"/>
          <w:highlight w:val="none"/>
        </w:rPr>
        <w:t>采购，经评标委员会综合评审，确定</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rPr>
        <w:t>为中标人，甲乙双方根据《中华人民共和国民法典》等法规和招标文件、投标文件的承诺，经双方协商，同意签订本合同，共同遵守。</w:t>
      </w:r>
    </w:p>
    <w:p>
      <w:pPr>
        <w:wordWrap/>
        <w:adjustRightInd w:val="0"/>
        <w:spacing w:line="440" w:lineRule="exact"/>
        <w:ind w:firstLine="442" w:firstLineChars="200"/>
        <w:rPr>
          <w:rFonts w:ascii="宋体" w:hAnsi="宋体" w:cs="宋体"/>
          <w:b/>
          <w:color w:val="auto"/>
          <w:kern w:val="2"/>
          <w:sz w:val="22"/>
          <w:szCs w:val="22"/>
          <w:highlight w:val="none"/>
        </w:rPr>
      </w:pPr>
      <w:r>
        <w:rPr>
          <w:rFonts w:hint="eastAsia" w:ascii="宋体" w:hAnsi="宋体" w:cs="宋体"/>
          <w:b/>
          <w:snapToGrid w:val="0"/>
          <w:color w:val="auto"/>
          <w:sz w:val="22"/>
          <w:szCs w:val="22"/>
          <w:highlight w:val="none"/>
        </w:rPr>
        <w:t>一、货物内容</w:t>
      </w:r>
      <w:r>
        <w:rPr>
          <w:rFonts w:hint="eastAsia" w:ascii="宋体" w:hAnsi="宋体" w:cs="宋体"/>
          <w:b/>
          <w:color w:val="auto"/>
          <w:kern w:val="2"/>
          <w:sz w:val="22"/>
          <w:szCs w:val="22"/>
          <w:highlight w:val="none"/>
        </w:rPr>
        <w:t>及合同价格</w:t>
      </w:r>
      <w:r>
        <w:rPr>
          <w:rFonts w:hint="eastAsia" w:ascii="宋体" w:hAnsi="宋体" w:cs="宋体"/>
          <w:color w:val="auto"/>
          <w:sz w:val="22"/>
          <w:szCs w:val="22"/>
          <w:highlight w:val="none"/>
        </w:rPr>
        <w:t xml:space="preserve">     </w:t>
      </w:r>
    </w:p>
    <w:p>
      <w:pPr>
        <w:wordWrap/>
        <w:adjustRightInd w:val="0"/>
        <w:spacing w:line="440" w:lineRule="exact"/>
        <w:ind w:firstLine="641"/>
        <w:rPr>
          <w:rFonts w:ascii="宋体" w:hAnsi="宋体" w:cs="宋体"/>
          <w:color w:val="auto"/>
          <w:kern w:val="2"/>
          <w:sz w:val="22"/>
          <w:szCs w:val="22"/>
          <w:highlight w:val="none"/>
        </w:rPr>
      </w:pPr>
      <w:r>
        <w:rPr>
          <w:rFonts w:hint="eastAsia" w:ascii="宋体" w:hAnsi="宋体" w:cs="宋体"/>
          <w:b/>
          <w:color w:val="auto"/>
          <w:kern w:val="2"/>
          <w:sz w:val="22"/>
          <w:szCs w:val="22"/>
          <w:highlight w:val="none"/>
        </w:rPr>
        <w:t xml:space="preserve">                              </w:t>
      </w:r>
      <w:r>
        <w:rPr>
          <w:rFonts w:ascii="宋体" w:hAnsi="宋体" w:cs="宋体"/>
          <w:b/>
          <w:color w:val="auto"/>
          <w:kern w:val="2"/>
          <w:sz w:val="22"/>
          <w:szCs w:val="22"/>
          <w:highlight w:val="none"/>
        </w:rPr>
        <w:t xml:space="preserve">                    </w:t>
      </w:r>
      <w:r>
        <w:rPr>
          <w:rFonts w:hint="eastAsia" w:ascii="宋体" w:hAnsi="宋体" w:cs="宋体"/>
          <w:b/>
          <w:color w:val="auto"/>
          <w:kern w:val="2"/>
          <w:sz w:val="22"/>
          <w:szCs w:val="22"/>
          <w:highlight w:val="none"/>
        </w:rPr>
        <w:t xml:space="preserve">        </w:t>
      </w:r>
      <w:r>
        <w:rPr>
          <w:rFonts w:hint="eastAsia" w:ascii="宋体" w:hAnsi="宋体" w:cs="宋体"/>
          <w:color w:val="auto"/>
          <w:kern w:val="2"/>
          <w:sz w:val="22"/>
          <w:szCs w:val="22"/>
          <w:highlight w:val="none"/>
        </w:rPr>
        <w:t xml:space="preserve">金额单位：人民币元 </w:t>
      </w:r>
    </w:p>
    <w:tbl>
      <w:tblPr>
        <w:tblStyle w:val="44"/>
        <w:tblW w:w="9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79"/>
        <w:gridCol w:w="1350"/>
        <w:gridCol w:w="1446"/>
        <w:gridCol w:w="836"/>
        <w:gridCol w:w="127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92" w:type="dxa"/>
            <w:vAlign w:val="center"/>
          </w:tcPr>
          <w:p>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序号</w:t>
            </w:r>
          </w:p>
        </w:tc>
        <w:tc>
          <w:tcPr>
            <w:tcW w:w="2079" w:type="dxa"/>
            <w:vAlign w:val="center"/>
          </w:tcPr>
          <w:p>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货物名称</w:t>
            </w:r>
          </w:p>
        </w:tc>
        <w:tc>
          <w:tcPr>
            <w:tcW w:w="1350" w:type="dxa"/>
            <w:vAlign w:val="center"/>
          </w:tcPr>
          <w:p>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底盘型号</w:t>
            </w:r>
          </w:p>
        </w:tc>
        <w:tc>
          <w:tcPr>
            <w:tcW w:w="1446"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整车型号</w:t>
            </w:r>
          </w:p>
        </w:tc>
        <w:tc>
          <w:tcPr>
            <w:tcW w:w="836"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数量</w:t>
            </w:r>
          </w:p>
        </w:tc>
        <w:tc>
          <w:tcPr>
            <w:tcW w:w="1278"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单价</w:t>
            </w:r>
          </w:p>
        </w:tc>
        <w:tc>
          <w:tcPr>
            <w:tcW w:w="1697"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892"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2079"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350" w:type="dxa"/>
            <w:vAlign w:val="center"/>
          </w:tcPr>
          <w:p>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1446" w:type="dxa"/>
            <w:vAlign w:val="center"/>
          </w:tcPr>
          <w:p>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836" w:type="dxa"/>
            <w:vAlign w:val="center"/>
          </w:tcPr>
          <w:p>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1278"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697" w:type="dxa"/>
            <w:tcBorders>
              <w:bottom w:val="single" w:color="auto" w:sz="4" w:space="0"/>
            </w:tcBorders>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892"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2079"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350"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446"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836"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278" w:type="dxa"/>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697" w:type="dxa"/>
            <w:tcBorders>
              <w:bottom w:val="single" w:color="auto" w:sz="4" w:space="0"/>
            </w:tcBorders>
            <w:vAlign w:val="center"/>
          </w:tcPr>
          <w:p>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578" w:type="dxa"/>
            <w:gridSpan w:val="7"/>
            <w:vAlign w:val="center"/>
          </w:tcPr>
          <w:p>
            <w:pPr>
              <w:tabs>
                <w:tab w:val="left" w:pos="180"/>
              </w:tabs>
              <w:spacing w:before="0" w:beforeAutospacing="0" w:after="0" w:afterAutospacing="0" w:line="360" w:lineRule="exact"/>
              <w:ind w:left="0" w:right="0"/>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合计（含税）：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578" w:type="dxa"/>
            <w:gridSpan w:val="7"/>
            <w:vAlign w:val="center"/>
          </w:tcPr>
          <w:p>
            <w:pPr>
              <w:tabs>
                <w:tab w:val="left" w:pos="180"/>
              </w:tabs>
              <w:spacing w:before="0" w:beforeAutospacing="0" w:after="0" w:afterAutospacing="0" w:line="360" w:lineRule="exact"/>
              <w:ind w:left="0" w:right="0"/>
              <w:rPr>
                <w:rFonts w:hint="default" w:ascii="宋体" w:hAnsi="宋体" w:cs="宋体"/>
                <w:color w:val="auto"/>
                <w:kern w:val="2"/>
                <w:sz w:val="22"/>
                <w:szCs w:val="22"/>
                <w:highlight w:val="none"/>
              </w:rPr>
            </w:pPr>
            <w:r>
              <w:rPr>
                <w:rFonts w:hint="eastAsia" w:ascii="宋体" w:hAnsi="宋体" w:cs="宋体"/>
                <w:color w:val="auto"/>
                <w:kern w:val="2"/>
                <w:sz w:val="22"/>
                <w:szCs w:val="22"/>
                <w:highlight w:val="none"/>
              </w:rPr>
              <w:t>合同总价（大写）：</w:t>
            </w:r>
            <w:r>
              <w:rPr>
                <w:rFonts w:hint="default" w:ascii="宋体" w:hAnsi="宋体" w:cs="宋体"/>
                <w:color w:val="auto"/>
                <w:kern w:val="2"/>
                <w:sz w:val="22"/>
                <w:szCs w:val="22"/>
                <w:highlight w:val="none"/>
              </w:rPr>
              <w:t xml:space="preserve"> </w:t>
            </w:r>
          </w:p>
        </w:tc>
      </w:tr>
    </w:tbl>
    <w:p>
      <w:pPr>
        <w:widowControl/>
        <w:wordWrap/>
        <w:overflowPunct w:val="0"/>
        <w:autoSpaceDE w:val="0"/>
        <w:autoSpaceDN w:val="0"/>
        <w:adjustRightInd w:val="0"/>
        <w:snapToGrid w:val="0"/>
        <w:spacing w:before="120" w:after="120" w:line="440" w:lineRule="exact"/>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kern w:val="0"/>
          <w:sz w:val="22"/>
          <w:szCs w:val="22"/>
          <w:highlight w:val="none"/>
        </w:rPr>
        <w:t>商品型号、数量、配置要求及使用单位地址等详见附件清单。</w:t>
      </w:r>
    </w:p>
    <w:p>
      <w:pPr>
        <w:numPr>
          <w:ilvl w:val="0"/>
          <w:numId w:val="4"/>
        </w:numPr>
        <w:wordWrap/>
        <w:spacing w:line="440" w:lineRule="exact"/>
        <w:ind w:firstLine="468" w:firstLineChars="21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以上合同总价包含产品到达用户并能正常使用所需的一切费用。</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二、技术资料</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乙方应按招标文件规定的时间向甲方提供使用货物的有关技术资料。</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三、知识产权</w:t>
      </w:r>
    </w:p>
    <w:p>
      <w:pPr>
        <w:wordWrap/>
        <w:snapToGrid w:val="0"/>
        <w:spacing w:line="44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乙方应保证甲方在使用、接受本合同货物和服务或其任何一部分时均不会侵犯任何第三方的专利权、版权、商标权和工业设计权等知识产权。一旦出现侵权，由乙方承担可能由此造成的全部责任和费用。</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四、产权担保</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乙方保证所交付的货物的所有权完全属于乙方且无任何抵押、查封等产权瑕疵。</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五、转包或分包</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本合同范围的货物，应由乙方直接供应，不得转让或部分转让他人供应，否则，甲方有权解除合同，没收履约保证金并追究乙方的违约责任。</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六、储存及质保期</w:t>
      </w:r>
    </w:p>
    <w:p>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lang w:eastAsia="zh-CN"/>
        </w:rPr>
      </w:pPr>
      <w:r>
        <w:rPr>
          <w:rFonts w:hint="eastAsia" w:ascii="宋体" w:hAnsi="宋体" w:eastAsia="宋体" w:cs="宋体"/>
          <w:b w:val="0"/>
          <w:bCs/>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rPr>
        <w:t>质保</w:t>
      </w:r>
      <w:r>
        <w:rPr>
          <w:rFonts w:hint="eastAsia" w:ascii="宋体" w:hAnsi="宋体" w:cs="宋体"/>
          <w:b w:val="0"/>
          <w:bCs/>
          <w:color w:val="auto"/>
          <w:spacing w:val="-4"/>
          <w:kern w:val="2"/>
          <w:sz w:val="22"/>
          <w:szCs w:val="22"/>
          <w:highlight w:val="none"/>
          <w:lang w:eastAsia="zh-CN"/>
        </w:rPr>
        <w:t>及储存</w:t>
      </w:r>
      <w:r>
        <w:rPr>
          <w:rFonts w:hint="eastAsia" w:ascii="宋体" w:hAnsi="宋体" w:eastAsia="宋体" w:cs="宋体"/>
          <w:b w:val="0"/>
          <w:bCs/>
          <w:color w:val="auto"/>
          <w:spacing w:val="-4"/>
          <w:kern w:val="2"/>
          <w:sz w:val="22"/>
          <w:szCs w:val="22"/>
          <w:highlight w:val="none"/>
        </w:rPr>
        <w:t>期限内，如产品</w:t>
      </w:r>
      <w:r>
        <w:rPr>
          <w:rFonts w:hint="eastAsia" w:ascii="宋体" w:hAnsi="宋体" w:cs="宋体"/>
          <w:b w:val="0"/>
          <w:bCs/>
          <w:color w:val="auto"/>
          <w:spacing w:val="-4"/>
          <w:kern w:val="2"/>
          <w:sz w:val="22"/>
          <w:szCs w:val="22"/>
          <w:highlight w:val="none"/>
          <w:lang w:eastAsia="zh-CN"/>
        </w:rPr>
        <w:t>（含包装物）</w:t>
      </w:r>
      <w:r>
        <w:rPr>
          <w:rFonts w:hint="eastAsia" w:ascii="宋体" w:hAnsi="宋体" w:eastAsia="宋体" w:cs="宋体"/>
          <w:b w:val="0"/>
          <w:bCs/>
          <w:color w:val="auto"/>
          <w:spacing w:val="-4"/>
          <w:kern w:val="2"/>
          <w:sz w:val="22"/>
          <w:szCs w:val="22"/>
          <w:highlight w:val="none"/>
        </w:rPr>
        <w:t>出现质量问题，由乙方免费进行退换</w:t>
      </w:r>
      <w:r>
        <w:rPr>
          <w:rFonts w:hint="eastAsia" w:ascii="宋体" w:hAnsi="宋体" w:cs="宋体"/>
          <w:b w:val="0"/>
          <w:bCs/>
          <w:color w:val="auto"/>
          <w:spacing w:val="-4"/>
          <w:kern w:val="2"/>
          <w:sz w:val="22"/>
          <w:szCs w:val="22"/>
          <w:highlight w:val="none"/>
          <w:lang w:eastAsia="zh-CN"/>
        </w:rPr>
        <w:t>；</w:t>
      </w:r>
    </w:p>
    <w:p>
      <w:pPr>
        <w:tabs>
          <w:tab w:val="left" w:pos="180"/>
        </w:tabs>
        <w:snapToGrid w:val="0"/>
        <w:spacing w:line="440" w:lineRule="exact"/>
        <w:ind w:firstLine="424" w:firstLineChars="200"/>
        <w:rPr>
          <w:rFonts w:hint="default" w:eastAsia="宋体"/>
          <w:color w:val="auto"/>
          <w:highlight w:val="none"/>
          <w:lang w:val="en-US" w:eastAsia="zh-CN"/>
        </w:rPr>
      </w:pPr>
      <w:r>
        <w:rPr>
          <w:rFonts w:hint="eastAsia" w:ascii="宋体" w:hAnsi="宋体" w:eastAsia="宋体" w:cs="宋体"/>
          <w:b w:val="0"/>
          <w:bCs/>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rPr>
        <w:t>质保期</w:t>
      </w:r>
      <w:r>
        <w:rPr>
          <w:rFonts w:hint="eastAsia" w:ascii="宋体" w:hAnsi="宋体" w:eastAsia="宋体" w:cs="宋体"/>
          <w:b w:val="0"/>
          <w:bCs/>
          <w:color w:val="auto"/>
          <w:spacing w:val="-4"/>
          <w:kern w:val="2"/>
          <w:sz w:val="22"/>
          <w:szCs w:val="22"/>
          <w:highlight w:val="none"/>
          <w:lang w:eastAsia="zh-CN"/>
        </w:rPr>
        <w:t>：</w:t>
      </w:r>
      <w:r>
        <w:rPr>
          <w:rFonts w:hint="eastAsia" w:ascii="宋体" w:hAnsi="宋体" w:cs="宋体"/>
          <w:bCs/>
          <w:color w:val="auto"/>
          <w:spacing w:val="-4"/>
          <w:kern w:val="2"/>
          <w:sz w:val="22"/>
          <w:szCs w:val="22"/>
          <w:highlight w:val="none"/>
        </w:rPr>
        <w:t>本项目免费质量保证期要求不低于</w:t>
      </w:r>
      <w:r>
        <w:rPr>
          <w:rFonts w:hint="eastAsia" w:ascii="宋体" w:hAnsi="宋体" w:cs="宋体"/>
          <w:bCs/>
          <w:color w:val="auto"/>
          <w:spacing w:val="-4"/>
          <w:kern w:val="2"/>
          <w:sz w:val="22"/>
          <w:szCs w:val="22"/>
          <w:highlight w:val="none"/>
          <w:u w:val="none"/>
          <w:lang w:val="en-US" w:eastAsia="zh-CN"/>
        </w:rPr>
        <w:t>2</w:t>
      </w:r>
      <w:r>
        <w:rPr>
          <w:rFonts w:hint="eastAsia" w:ascii="宋体" w:hAnsi="宋体" w:cs="宋体"/>
          <w:bCs/>
          <w:color w:val="auto"/>
          <w:spacing w:val="-4"/>
          <w:kern w:val="2"/>
          <w:sz w:val="22"/>
          <w:szCs w:val="22"/>
          <w:highlight w:val="none"/>
          <w:u w:val="none"/>
        </w:rPr>
        <w:t xml:space="preserve"> </w:t>
      </w:r>
      <w:r>
        <w:rPr>
          <w:rFonts w:hint="eastAsia" w:ascii="宋体" w:hAnsi="宋体" w:cs="宋体"/>
          <w:bCs/>
          <w:color w:val="auto"/>
          <w:spacing w:val="-4"/>
          <w:kern w:val="2"/>
          <w:sz w:val="22"/>
          <w:szCs w:val="22"/>
          <w:highlight w:val="none"/>
        </w:rPr>
        <w:t>年</w:t>
      </w:r>
      <w:r>
        <w:rPr>
          <w:rFonts w:hint="eastAsia" w:ascii="宋体" w:hAnsi="宋体" w:cs="宋体"/>
          <w:bCs/>
          <w:color w:val="auto"/>
          <w:spacing w:val="-4"/>
          <w:kern w:val="2"/>
          <w:sz w:val="22"/>
          <w:szCs w:val="22"/>
          <w:highlight w:val="none"/>
          <w:lang w:eastAsia="zh-CN"/>
        </w:rPr>
        <w:t>，</w:t>
      </w:r>
      <w:r>
        <w:rPr>
          <w:rFonts w:hint="eastAsia" w:ascii="宋体" w:hAnsi="宋体" w:cs="宋体"/>
          <w:bCs/>
          <w:color w:val="auto"/>
          <w:spacing w:val="-4"/>
          <w:kern w:val="2"/>
          <w:sz w:val="22"/>
          <w:szCs w:val="22"/>
          <w:highlight w:val="none"/>
        </w:rPr>
        <w:t>免费质量保证期从货物经甲方验收合格后开始计算。</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七、交货期、交货方式及交货地点</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交货期：</w:t>
      </w:r>
      <w:r>
        <w:rPr>
          <w:rFonts w:hint="eastAsia" w:ascii="宋体" w:hAnsi="宋体" w:cs="宋体"/>
          <w:color w:val="auto"/>
          <w:sz w:val="22"/>
          <w:szCs w:val="22"/>
          <w:highlight w:val="none"/>
          <w:u w:val="single"/>
          <w:lang w:val="en-US" w:eastAsia="zh-CN"/>
        </w:rPr>
        <w:t>合同签订后30日历天内完成供货</w:t>
      </w:r>
      <w:r>
        <w:rPr>
          <w:rFonts w:hint="eastAsia" w:ascii="宋体" w:hAnsi="宋体" w:eastAsia="宋体" w:cs="宋体"/>
          <w:color w:val="auto"/>
          <w:spacing w:val="-4"/>
          <w:kern w:val="2"/>
          <w:sz w:val="22"/>
          <w:szCs w:val="22"/>
          <w:highlight w:val="none"/>
        </w:rPr>
        <w:t>。</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交货方式：</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（1）现场交货：乙方负责办理运输和保险，将货物运抵甲方指定的现场并落地就位。有关运输和保险的一切费用由乙方承担。所有货物运抵现场的日期为交货日期。</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（2）在现场交货条件下，乙方在货物发运前 天，将要发运货物的合同号、货物名称、规格、数量、包装箱件数、重量、包装箱尺寸（长×宽×高）和货物的卸车，贮存的特殊要求以及运输工具名称以及启运日期，以传真形式通知甲方。</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（3）如因乙方延误将上述内容用</w:t>
      </w:r>
      <w:r>
        <w:rPr>
          <w:rFonts w:hint="eastAsia" w:ascii="宋体" w:hAnsi="宋体" w:cs="宋体"/>
          <w:color w:val="auto"/>
          <w:spacing w:val="-4"/>
          <w:kern w:val="2"/>
          <w:sz w:val="22"/>
          <w:szCs w:val="22"/>
          <w:highlight w:val="none"/>
          <w:lang w:eastAsia="zh-CN"/>
        </w:rPr>
        <w:t>书面</w:t>
      </w:r>
      <w:r>
        <w:rPr>
          <w:rFonts w:hint="eastAsia" w:ascii="宋体" w:hAnsi="宋体" w:eastAsia="宋体" w:cs="宋体"/>
          <w:color w:val="auto"/>
          <w:spacing w:val="-4"/>
          <w:kern w:val="2"/>
          <w:sz w:val="22"/>
          <w:szCs w:val="22"/>
          <w:highlight w:val="none"/>
        </w:rPr>
        <w:t>形式通知甲方，由此引起的一切损失应由乙方承担。</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lang w:eastAsia="zh-CN"/>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 xml:space="preserve"> 交货地点：甲方指定地点</w:t>
      </w:r>
      <w:r>
        <w:rPr>
          <w:rFonts w:hint="eastAsia" w:ascii="宋体" w:hAnsi="宋体" w:eastAsia="宋体" w:cs="宋体"/>
          <w:color w:val="auto"/>
          <w:spacing w:val="-4"/>
          <w:kern w:val="2"/>
          <w:sz w:val="22"/>
          <w:szCs w:val="22"/>
          <w:highlight w:val="none"/>
          <w:lang w:eastAsia="zh-CN"/>
        </w:rPr>
        <w:t>。</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八、</w:t>
      </w:r>
      <w:r>
        <w:rPr>
          <w:rFonts w:hint="eastAsia" w:ascii="宋体" w:hAnsi="宋体" w:eastAsia="宋体" w:cs="宋体"/>
          <w:b/>
          <w:color w:val="auto"/>
          <w:spacing w:val="-4"/>
          <w:kern w:val="2"/>
          <w:sz w:val="22"/>
          <w:szCs w:val="22"/>
          <w:highlight w:val="none"/>
          <w:lang w:val="en-US" w:eastAsia="zh-CN"/>
        </w:rPr>
        <w:t>履约保证金及</w:t>
      </w:r>
      <w:r>
        <w:rPr>
          <w:rFonts w:hint="eastAsia" w:ascii="宋体" w:hAnsi="宋体" w:eastAsia="宋体" w:cs="宋体"/>
          <w:b/>
          <w:color w:val="auto"/>
          <w:spacing w:val="-4"/>
          <w:kern w:val="2"/>
          <w:sz w:val="22"/>
          <w:szCs w:val="22"/>
          <w:highlight w:val="none"/>
        </w:rPr>
        <w:t>货款支付</w:t>
      </w:r>
    </w:p>
    <w:p>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lang w:eastAsia="zh-CN"/>
        </w:rPr>
      </w:pPr>
      <w:r>
        <w:rPr>
          <w:rFonts w:hint="eastAsia" w:ascii="宋体" w:hAnsi="宋体" w:eastAsia="宋体" w:cs="宋体"/>
          <w:b w:val="0"/>
          <w:bCs/>
          <w:color w:val="auto"/>
          <w:spacing w:val="-4"/>
          <w:kern w:val="2"/>
          <w:sz w:val="22"/>
          <w:szCs w:val="22"/>
          <w:highlight w:val="none"/>
          <w:lang w:val="en-US" w:eastAsia="zh-CN"/>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lang w:eastAsia="zh-CN"/>
        </w:rPr>
        <w:t xml:space="preserve"> 乙方在合同签订后7个工作日内，</w:t>
      </w:r>
      <w:r>
        <w:rPr>
          <w:rFonts w:hint="eastAsia" w:ascii="宋体" w:hAnsi="宋体" w:eastAsia="宋体" w:cs="宋体"/>
          <w:b w:val="0"/>
          <w:bCs/>
          <w:color w:val="auto"/>
          <w:spacing w:val="-4"/>
          <w:kern w:val="2"/>
          <w:sz w:val="22"/>
          <w:szCs w:val="22"/>
          <w:highlight w:val="none"/>
          <w:lang w:val="en-US" w:eastAsia="zh-CN"/>
        </w:rPr>
        <w:t>向</w:t>
      </w:r>
      <w:r>
        <w:rPr>
          <w:rFonts w:hint="eastAsia" w:ascii="宋体" w:hAnsi="宋体" w:eastAsia="宋体" w:cs="宋体"/>
          <w:b w:val="0"/>
          <w:bCs/>
          <w:color w:val="auto"/>
          <w:spacing w:val="-4"/>
          <w:kern w:val="2"/>
          <w:sz w:val="22"/>
          <w:szCs w:val="22"/>
          <w:highlight w:val="none"/>
          <w:lang w:eastAsia="zh-CN"/>
        </w:rPr>
        <w:t>甲方</w:t>
      </w:r>
      <w:r>
        <w:rPr>
          <w:rFonts w:hint="eastAsia" w:ascii="宋体" w:hAnsi="宋体" w:eastAsia="宋体" w:cs="宋体"/>
          <w:b w:val="0"/>
          <w:bCs/>
          <w:color w:val="auto"/>
          <w:spacing w:val="-4"/>
          <w:kern w:val="2"/>
          <w:sz w:val="22"/>
          <w:szCs w:val="22"/>
          <w:highlight w:val="none"/>
          <w:lang w:val="en-US" w:eastAsia="zh-CN"/>
        </w:rPr>
        <w:t>缴纳</w:t>
      </w:r>
      <w:r>
        <w:rPr>
          <w:rFonts w:hint="eastAsia" w:ascii="宋体" w:hAnsi="宋体" w:eastAsia="宋体" w:cs="宋体"/>
          <w:b w:val="0"/>
          <w:bCs/>
          <w:color w:val="auto"/>
          <w:spacing w:val="-4"/>
          <w:kern w:val="2"/>
          <w:sz w:val="22"/>
          <w:szCs w:val="22"/>
          <w:highlight w:val="none"/>
          <w:lang w:eastAsia="zh-CN"/>
        </w:rPr>
        <w:t>合同金额1%（¥</w:t>
      </w:r>
      <w:r>
        <w:rPr>
          <w:rFonts w:hint="eastAsia" w:ascii="宋体" w:hAnsi="宋体" w:eastAsia="宋体" w:cs="宋体"/>
          <w:b w:val="0"/>
          <w:bCs/>
          <w:color w:val="auto"/>
          <w:spacing w:val="-4"/>
          <w:kern w:val="2"/>
          <w:sz w:val="22"/>
          <w:szCs w:val="22"/>
          <w:highlight w:val="none"/>
          <w:u w:val="single"/>
          <w:lang w:val="en-US" w:eastAsia="zh-CN"/>
        </w:rPr>
        <w:t xml:space="preserve">     </w:t>
      </w:r>
      <w:r>
        <w:rPr>
          <w:rFonts w:hint="eastAsia" w:ascii="宋体" w:hAnsi="宋体" w:eastAsia="宋体" w:cs="宋体"/>
          <w:b w:val="0"/>
          <w:bCs/>
          <w:color w:val="auto"/>
          <w:spacing w:val="-4"/>
          <w:kern w:val="2"/>
          <w:sz w:val="22"/>
          <w:szCs w:val="22"/>
          <w:highlight w:val="none"/>
          <w:lang w:val="en-US" w:eastAsia="zh-CN"/>
        </w:rPr>
        <w:t>元</w:t>
      </w:r>
      <w:r>
        <w:rPr>
          <w:rFonts w:hint="eastAsia" w:ascii="宋体" w:hAnsi="宋体" w:eastAsia="宋体" w:cs="宋体"/>
          <w:b w:val="0"/>
          <w:bCs/>
          <w:color w:val="auto"/>
          <w:spacing w:val="-4"/>
          <w:kern w:val="2"/>
          <w:sz w:val="22"/>
          <w:szCs w:val="22"/>
          <w:highlight w:val="none"/>
          <w:lang w:eastAsia="zh-CN"/>
        </w:rPr>
        <w:t>）</w:t>
      </w:r>
      <w:r>
        <w:rPr>
          <w:rFonts w:hint="eastAsia" w:ascii="宋体" w:hAnsi="宋体" w:cs="宋体"/>
          <w:b w:val="0"/>
          <w:bCs/>
          <w:color w:val="auto"/>
          <w:spacing w:val="-4"/>
          <w:kern w:val="2"/>
          <w:sz w:val="22"/>
          <w:szCs w:val="22"/>
          <w:highlight w:val="none"/>
          <w:lang w:val="en-US" w:eastAsia="zh-CN"/>
        </w:rPr>
        <w:t>(取整数)</w:t>
      </w:r>
      <w:r>
        <w:rPr>
          <w:rFonts w:hint="eastAsia" w:ascii="宋体" w:hAnsi="宋体" w:eastAsia="宋体" w:cs="宋体"/>
          <w:b w:val="0"/>
          <w:bCs/>
          <w:color w:val="auto"/>
          <w:spacing w:val="-4"/>
          <w:kern w:val="2"/>
          <w:sz w:val="22"/>
          <w:szCs w:val="22"/>
          <w:highlight w:val="none"/>
          <w:lang w:eastAsia="zh-CN"/>
        </w:rPr>
        <w:t>作为履约保证金（接受支票、汇票、本票、履约保函等多种非现金形式），合同期满履约验收通过后或合同解除后扣除乙方应承担的违约赔偿责任外，剩余部分7个工作日内返还乙方</w:t>
      </w:r>
      <w:r>
        <w:rPr>
          <w:rFonts w:hint="eastAsia" w:ascii="宋体" w:hAnsi="宋体" w:cs="宋体"/>
          <w:b w:val="0"/>
          <w:bCs/>
          <w:color w:val="auto"/>
          <w:spacing w:val="-4"/>
          <w:kern w:val="2"/>
          <w:sz w:val="22"/>
          <w:szCs w:val="22"/>
          <w:highlight w:val="none"/>
          <w:lang w:eastAsia="zh-CN"/>
        </w:rPr>
        <w:t>；</w:t>
      </w:r>
    </w:p>
    <w:p>
      <w:pPr>
        <w:tabs>
          <w:tab w:val="left" w:pos="180"/>
        </w:tabs>
        <w:wordWrap/>
        <w:snapToGrid w:val="0"/>
        <w:spacing w:line="440" w:lineRule="exact"/>
        <w:ind w:firstLine="424" w:firstLineChars="200"/>
        <w:rPr>
          <w:rFonts w:hint="eastAsia" w:ascii="宋体" w:hAnsi="宋体" w:eastAsia="宋体" w:cs="宋体"/>
          <w:b/>
          <w:bCs w:val="0"/>
          <w:color w:val="auto"/>
          <w:spacing w:val="-4"/>
          <w:kern w:val="2"/>
          <w:sz w:val="22"/>
          <w:szCs w:val="22"/>
          <w:highlight w:val="none"/>
        </w:rPr>
      </w:pPr>
      <w:r>
        <w:rPr>
          <w:rFonts w:hint="eastAsia" w:ascii="宋体" w:hAnsi="宋体" w:eastAsia="宋体" w:cs="宋体"/>
          <w:b w:val="0"/>
          <w:bCs/>
          <w:color w:val="auto"/>
          <w:spacing w:val="-4"/>
          <w:kern w:val="2"/>
          <w:sz w:val="22"/>
          <w:szCs w:val="22"/>
          <w:highlight w:val="none"/>
          <w:lang w:val="en-US" w:eastAsia="zh-CN"/>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lang w:val="en-US" w:eastAsia="zh-CN"/>
        </w:rPr>
        <w:t>合同签订后，待财政资金下达后7个工作日内，甲方向乙方支付合同总额的40%</w:t>
      </w:r>
      <w:r>
        <w:rPr>
          <w:rFonts w:hint="eastAsia" w:ascii="宋体" w:hAnsi="宋体" w:cs="宋体"/>
          <w:b w:val="0"/>
          <w:bCs/>
          <w:color w:val="auto"/>
          <w:spacing w:val="-4"/>
          <w:kern w:val="2"/>
          <w:sz w:val="22"/>
          <w:szCs w:val="22"/>
          <w:highlight w:val="none"/>
          <w:lang w:val="en-US" w:eastAsia="zh-CN"/>
        </w:rPr>
        <w:t>~69%</w:t>
      </w:r>
      <w:r>
        <w:rPr>
          <w:rFonts w:hint="eastAsia" w:ascii="宋体" w:hAnsi="宋体" w:eastAsia="宋体" w:cs="宋体"/>
          <w:b w:val="0"/>
          <w:bCs/>
          <w:color w:val="auto"/>
          <w:spacing w:val="-4"/>
          <w:kern w:val="2"/>
          <w:sz w:val="22"/>
          <w:szCs w:val="22"/>
          <w:highlight w:val="none"/>
          <w:lang w:val="en-US" w:eastAsia="zh-CN"/>
        </w:rPr>
        <w:t>合同款作为预付款</w:t>
      </w:r>
      <w:r>
        <w:rPr>
          <w:rFonts w:hint="eastAsia" w:ascii="宋体" w:hAnsi="宋体" w:cs="宋体"/>
          <w:b w:val="0"/>
          <w:bCs/>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lang w:val="en-US" w:eastAsia="zh-CN"/>
        </w:rPr>
        <w:t>合同签订后</w:t>
      </w:r>
      <w:r>
        <w:rPr>
          <w:rFonts w:hint="eastAsia" w:ascii="宋体" w:hAnsi="宋体" w:cs="宋体"/>
          <w:b w:val="0"/>
          <w:bCs/>
          <w:color w:val="auto"/>
          <w:spacing w:val="-4"/>
          <w:kern w:val="2"/>
          <w:sz w:val="22"/>
          <w:szCs w:val="22"/>
          <w:highlight w:val="none"/>
          <w:lang w:val="en-US" w:eastAsia="zh-CN"/>
        </w:rPr>
        <w:t>30日历天内完成供货</w:t>
      </w:r>
      <w:r>
        <w:rPr>
          <w:rFonts w:hint="eastAsia" w:ascii="宋体" w:hAnsi="宋体" w:eastAsia="宋体" w:cs="宋体"/>
          <w:b w:val="0"/>
          <w:bCs/>
          <w:color w:val="auto"/>
          <w:spacing w:val="-4"/>
          <w:kern w:val="2"/>
          <w:sz w:val="22"/>
          <w:szCs w:val="22"/>
          <w:highlight w:val="none"/>
        </w:rPr>
        <w:t>，经</w:t>
      </w:r>
      <w:r>
        <w:rPr>
          <w:rFonts w:hint="eastAsia" w:ascii="宋体" w:hAnsi="宋体" w:cs="宋体"/>
          <w:b w:val="0"/>
          <w:bCs/>
          <w:color w:val="auto"/>
          <w:spacing w:val="-4"/>
          <w:kern w:val="2"/>
          <w:sz w:val="22"/>
          <w:szCs w:val="22"/>
          <w:highlight w:val="none"/>
          <w:lang w:eastAsia="zh-CN"/>
        </w:rPr>
        <w:t>监理单位</w:t>
      </w:r>
      <w:r>
        <w:rPr>
          <w:rFonts w:hint="eastAsia" w:ascii="宋体" w:hAnsi="宋体" w:eastAsia="宋体" w:cs="宋体"/>
          <w:b w:val="0"/>
          <w:bCs/>
          <w:color w:val="auto"/>
          <w:spacing w:val="-4"/>
          <w:kern w:val="2"/>
          <w:sz w:val="22"/>
          <w:szCs w:val="22"/>
          <w:highlight w:val="none"/>
        </w:rPr>
        <w:t>验收合格并出具验收报告</w:t>
      </w:r>
      <w:r>
        <w:rPr>
          <w:rFonts w:hint="eastAsia" w:ascii="宋体" w:hAnsi="宋体" w:cs="宋体"/>
          <w:b w:val="0"/>
          <w:bCs/>
          <w:color w:val="auto"/>
          <w:spacing w:val="-4"/>
          <w:kern w:val="2"/>
          <w:sz w:val="22"/>
          <w:szCs w:val="22"/>
          <w:highlight w:val="none"/>
          <w:lang w:val="en-US" w:eastAsia="zh-CN"/>
        </w:rPr>
        <w:t>(且</w:t>
      </w:r>
      <w:r>
        <w:rPr>
          <w:rFonts w:hint="eastAsia" w:ascii="宋体" w:hAnsi="宋体" w:cs="宋体"/>
          <w:bCs/>
          <w:color w:val="auto"/>
          <w:szCs w:val="21"/>
        </w:rPr>
        <w:t>完成上牌后</w:t>
      </w:r>
      <w:r>
        <w:rPr>
          <w:rFonts w:hint="eastAsia" w:ascii="宋体" w:hAnsi="宋体" w:cs="宋体"/>
          <w:b w:val="0"/>
          <w:bCs/>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rPr>
        <w:t>后</w:t>
      </w:r>
      <w:r>
        <w:rPr>
          <w:rFonts w:hint="eastAsia" w:ascii="宋体" w:hAnsi="宋体" w:eastAsia="宋体" w:cs="宋体"/>
          <w:b w:val="0"/>
          <w:bCs/>
          <w:color w:val="auto"/>
          <w:spacing w:val="-4"/>
          <w:kern w:val="2"/>
          <w:sz w:val="22"/>
          <w:szCs w:val="22"/>
          <w:highlight w:val="none"/>
          <w:lang w:val="en-US" w:eastAsia="zh-CN"/>
        </w:rPr>
        <w:t>7个工作日内</w:t>
      </w:r>
      <w:r>
        <w:rPr>
          <w:rFonts w:hint="eastAsia" w:ascii="宋体" w:hAnsi="宋体" w:eastAsia="宋体" w:cs="宋体"/>
          <w:b w:val="0"/>
          <w:bCs/>
          <w:color w:val="auto"/>
          <w:spacing w:val="-4"/>
          <w:kern w:val="2"/>
          <w:sz w:val="22"/>
          <w:szCs w:val="22"/>
          <w:highlight w:val="none"/>
        </w:rPr>
        <w:t>，</w:t>
      </w:r>
      <w:r>
        <w:rPr>
          <w:rFonts w:hint="eastAsia" w:ascii="宋体" w:hAnsi="宋体" w:eastAsia="宋体" w:cs="宋体"/>
          <w:b w:val="0"/>
          <w:bCs/>
          <w:color w:val="auto"/>
          <w:spacing w:val="-4"/>
          <w:kern w:val="2"/>
          <w:sz w:val="22"/>
          <w:szCs w:val="22"/>
          <w:highlight w:val="none"/>
          <w:lang w:eastAsia="zh-CN"/>
        </w:rPr>
        <w:t>甲方</w:t>
      </w:r>
      <w:r>
        <w:rPr>
          <w:rFonts w:hint="eastAsia" w:ascii="宋体" w:hAnsi="宋体" w:eastAsia="宋体" w:cs="宋体"/>
          <w:b w:val="0"/>
          <w:bCs/>
          <w:color w:val="auto"/>
          <w:spacing w:val="-4"/>
          <w:kern w:val="2"/>
          <w:sz w:val="22"/>
          <w:szCs w:val="22"/>
          <w:highlight w:val="none"/>
        </w:rPr>
        <w:t>向</w:t>
      </w:r>
      <w:r>
        <w:rPr>
          <w:rFonts w:hint="eastAsia" w:ascii="宋体" w:hAnsi="宋体" w:eastAsia="宋体" w:cs="宋体"/>
          <w:b w:val="0"/>
          <w:bCs/>
          <w:color w:val="auto"/>
          <w:spacing w:val="-4"/>
          <w:kern w:val="2"/>
          <w:sz w:val="22"/>
          <w:szCs w:val="22"/>
          <w:highlight w:val="none"/>
          <w:lang w:eastAsia="zh-CN"/>
        </w:rPr>
        <w:t>乙方</w:t>
      </w:r>
      <w:r>
        <w:rPr>
          <w:rFonts w:hint="eastAsia" w:ascii="宋体" w:hAnsi="宋体" w:eastAsia="宋体" w:cs="宋体"/>
          <w:b w:val="0"/>
          <w:bCs/>
          <w:color w:val="auto"/>
          <w:spacing w:val="-4"/>
          <w:kern w:val="2"/>
          <w:sz w:val="22"/>
          <w:szCs w:val="22"/>
          <w:highlight w:val="none"/>
        </w:rPr>
        <w:t>支付</w:t>
      </w:r>
      <w:r>
        <w:rPr>
          <w:rFonts w:hint="eastAsia" w:ascii="宋体" w:hAnsi="宋体" w:cs="宋体"/>
          <w:b w:val="0"/>
          <w:bCs/>
          <w:color w:val="auto"/>
          <w:spacing w:val="-4"/>
          <w:kern w:val="2"/>
          <w:sz w:val="22"/>
          <w:szCs w:val="22"/>
          <w:highlight w:val="none"/>
          <w:lang w:val="en-US" w:eastAsia="zh-CN"/>
        </w:rPr>
        <w:t>59</w:t>
      </w:r>
      <w:r>
        <w:rPr>
          <w:rFonts w:hint="eastAsia" w:ascii="宋体" w:hAnsi="宋体" w:eastAsia="宋体" w:cs="宋体"/>
          <w:b w:val="0"/>
          <w:bCs/>
          <w:color w:val="auto"/>
          <w:spacing w:val="-4"/>
          <w:kern w:val="2"/>
          <w:sz w:val="22"/>
          <w:szCs w:val="22"/>
          <w:highlight w:val="none"/>
          <w:lang w:val="en-US" w:eastAsia="zh-CN"/>
        </w:rPr>
        <w:t>%</w:t>
      </w:r>
      <w:r>
        <w:rPr>
          <w:rFonts w:hint="eastAsia" w:ascii="宋体" w:hAnsi="宋体" w:cs="宋体"/>
          <w:b w:val="0"/>
          <w:bCs/>
          <w:color w:val="auto"/>
          <w:spacing w:val="-4"/>
          <w:kern w:val="2"/>
          <w:sz w:val="22"/>
          <w:szCs w:val="22"/>
          <w:highlight w:val="none"/>
          <w:lang w:val="en-US" w:eastAsia="zh-CN"/>
        </w:rPr>
        <w:t>~30%</w:t>
      </w:r>
      <w:r>
        <w:rPr>
          <w:rFonts w:hint="eastAsia" w:ascii="宋体" w:hAnsi="宋体" w:eastAsia="宋体" w:cs="宋体"/>
          <w:b w:val="0"/>
          <w:bCs/>
          <w:color w:val="auto"/>
          <w:spacing w:val="-4"/>
          <w:kern w:val="2"/>
          <w:sz w:val="22"/>
          <w:szCs w:val="22"/>
          <w:highlight w:val="none"/>
          <w:lang w:val="en-US" w:eastAsia="zh-CN"/>
        </w:rPr>
        <w:t>合同款</w:t>
      </w:r>
      <w:r>
        <w:rPr>
          <w:rFonts w:hint="eastAsia" w:ascii="宋体" w:hAnsi="宋体" w:cs="宋体"/>
          <w:b w:val="0"/>
          <w:bCs/>
          <w:color w:val="auto"/>
          <w:spacing w:val="-4"/>
          <w:kern w:val="2"/>
          <w:sz w:val="22"/>
          <w:szCs w:val="22"/>
          <w:highlight w:val="none"/>
          <w:lang w:val="en-US" w:eastAsia="zh-CN"/>
        </w:rPr>
        <w:t>（具体比例签订合同时根据投标产品价格确定），</w:t>
      </w:r>
      <w:r>
        <w:rPr>
          <w:rFonts w:hint="eastAsia" w:ascii="宋体" w:hAnsi="宋体" w:eastAsia="宋体" w:cs="宋体"/>
          <w:b/>
          <w:bCs w:val="0"/>
          <w:color w:val="auto"/>
          <w:spacing w:val="-4"/>
          <w:kern w:val="2"/>
          <w:sz w:val="22"/>
          <w:szCs w:val="22"/>
          <w:highlight w:val="none"/>
          <w:lang w:val="en-US" w:eastAsia="zh-CN"/>
        </w:rPr>
        <w:t>自验收合格之日起免费质量保证期到期后的 15个工作日内支付合同金额1%</w:t>
      </w:r>
      <w:r>
        <w:rPr>
          <w:rFonts w:hint="eastAsia" w:ascii="宋体" w:hAnsi="宋体" w:eastAsia="宋体" w:cs="宋体"/>
          <w:b/>
          <w:bCs w:val="0"/>
          <w:color w:val="auto"/>
          <w:spacing w:val="-4"/>
          <w:kern w:val="2"/>
          <w:sz w:val="22"/>
          <w:szCs w:val="22"/>
          <w:highlight w:val="none"/>
        </w:rPr>
        <w:t>。</w:t>
      </w:r>
    </w:p>
    <w:p>
      <w:pPr>
        <w:tabs>
          <w:tab w:val="left" w:pos="180"/>
        </w:tabs>
        <w:wordWrap/>
        <w:snapToGrid w:val="0"/>
        <w:spacing w:line="440" w:lineRule="exact"/>
        <w:ind w:firstLine="424" w:firstLineChars="200"/>
        <w:rPr>
          <w:rFonts w:hint="default" w:ascii="宋体" w:hAnsi="宋体" w:eastAsia="宋体" w:cs="宋体"/>
          <w:b w:val="0"/>
          <w:bCs/>
          <w:color w:val="auto"/>
          <w:spacing w:val="-4"/>
          <w:kern w:val="2"/>
          <w:sz w:val="22"/>
          <w:szCs w:val="22"/>
          <w:highlight w:val="none"/>
          <w:lang w:val="en-US" w:eastAsia="zh-CN"/>
        </w:rPr>
      </w:pPr>
      <w:r>
        <w:rPr>
          <w:rFonts w:hint="eastAsia" w:ascii="宋体" w:hAnsi="宋体" w:cs="宋体"/>
          <w:b w:val="0"/>
          <w:bCs/>
          <w:color w:val="auto"/>
          <w:spacing w:val="-4"/>
          <w:kern w:val="2"/>
          <w:sz w:val="22"/>
          <w:szCs w:val="22"/>
          <w:highlight w:val="none"/>
          <w:lang w:val="en-US" w:eastAsia="zh-CN"/>
        </w:rPr>
        <w:t>备注：付款时间从财政资金下达并收到乙方开具的正式发票后开始计算。</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九、税费</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本合同执行中相关的一切税费均由乙方负担。</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十、质量保证及售后服务</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乙方保证本合同中所供应的商品是最新生产的符合国家技术规格和质量标准的出厂原装合格产品。如发生所供商品与合同不符，甲方有权拒收或退货，由此产生的一切责任和后果由乙方承担。</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乙方提供的货物在质保期内因货物本身的质量问题发生故障，乙方应负责免费更换。对达不到技术要求者，根据实际情况，甲方可选择以下方式处理：</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1）</w:t>
      </w:r>
      <w:r>
        <w:rPr>
          <w:rFonts w:hint="eastAsia" w:ascii="宋体" w:hAnsi="宋体" w:eastAsia="宋体" w:cs="宋体"/>
          <w:color w:val="auto"/>
          <w:spacing w:val="-4"/>
          <w:kern w:val="2"/>
          <w:sz w:val="22"/>
          <w:szCs w:val="22"/>
          <w:highlight w:val="none"/>
        </w:rPr>
        <w:t>更换：由乙方承担所发生的全部费用。</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2）</w:t>
      </w:r>
      <w:r>
        <w:rPr>
          <w:rFonts w:hint="eastAsia" w:ascii="宋体" w:hAnsi="宋体" w:eastAsia="宋体" w:cs="宋体"/>
          <w:color w:val="auto"/>
          <w:spacing w:val="-4"/>
          <w:kern w:val="2"/>
          <w:sz w:val="22"/>
          <w:szCs w:val="22"/>
          <w:highlight w:val="none"/>
        </w:rPr>
        <w:t>贬值处理：由甲乙双方合议定价</w:t>
      </w:r>
      <w:r>
        <w:rPr>
          <w:rFonts w:hint="eastAsia" w:ascii="宋体" w:hAnsi="宋体" w:cs="宋体"/>
          <w:color w:val="auto"/>
          <w:spacing w:val="-4"/>
          <w:kern w:val="2"/>
          <w:sz w:val="22"/>
          <w:szCs w:val="22"/>
          <w:highlight w:val="none"/>
          <w:lang w:eastAsia="zh-CN"/>
        </w:rPr>
        <w:t>或第三方评估</w:t>
      </w:r>
      <w:r>
        <w:rPr>
          <w:rFonts w:hint="eastAsia" w:ascii="宋体" w:hAnsi="宋体" w:eastAsia="宋体" w:cs="宋体"/>
          <w:color w:val="auto"/>
          <w:spacing w:val="-4"/>
          <w:kern w:val="2"/>
          <w:sz w:val="22"/>
          <w:szCs w:val="22"/>
          <w:highlight w:val="none"/>
        </w:rPr>
        <w:t>。</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3）</w:t>
      </w:r>
      <w:r>
        <w:rPr>
          <w:rFonts w:hint="eastAsia" w:ascii="宋体" w:hAnsi="宋体" w:eastAsia="宋体" w:cs="宋体"/>
          <w:color w:val="auto"/>
          <w:spacing w:val="-4"/>
          <w:kern w:val="2"/>
          <w:sz w:val="22"/>
          <w:szCs w:val="22"/>
          <w:highlight w:val="none"/>
        </w:rPr>
        <w:t>退货处理：乙方应退还甲方支付的合同款，同时应承担处理该货物的全部费用（运输、保险、检验、货款利息及银行手续费等）。</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在质保期内，乙方应对货物出现的质量及安全问题负责处理解决并承担一切费用。</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上述的货物在质保期内免费保修，因甲方过错导致的故障不在免费保修范围内。超过</w:t>
      </w:r>
      <w:r>
        <w:rPr>
          <w:rFonts w:hint="eastAsia" w:ascii="宋体" w:hAnsi="宋体" w:eastAsia="宋体" w:cs="宋体"/>
          <w:color w:val="auto"/>
          <w:kern w:val="2"/>
          <w:sz w:val="22"/>
          <w:szCs w:val="22"/>
          <w:highlight w:val="none"/>
        </w:rPr>
        <w:t>质保</w:t>
      </w:r>
      <w:r>
        <w:rPr>
          <w:rFonts w:hint="eastAsia" w:ascii="宋体" w:hAnsi="宋体" w:eastAsia="宋体" w:cs="宋体"/>
          <w:color w:val="auto"/>
          <w:spacing w:val="-4"/>
          <w:kern w:val="2"/>
          <w:sz w:val="22"/>
          <w:szCs w:val="22"/>
          <w:highlight w:val="none"/>
        </w:rPr>
        <w:t>期的货物，终身维修，维修时只收部件成本费。</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十一、调试和验收</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甲方对乙方提交的货物依据招标文件上的技术规格要求和国家有关质量标准进行现场验收。货到后，甲方</w:t>
      </w:r>
      <w:r>
        <w:rPr>
          <w:rFonts w:hint="eastAsia" w:ascii="宋体" w:hAnsi="宋体" w:cs="宋体"/>
          <w:color w:val="auto"/>
          <w:spacing w:val="-4"/>
          <w:kern w:val="2"/>
          <w:sz w:val="22"/>
          <w:szCs w:val="22"/>
          <w:highlight w:val="none"/>
          <w:lang w:eastAsia="zh-CN"/>
        </w:rPr>
        <w:t>可</w:t>
      </w:r>
      <w:r>
        <w:rPr>
          <w:rFonts w:hint="eastAsia" w:ascii="宋体" w:hAnsi="宋体" w:eastAsia="宋体" w:cs="宋体"/>
          <w:color w:val="auto"/>
          <w:spacing w:val="-4"/>
          <w:kern w:val="2"/>
          <w:sz w:val="22"/>
          <w:szCs w:val="22"/>
          <w:highlight w:val="none"/>
          <w:lang w:eastAsia="zh-CN"/>
        </w:rPr>
        <w:t>委托第三方检验机构对货物进行检验</w:t>
      </w:r>
      <w:r>
        <w:rPr>
          <w:rFonts w:hint="eastAsia" w:ascii="宋体" w:hAnsi="宋体" w:cs="宋体"/>
          <w:color w:val="auto"/>
          <w:spacing w:val="-4"/>
          <w:kern w:val="2"/>
          <w:sz w:val="22"/>
          <w:szCs w:val="22"/>
          <w:highlight w:val="none"/>
          <w:lang w:eastAsia="zh-CN"/>
        </w:rPr>
        <w:t>或者</w:t>
      </w:r>
      <w:r>
        <w:rPr>
          <w:rFonts w:hint="eastAsia" w:ascii="宋体" w:hAnsi="宋体" w:eastAsia="宋体" w:cs="宋体"/>
          <w:color w:val="auto"/>
          <w:spacing w:val="-4"/>
          <w:kern w:val="2"/>
          <w:sz w:val="22"/>
          <w:szCs w:val="22"/>
          <w:highlight w:val="none"/>
          <w:lang w:eastAsia="zh-CN"/>
        </w:rPr>
        <w:t>委托第三方单位组织专家验收。</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乙方交货前应对产品作出全面检查和对验收文件进行整理，并列出清单，作为甲方收货验收和使用的技术条件依据，检验的结果应随货物交甲方。</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甲方对乙方提供的货物在使用前进行调试时，乙方需负责安装并培训甲方的使用操作人员，并协助甲方一起调试，直到符合技术要求，甲方才做最终验收。</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对技术复杂的货物，甲方应请国家认可的专业检测机构参与验收，并由其出具质量检测报告。</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lang w:eastAsia="zh-CN"/>
        </w:rPr>
      </w:pPr>
      <w:r>
        <w:rPr>
          <w:rFonts w:hint="eastAsia" w:ascii="宋体" w:hAnsi="宋体" w:eastAsia="宋体" w:cs="宋体"/>
          <w:color w:val="auto"/>
          <w:spacing w:val="-4"/>
          <w:kern w:val="2"/>
          <w:sz w:val="22"/>
          <w:szCs w:val="22"/>
          <w:highlight w:val="none"/>
        </w:rPr>
        <w:t>5</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 xml:space="preserve"> </w:t>
      </w:r>
      <w:r>
        <w:rPr>
          <w:rFonts w:hint="eastAsia" w:ascii="宋体" w:hAnsi="宋体" w:eastAsia="宋体" w:cs="宋体"/>
          <w:color w:val="auto"/>
          <w:spacing w:val="-4"/>
          <w:kern w:val="2"/>
          <w:sz w:val="22"/>
          <w:szCs w:val="22"/>
          <w:highlight w:val="none"/>
          <w:lang w:eastAsia="zh-CN"/>
        </w:rPr>
        <w:t>第三方检验</w:t>
      </w:r>
      <w:r>
        <w:rPr>
          <w:rFonts w:hint="eastAsia" w:ascii="宋体" w:hAnsi="宋体" w:eastAsia="宋体" w:cs="宋体"/>
          <w:color w:val="auto"/>
          <w:spacing w:val="-4"/>
          <w:kern w:val="2"/>
          <w:sz w:val="22"/>
          <w:szCs w:val="22"/>
          <w:highlight w:val="none"/>
        </w:rPr>
        <w:t>费用由</w:t>
      </w:r>
      <w:r>
        <w:rPr>
          <w:rFonts w:hint="eastAsia" w:ascii="宋体" w:hAnsi="宋体" w:eastAsia="宋体" w:cs="宋体"/>
          <w:color w:val="auto"/>
          <w:spacing w:val="-4"/>
          <w:kern w:val="2"/>
          <w:sz w:val="22"/>
          <w:szCs w:val="22"/>
          <w:highlight w:val="none"/>
          <w:lang w:eastAsia="zh-CN"/>
        </w:rPr>
        <w:t>甲方</w:t>
      </w:r>
      <w:r>
        <w:rPr>
          <w:rFonts w:hint="eastAsia" w:ascii="宋体" w:hAnsi="宋体" w:eastAsia="宋体" w:cs="宋体"/>
          <w:color w:val="auto"/>
          <w:spacing w:val="-4"/>
          <w:kern w:val="2"/>
          <w:sz w:val="22"/>
          <w:szCs w:val="22"/>
          <w:highlight w:val="none"/>
        </w:rPr>
        <w:t>负责</w:t>
      </w: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rPr>
        <w:t>若因乙方因质量问题等导致验收不合格，乙方应及时予以处理，直至验收合格，</w:t>
      </w:r>
      <w:r>
        <w:rPr>
          <w:rFonts w:hint="eastAsia" w:ascii="宋体" w:hAnsi="宋体" w:eastAsia="宋体" w:cs="宋体"/>
          <w:color w:val="auto"/>
          <w:spacing w:val="-4"/>
          <w:kern w:val="2"/>
          <w:sz w:val="22"/>
          <w:szCs w:val="22"/>
          <w:highlight w:val="none"/>
          <w:lang w:eastAsia="zh-CN"/>
        </w:rPr>
        <w:t>再次验收</w:t>
      </w:r>
      <w:r>
        <w:rPr>
          <w:rFonts w:hint="eastAsia" w:ascii="宋体" w:hAnsi="宋体" w:eastAsia="宋体" w:cs="宋体"/>
          <w:color w:val="auto"/>
          <w:spacing w:val="-4"/>
          <w:kern w:val="2"/>
          <w:sz w:val="22"/>
          <w:szCs w:val="22"/>
          <w:highlight w:val="none"/>
        </w:rPr>
        <w:t>发生的一切费用由乙方承担，甲方保留向乙方索赔的权利</w:t>
      </w:r>
      <w:r>
        <w:rPr>
          <w:rFonts w:hint="eastAsia" w:ascii="宋体" w:hAnsi="宋体" w:eastAsia="宋体" w:cs="宋体"/>
          <w:color w:val="auto"/>
          <w:spacing w:val="-4"/>
          <w:kern w:val="2"/>
          <w:sz w:val="22"/>
          <w:szCs w:val="22"/>
          <w:highlight w:val="none"/>
          <w:lang w:eastAsia="zh-CN"/>
        </w:rPr>
        <w:t>。</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十二、货物包装、发运及运输</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乙</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方应在货物发运前对其进行满足运输距离、防潮、防震、防锈和防破损装卸、货物外部应有纸箱/气泡膜/珍珠棉等厚实材料包装，以保证货物安全运达甲方指定地点，运输过程中到交付地点须无磕碰。</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使用说明书、质量检验证明书、随配附件和工具以及清单一并附于货物内。</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乙方在货物发运手续办理完毕后24小时内或货到甲方48小时前通知甲方，以准备接货。</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货物在甲方验收合格前发生的风险均由乙方负责。</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5</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货物在规定的交付期限内由乙方送达甲方指定的地点视为交付，乙方同时需通知甲方货物已送达。</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十三、违约责任</w:t>
      </w:r>
    </w:p>
    <w:p>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rPr>
        <w:t>1.</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拒不签订合同或拒不履行合同或部分不履行合同，</w:t>
      </w:r>
      <w:r>
        <w:rPr>
          <w:rFonts w:hint="eastAsia" w:ascii="宋体" w:hAnsi="宋体" w:cs="宋体"/>
          <w:color w:val="auto"/>
          <w:spacing w:val="-4"/>
          <w:kern w:val="2"/>
          <w:sz w:val="22"/>
          <w:szCs w:val="22"/>
          <w:highlight w:val="none"/>
          <w:lang w:eastAsia="zh-CN"/>
        </w:rPr>
        <w:t>甲方</w:t>
      </w:r>
      <w:r>
        <w:rPr>
          <w:rFonts w:hint="eastAsia" w:ascii="宋体" w:hAnsi="宋体" w:cs="宋体"/>
          <w:color w:val="auto"/>
          <w:spacing w:val="-4"/>
          <w:kern w:val="2"/>
          <w:sz w:val="22"/>
          <w:szCs w:val="22"/>
          <w:highlight w:val="none"/>
        </w:rPr>
        <w:t>有权解除合同并要求</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返还已收取的全部费用，未支付合同金额不再支付，同时</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向</w:t>
      </w:r>
      <w:r>
        <w:rPr>
          <w:rFonts w:hint="eastAsia" w:ascii="宋体" w:hAnsi="宋体" w:cs="宋体"/>
          <w:color w:val="auto"/>
          <w:spacing w:val="-4"/>
          <w:kern w:val="2"/>
          <w:sz w:val="22"/>
          <w:szCs w:val="22"/>
          <w:highlight w:val="none"/>
          <w:lang w:eastAsia="zh-CN"/>
        </w:rPr>
        <w:t>甲方</w:t>
      </w:r>
      <w:r>
        <w:rPr>
          <w:rFonts w:hint="eastAsia" w:ascii="宋体" w:hAnsi="宋体" w:cs="宋体"/>
          <w:color w:val="auto"/>
          <w:spacing w:val="-4"/>
          <w:kern w:val="2"/>
          <w:sz w:val="22"/>
          <w:szCs w:val="22"/>
          <w:highlight w:val="none"/>
        </w:rPr>
        <w:t>支付合同总额</w:t>
      </w:r>
      <w:r>
        <w:rPr>
          <w:rFonts w:hint="eastAsia" w:ascii="宋体" w:hAnsi="宋体" w:cs="宋体"/>
          <w:color w:val="auto"/>
          <w:spacing w:val="-4"/>
          <w:kern w:val="2"/>
          <w:sz w:val="22"/>
          <w:szCs w:val="22"/>
          <w:highlight w:val="none"/>
          <w:lang w:val="en-US" w:eastAsia="zh-CN"/>
        </w:rPr>
        <w:t>2</w:t>
      </w:r>
      <w:r>
        <w:rPr>
          <w:rFonts w:hint="eastAsia" w:ascii="宋体" w:hAnsi="宋体" w:cs="宋体"/>
          <w:color w:val="auto"/>
          <w:spacing w:val="-4"/>
          <w:kern w:val="2"/>
          <w:sz w:val="22"/>
          <w:szCs w:val="22"/>
          <w:highlight w:val="none"/>
        </w:rPr>
        <w:t>0%的违约金。</w:t>
      </w:r>
    </w:p>
    <w:p>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2</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逾期交付货物的，每逾期一日，乙方应按逾期交货总额1‰向甲方支付违约金，由甲方从待付货款中扣除，违约金最高为合同总额的5%。逾期超过约定日期50日不能交货或所交付的货物存在严重质量缺陷的，甲方可解除本合同</w:t>
      </w:r>
      <w:r>
        <w:rPr>
          <w:rFonts w:hint="eastAsia" w:ascii="宋体" w:hAnsi="宋体" w:cs="宋体"/>
          <w:color w:val="auto"/>
          <w:spacing w:val="-4"/>
          <w:kern w:val="2"/>
          <w:sz w:val="22"/>
          <w:szCs w:val="22"/>
          <w:highlight w:val="none"/>
          <w:lang w:eastAsia="zh-CN"/>
        </w:rPr>
        <w:t>；</w:t>
      </w:r>
      <w:r>
        <w:rPr>
          <w:rFonts w:hint="eastAsia" w:ascii="宋体" w:hAnsi="宋体" w:cs="宋体"/>
          <w:color w:val="auto"/>
          <w:spacing w:val="-4"/>
          <w:kern w:val="2"/>
          <w:sz w:val="22"/>
          <w:szCs w:val="22"/>
          <w:highlight w:val="none"/>
        </w:rPr>
        <w:t>乙方因逾期交货或因其他违约行为导致甲方解除合同的，乙方应向甲方支付合同总额</w:t>
      </w:r>
      <w:r>
        <w:rPr>
          <w:rFonts w:hint="eastAsia" w:ascii="宋体" w:hAnsi="宋体" w:cs="宋体"/>
          <w:color w:val="auto"/>
          <w:spacing w:val="-4"/>
          <w:kern w:val="2"/>
          <w:sz w:val="22"/>
          <w:szCs w:val="22"/>
          <w:highlight w:val="none"/>
          <w:lang w:val="en-US" w:eastAsia="zh-CN"/>
        </w:rPr>
        <w:t>20</w:t>
      </w:r>
      <w:r>
        <w:rPr>
          <w:rFonts w:hint="eastAsia" w:ascii="宋体" w:hAnsi="宋体" w:cs="宋体"/>
          <w:color w:val="auto"/>
          <w:spacing w:val="-4"/>
          <w:kern w:val="2"/>
          <w:sz w:val="22"/>
          <w:szCs w:val="22"/>
          <w:highlight w:val="none"/>
        </w:rPr>
        <w:t>%的违约金。</w:t>
      </w:r>
    </w:p>
    <w:p>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3</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r>
        <w:rPr>
          <w:rFonts w:hint="eastAsia" w:ascii="宋体" w:hAnsi="宋体" w:cs="宋体"/>
          <w:color w:val="auto"/>
          <w:spacing w:val="-4"/>
          <w:kern w:val="2"/>
          <w:sz w:val="22"/>
          <w:szCs w:val="22"/>
          <w:highlight w:val="none"/>
          <w:lang w:eastAsia="zh-CN"/>
        </w:rPr>
        <w:t>，同时</w:t>
      </w:r>
      <w:r>
        <w:rPr>
          <w:rFonts w:hint="eastAsia" w:ascii="宋体" w:hAnsi="宋体" w:cs="宋体"/>
          <w:color w:val="auto"/>
          <w:spacing w:val="-4"/>
          <w:kern w:val="2"/>
          <w:sz w:val="22"/>
          <w:szCs w:val="22"/>
          <w:highlight w:val="none"/>
        </w:rPr>
        <w:t>乙方应向甲方支付合同总额</w:t>
      </w:r>
      <w:r>
        <w:rPr>
          <w:rFonts w:hint="eastAsia" w:ascii="宋体" w:hAnsi="宋体" w:cs="宋体"/>
          <w:color w:val="auto"/>
          <w:spacing w:val="-4"/>
          <w:kern w:val="2"/>
          <w:sz w:val="22"/>
          <w:szCs w:val="22"/>
          <w:highlight w:val="none"/>
          <w:lang w:val="en-US" w:eastAsia="zh-CN"/>
        </w:rPr>
        <w:t>20</w:t>
      </w:r>
      <w:r>
        <w:rPr>
          <w:rFonts w:hint="eastAsia" w:ascii="宋体" w:hAnsi="宋体" w:cs="宋体"/>
          <w:color w:val="auto"/>
          <w:spacing w:val="-4"/>
          <w:kern w:val="2"/>
          <w:sz w:val="22"/>
          <w:szCs w:val="22"/>
          <w:highlight w:val="none"/>
        </w:rPr>
        <w:t>%的违约金。</w:t>
      </w:r>
    </w:p>
    <w:p>
      <w:pPr>
        <w:tabs>
          <w:tab w:val="left" w:pos="180"/>
        </w:tabs>
        <w:snapToGrid w:val="0"/>
        <w:spacing w:line="440" w:lineRule="exact"/>
        <w:ind w:firstLine="424" w:firstLineChars="200"/>
        <w:rPr>
          <w:rFonts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4</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乙方未能按照合同约定提供售后服务的，甲方有权向第三方购买同类服务，因此支出的费用有权向乙方追索。</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lang w:val="en-US" w:eastAsia="zh-CN"/>
        </w:rPr>
      </w:pPr>
      <w:r>
        <w:rPr>
          <w:rFonts w:hint="eastAsia" w:ascii="宋体" w:hAnsi="宋体" w:eastAsia="宋体" w:cs="宋体"/>
          <w:b/>
          <w:color w:val="auto"/>
          <w:spacing w:val="-4"/>
          <w:kern w:val="2"/>
          <w:sz w:val="22"/>
          <w:szCs w:val="22"/>
          <w:highlight w:val="none"/>
          <w:lang w:val="en-US" w:eastAsia="zh-CN"/>
        </w:rPr>
        <w:t>5.</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color w:val="auto"/>
          <w:spacing w:val="-4"/>
          <w:kern w:val="2"/>
          <w:sz w:val="22"/>
          <w:szCs w:val="22"/>
          <w:highlight w:val="none"/>
        </w:rPr>
        <w:t>退货处理</w:t>
      </w:r>
      <w:r>
        <w:rPr>
          <w:rFonts w:hint="eastAsia" w:ascii="宋体" w:hAnsi="宋体" w:eastAsia="宋体" w:cs="宋体"/>
          <w:b/>
          <w:color w:val="auto"/>
          <w:spacing w:val="-4"/>
          <w:kern w:val="2"/>
          <w:sz w:val="22"/>
          <w:szCs w:val="22"/>
          <w:highlight w:val="none"/>
          <w:lang w:eastAsia="zh-CN"/>
        </w:rPr>
        <w:t>发生时，乙方应退还甲方支付的合同款，同时乙方应向甲方支付合同</w:t>
      </w:r>
      <w:r>
        <w:rPr>
          <w:rFonts w:hint="eastAsia" w:ascii="宋体" w:hAnsi="宋体" w:eastAsia="宋体" w:cs="宋体"/>
          <w:b/>
          <w:color w:val="auto"/>
          <w:spacing w:val="-4"/>
          <w:kern w:val="2"/>
          <w:sz w:val="22"/>
          <w:szCs w:val="22"/>
          <w:highlight w:val="none"/>
        </w:rPr>
        <w:t>退货</w:t>
      </w:r>
      <w:r>
        <w:rPr>
          <w:rFonts w:hint="eastAsia" w:ascii="宋体" w:hAnsi="宋体" w:eastAsia="宋体" w:cs="宋体"/>
          <w:b/>
          <w:color w:val="auto"/>
          <w:spacing w:val="-4"/>
          <w:kern w:val="2"/>
          <w:sz w:val="22"/>
          <w:szCs w:val="22"/>
          <w:highlight w:val="none"/>
          <w:lang w:eastAsia="zh-CN"/>
        </w:rPr>
        <w:t>产品总额</w:t>
      </w:r>
      <w:r>
        <w:rPr>
          <w:rFonts w:hint="eastAsia" w:ascii="宋体" w:hAnsi="宋体" w:eastAsia="宋体" w:cs="宋体"/>
          <w:b/>
          <w:color w:val="auto"/>
          <w:spacing w:val="-4"/>
          <w:kern w:val="2"/>
          <w:sz w:val="22"/>
          <w:szCs w:val="22"/>
          <w:highlight w:val="none"/>
          <w:lang w:val="en-US" w:eastAsia="zh-CN"/>
        </w:rPr>
        <w:t>20</w:t>
      </w:r>
      <w:r>
        <w:rPr>
          <w:rFonts w:hint="eastAsia" w:ascii="宋体" w:hAnsi="宋体" w:eastAsia="宋体" w:cs="宋体"/>
          <w:b/>
          <w:color w:val="auto"/>
          <w:spacing w:val="-4"/>
          <w:kern w:val="2"/>
          <w:sz w:val="22"/>
          <w:szCs w:val="22"/>
          <w:highlight w:val="none"/>
          <w:lang w:eastAsia="zh-CN"/>
        </w:rPr>
        <w:t>%的违约金。</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cs="宋体"/>
          <w:b/>
          <w:color w:val="auto"/>
          <w:spacing w:val="-4"/>
          <w:kern w:val="2"/>
          <w:sz w:val="22"/>
          <w:szCs w:val="22"/>
          <w:highlight w:val="none"/>
          <w:lang w:val="en-US" w:eastAsia="zh-CN"/>
        </w:rPr>
        <w:t xml:space="preserve">6. </w:t>
      </w:r>
      <w:r>
        <w:rPr>
          <w:rFonts w:hint="eastAsia" w:ascii="宋体" w:hAnsi="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实施项目过程中的任何行为必须符合法律法规，不得损害国家利益和社会公共利益、不违背社会公德，一旦出现上述情况，</w:t>
      </w:r>
      <w:r>
        <w:rPr>
          <w:rFonts w:hint="eastAsia" w:ascii="宋体" w:hAnsi="宋体" w:cs="宋体"/>
          <w:b/>
          <w:color w:val="auto"/>
          <w:spacing w:val="-4"/>
          <w:kern w:val="2"/>
          <w:sz w:val="22"/>
          <w:szCs w:val="22"/>
          <w:highlight w:val="none"/>
          <w:lang w:eastAsia="zh-CN"/>
        </w:rPr>
        <w:t>甲方</w:t>
      </w:r>
      <w:r>
        <w:rPr>
          <w:rFonts w:hint="eastAsia" w:ascii="宋体" w:hAnsi="宋体" w:eastAsia="宋体" w:cs="宋体"/>
          <w:b/>
          <w:color w:val="auto"/>
          <w:spacing w:val="-4"/>
          <w:kern w:val="2"/>
          <w:sz w:val="22"/>
          <w:szCs w:val="22"/>
          <w:highlight w:val="none"/>
        </w:rPr>
        <w:t>可以单方面解除合同，同时要求</w:t>
      </w:r>
      <w:r>
        <w:rPr>
          <w:rFonts w:hint="eastAsia" w:ascii="宋体" w:hAnsi="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赔偿由此给</w:t>
      </w:r>
      <w:r>
        <w:rPr>
          <w:rFonts w:hint="eastAsia" w:ascii="宋体" w:hAnsi="宋体" w:cs="宋体"/>
          <w:b/>
          <w:color w:val="auto"/>
          <w:spacing w:val="-4"/>
          <w:kern w:val="2"/>
          <w:sz w:val="22"/>
          <w:szCs w:val="22"/>
          <w:highlight w:val="none"/>
          <w:lang w:eastAsia="zh-CN"/>
        </w:rPr>
        <w:t>甲方</w:t>
      </w:r>
      <w:r>
        <w:rPr>
          <w:rFonts w:hint="eastAsia" w:ascii="宋体" w:hAnsi="宋体" w:eastAsia="宋体" w:cs="宋体"/>
          <w:b/>
          <w:color w:val="auto"/>
          <w:spacing w:val="-4"/>
          <w:kern w:val="2"/>
          <w:sz w:val="22"/>
          <w:szCs w:val="22"/>
          <w:highlight w:val="none"/>
        </w:rPr>
        <w:t>造成的直接经济损失，直接经济损失难以计算的，按本合同总额的30%计算。</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lang w:eastAsia="zh-CN"/>
        </w:rPr>
      </w:pPr>
      <w:r>
        <w:rPr>
          <w:rFonts w:hint="eastAsia" w:ascii="宋体" w:hAnsi="宋体" w:eastAsia="宋体" w:cs="宋体"/>
          <w:b/>
          <w:color w:val="auto"/>
          <w:spacing w:val="-4"/>
          <w:kern w:val="2"/>
          <w:sz w:val="22"/>
          <w:szCs w:val="22"/>
          <w:highlight w:val="none"/>
          <w:lang w:val="en-US" w:eastAsia="zh-CN"/>
        </w:rPr>
        <w:t>7.</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color w:val="auto"/>
          <w:spacing w:val="-4"/>
          <w:kern w:val="2"/>
          <w:sz w:val="22"/>
          <w:szCs w:val="22"/>
          <w:highlight w:val="none"/>
        </w:rPr>
        <w:t>如造成甲方损失超过违约金的，超出部分由乙方继续承担赔偿责任</w:t>
      </w:r>
      <w:r>
        <w:rPr>
          <w:rFonts w:hint="eastAsia" w:ascii="宋体" w:hAnsi="宋体" w:eastAsia="宋体" w:cs="宋体"/>
          <w:b/>
          <w:color w:val="auto"/>
          <w:spacing w:val="-4"/>
          <w:kern w:val="2"/>
          <w:sz w:val="22"/>
          <w:szCs w:val="22"/>
          <w:highlight w:val="none"/>
          <w:lang w:eastAsia="zh-CN"/>
        </w:rPr>
        <w:t>，</w:t>
      </w:r>
      <w:r>
        <w:rPr>
          <w:rFonts w:hint="eastAsia" w:ascii="宋体" w:hAnsi="宋体" w:eastAsia="宋体" w:cs="宋体"/>
          <w:b/>
          <w:color w:val="auto"/>
          <w:spacing w:val="-4"/>
          <w:kern w:val="2"/>
          <w:sz w:val="22"/>
          <w:szCs w:val="22"/>
          <w:highlight w:val="none"/>
        </w:rPr>
        <w:t>此外，</w:t>
      </w:r>
      <w:r>
        <w:rPr>
          <w:rFonts w:hint="eastAsia" w:ascii="宋体" w:hAnsi="宋体" w:eastAsia="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应为自身行为承担全部法律责任</w:t>
      </w:r>
      <w:r>
        <w:rPr>
          <w:rFonts w:hint="eastAsia" w:ascii="宋体" w:hAnsi="宋体" w:eastAsia="宋体" w:cs="宋体"/>
          <w:b/>
          <w:color w:val="auto"/>
          <w:spacing w:val="-4"/>
          <w:kern w:val="2"/>
          <w:sz w:val="22"/>
          <w:szCs w:val="22"/>
          <w:highlight w:val="none"/>
          <w:lang w:eastAsia="zh-CN"/>
        </w:rPr>
        <w:t>。</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十四、不可抗力事件处理</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在合同有效期内，任何一方因不可抗力事件导致不能履行合同，则合同履行期可延长，其延长期与不可抗力影响期相同。</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不可抗力事件发生后，应立即通知对方，并寄送有关权威机构出具的证明。</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不可抗力事件延续90日以上，双方应通过友好协商，确定是否继续履行合同。</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十五、诉讼</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双方在执行合同中所发生的一切争议，应通过协商解决。如协商不成，可向甲方所在地法院起诉。</w:t>
      </w:r>
    </w:p>
    <w:p>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十六、合同生效及其他</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招标文件、投标文件与本合同具有同等法律效力，如有冲突之处，以本合同内容为准。</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本合同未尽事宜，遵照《中华人民共和国民法典》有关条文执行。</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合同经甲、乙双方签名（或签章）并加盖单位公章（或单位合同专用章）后生效。</w:t>
      </w:r>
    </w:p>
    <w:p>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本合同一式</w:t>
      </w:r>
      <w:r>
        <w:rPr>
          <w:rFonts w:hint="eastAsia" w:ascii="宋体" w:hAnsi="宋体" w:eastAsia="宋体" w:cs="宋体"/>
          <w:color w:val="auto"/>
          <w:spacing w:val="-4"/>
          <w:kern w:val="2"/>
          <w:sz w:val="22"/>
          <w:szCs w:val="22"/>
          <w:highlight w:val="none"/>
          <w:lang w:eastAsia="zh-CN"/>
        </w:rPr>
        <w:t>伍</w:t>
      </w:r>
      <w:r>
        <w:rPr>
          <w:rFonts w:hint="eastAsia" w:ascii="宋体" w:hAnsi="宋体" w:eastAsia="宋体" w:cs="宋体"/>
          <w:color w:val="auto"/>
          <w:spacing w:val="-4"/>
          <w:kern w:val="2"/>
          <w:sz w:val="22"/>
          <w:szCs w:val="22"/>
          <w:highlight w:val="none"/>
        </w:rPr>
        <w:t>份，具有同等法律效力，甲方执</w:t>
      </w:r>
      <w:r>
        <w:rPr>
          <w:rFonts w:hint="eastAsia" w:ascii="宋体" w:hAnsi="宋体" w:cs="宋体"/>
          <w:color w:val="auto"/>
          <w:spacing w:val="-4"/>
          <w:kern w:val="2"/>
          <w:sz w:val="22"/>
          <w:szCs w:val="22"/>
          <w:highlight w:val="none"/>
          <w:lang w:eastAsia="zh-CN"/>
        </w:rPr>
        <w:t>贰</w:t>
      </w:r>
      <w:r>
        <w:rPr>
          <w:rFonts w:hint="eastAsia" w:ascii="宋体" w:hAnsi="宋体" w:eastAsia="宋体" w:cs="宋体"/>
          <w:color w:val="auto"/>
          <w:spacing w:val="-4"/>
          <w:kern w:val="2"/>
          <w:sz w:val="22"/>
          <w:szCs w:val="22"/>
          <w:highlight w:val="none"/>
        </w:rPr>
        <w:t>份、乙方执</w:t>
      </w:r>
      <w:r>
        <w:rPr>
          <w:rFonts w:hint="eastAsia" w:ascii="宋体" w:hAnsi="宋体" w:cs="宋体"/>
          <w:color w:val="auto"/>
          <w:spacing w:val="-4"/>
          <w:kern w:val="2"/>
          <w:sz w:val="22"/>
          <w:szCs w:val="22"/>
          <w:highlight w:val="none"/>
          <w:lang w:eastAsia="zh-CN"/>
        </w:rPr>
        <w:t>贰</w:t>
      </w:r>
      <w:r>
        <w:rPr>
          <w:rFonts w:hint="eastAsia" w:ascii="宋体" w:hAnsi="宋体" w:eastAsia="宋体" w:cs="宋体"/>
          <w:color w:val="auto"/>
          <w:spacing w:val="-4"/>
          <w:kern w:val="2"/>
          <w:sz w:val="22"/>
          <w:szCs w:val="22"/>
          <w:highlight w:val="none"/>
        </w:rPr>
        <w:t>份、代理机构执壹份。</w:t>
      </w:r>
    </w:p>
    <w:p>
      <w:pPr>
        <w:spacing w:line="44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甲方（盖章）：                                      乙方（盖章）：</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法人代表：                                          法人代表：</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委托代理人（签字）：                                委托代理人（签字）： </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联系电话：                                          联系电话：           </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传    真：                                          传    真：</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地    址：                                          地    址：            </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开户银行：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开户银行：</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开户名称：                                          开户名称：</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账号：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账号：</w:t>
      </w:r>
    </w:p>
    <w:p>
      <w:pPr>
        <w:pStyle w:val="29"/>
        <w:ind w:firstLine="6160" w:firstLineChars="2800"/>
        <w:rPr>
          <w:rFonts w:ascii="宋体" w:hAnsi="宋体" w:cs="宋体"/>
          <w:color w:val="auto"/>
          <w:sz w:val="22"/>
          <w:szCs w:val="22"/>
          <w:highlight w:val="none"/>
        </w:rPr>
      </w:pPr>
      <w:r>
        <w:rPr>
          <w:rFonts w:hint="eastAsia" w:ascii="宋体" w:hAnsi="宋体" w:cs="宋体"/>
          <w:color w:val="auto"/>
          <w:sz w:val="22"/>
          <w:szCs w:val="22"/>
          <w:highlight w:val="none"/>
        </w:rPr>
        <w:t>签订时间：</w:t>
      </w:r>
    </w:p>
    <w:p>
      <w:pPr>
        <w:pStyle w:val="18"/>
        <w:rPr>
          <w:rFonts w:hint="eastAsia"/>
          <w:color w:val="auto"/>
          <w:highlight w:val="none"/>
        </w:rPr>
      </w:pPr>
      <w:r>
        <w:rPr>
          <w:rFonts w:ascii="黑体" w:hAnsi="黑体" w:eastAsia="黑体"/>
          <w:b/>
          <w:bCs/>
          <w:color w:val="auto"/>
          <w:sz w:val="28"/>
          <w:szCs w:val="28"/>
          <w:highlight w:val="none"/>
        </w:rPr>
        <w:br w:type="page"/>
      </w:r>
      <w:bookmarkEnd w:id="56"/>
    </w:p>
    <w:p>
      <w:pPr>
        <w:spacing w:line="1000" w:lineRule="exact"/>
        <w:jc w:val="center"/>
        <w:rPr>
          <w:rFonts w:ascii="新宋体" w:hAnsi="新宋体" w:eastAsia="新宋体" w:cs="Arial"/>
          <w:b/>
          <w:color w:val="auto"/>
          <w:sz w:val="72"/>
          <w:szCs w:val="72"/>
          <w:highlight w:val="none"/>
        </w:rPr>
      </w:pPr>
      <w:bookmarkStart w:id="64" w:name="_Toc18193"/>
    </w:p>
    <w:p>
      <w:pPr>
        <w:spacing w:line="1000" w:lineRule="exact"/>
        <w:jc w:val="center"/>
        <w:rPr>
          <w:rFonts w:ascii="新宋体" w:hAnsi="新宋体" w:eastAsia="新宋体" w:cs="Arial"/>
          <w:b/>
          <w:color w:val="auto"/>
          <w:sz w:val="72"/>
          <w:szCs w:val="72"/>
          <w:highlight w:val="none"/>
        </w:rPr>
      </w:pPr>
    </w:p>
    <w:p>
      <w:pPr>
        <w:spacing w:line="1000" w:lineRule="exact"/>
        <w:jc w:val="center"/>
        <w:rPr>
          <w:rFonts w:hint="eastAsia" w:ascii="宋体" w:hAnsi="宋体" w:cs="宋体"/>
          <w:b/>
          <w:color w:val="auto"/>
          <w:sz w:val="22"/>
          <w:szCs w:val="22"/>
          <w:highlight w:val="none"/>
        </w:rPr>
      </w:pPr>
      <w:r>
        <w:rPr>
          <w:rFonts w:ascii="新宋体" w:hAnsi="新宋体" w:eastAsia="新宋体" w:cs="Arial"/>
          <w:b/>
          <w:color w:val="auto"/>
          <w:sz w:val="72"/>
          <w:szCs w:val="72"/>
          <w:highlight w:val="none"/>
        </w:rPr>
        <w:t>政</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府</w:t>
      </w:r>
      <w:r>
        <w:rPr>
          <w:rFonts w:hint="eastAsia" w:ascii="宋体" w:hAnsi="宋体" w:cs="宋体"/>
          <w:b/>
          <w:color w:val="auto"/>
          <w:sz w:val="72"/>
          <w:szCs w:val="72"/>
          <w:highlight w:val="none"/>
        </w:rPr>
        <w:t xml:space="preserve"> 采 购 合 同</w:t>
      </w:r>
    </w:p>
    <w:p>
      <w:pPr>
        <w:spacing w:line="400" w:lineRule="exact"/>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eastAsia="zh-CN"/>
        </w:rPr>
        <w:t>标项</w:t>
      </w:r>
      <w:r>
        <w:rPr>
          <w:rFonts w:hint="eastAsia" w:ascii="宋体" w:hAnsi="宋体" w:cs="宋体"/>
          <w:b/>
          <w:color w:val="auto"/>
          <w:sz w:val="22"/>
          <w:szCs w:val="22"/>
          <w:highlight w:val="none"/>
          <w:lang w:val="en-US" w:eastAsia="zh-CN"/>
        </w:rPr>
        <w:t>2</w:t>
      </w:r>
    </w:p>
    <w:p>
      <w:pPr>
        <w:spacing w:line="400" w:lineRule="exact"/>
        <w:rPr>
          <w:rFonts w:hint="eastAsia" w:ascii="宋体" w:hAnsi="宋体" w:cs="宋体"/>
          <w:b/>
          <w:color w:val="auto"/>
          <w:sz w:val="22"/>
          <w:szCs w:val="22"/>
          <w:highlight w:val="none"/>
        </w:rPr>
      </w:pPr>
    </w:p>
    <w:p>
      <w:pPr>
        <w:spacing w:line="600" w:lineRule="exact"/>
        <w:ind w:firstLine="2413" w:firstLineChars="862"/>
        <w:rPr>
          <w:rFonts w:hint="eastAsia" w:ascii="宋体" w:hAnsi="宋体" w:cs="宋体"/>
          <w:color w:val="auto"/>
          <w:sz w:val="28"/>
          <w:highlight w:val="none"/>
        </w:rPr>
      </w:pPr>
      <w:r>
        <w:rPr>
          <w:rFonts w:hint="eastAsia" w:ascii="宋体" w:hAnsi="宋体" w:cs="宋体"/>
          <w:color w:val="auto"/>
          <w:sz w:val="28"/>
          <w:highlight w:val="none"/>
        </w:rPr>
        <w:t>项 目 名 称：</w:t>
      </w:r>
      <w:r>
        <w:rPr>
          <w:rFonts w:hint="eastAsia" w:ascii="宋体" w:hAnsi="宋体" w:cs="宋体"/>
          <w:color w:val="auto"/>
          <w:sz w:val="28"/>
          <w:highlight w:val="none"/>
          <w:u w:val="single"/>
        </w:rPr>
        <w:t xml:space="preserve">                      </w:t>
      </w:r>
    </w:p>
    <w:p>
      <w:pPr>
        <w:spacing w:line="600" w:lineRule="exact"/>
        <w:ind w:firstLine="2413" w:firstLineChars="862"/>
        <w:rPr>
          <w:rFonts w:hint="eastAsia" w:ascii="宋体" w:hAnsi="宋体" w:cs="宋体"/>
          <w:color w:val="auto"/>
          <w:sz w:val="28"/>
          <w:highlight w:val="none"/>
        </w:rPr>
      </w:pPr>
      <w:r>
        <w:rPr>
          <w:rFonts w:hint="eastAsia" w:ascii="宋体" w:hAnsi="宋体" w:cs="宋体"/>
          <w:color w:val="auto"/>
          <w:sz w:val="28"/>
          <w:highlight w:val="none"/>
        </w:rPr>
        <w:t>项 目 地 点：</w:t>
      </w:r>
      <w:r>
        <w:rPr>
          <w:rFonts w:hint="eastAsia" w:ascii="宋体" w:hAnsi="宋体" w:cs="宋体"/>
          <w:color w:val="auto"/>
          <w:sz w:val="28"/>
          <w:highlight w:val="none"/>
          <w:u w:val="single"/>
        </w:rPr>
        <w:t xml:space="preserve">                      </w:t>
      </w:r>
    </w:p>
    <w:p>
      <w:pPr>
        <w:spacing w:line="600" w:lineRule="exact"/>
        <w:ind w:firstLine="2413" w:firstLineChars="862"/>
        <w:rPr>
          <w:rFonts w:hint="eastAsia" w:ascii="宋体" w:hAnsi="宋体" w:cs="宋体"/>
          <w:color w:val="auto"/>
          <w:sz w:val="28"/>
          <w:highlight w:val="none"/>
          <w:u w:val="single"/>
        </w:rPr>
      </w:pPr>
      <w:r>
        <w:rPr>
          <w:rFonts w:hint="eastAsia" w:ascii="宋体" w:hAnsi="宋体" w:cs="宋体"/>
          <w:color w:val="auto"/>
          <w:sz w:val="28"/>
          <w:highlight w:val="none"/>
        </w:rPr>
        <w:t>合 同 编 号：</w:t>
      </w:r>
      <w:r>
        <w:rPr>
          <w:rFonts w:hint="eastAsia" w:ascii="宋体" w:hAnsi="宋体" w:cs="宋体"/>
          <w:color w:val="auto"/>
          <w:sz w:val="28"/>
          <w:highlight w:val="none"/>
          <w:u w:val="single"/>
        </w:rPr>
        <w:t xml:space="preserve">                      </w:t>
      </w:r>
    </w:p>
    <w:p>
      <w:pPr>
        <w:outlineLvl w:val="9"/>
        <w:rPr>
          <w:rFonts w:hint="eastAsia" w:ascii="宋体" w:hAnsi="宋体" w:cs="宋体"/>
          <w:color w:val="auto"/>
          <w:sz w:val="28"/>
          <w:highlight w:val="none"/>
          <w:u w:val="single"/>
        </w:rPr>
      </w:pPr>
    </w:p>
    <w:p>
      <w:pPr>
        <w:outlineLvl w:val="9"/>
        <w:rPr>
          <w:rFonts w:hint="eastAsia"/>
          <w:color w:val="auto"/>
          <w:highlight w:val="none"/>
        </w:rPr>
      </w:pPr>
    </w:p>
    <w:p>
      <w:pPr>
        <w:spacing w:line="600" w:lineRule="exact"/>
        <w:ind w:firstLine="2413" w:firstLineChars="862"/>
        <w:rPr>
          <w:rFonts w:hint="eastAsia" w:ascii="宋体" w:hAnsi="宋体" w:cs="宋体"/>
          <w:color w:val="auto"/>
          <w:sz w:val="28"/>
          <w:highlight w:val="none"/>
        </w:rPr>
      </w:pPr>
    </w:p>
    <w:p>
      <w:pPr>
        <w:spacing w:line="600" w:lineRule="exact"/>
        <w:ind w:firstLine="2413" w:firstLineChars="862"/>
        <w:rPr>
          <w:rFonts w:hint="eastAsia" w:ascii="宋体" w:hAnsi="宋体" w:cs="宋体"/>
          <w:color w:val="auto"/>
          <w:sz w:val="28"/>
          <w:highlight w:val="none"/>
        </w:rPr>
      </w:pPr>
    </w:p>
    <w:p>
      <w:pPr>
        <w:spacing w:line="600" w:lineRule="exact"/>
        <w:ind w:firstLine="2413" w:firstLineChars="862"/>
        <w:rPr>
          <w:rFonts w:hint="eastAsia" w:ascii="宋体" w:hAnsi="宋体" w:cs="宋体"/>
          <w:color w:val="auto"/>
          <w:sz w:val="28"/>
          <w:highlight w:val="none"/>
          <w:u w:val="single"/>
        </w:rPr>
      </w:pPr>
      <w:r>
        <w:rPr>
          <w:rFonts w:hint="eastAsia" w:ascii="宋体" w:hAnsi="宋体" w:cs="宋体"/>
          <w:color w:val="auto"/>
          <w:sz w:val="28"/>
          <w:highlight w:val="none"/>
        </w:rPr>
        <w:t>采 购 人：</w:t>
      </w:r>
      <w:r>
        <w:rPr>
          <w:rFonts w:hint="eastAsia" w:ascii="宋体" w:hAnsi="宋体" w:cs="宋体"/>
          <w:color w:val="auto"/>
          <w:sz w:val="28"/>
          <w:highlight w:val="none"/>
          <w:u w:val="single"/>
        </w:rPr>
        <w:t xml:space="preserve">                       </w:t>
      </w:r>
    </w:p>
    <w:p>
      <w:pPr>
        <w:spacing w:line="600" w:lineRule="exact"/>
        <w:ind w:firstLine="2410" w:firstLineChars="861"/>
        <w:rPr>
          <w:rFonts w:hint="eastAsia" w:ascii="宋体" w:hAnsi="宋体" w:cs="宋体"/>
          <w:color w:val="auto"/>
          <w:sz w:val="28"/>
          <w:highlight w:val="none"/>
        </w:rPr>
      </w:pPr>
      <w:r>
        <w:rPr>
          <w:rFonts w:hint="eastAsia" w:ascii="宋体" w:hAnsi="宋体" w:cs="宋体"/>
          <w:color w:val="auto"/>
          <w:sz w:val="28"/>
          <w:highlight w:val="none"/>
        </w:rPr>
        <w:t>成交供应商：</w:t>
      </w:r>
      <w:r>
        <w:rPr>
          <w:rFonts w:hint="eastAsia" w:ascii="宋体" w:hAnsi="宋体" w:cs="宋体"/>
          <w:color w:val="auto"/>
          <w:sz w:val="28"/>
          <w:highlight w:val="none"/>
          <w:u w:val="single"/>
        </w:rPr>
        <w:t xml:space="preserve">                      </w:t>
      </w:r>
    </w:p>
    <w:p>
      <w:pPr>
        <w:spacing w:line="600" w:lineRule="exact"/>
        <w:ind w:left="701" w:leftChars="334" w:firstLine="1680" w:firstLineChars="600"/>
        <w:rPr>
          <w:rFonts w:hint="eastAsia" w:ascii="宋体" w:hAnsi="宋体" w:cs="宋体"/>
          <w:color w:val="auto"/>
          <w:sz w:val="22"/>
          <w:szCs w:val="22"/>
          <w:highlight w:val="none"/>
        </w:rPr>
      </w:pPr>
      <w:r>
        <w:rPr>
          <w:rFonts w:hint="eastAsia" w:ascii="宋体" w:hAnsi="宋体" w:cs="宋体"/>
          <w:color w:val="auto"/>
          <w:sz w:val="28"/>
          <w:highlight w:val="none"/>
        </w:rPr>
        <w:t>签  订 日 期：</w:t>
      </w:r>
      <w:r>
        <w:rPr>
          <w:rFonts w:hint="eastAsia" w:ascii="宋体" w:hAnsi="宋体" w:cs="宋体"/>
          <w:color w:val="auto"/>
          <w:sz w:val="28"/>
          <w:highlight w:val="none"/>
          <w:u w:val="single"/>
        </w:rPr>
        <w:t xml:space="preserve">                      </w:t>
      </w:r>
    </w:p>
    <w:p>
      <w:pPr>
        <w:spacing w:line="440" w:lineRule="exact"/>
        <w:ind w:left="550" w:hanging="550" w:hangingChars="250"/>
        <w:rPr>
          <w:rFonts w:hint="eastAsia" w:ascii="宋体" w:hAnsi="宋体" w:cs="宋体"/>
          <w:color w:val="auto"/>
          <w:sz w:val="22"/>
          <w:szCs w:val="22"/>
          <w:highlight w:val="none"/>
        </w:rPr>
      </w:pPr>
    </w:p>
    <w:p>
      <w:pPr>
        <w:spacing w:line="400" w:lineRule="exact"/>
        <w:rPr>
          <w:rFonts w:hint="eastAsia" w:ascii="宋体" w:hAnsi="宋体" w:cs="宋体"/>
          <w:b/>
          <w:color w:val="auto"/>
          <w:sz w:val="22"/>
          <w:szCs w:val="22"/>
          <w:highlight w:val="none"/>
        </w:rPr>
      </w:pPr>
    </w:p>
    <w:p>
      <w:pPr>
        <w:spacing w:line="336" w:lineRule="auto"/>
        <w:ind w:firstLine="539" w:firstLineChars="245"/>
        <w:rPr>
          <w:rFonts w:hint="eastAsia" w:ascii="宋体" w:hAnsi="宋体" w:cs="宋体"/>
          <w:b/>
          <w:color w:val="auto"/>
          <w:sz w:val="22"/>
          <w:szCs w:val="22"/>
        </w:rPr>
      </w:pPr>
      <w:r>
        <w:rPr>
          <w:rFonts w:hint="eastAsia" w:ascii="宋体" w:hAnsi="宋体" w:cs="宋体"/>
          <w:color w:val="auto"/>
          <w:sz w:val="22"/>
          <w:szCs w:val="22"/>
          <w:highlight w:val="none"/>
        </w:rPr>
        <w:br w:type="page"/>
      </w:r>
      <w:r>
        <w:rPr>
          <w:rFonts w:hint="eastAsia" w:ascii="宋体" w:hAnsi="宋体" w:cs="宋体"/>
          <w:b/>
          <w:color w:val="auto"/>
          <w:sz w:val="22"/>
          <w:szCs w:val="22"/>
        </w:rPr>
        <w:t>注：如甲、乙双方同意，合同格式也可以按照其他形式</w:t>
      </w:r>
      <w:r>
        <w:rPr>
          <w:rFonts w:hint="eastAsia" w:ascii="宋体" w:hAnsi="宋体" w:cs="宋体"/>
          <w:b/>
          <w:color w:val="auto"/>
          <w:sz w:val="22"/>
          <w:szCs w:val="22"/>
          <w:lang w:eastAsia="zh-CN"/>
        </w:rPr>
        <w:t>，</w:t>
      </w:r>
      <w:r>
        <w:rPr>
          <w:rFonts w:hint="eastAsia" w:ascii="宋体" w:hAnsi="宋体" w:cs="宋体"/>
          <w:b/>
          <w:color w:val="auto"/>
          <w:sz w:val="22"/>
          <w:szCs w:val="22"/>
        </w:rPr>
        <w:t xml:space="preserve"> 具体条款以甲方为主协商确定。但合同条款的基本内容应与以下要求的内容相一致。</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甲方：</w:t>
      </w:r>
      <w:r>
        <w:rPr>
          <w:rFonts w:hint="eastAsia" w:ascii="宋体" w:hAnsi="宋体" w:cs="宋体"/>
          <w:color w:val="auto"/>
          <w:sz w:val="22"/>
          <w:szCs w:val="22"/>
          <w:u w:val="single"/>
        </w:rPr>
        <w:t xml:space="preserve">                                        </w:t>
      </w:r>
      <w:r>
        <w:rPr>
          <w:rFonts w:hint="eastAsia" w:ascii="宋体" w:hAnsi="宋体" w:cs="宋体"/>
          <w:color w:val="auto"/>
          <w:sz w:val="22"/>
          <w:szCs w:val="22"/>
        </w:rPr>
        <w:t>（采购人）</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乙方</w:t>
      </w:r>
      <w:r>
        <w:rPr>
          <w:rFonts w:hint="eastAsia" w:ascii="宋体" w:hAnsi="宋体" w:cs="宋体"/>
          <w:color w:val="auto"/>
          <w:sz w:val="22"/>
          <w:szCs w:val="22"/>
          <w:lang w:eastAsia="zh-CN"/>
        </w:rPr>
        <w:t>：</w:t>
      </w:r>
      <w:r>
        <w:rPr>
          <w:rFonts w:hint="eastAsia" w:ascii="宋体" w:hAnsi="宋体" w:cs="宋体"/>
          <w:color w:val="auto"/>
          <w:sz w:val="22"/>
          <w:szCs w:val="22"/>
        </w:rPr>
        <w:t xml:space="preserve"> </w:t>
      </w:r>
      <w:r>
        <w:rPr>
          <w:rFonts w:hint="eastAsia" w:ascii="宋体" w:hAnsi="宋体" w:cs="宋体"/>
          <w:color w:val="auto"/>
          <w:sz w:val="22"/>
          <w:szCs w:val="22"/>
          <w:u w:val="single"/>
        </w:rPr>
        <w:t xml:space="preserve">                                        </w:t>
      </w:r>
      <w:r>
        <w:rPr>
          <w:rFonts w:hint="eastAsia" w:ascii="宋体" w:hAnsi="宋体" w:cs="宋体"/>
          <w:color w:val="auto"/>
          <w:sz w:val="22"/>
          <w:szCs w:val="22"/>
        </w:rPr>
        <w:t>（中标供应商）</w:t>
      </w:r>
    </w:p>
    <w:p>
      <w:pPr>
        <w:spacing w:line="336" w:lineRule="auto"/>
        <w:ind w:firstLine="660" w:firstLineChars="300"/>
        <w:rPr>
          <w:rFonts w:hint="eastAsia" w:ascii="宋体" w:hAnsi="宋体" w:cs="宋体"/>
          <w:color w:val="auto"/>
          <w:sz w:val="22"/>
          <w:szCs w:val="22"/>
        </w:rPr>
      </w:pPr>
      <w:r>
        <w:rPr>
          <w:rFonts w:hint="eastAsia" w:ascii="宋体" w:hAnsi="宋体" w:cs="宋体"/>
          <w:bCs/>
          <w:color w:val="auto"/>
          <w:sz w:val="22"/>
          <w:szCs w:val="22"/>
          <w:u w:val="single"/>
        </w:rPr>
        <w:t xml:space="preserve">               </w:t>
      </w:r>
      <w:r>
        <w:rPr>
          <w:rFonts w:hint="eastAsia" w:ascii="宋体" w:hAnsi="宋体" w:cs="宋体"/>
          <w:bCs/>
          <w:color w:val="auto"/>
          <w:sz w:val="22"/>
          <w:szCs w:val="22"/>
        </w:rPr>
        <w:t>（项目名称、编号）在国内以公开招标方式进行采购，经评标委员会评定</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（中标人名称）为中标人。双方本着诚信及互利互惠的原则，同意按照下面条款和条件，签署本合同。</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一、本合同签订依据</w:t>
      </w:r>
    </w:p>
    <w:p>
      <w:pPr>
        <w:spacing w:line="336" w:lineRule="auto"/>
        <w:ind w:firstLine="539" w:firstLineChars="245"/>
        <w:rPr>
          <w:rFonts w:hint="eastAsia" w:ascii="宋体" w:hAnsi="宋体" w:cs="宋体"/>
          <w:bCs/>
          <w:color w:val="auto"/>
          <w:sz w:val="22"/>
          <w:szCs w:val="22"/>
        </w:rPr>
      </w:pPr>
      <w:r>
        <w:rPr>
          <w:rFonts w:hint="eastAsia" w:ascii="宋体" w:hAnsi="宋体" w:cs="宋体"/>
          <w:bCs/>
          <w:color w:val="auto"/>
          <w:sz w:val="22"/>
          <w:szCs w:val="22"/>
        </w:rPr>
        <w:t>《中华人民共和国民法典》</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二、合同文件的优先次序</w:t>
      </w:r>
    </w:p>
    <w:p>
      <w:pPr>
        <w:spacing w:line="336" w:lineRule="auto"/>
        <w:ind w:firstLine="539" w:firstLineChars="245"/>
        <w:rPr>
          <w:rFonts w:hint="eastAsia" w:ascii="宋体" w:hAnsi="宋体" w:cs="宋体"/>
          <w:bCs/>
          <w:color w:val="auto"/>
          <w:sz w:val="22"/>
          <w:szCs w:val="22"/>
        </w:rPr>
      </w:pPr>
      <w:r>
        <w:rPr>
          <w:rFonts w:hint="eastAsia" w:ascii="宋体" w:hAnsi="宋体" w:cs="宋体"/>
          <w:bCs/>
          <w:color w:val="auto"/>
          <w:sz w:val="22"/>
          <w:szCs w:val="22"/>
        </w:rPr>
        <w:t>合同文件如存在歧义或不一致则根据以下优先次序来判断：</w:t>
      </w:r>
    </w:p>
    <w:p>
      <w:pPr>
        <w:spacing w:line="336" w:lineRule="auto"/>
        <w:ind w:firstLine="539" w:firstLineChars="245"/>
        <w:rPr>
          <w:rFonts w:hint="eastAsia" w:ascii="宋体" w:hAnsi="宋体" w:cs="宋体"/>
          <w:bCs/>
          <w:color w:val="auto"/>
          <w:sz w:val="22"/>
          <w:szCs w:val="22"/>
        </w:rPr>
      </w:pPr>
      <w:r>
        <w:rPr>
          <w:rFonts w:hint="eastAsia" w:ascii="宋体" w:hAnsi="宋体" w:cs="宋体"/>
          <w:bCs/>
          <w:color w:val="auto"/>
          <w:sz w:val="22"/>
          <w:szCs w:val="22"/>
        </w:rPr>
        <w:t xml:space="preserve">1、合同书及合同补充条款或说明 </w:t>
      </w:r>
    </w:p>
    <w:p>
      <w:pPr>
        <w:spacing w:line="336" w:lineRule="auto"/>
        <w:ind w:firstLine="539" w:firstLineChars="245"/>
        <w:rPr>
          <w:rFonts w:hint="eastAsia" w:ascii="宋体" w:hAnsi="宋体" w:cs="宋体"/>
          <w:bCs/>
          <w:color w:val="auto"/>
          <w:sz w:val="22"/>
          <w:szCs w:val="22"/>
        </w:rPr>
      </w:pPr>
      <w:r>
        <w:rPr>
          <w:rFonts w:hint="eastAsia" w:ascii="宋体" w:hAnsi="宋体" w:cs="宋体"/>
          <w:bCs/>
          <w:color w:val="auto"/>
          <w:sz w:val="22"/>
          <w:szCs w:val="22"/>
        </w:rPr>
        <w:t>2、中标通知书</w:t>
      </w:r>
    </w:p>
    <w:p>
      <w:pPr>
        <w:spacing w:line="336" w:lineRule="auto"/>
        <w:ind w:firstLine="539" w:firstLineChars="245"/>
        <w:rPr>
          <w:rFonts w:hint="eastAsia" w:ascii="宋体" w:hAnsi="宋体" w:cs="宋体"/>
          <w:bCs/>
          <w:color w:val="auto"/>
          <w:sz w:val="22"/>
          <w:szCs w:val="22"/>
        </w:rPr>
      </w:pPr>
      <w:r>
        <w:rPr>
          <w:rFonts w:hint="eastAsia" w:ascii="宋体" w:hAnsi="宋体" w:cs="宋体"/>
          <w:bCs/>
          <w:color w:val="auto"/>
          <w:sz w:val="22"/>
          <w:szCs w:val="22"/>
        </w:rPr>
        <w:t>3、承诺书（含询标记录和优惠条款）</w:t>
      </w:r>
    </w:p>
    <w:p>
      <w:pPr>
        <w:spacing w:line="336" w:lineRule="auto"/>
        <w:ind w:firstLine="539" w:firstLineChars="245"/>
        <w:rPr>
          <w:rFonts w:hint="eastAsia" w:ascii="宋体" w:hAnsi="宋体" w:cs="宋体"/>
          <w:bCs/>
          <w:color w:val="auto"/>
          <w:sz w:val="22"/>
          <w:szCs w:val="22"/>
        </w:rPr>
      </w:pPr>
      <w:r>
        <w:rPr>
          <w:rFonts w:hint="eastAsia" w:ascii="宋体" w:hAnsi="宋体" w:cs="宋体"/>
          <w:bCs/>
          <w:color w:val="auto"/>
          <w:sz w:val="22"/>
          <w:szCs w:val="22"/>
        </w:rPr>
        <w:t>4、招标文件</w:t>
      </w:r>
    </w:p>
    <w:p>
      <w:pPr>
        <w:spacing w:line="336" w:lineRule="auto"/>
        <w:ind w:firstLine="539" w:firstLineChars="245"/>
        <w:rPr>
          <w:rFonts w:hint="eastAsia" w:ascii="宋体" w:hAnsi="宋体" w:cs="宋体"/>
          <w:bCs/>
          <w:color w:val="auto"/>
          <w:sz w:val="22"/>
          <w:szCs w:val="22"/>
        </w:rPr>
      </w:pPr>
      <w:r>
        <w:rPr>
          <w:rFonts w:hint="eastAsia" w:ascii="宋体" w:hAnsi="宋体" w:cs="宋体"/>
          <w:bCs/>
          <w:color w:val="auto"/>
          <w:sz w:val="22"/>
          <w:szCs w:val="22"/>
        </w:rPr>
        <w:t>5、投标文件</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三、采购内容</w:t>
      </w:r>
    </w:p>
    <w:p>
      <w:pPr>
        <w:spacing w:line="336" w:lineRule="auto"/>
        <w:ind w:firstLine="539" w:firstLineChars="245"/>
        <w:rPr>
          <w:rFonts w:hint="eastAsia" w:ascii="宋体" w:hAnsi="宋体" w:cs="宋体"/>
          <w:bCs/>
          <w:color w:val="auto"/>
          <w:sz w:val="22"/>
          <w:szCs w:val="22"/>
        </w:rPr>
      </w:pPr>
      <w:r>
        <w:rPr>
          <w:rFonts w:hint="eastAsia" w:ascii="宋体" w:hAnsi="宋体" w:cs="宋体"/>
          <w:bCs/>
          <w:color w:val="auto"/>
          <w:sz w:val="22"/>
          <w:szCs w:val="22"/>
        </w:rPr>
        <w:t>1、产品名称、规格及数量</w:t>
      </w:r>
    </w:p>
    <w:tbl>
      <w:tblPr>
        <w:tblStyle w:val="44"/>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16"/>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6" w:type="dxa"/>
            <w:vAlign w:val="top"/>
          </w:tcPr>
          <w:p>
            <w:pPr>
              <w:spacing w:before="0" w:beforeAutospacing="0" w:after="0" w:afterAutospacing="0" w:line="336" w:lineRule="auto"/>
              <w:ind w:left="0" w:right="0"/>
              <w:rPr>
                <w:rFonts w:hint="eastAsia" w:ascii="宋体" w:hAnsi="宋体" w:cs="宋体"/>
                <w:color w:val="auto"/>
                <w:sz w:val="22"/>
                <w:szCs w:val="22"/>
              </w:rPr>
            </w:pPr>
            <w:r>
              <w:rPr>
                <w:rFonts w:hint="eastAsia" w:ascii="宋体" w:hAnsi="宋体" w:cs="宋体"/>
                <w:color w:val="auto"/>
                <w:sz w:val="22"/>
                <w:szCs w:val="22"/>
              </w:rPr>
              <w:t>序号</w:t>
            </w:r>
          </w:p>
        </w:tc>
        <w:tc>
          <w:tcPr>
            <w:tcW w:w="1416" w:type="dxa"/>
            <w:vAlign w:val="top"/>
          </w:tcPr>
          <w:p>
            <w:pPr>
              <w:spacing w:before="0" w:beforeAutospacing="0" w:after="0" w:afterAutospacing="0" w:line="336" w:lineRule="auto"/>
              <w:ind w:left="0" w:right="0"/>
              <w:rPr>
                <w:rFonts w:hint="eastAsia" w:ascii="宋体" w:hAnsi="宋体" w:cs="宋体"/>
                <w:color w:val="auto"/>
                <w:sz w:val="22"/>
                <w:szCs w:val="22"/>
              </w:rPr>
            </w:pPr>
            <w:r>
              <w:rPr>
                <w:rFonts w:hint="eastAsia" w:ascii="宋体" w:hAnsi="宋体" w:cs="宋体"/>
                <w:color w:val="auto"/>
                <w:sz w:val="22"/>
                <w:szCs w:val="22"/>
              </w:rPr>
              <w:t>产品名称</w:t>
            </w: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r>
              <w:rPr>
                <w:rFonts w:hint="eastAsia" w:ascii="宋体" w:hAnsi="宋体" w:cs="宋体"/>
                <w:color w:val="auto"/>
                <w:sz w:val="22"/>
                <w:szCs w:val="22"/>
              </w:rPr>
              <w:t>单价</w:t>
            </w: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r>
              <w:rPr>
                <w:rFonts w:hint="eastAsia" w:ascii="宋体" w:hAnsi="宋体" w:cs="宋体"/>
                <w:color w:val="auto"/>
                <w:sz w:val="22"/>
                <w:szCs w:val="22"/>
              </w:rPr>
              <w:t>数量</w:t>
            </w: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r>
              <w:rPr>
                <w:rFonts w:hint="eastAsia" w:ascii="宋体" w:hAnsi="宋体" w:cs="宋体"/>
                <w:color w:val="auto"/>
                <w:sz w:val="22"/>
                <w:szCs w:val="22"/>
              </w:rPr>
              <w:t>合价</w:t>
            </w: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r>
              <w:rPr>
                <w:rFonts w:hint="eastAsia" w:ascii="宋体" w:hAnsi="宋体" w:cs="宋体"/>
                <w:color w:val="auto"/>
                <w:sz w:val="22"/>
                <w:szCs w:val="22"/>
              </w:rPr>
              <w:t>是否进口</w:t>
            </w: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r>
              <w:rPr>
                <w:rFonts w:hint="eastAsia" w:ascii="宋体" w:hAnsi="宋体" w:cs="宋体"/>
                <w:color w:val="auto"/>
                <w:sz w:val="22"/>
                <w:szCs w:val="22"/>
              </w:rPr>
              <w:t>交货周期</w:t>
            </w: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r>
              <w:rPr>
                <w:rFonts w:hint="eastAsia" w:ascii="宋体" w:hAnsi="宋体" w:cs="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416"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6"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416"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c>
          <w:tcPr>
            <w:tcW w:w="1065" w:type="dxa"/>
            <w:vAlign w:val="top"/>
          </w:tcPr>
          <w:p>
            <w:pPr>
              <w:spacing w:before="0" w:beforeAutospacing="0" w:after="0" w:afterAutospacing="0" w:line="336" w:lineRule="auto"/>
              <w:ind w:left="0" w:right="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42" w:type="dxa"/>
            <w:gridSpan w:val="8"/>
            <w:vAlign w:val="top"/>
          </w:tcPr>
          <w:p>
            <w:pPr>
              <w:spacing w:before="0" w:beforeAutospacing="0" w:after="0" w:afterAutospacing="0" w:line="336" w:lineRule="auto"/>
              <w:ind w:left="0" w:right="0"/>
              <w:rPr>
                <w:rFonts w:hint="eastAsia" w:ascii="宋体" w:hAnsi="宋体" w:cs="宋体"/>
                <w:color w:val="auto"/>
                <w:sz w:val="22"/>
                <w:szCs w:val="22"/>
              </w:rPr>
            </w:pPr>
            <w:r>
              <w:rPr>
                <w:rFonts w:hint="eastAsia" w:ascii="宋体" w:hAnsi="宋体" w:cs="宋体"/>
                <w:color w:val="auto"/>
                <w:sz w:val="22"/>
                <w:szCs w:val="22"/>
              </w:rPr>
              <w:t>合同额：大写：                              小写：</w:t>
            </w:r>
          </w:p>
        </w:tc>
      </w:tr>
    </w:tbl>
    <w:p>
      <w:pPr>
        <w:spacing w:line="336" w:lineRule="auto"/>
        <w:ind w:firstLine="539" w:firstLineChars="245"/>
        <w:rPr>
          <w:rFonts w:hint="eastAsia" w:ascii="宋体" w:hAnsi="宋体" w:cs="宋体"/>
          <w:bCs/>
          <w:color w:val="auto"/>
          <w:sz w:val="22"/>
          <w:szCs w:val="22"/>
        </w:rPr>
      </w:pPr>
      <w:r>
        <w:rPr>
          <w:rFonts w:hint="eastAsia" w:ascii="宋体" w:hAnsi="宋体" w:cs="宋体"/>
          <w:bCs/>
          <w:color w:val="auto"/>
          <w:sz w:val="22"/>
          <w:szCs w:val="22"/>
        </w:rPr>
        <w:t>2、标准和计量单位</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（1）本合同项下交付的货物应符合技术规格所述的标准。如在招标文件中无相应说明，则以国家颁布的最新版本标准或行业（部）标准或相应的国际标准执行，没有国家或行业（部）标准的则按企业标准执行。</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 除非技术规格中另有规定，计量单位均采用中华人民共和国法定计量单位。</w:t>
      </w:r>
    </w:p>
    <w:p>
      <w:pPr>
        <w:spacing w:line="336" w:lineRule="auto"/>
        <w:ind w:firstLine="539" w:firstLineChars="245"/>
        <w:rPr>
          <w:rFonts w:hint="eastAsia" w:ascii="宋体" w:hAnsi="宋体" w:cs="宋体"/>
          <w:bCs/>
          <w:color w:val="auto"/>
          <w:sz w:val="22"/>
          <w:szCs w:val="22"/>
        </w:rPr>
      </w:pPr>
      <w:r>
        <w:rPr>
          <w:rFonts w:hint="eastAsia" w:ascii="宋体" w:hAnsi="宋体" w:cs="宋体"/>
          <w:bCs/>
          <w:color w:val="auto"/>
          <w:sz w:val="22"/>
          <w:szCs w:val="22"/>
        </w:rPr>
        <w:t>3、专利权</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乙方应保证，甲方在使用该货物或货物的任何一部分时，免受第三方提出的侵犯其专利权、商标权、著作权或其它知识产权的起诉。乙方应承担由此可能产生的一切法律责任和费用。</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四、交货</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1、包装要求</w:t>
      </w:r>
    </w:p>
    <w:p>
      <w:pPr>
        <w:spacing w:line="336" w:lineRule="auto"/>
        <w:ind w:firstLine="539" w:firstLineChars="245"/>
        <w:rPr>
          <w:rFonts w:hint="eastAsia" w:ascii="宋体" w:hAnsi="宋体" w:cs="宋体"/>
          <w:color w:val="auto"/>
          <w:sz w:val="22"/>
          <w:szCs w:val="22"/>
        </w:rPr>
      </w:pPr>
      <w:bookmarkStart w:id="65" w:name="OLE_LINK4"/>
      <w:r>
        <w:rPr>
          <w:rFonts w:hint="eastAsia" w:ascii="宋体" w:hAnsi="宋体" w:cs="宋体"/>
          <w:color w:val="auto"/>
          <w:sz w:val="22"/>
          <w:szCs w:val="22"/>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（2）每一包装箱内必须附有装箱清单、合格证和齐全的技术资料等。</w:t>
      </w:r>
      <w:bookmarkEnd w:id="65"/>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（3）乙方应在每一包装箱的四侧用不褪色的油漆以醒目的中文字样标注“收货人”“货物名称”“小心轻放”、“防潮”、“此端朝上，请勿倒置”等字样和其他国际贸易中使用的适当标志。</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2、交货方式</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（1）现场交货：乙方负责办理运输和保险，将货物运抵甲方指定的现场并落地就位。有关运输和保险的一切费用由乙方承担。所有货物运抵现场的日期为交货日期。</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（2）在现场交货条件下，乙方在货物发运前</w:t>
      </w:r>
      <w:r>
        <w:rPr>
          <w:rFonts w:hint="eastAsia" w:ascii="宋体" w:hAnsi="宋体" w:cs="宋体"/>
          <w:color w:val="auto"/>
          <w:sz w:val="22"/>
          <w:szCs w:val="22"/>
          <w:u w:val="single"/>
        </w:rPr>
        <w:t xml:space="preserve">    </w:t>
      </w:r>
      <w:r>
        <w:rPr>
          <w:rFonts w:hint="eastAsia" w:ascii="宋体" w:hAnsi="宋体" w:cs="宋体"/>
          <w:color w:val="auto"/>
          <w:sz w:val="22"/>
          <w:szCs w:val="22"/>
        </w:rPr>
        <w:t>天，将要发运货物的合同号、货物名称、规格、数量、包装箱件数、重量、包装箱尺寸（长×宽×高）和货物的卸车，贮存的特殊要求以及运输工具名称以及启运日期，以传真形式通知甲方。</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（3）如因乙方延误将上述内容用传真形式通知甲方，由此引起的一切损失应由乙方承担。</w:t>
      </w:r>
    </w:p>
    <w:p>
      <w:pPr>
        <w:spacing w:line="336" w:lineRule="auto"/>
        <w:ind w:firstLine="541" w:firstLineChars="245"/>
        <w:rPr>
          <w:rFonts w:hint="eastAsia" w:ascii="宋体" w:hAnsi="宋体" w:cs="宋体"/>
          <w:b/>
          <w:color w:val="auto"/>
          <w:sz w:val="22"/>
          <w:szCs w:val="22"/>
        </w:rPr>
      </w:pPr>
      <w:r>
        <w:rPr>
          <w:rFonts w:hint="eastAsia" w:ascii="宋体" w:hAnsi="宋体" w:cs="宋体"/>
          <w:b/>
          <w:color w:val="auto"/>
          <w:sz w:val="22"/>
          <w:szCs w:val="22"/>
        </w:rPr>
        <w:t>3、交付日期：合同生效之日起30个日历天内</w:t>
      </w:r>
      <w:r>
        <w:rPr>
          <w:rFonts w:hint="eastAsia" w:ascii="宋体" w:hAnsi="宋体" w:cs="宋体"/>
          <w:bCs/>
          <w:color w:val="auto"/>
          <w:sz w:val="22"/>
          <w:szCs w:val="22"/>
        </w:rPr>
        <w:t>。</w:t>
      </w:r>
    </w:p>
    <w:p>
      <w:pPr>
        <w:spacing w:line="336" w:lineRule="auto"/>
        <w:ind w:firstLine="541" w:firstLineChars="245"/>
        <w:rPr>
          <w:rFonts w:hint="eastAsia" w:ascii="宋体" w:hAnsi="宋体" w:cs="宋体"/>
          <w:b/>
          <w:color w:val="auto"/>
          <w:sz w:val="22"/>
          <w:szCs w:val="22"/>
        </w:rPr>
      </w:pPr>
      <w:r>
        <w:rPr>
          <w:rFonts w:hint="eastAsia" w:ascii="宋体" w:hAnsi="宋体" w:cs="宋体"/>
          <w:b/>
          <w:color w:val="auto"/>
          <w:sz w:val="22"/>
          <w:szCs w:val="22"/>
        </w:rPr>
        <w:t xml:space="preserve">4、交货地点：业主指定地点。 </w:t>
      </w:r>
    </w:p>
    <w:p>
      <w:pPr>
        <w:spacing w:line="336" w:lineRule="auto"/>
        <w:ind w:firstLine="541" w:firstLineChars="245"/>
        <w:rPr>
          <w:rFonts w:hint="eastAsia" w:ascii="宋体" w:hAnsi="宋体" w:cs="宋体"/>
          <w:b/>
          <w:color w:val="auto"/>
          <w:sz w:val="22"/>
          <w:szCs w:val="22"/>
        </w:rPr>
      </w:pPr>
      <w:bookmarkStart w:id="66" w:name="OLE_LINK6"/>
      <w:r>
        <w:rPr>
          <w:rFonts w:hint="eastAsia" w:ascii="宋体" w:hAnsi="宋体" w:cs="宋体"/>
          <w:b/>
          <w:color w:val="auto"/>
          <w:sz w:val="22"/>
          <w:szCs w:val="22"/>
        </w:rPr>
        <w:t>5、技术文件和资料</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（1）提供技术文件和资料的种类和数量在本招标文件《招标内容及要求》中规定，甲乙双方可根据招标要求和需要订立具体的技术文件和资料交付时间和数量。</w:t>
      </w:r>
    </w:p>
    <w:p>
      <w:pPr>
        <w:spacing w:line="336" w:lineRule="auto"/>
        <w:ind w:firstLine="539" w:firstLineChars="245"/>
        <w:rPr>
          <w:rFonts w:hint="eastAsia" w:ascii="宋体" w:hAnsi="宋体" w:cs="宋体"/>
          <w:b/>
          <w:color w:val="auto"/>
          <w:sz w:val="22"/>
          <w:szCs w:val="22"/>
        </w:rPr>
      </w:pPr>
      <w:r>
        <w:rPr>
          <w:rFonts w:hint="eastAsia" w:ascii="宋体" w:hAnsi="宋体" w:cs="宋体"/>
          <w:color w:val="auto"/>
          <w:sz w:val="22"/>
          <w:szCs w:val="22"/>
        </w:rPr>
        <w:t>（2）如果甲方确认乙方提供的技术文件和资料不完整，或在运输途中丢失，乙方应在收到甲方通知后3天内将这些文件、资料补齐。</w:t>
      </w:r>
      <w:bookmarkEnd w:id="66"/>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五、付款方式与结算</w:t>
      </w:r>
    </w:p>
    <w:p>
      <w:pPr>
        <w:spacing w:line="336" w:lineRule="auto"/>
        <w:ind w:firstLine="519" w:firstLineChars="245"/>
        <w:rPr>
          <w:rFonts w:hint="eastAsia" w:ascii="宋体" w:hAnsi="宋体" w:cs="宋体"/>
          <w:color w:val="auto"/>
          <w:sz w:val="22"/>
          <w:szCs w:val="22"/>
          <w:u w:val="single"/>
        </w:rPr>
      </w:pPr>
      <w:r>
        <w:rPr>
          <w:rFonts w:hint="eastAsia" w:ascii="宋体" w:hAnsi="宋体" w:eastAsia="宋体" w:cs="宋体"/>
          <w:b w:val="0"/>
          <w:bCs/>
          <w:color w:val="auto"/>
          <w:spacing w:val="-4"/>
          <w:kern w:val="2"/>
          <w:sz w:val="22"/>
          <w:szCs w:val="22"/>
          <w:highlight w:val="none"/>
          <w:lang w:val="en-US" w:eastAsia="zh-CN"/>
        </w:rPr>
        <w:t>合同签订后，待财政资金下达后7个工作日内，</w:t>
      </w:r>
      <w:r>
        <w:rPr>
          <w:rFonts w:hint="eastAsia" w:ascii="宋体" w:hAnsi="宋体" w:cs="宋体"/>
          <w:color w:val="auto"/>
          <w:sz w:val="22"/>
          <w:szCs w:val="22"/>
        </w:rPr>
        <w:t>向乙方支付合同价40%</w:t>
      </w:r>
      <w:r>
        <w:rPr>
          <w:rFonts w:hint="eastAsia" w:ascii="宋体" w:hAnsi="宋体" w:cs="宋体"/>
          <w:color w:val="auto"/>
          <w:sz w:val="22"/>
          <w:szCs w:val="22"/>
          <w:lang w:val="en-US" w:eastAsia="zh-CN"/>
        </w:rPr>
        <w:t>~69%</w:t>
      </w:r>
      <w:r>
        <w:rPr>
          <w:rFonts w:hint="eastAsia" w:ascii="宋体" w:hAnsi="宋体" w:cs="宋体"/>
          <w:color w:val="auto"/>
          <w:sz w:val="22"/>
          <w:szCs w:val="22"/>
        </w:rPr>
        <w:t>的预付款，待乙方完成所有货物送货完成后，经甲方验收合格后7个工作日内，甲方向乙方支付合同剩余总额</w:t>
      </w:r>
      <w:r>
        <w:rPr>
          <w:rFonts w:hint="eastAsia" w:ascii="宋体" w:hAnsi="宋体" w:cs="宋体"/>
          <w:color w:val="auto"/>
          <w:sz w:val="22"/>
          <w:szCs w:val="22"/>
          <w:lang w:val="en-US" w:eastAsia="zh-CN"/>
        </w:rPr>
        <w:t>59</w:t>
      </w:r>
      <w:r>
        <w:rPr>
          <w:rFonts w:hint="eastAsia" w:ascii="宋体" w:hAnsi="宋体" w:cs="宋体"/>
          <w:color w:val="auto"/>
          <w:sz w:val="22"/>
          <w:szCs w:val="22"/>
        </w:rPr>
        <w:t>%</w:t>
      </w:r>
      <w:r>
        <w:rPr>
          <w:rFonts w:hint="eastAsia" w:ascii="宋体" w:hAnsi="宋体" w:cs="宋体"/>
          <w:color w:val="auto"/>
          <w:sz w:val="22"/>
          <w:szCs w:val="22"/>
          <w:lang w:val="en-US" w:eastAsia="zh-CN"/>
        </w:rPr>
        <w:t>~30</w:t>
      </w:r>
      <w:r>
        <w:rPr>
          <w:rFonts w:hint="eastAsia" w:ascii="宋体" w:hAnsi="宋体" w:cs="宋体"/>
          <w:color w:val="auto"/>
          <w:sz w:val="22"/>
          <w:szCs w:val="22"/>
        </w:rPr>
        <w:t>%的货款</w:t>
      </w:r>
      <w:r>
        <w:rPr>
          <w:rFonts w:hint="eastAsia" w:ascii="宋体" w:hAnsi="宋体" w:cs="宋体"/>
          <w:b w:val="0"/>
          <w:bCs/>
          <w:color w:val="auto"/>
          <w:spacing w:val="-4"/>
          <w:kern w:val="2"/>
          <w:sz w:val="22"/>
          <w:szCs w:val="22"/>
          <w:highlight w:val="none"/>
          <w:lang w:val="en-US" w:eastAsia="zh-CN"/>
        </w:rPr>
        <w:t>（具体比例签订合同时根据投标产品价格确定），</w:t>
      </w:r>
      <w:r>
        <w:rPr>
          <w:rFonts w:hint="eastAsia" w:ascii="宋体" w:hAnsi="宋体" w:eastAsia="宋体" w:cs="宋体"/>
          <w:b/>
          <w:bCs w:val="0"/>
          <w:color w:val="auto"/>
          <w:spacing w:val="-4"/>
          <w:kern w:val="2"/>
          <w:sz w:val="22"/>
          <w:szCs w:val="22"/>
          <w:highlight w:val="none"/>
          <w:lang w:val="en-US" w:eastAsia="zh-CN"/>
        </w:rPr>
        <w:t>自验收合格之日起免费质量保证期到期后的 15个工作日内支付合同金额1%</w:t>
      </w:r>
      <w:r>
        <w:rPr>
          <w:rFonts w:hint="eastAsia" w:ascii="宋体" w:hAnsi="宋体" w:eastAsia="宋体" w:cs="宋体"/>
          <w:b/>
          <w:bCs w:val="0"/>
          <w:color w:val="auto"/>
          <w:spacing w:val="-4"/>
          <w:kern w:val="2"/>
          <w:sz w:val="22"/>
          <w:szCs w:val="22"/>
          <w:highlight w:val="none"/>
        </w:rPr>
        <w:t>。</w:t>
      </w:r>
      <w:r>
        <w:rPr>
          <w:rFonts w:hint="eastAsia" w:ascii="宋体" w:hAnsi="宋体" w:cs="宋体"/>
          <w:color w:val="auto"/>
          <w:sz w:val="22"/>
          <w:szCs w:val="22"/>
        </w:rPr>
        <w:t>（每笔款项支付前卖方必须开具有效的增值税发票）。</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六、质量要求</w:t>
      </w:r>
    </w:p>
    <w:p>
      <w:pPr>
        <w:spacing w:line="336" w:lineRule="auto"/>
        <w:ind w:firstLine="541" w:firstLineChars="245"/>
        <w:rPr>
          <w:rFonts w:hint="eastAsia" w:ascii="宋体" w:hAnsi="宋体" w:cs="宋体"/>
          <w:color w:val="auto"/>
          <w:kern w:val="0"/>
          <w:sz w:val="22"/>
          <w:szCs w:val="22"/>
        </w:rPr>
      </w:pPr>
      <w:r>
        <w:rPr>
          <w:rFonts w:hint="eastAsia" w:ascii="宋体" w:hAnsi="宋体" w:cs="宋体"/>
          <w:b/>
          <w:bCs/>
          <w:color w:val="auto"/>
          <w:kern w:val="0"/>
          <w:sz w:val="22"/>
          <w:szCs w:val="22"/>
        </w:rPr>
        <w:t>乙方所提供的产品必须符合国家有关的生产规范、标准。</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七、验收</w:t>
      </w:r>
    </w:p>
    <w:p>
      <w:pPr>
        <w:spacing w:line="336" w:lineRule="auto"/>
        <w:ind w:firstLine="539" w:firstLineChars="245"/>
        <w:rPr>
          <w:rFonts w:hint="eastAsia" w:ascii="宋体" w:hAnsi="宋体" w:cs="宋体"/>
          <w:b/>
          <w:color w:val="auto"/>
          <w:sz w:val="22"/>
          <w:szCs w:val="22"/>
        </w:rPr>
      </w:pPr>
      <w:r>
        <w:rPr>
          <w:rFonts w:hint="eastAsia" w:ascii="宋体" w:hAnsi="宋体" w:cs="宋体"/>
          <w:color w:val="auto"/>
          <w:sz w:val="22"/>
          <w:szCs w:val="22"/>
        </w:rPr>
        <w:t>1、验收应在甲方和乙方双方共同参加下进行，若乙方不配合验收，甲方有权自行组织验收。</w:t>
      </w:r>
      <w:r>
        <w:rPr>
          <w:rFonts w:hint="eastAsia" w:ascii="宋体" w:hAnsi="宋体" w:cs="宋体"/>
          <w:b/>
          <w:color w:val="auto"/>
          <w:sz w:val="22"/>
          <w:szCs w:val="22"/>
        </w:rPr>
        <w:t> </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验收按国家有关的规定、规范进行。验收时如发现所交付的货物有短缺、次品、损坏等情形者，甲方应做出详尽的现场记录，或由甲方和乙方双方签署备忘录。此现场记录或备忘录可用作补充、缺失和更换损坏部件的有效证据。由此产生的有关费用由乙方承担。</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3、如果合同货物运输过程中因事故造成货物短缺、损坏，乙方应及时安排换货，以保证合同货物成功完整交付。换货的相关费用由乙方承担。</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八、双方责任</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1、甲方</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（1）按合同规定向乙方支付货款。</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（2）组织对货物的验收。</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2、乙方</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（1）按合同要求提供货物和服务。</w:t>
      </w:r>
    </w:p>
    <w:p>
      <w:pPr>
        <w:spacing w:line="336" w:lineRule="auto"/>
        <w:ind w:firstLine="539" w:firstLineChars="245"/>
        <w:rPr>
          <w:rFonts w:hint="eastAsia" w:ascii="宋体" w:hAnsi="宋体" w:cs="宋体"/>
          <w:b/>
          <w:color w:val="auto"/>
          <w:sz w:val="22"/>
          <w:szCs w:val="22"/>
        </w:rPr>
      </w:pPr>
      <w:r>
        <w:rPr>
          <w:rFonts w:hint="eastAsia" w:ascii="宋体" w:hAnsi="宋体" w:cs="宋体"/>
          <w:color w:val="auto"/>
          <w:sz w:val="22"/>
          <w:szCs w:val="22"/>
        </w:rPr>
        <w:t>（2）对所提供的货物和服务质量问题无条件负责处理。</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九、乙方履约延误</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1、乙方应按照合同规定的时间交货和提供服务。</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在履行合同过程中，如果乙方遇到妨碍按时交货和提供服务的情况时，应在2个工作日内以书面形式将延误的事实、可能拖延的时间和原因通知甲方。甲方在收到乙方通知后，应尽快对情况进行分析评价，并确定是否同意延长交货时间以及是否收取误期赔偿费。延期应通过合同补充条款方式由双方认可。</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3、除了合同条款中不可抗力的情况外，除非延误是取得同意而不收取赔偿费，乙方延误交货或提供服务将按合同条款第十一条规定被收取误期赔偿费。</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4、所有提供的货物及验收都应服从甲方的统一安排。</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十、误期赔偿费</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十一、不可抗力</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十二、税费</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1、根据现行税法对乙方征收的与本合同有关的一切税费均由乙方承担。</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2、在中国境外发生的与本合同执行有关的一切税费由乙方承担。</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十三、违约终止合同</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1、甲方在乙方违约的情况下，如果发生下列情况之一，可考虑终止部分或全部合同：</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（1）乙方未能在合同规定的期限内或甲方同意延长的期限内提供全部或部分货物；</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 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十四、履约保证金的罚没</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1、如乙方未能履行合同规定的任何义务，甲方有权从履约保证金中得到补偿。</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2、如果乙方毫无理由地拖延交货或拒绝履行合同规定的任何义务，履约保证金将被没收，并加收违约赔偿金。</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3、乙方提供的货物须和报价文件中所承诺的货物规格、数量、型号等相符（合同中另有规定除外）如不符，除追究乙方责任外，其履约保证金将被没收。</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十五、争端的解决</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1、合同实施或与合同有关的一切争端，甲乙双方应通过友好协商解决，如果协商仍得不到解决，任何一方可向履行合同所在地或合同签约地的仲裁机构申请调解或仲裁。</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2、仲裁裁决应为最终裁决，对双方均有约束力。</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3、仲裁费用的承担以仲裁机构裁决为准。</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4、在仲裁期间，除正在执行仲裁的部分外，本合同的其他部分应继续执行。</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十六、转让和分包及货物不可替代</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1、未经甲方事先书面同意，乙方不得部分转让或全部转让和分包其履行合同的义务。</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2、货物不可替代，乙方在没有取得甲方的书面授权的情况下，不得将合同货物的生产制造转交其他生产厂商或以其他厂商的货物替代。</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十七、适用法律</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本合同按照中华人民共和国的法律进行解释。</w:t>
      </w:r>
    </w:p>
    <w:p>
      <w:pPr>
        <w:spacing w:line="336"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十八、合同生效及其他</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1、合同应在双方签字盖章并在甲方收到乙方提供的履约保证金后开始生效。</w:t>
      </w:r>
    </w:p>
    <w:p>
      <w:pPr>
        <w:spacing w:line="336" w:lineRule="auto"/>
        <w:ind w:firstLine="539" w:firstLineChars="245"/>
        <w:rPr>
          <w:rFonts w:hint="eastAsia" w:ascii="宋体" w:hAnsi="宋体" w:cs="宋体"/>
          <w:color w:val="auto"/>
          <w:sz w:val="22"/>
          <w:szCs w:val="22"/>
        </w:rPr>
      </w:pPr>
      <w:r>
        <w:rPr>
          <w:rFonts w:hint="eastAsia" w:ascii="宋体" w:hAnsi="宋体" w:cs="宋体"/>
          <w:color w:val="auto"/>
          <w:sz w:val="22"/>
          <w:szCs w:val="22"/>
        </w:rPr>
        <w:t>2、如需修改或补充合同内容，经协商，双方应签署书面修改或补充协议，该协议将作为本合同的一个组成部分。</w:t>
      </w:r>
    </w:p>
    <w:p>
      <w:pPr>
        <w:spacing w:line="336" w:lineRule="auto"/>
        <w:ind w:firstLine="539" w:firstLineChars="245"/>
        <w:rPr>
          <w:rFonts w:hint="eastAsia" w:ascii="宋体" w:hAnsi="宋体" w:cs="宋体"/>
          <w:b/>
          <w:bCs/>
          <w:color w:val="auto"/>
          <w:sz w:val="22"/>
          <w:szCs w:val="22"/>
        </w:rPr>
      </w:pPr>
      <w:r>
        <w:rPr>
          <w:rFonts w:hint="eastAsia" w:ascii="宋体" w:hAnsi="宋体" w:cs="宋体"/>
          <w:color w:val="auto"/>
          <w:sz w:val="22"/>
          <w:szCs w:val="22"/>
        </w:rPr>
        <w:t xml:space="preserve">3、 </w:t>
      </w:r>
      <w:r>
        <w:rPr>
          <w:rFonts w:hint="eastAsia" w:ascii="宋体" w:hAnsi="宋体" w:cs="宋体"/>
          <w:b/>
          <w:bCs/>
          <w:color w:val="auto"/>
          <w:sz w:val="22"/>
          <w:szCs w:val="22"/>
        </w:rPr>
        <w:t>合同壹式伍份，双方各贰份，壹份送采购代理公司备案。</w:t>
      </w:r>
    </w:p>
    <w:p>
      <w:pPr>
        <w:tabs>
          <w:tab w:val="left" w:pos="360"/>
        </w:tabs>
        <w:spacing w:line="336" w:lineRule="auto"/>
        <w:ind w:firstLine="550" w:firstLineChars="250"/>
        <w:rPr>
          <w:rFonts w:hint="eastAsia" w:ascii="宋体" w:hAnsi="宋体" w:cs="宋体"/>
          <w:color w:val="auto"/>
          <w:sz w:val="22"/>
          <w:szCs w:val="22"/>
        </w:rPr>
      </w:pPr>
      <w:r>
        <w:rPr>
          <w:rFonts w:hint="eastAsia" w:ascii="宋体" w:hAnsi="宋体" w:cs="宋体"/>
          <w:color w:val="auto"/>
          <w:sz w:val="22"/>
          <w:szCs w:val="22"/>
        </w:rPr>
        <w:t>甲方：（印章）                       乙方：（印章）</w:t>
      </w:r>
    </w:p>
    <w:p>
      <w:pPr>
        <w:tabs>
          <w:tab w:val="left" w:pos="360"/>
        </w:tabs>
        <w:spacing w:line="336" w:lineRule="auto"/>
        <w:ind w:firstLine="550" w:firstLineChars="250"/>
        <w:rPr>
          <w:rFonts w:hint="eastAsia" w:ascii="宋体" w:hAnsi="宋体" w:cs="宋体"/>
          <w:color w:val="auto"/>
          <w:sz w:val="22"/>
          <w:szCs w:val="22"/>
        </w:rPr>
      </w:pPr>
      <w:r>
        <w:rPr>
          <w:rFonts w:hint="eastAsia" w:ascii="宋体" w:hAnsi="宋体" w:cs="宋体"/>
          <w:color w:val="auto"/>
          <w:sz w:val="22"/>
          <w:szCs w:val="22"/>
        </w:rPr>
        <w:t>授权代表</w:t>
      </w:r>
      <w:r>
        <w:rPr>
          <w:rFonts w:hint="eastAsia" w:ascii="宋体" w:hAnsi="宋体" w:cs="宋体"/>
          <w:color w:val="auto"/>
          <w:sz w:val="22"/>
          <w:szCs w:val="22"/>
          <w:lang w:eastAsia="zh-CN"/>
        </w:rPr>
        <w:t>：</w:t>
      </w:r>
      <w:r>
        <w:rPr>
          <w:rFonts w:hint="eastAsia" w:ascii="宋体" w:hAnsi="宋体" w:cs="宋体"/>
          <w:color w:val="auto"/>
          <w:sz w:val="22"/>
          <w:szCs w:val="22"/>
        </w:rPr>
        <w:t>（签字）                    授权代表</w:t>
      </w:r>
      <w:r>
        <w:rPr>
          <w:rFonts w:hint="eastAsia" w:ascii="宋体" w:hAnsi="宋体" w:cs="宋体"/>
          <w:color w:val="auto"/>
          <w:sz w:val="22"/>
          <w:szCs w:val="22"/>
          <w:lang w:eastAsia="zh-CN"/>
        </w:rPr>
        <w:t>：</w:t>
      </w:r>
      <w:r>
        <w:rPr>
          <w:rFonts w:hint="eastAsia" w:ascii="宋体" w:hAnsi="宋体" w:cs="宋体"/>
          <w:color w:val="auto"/>
          <w:sz w:val="22"/>
          <w:szCs w:val="22"/>
        </w:rPr>
        <w:t>（签字）</w:t>
      </w:r>
    </w:p>
    <w:p>
      <w:pPr>
        <w:tabs>
          <w:tab w:val="left" w:pos="360"/>
        </w:tabs>
        <w:spacing w:line="336" w:lineRule="auto"/>
        <w:ind w:firstLine="550" w:firstLineChars="250"/>
        <w:rPr>
          <w:rFonts w:hint="eastAsia" w:ascii="宋体" w:hAnsi="宋体" w:cs="宋体"/>
          <w:color w:val="auto"/>
          <w:sz w:val="22"/>
          <w:szCs w:val="22"/>
        </w:rPr>
      </w:pPr>
      <w:r>
        <w:rPr>
          <w:rFonts w:hint="eastAsia" w:ascii="宋体" w:hAnsi="宋体" w:cs="宋体"/>
          <w:color w:val="auto"/>
          <w:sz w:val="22"/>
          <w:szCs w:val="22"/>
        </w:rPr>
        <w:t>地址：                               地址：</w:t>
      </w:r>
    </w:p>
    <w:p>
      <w:pPr>
        <w:tabs>
          <w:tab w:val="left" w:pos="360"/>
        </w:tabs>
        <w:spacing w:line="336" w:lineRule="auto"/>
        <w:ind w:firstLine="550" w:firstLineChars="250"/>
        <w:rPr>
          <w:rFonts w:hint="eastAsia" w:ascii="宋体" w:hAnsi="宋体" w:cs="宋体"/>
          <w:color w:val="auto"/>
          <w:sz w:val="22"/>
          <w:szCs w:val="22"/>
        </w:rPr>
      </w:pPr>
      <w:r>
        <w:rPr>
          <w:rFonts w:hint="eastAsia" w:ascii="宋体" w:hAnsi="宋体" w:cs="宋体"/>
          <w:color w:val="auto"/>
          <w:sz w:val="22"/>
          <w:szCs w:val="22"/>
        </w:rPr>
        <w:t>邮政编码：                           邮政编码：</w:t>
      </w:r>
    </w:p>
    <w:p>
      <w:pPr>
        <w:tabs>
          <w:tab w:val="left" w:pos="360"/>
        </w:tabs>
        <w:spacing w:line="336" w:lineRule="auto"/>
        <w:ind w:firstLine="550" w:firstLineChars="250"/>
        <w:rPr>
          <w:rFonts w:hint="eastAsia" w:ascii="宋体" w:hAnsi="宋体" w:cs="宋体"/>
          <w:color w:val="auto"/>
          <w:sz w:val="22"/>
          <w:szCs w:val="22"/>
        </w:rPr>
      </w:pPr>
      <w:r>
        <w:rPr>
          <w:rFonts w:hint="eastAsia" w:ascii="宋体" w:hAnsi="宋体" w:cs="宋体"/>
          <w:color w:val="auto"/>
          <w:sz w:val="22"/>
          <w:szCs w:val="22"/>
        </w:rPr>
        <w:t>电话：                               电话：</w:t>
      </w:r>
    </w:p>
    <w:p>
      <w:pPr>
        <w:tabs>
          <w:tab w:val="left" w:pos="360"/>
        </w:tabs>
        <w:spacing w:line="336" w:lineRule="auto"/>
        <w:ind w:firstLine="550" w:firstLineChars="250"/>
        <w:rPr>
          <w:rFonts w:hint="eastAsia" w:ascii="宋体" w:hAnsi="宋体" w:cs="宋体"/>
          <w:color w:val="auto"/>
          <w:sz w:val="22"/>
          <w:szCs w:val="22"/>
        </w:rPr>
      </w:pPr>
      <w:r>
        <w:rPr>
          <w:rFonts w:hint="eastAsia" w:ascii="宋体" w:hAnsi="宋体" w:cs="宋体"/>
          <w:color w:val="auto"/>
          <w:sz w:val="22"/>
          <w:szCs w:val="22"/>
        </w:rPr>
        <w:t>传真：                               传真：</w:t>
      </w:r>
    </w:p>
    <w:p>
      <w:pPr>
        <w:tabs>
          <w:tab w:val="left" w:pos="360"/>
        </w:tabs>
        <w:spacing w:line="336" w:lineRule="auto"/>
        <w:ind w:firstLine="550" w:firstLineChars="250"/>
        <w:rPr>
          <w:rFonts w:hint="eastAsia" w:ascii="宋体" w:hAnsi="宋体" w:cs="宋体"/>
          <w:color w:val="auto"/>
          <w:sz w:val="22"/>
          <w:szCs w:val="22"/>
        </w:rPr>
      </w:pPr>
      <w:r>
        <w:rPr>
          <w:rFonts w:hint="eastAsia" w:ascii="宋体" w:hAnsi="宋体" w:cs="宋体"/>
          <w:color w:val="auto"/>
          <w:sz w:val="22"/>
          <w:szCs w:val="22"/>
        </w:rPr>
        <w:t>开户银行：                           开户银行：</w:t>
      </w:r>
    </w:p>
    <w:p>
      <w:pPr>
        <w:tabs>
          <w:tab w:val="left" w:pos="360"/>
        </w:tabs>
        <w:spacing w:line="336" w:lineRule="auto"/>
        <w:ind w:firstLine="550" w:firstLineChars="250"/>
        <w:rPr>
          <w:rFonts w:hint="eastAsia" w:ascii="宋体" w:hAnsi="宋体" w:cs="宋体"/>
          <w:color w:val="auto"/>
          <w:sz w:val="22"/>
          <w:szCs w:val="22"/>
        </w:rPr>
      </w:pPr>
      <w:r>
        <w:rPr>
          <w:rFonts w:hint="eastAsia" w:ascii="宋体" w:hAnsi="宋体" w:cs="宋体"/>
          <w:color w:val="auto"/>
          <w:sz w:val="22"/>
          <w:szCs w:val="22"/>
        </w:rPr>
        <w:t>帐号：                               帐号：</w:t>
      </w:r>
    </w:p>
    <w:p>
      <w:pPr>
        <w:spacing w:line="336" w:lineRule="auto"/>
        <w:ind w:firstLine="539" w:firstLineChars="245"/>
        <w:rPr>
          <w:rFonts w:hint="eastAsia" w:ascii="新宋体" w:hAnsi="新宋体" w:eastAsia="新宋体" w:cs="新宋体"/>
          <w:color w:val="auto"/>
          <w:sz w:val="22"/>
          <w:szCs w:val="22"/>
        </w:rPr>
      </w:pPr>
      <w:r>
        <w:rPr>
          <w:rFonts w:hint="eastAsia" w:ascii="宋体" w:hAnsi="宋体" w:cs="宋体"/>
          <w:color w:val="auto"/>
          <w:sz w:val="22"/>
          <w:szCs w:val="22"/>
        </w:rPr>
        <w:t>时间</w:t>
      </w:r>
      <w:r>
        <w:rPr>
          <w:rFonts w:hint="eastAsia" w:ascii="宋体" w:hAnsi="宋体" w:cs="宋体"/>
          <w:color w:val="auto"/>
          <w:sz w:val="22"/>
          <w:szCs w:val="22"/>
          <w:lang w:eastAsia="zh-CN"/>
        </w:rPr>
        <w:t>：</w:t>
      </w:r>
      <w:r>
        <w:rPr>
          <w:rFonts w:hint="eastAsia" w:ascii="宋体" w:hAnsi="宋体" w:cs="宋体"/>
          <w:color w:val="auto"/>
          <w:sz w:val="22"/>
          <w:szCs w:val="22"/>
        </w:rPr>
        <w:t xml:space="preserve">                                时间：   </w:t>
      </w:r>
      <w:r>
        <w:rPr>
          <w:rFonts w:hint="eastAsia" w:ascii="新宋体" w:hAnsi="新宋体" w:eastAsia="新宋体" w:cs="新宋体"/>
          <w:color w:val="auto"/>
          <w:sz w:val="22"/>
          <w:szCs w:val="22"/>
        </w:rPr>
        <w:t xml:space="preserve">      </w:t>
      </w:r>
    </w:p>
    <w:p>
      <w:pPr>
        <w:spacing w:line="336" w:lineRule="auto"/>
        <w:ind w:firstLine="539" w:firstLineChars="245"/>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w:t>
      </w:r>
    </w:p>
    <w:p>
      <w:pPr>
        <w:spacing w:line="360" w:lineRule="auto"/>
        <w:ind w:firstLine="539" w:firstLineChars="245"/>
        <w:rPr>
          <w:rFonts w:hint="eastAsia" w:ascii="新宋体" w:hAnsi="新宋体" w:eastAsia="新宋体" w:cs="新宋体"/>
          <w:color w:val="auto"/>
          <w:sz w:val="22"/>
          <w:szCs w:val="22"/>
        </w:rPr>
      </w:pPr>
    </w:p>
    <w:p>
      <w:pPr>
        <w:spacing w:line="440" w:lineRule="exact"/>
        <w:ind w:firstLine="539" w:firstLineChars="245"/>
        <w:rPr>
          <w:rFonts w:hint="eastAsia" w:ascii="新宋体" w:hAnsi="新宋体" w:eastAsia="新宋体" w:cs="新宋体"/>
          <w:color w:val="auto"/>
          <w:sz w:val="22"/>
          <w:szCs w:val="22"/>
        </w:rPr>
      </w:pPr>
    </w:p>
    <w:p>
      <w:pPr>
        <w:spacing w:line="440" w:lineRule="exact"/>
        <w:ind w:firstLine="539" w:firstLineChars="245"/>
        <w:rPr>
          <w:rFonts w:hint="eastAsia" w:ascii="新宋体" w:hAnsi="新宋体" w:eastAsia="新宋体" w:cs="新宋体"/>
          <w:color w:val="auto"/>
          <w:sz w:val="22"/>
          <w:szCs w:val="22"/>
        </w:rPr>
      </w:pPr>
    </w:p>
    <w:p>
      <w:pPr>
        <w:pStyle w:val="43"/>
        <w:ind w:hanging="480"/>
        <w:rPr>
          <w:rFonts w:hint="eastAsia" w:ascii="宋体" w:hAnsi="宋体"/>
          <w:color w:val="auto"/>
          <w:u w:val="single"/>
        </w:rPr>
      </w:pPr>
    </w:p>
    <w:p>
      <w:pPr>
        <w:spacing w:line="430" w:lineRule="exact"/>
        <w:jc w:val="center"/>
        <w:outlineLvl w:val="0"/>
        <w:rPr>
          <w:rFonts w:hint="eastAsia" w:ascii="黑体" w:hAnsi="黑体" w:eastAsia="黑体"/>
          <w:bCs/>
          <w:color w:val="auto"/>
          <w:sz w:val="36"/>
          <w:szCs w:val="36"/>
          <w:highlight w:val="none"/>
        </w:rPr>
      </w:pPr>
      <w:r>
        <w:rPr>
          <w:rFonts w:hint="eastAsia" w:hAnsi="宋体" w:cs="宋体"/>
          <w:color w:val="auto"/>
          <w:sz w:val="36"/>
          <w:szCs w:val="36"/>
        </w:rPr>
        <w:br w:type="page"/>
      </w:r>
      <w:r>
        <w:rPr>
          <w:rFonts w:hint="eastAsia" w:ascii="黑体" w:hAnsi="黑体" w:eastAsia="黑体"/>
          <w:b/>
          <w:bCs/>
          <w:color w:val="auto"/>
          <w:kern w:val="44"/>
          <w:sz w:val="36"/>
          <w:szCs w:val="36"/>
          <w:highlight w:val="none"/>
        </w:rPr>
        <w:t>第</w:t>
      </w:r>
      <w:r>
        <w:rPr>
          <w:rFonts w:hint="eastAsia" w:ascii="黑体" w:hAnsi="黑体" w:eastAsia="黑体"/>
          <w:b/>
          <w:bCs/>
          <w:color w:val="auto"/>
          <w:kern w:val="44"/>
          <w:sz w:val="36"/>
          <w:szCs w:val="36"/>
          <w:highlight w:val="none"/>
          <w:lang w:eastAsia="zh-CN"/>
        </w:rPr>
        <w:t>四</w:t>
      </w:r>
      <w:r>
        <w:rPr>
          <w:rFonts w:hint="eastAsia" w:ascii="黑体" w:hAnsi="黑体" w:eastAsia="黑体"/>
          <w:b/>
          <w:bCs/>
          <w:color w:val="auto"/>
          <w:kern w:val="44"/>
          <w:sz w:val="36"/>
          <w:szCs w:val="36"/>
          <w:highlight w:val="none"/>
        </w:rPr>
        <w:t>部分  附   件</w:t>
      </w:r>
      <w:bookmarkEnd w:id="57"/>
      <w:bookmarkEnd w:id="64"/>
    </w:p>
    <w:p>
      <w:pPr>
        <w:pStyle w:val="3"/>
        <w:spacing w:line="240" w:lineRule="auto"/>
        <w:rPr>
          <w:rFonts w:hint="eastAsia" w:ascii="宋体" w:hAnsi="宋体" w:eastAsia="宋体" w:cs="宋体"/>
          <w:color w:val="auto"/>
          <w:sz w:val="24"/>
          <w:szCs w:val="24"/>
          <w:highlight w:val="none"/>
        </w:rPr>
      </w:pPr>
      <w:bookmarkStart w:id="67" w:name="_Toc230773784"/>
      <w:bookmarkStart w:id="68" w:name="_Toc12490"/>
      <w:r>
        <w:rPr>
          <w:rFonts w:hint="eastAsia" w:ascii="宋体" w:hAnsi="宋体" w:eastAsia="宋体" w:cs="宋体"/>
          <w:color w:val="auto"/>
          <w:sz w:val="24"/>
          <w:szCs w:val="24"/>
          <w:highlight w:val="none"/>
        </w:rPr>
        <w:t>附件一 投标函</w:t>
      </w:r>
      <w:bookmarkEnd w:id="67"/>
      <w:bookmarkEnd w:id="68"/>
    </w:p>
    <w:p>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pPr>
        <w:spacing w:line="440" w:lineRule="exact"/>
        <w:rPr>
          <w:rFonts w:hint="eastAsia" w:ascii="宋体" w:hAnsi="宋体" w:eastAsia="宋体" w:cs="宋体"/>
          <w:b/>
          <w:color w:val="auto"/>
          <w:sz w:val="24"/>
          <w:highlight w:val="none"/>
          <w:u w:val="single"/>
          <w:lang w:eastAsia="zh-CN"/>
        </w:rPr>
      </w:pPr>
      <w:r>
        <w:rPr>
          <w:rFonts w:hint="eastAsia" w:ascii="宋体" w:hAnsi="宋体" w:cs="宋体"/>
          <w:b/>
          <w:color w:val="auto"/>
          <w:sz w:val="24"/>
          <w:highlight w:val="none"/>
        </w:rPr>
        <w:t>致：</w:t>
      </w:r>
      <w:r>
        <w:rPr>
          <w:rFonts w:hint="eastAsia" w:ascii="宋体" w:hAnsi="宋体" w:cs="宋体"/>
          <w:b/>
          <w:color w:val="auto"/>
          <w:sz w:val="24"/>
          <w:highlight w:val="none"/>
          <w:u w:val="single"/>
          <w:lang w:eastAsia="zh-CN"/>
        </w:rPr>
        <w:t>温州市应急管理局</w:t>
      </w:r>
    </w:p>
    <w:p>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b/>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lang w:val="en-US" w:eastAsia="zh-CN"/>
        </w:rPr>
        <w:t>标项号：</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lang w:val="en-US" w:eastAsia="zh-CN"/>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（投标人名称）</w:t>
      </w:r>
      <w:r>
        <w:rPr>
          <w:rFonts w:hint="eastAsia" w:ascii="宋体" w:hAnsi="宋体" w:cs="宋体"/>
          <w:color w:val="auto"/>
          <w:sz w:val="22"/>
          <w:szCs w:val="22"/>
          <w:highlight w:val="none"/>
        </w:rPr>
        <w:t>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pPr>
        <w:pStyle w:val="1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在此提交的投标文件中，包括如下内容，并已分别加密上传：</w:t>
      </w:r>
    </w:p>
    <w:p>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（一）按“投标人须知”要求编制投标文件的“资格文件”</w:t>
      </w:r>
      <w:r>
        <w:rPr>
          <w:rFonts w:hint="eastAsia" w:ascii="宋体" w:hAnsi="宋体" w:cs="宋体"/>
          <w:color w:val="auto"/>
          <w:sz w:val="22"/>
          <w:szCs w:val="22"/>
          <w:highlight w:val="none"/>
          <w:lang w:eastAsia="zh-CN"/>
        </w:rPr>
        <w:t>；</w:t>
      </w:r>
    </w:p>
    <w:p>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（二）按“投标人须知”要求编制投标文件的“商务技术文件”</w:t>
      </w:r>
      <w:r>
        <w:rPr>
          <w:rFonts w:hint="eastAsia" w:ascii="宋体" w:hAnsi="宋体" w:cs="宋体"/>
          <w:color w:val="auto"/>
          <w:sz w:val="22"/>
          <w:szCs w:val="22"/>
          <w:highlight w:val="none"/>
          <w:lang w:eastAsia="zh-CN"/>
        </w:rPr>
        <w:t>；</w:t>
      </w:r>
    </w:p>
    <w:p>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（三）按“投标人须知”要求编制投标文件的“报价文件”</w:t>
      </w:r>
      <w:r>
        <w:rPr>
          <w:rFonts w:hint="eastAsia" w:ascii="宋体" w:hAnsi="宋体" w:cs="宋体"/>
          <w:color w:val="auto"/>
          <w:sz w:val="22"/>
          <w:szCs w:val="22"/>
          <w:highlight w:val="none"/>
          <w:lang w:eastAsia="zh-CN"/>
        </w:rPr>
        <w:t>；</w:t>
      </w:r>
    </w:p>
    <w:p>
      <w:pPr>
        <w:pStyle w:val="1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pPr>
        <w:spacing w:line="440" w:lineRule="exact"/>
        <w:ind w:left="1019" w:leftChars="171" w:hanging="660" w:hanging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r>
        <w:rPr>
          <w:rFonts w:hint="eastAsia" w:ascii="宋体" w:hAnsi="宋体" w:cs="宋体"/>
          <w:color w:val="auto"/>
          <w:sz w:val="22"/>
          <w:szCs w:val="22"/>
          <w:highlight w:val="none"/>
          <w:lang w:eastAsia="zh-CN"/>
        </w:rPr>
        <w:t>；</w:t>
      </w:r>
    </w:p>
    <w:p>
      <w:pPr>
        <w:spacing w:line="440" w:lineRule="exact"/>
        <w:ind w:left="1019" w:leftChars="171" w:hanging="660" w:hanging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（二）我方已详细研究了招标文件的所有内容包括修改书（如有）和所有已提供的参考资料以及有关附件，我方完全理解并同意放弃在此方面提出含糊意见或误解的一切权利</w:t>
      </w:r>
      <w:r>
        <w:rPr>
          <w:rFonts w:hint="eastAsia" w:ascii="宋体" w:hAnsi="宋体" w:cs="宋体"/>
          <w:color w:val="auto"/>
          <w:sz w:val="22"/>
          <w:szCs w:val="22"/>
          <w:highlight w:val="none"/>
          <w:lang w:eastAsia="zh-CN"/>
        </w:rPr>
        <w:t>；</w:t>
      </w:r>
    </w:p>
    <w:p>
      <w:pPr>
        <w:spacing w:line="440" w:lineRule="exact"/>
        <w:ind w:left="359" w:leftChars="17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（三）我方同意提供按照贵方可能要求的与投标有关的一切数据或资料</w:t>
      </w:r>
      <w:r>
        <w:rPr>
          <w:rFonts w:hint="eastAsia" w:ascii="宋体" w:hAnsi="宋体" w:cs="宋体"/>
          <w:color w:val="auto"/>
          <w:sz w:val="22"/>
          <w:szCs w:val="22"/>
          <w:highlight w:val="none"/>
          <w:lang w:eastAsia="zh-CN"/>
        </w:rPr>
        <w:t>；</w:t>
      </w:r>
    </w:p>
    <w:p>
      <w:pPr>
        <w:spacing w:line="440" w:lineRule="exact"/>
        <w:ind w:left="359" w:leftChars="17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（四）我方理解贵方不一定接受最低报价</w:t>
      </w:r>
      <w:r>
        <w:rPr>
          <w:rFonts w:hint="eastAsia" w:ascii="宋体" w:hAnsi="宋体" w:cs="宋体"/>
          <w:color w:val="auto"/>
          <w:sz w:val="22"/>
          <w:szCs w:val="22"/>
          <w:highlight w:val="none"/>
          <w:lang w:eastAsia="zh-CN"/>
        </w:rPr>
        <w:t>；</w:t>
      </w:r>
    </w:p>
    <w:p>
      <w:pPr>
        <w:spacing w:line="440" w:lineRule="exact"/>
        <w:ind w:left="1019" w:leftChars="171"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（五）我方如果中标，将保证履行招标文件以及招标文件修改书（如有）中的全部责任和义务，按质、按量、按期完成《合同书》中的全部任务。</w:t>
      </w:r>
    </w:p>
    <w:p>
      <w:pPr>
        <w:spacing w:line="440" w:lineRule="exact"/>
        <w:ind w:left="315"/>
        <w:rPr>
          <w:rFonts w:hint="eastAsia" w:ascii="宋体" w:hAnsi="宋体" w:cs="宋体"/>
          <w:color w:val="auto"/>
          <w:sz w:val="22"/>
          <w:szCs w:val="22"/>
          <w:highlight w:val="none"/>
        </w:rPr>
      </w:pPr>
      <w:r>
        <w:rPr>
          <w:rFonts w:hint="eastAsia" w:ascii="宋体" w:hAnsi="宋体" w:cs="宋体"/>
          <w:color w:val="auto"/>
          <w:sz w:val="22"/>
          <w:szCs w:val="22"/>
          <w:highlight w:val="none"/>
        </w:rPr>
        <w:t>（六）所有与本投标有关的函件请发往下列地址：</w:t>
      </w:r>
    </w:p>
    <w:p>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pPr>
        <w:spacing w:line="44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pPr>
        <w:spacing w:line="440" w:lineRule="exact"/>
        <w:ind w:firstLine="770" w:firstLineChars="3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pPr>
        <w:spacing w:line="440" w:lineRule="exact"/>
        <w:ind w:firstLine="435"/>
        <w:rPr>
          <w:rFonts w:hint="eastAsia" w:ascii="宋体" w:hAnsi="宋体" w:cs="宋体"/>
          <w:color w:val="auto"/>
          <w:sz w:val="22"/>
          <w:szCs w:val="22"/>
          <w:highlight w:val="none"/>
        </w:rPr>
      </w:pPr>
    </w:p>
    <w:p>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bookmarkStart w:id="69" w:name="_Toc218392089"/>
      <w:bookmarkStart w:id="70" w:name="_Toc195336280"/>
      <w:bookmarkStart w:id="71" w:name="_Toc230773785"/>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p>
    <w:p>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公章</w:t>
      </w:r>
      <w:r>
        <w:rPr>
          <w:rFonts w:hint="eastAsia" w:ascii="宋体" w:hAnsi="宋体" w:cs="宋体"/>
          <w:color w:val="auto"/>
          <w:sz w:val="22"/>
          <w:szCs w:val="22"/>
          <w:highlight w:val="none"/>
          <w:u w:val="single"/>
        </w:rPr>
        <w:t xml:space="preserve">（电子签名/公章）                   </w:t>
      </w:r>
    </w:p>
    <w:p>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pPr>
        <w:spacing w:line="440" w:lineRule="exact"/>
        <w:ind w:firstLine="435"/>
        <w:rPr>
          <w:rFonts w:ascii="宋体" w:hAnsi="宋体" w:cs="宋体"/>
          <w:color w:val="auto"/>
          <w:sz w:val="22"/>
          <w:szCs w:val="22"/>
          <w:highlight w:val="none"/>
          <w:u w:val="single"/>
        </w:rPr>
      </w:pPr>
    </w:p>
    <w:p>
      <w:pPr>
        <w:spacing w:line="440" w:lineRule="exact"/>
        <w:ind w:firstLine="435"/>
        <w:rPr>
          <w:rFonts w:ascii="宋体" w:hAnsi="宋体" w:cs="宋体"/>
          <w:color w:val="auto"/>
          <w:sz w:val="22"/>
          <w:szCs w:val="22"/>
          <w:highlight w:val="none"/>
          <w:u w:val="single"/>
        </w:rPr>
      </w:pPr>
    </w:p>
    <w:p>
      <w:pPr>
        <w:spacing w:line="440" w:lineRule="exact"/>
        <w:ind w:firstLine="435"/>
        <w:rPr>
          <w:rFonts w:ascii="宋体" w:hAnsi="宋体" w:cs="宋体"/>
          <w:color w:val="auto"/>
          <w:sz w:val="22"/>
          <w:szCs w:val="22"/>
          <w:highlight w:val="none"/>
          <w:u w:val="single"/>
        </w:rPr>
      </w:pPr>
    </w:p>
    <w:p>
      <w:pPr>
        <w:pStyle w:val="3"/>
        <w:spacing w:line="240" w:lineRule="auto"/>
        <w:rPr>
          <w:rFonts w:hint="eastAsia" w:ascii="宋体" w:hAnsi="宋体" w:eastAsia="宋体" w:cs="宋体"/>
          <w:color w:val="auto"/>
          <w:sz w:val="24"/>
          <w:szCs w:val="24"/>
          <w:highlight w:val="none"/>
        </w:rPr>
      </w:pPr>
      <w:bookmarkStart w:id="72" w:name="_Toc15216"/>
      <w:r>
        <w:rPr>
          <w:rFonts w:hint="eastAsia" w:ascii="宋体" w:hAnsi="宋体" w:eastAsia="宋体" w:cs="宋体"/>
          <w:color w:val="auto"/>
          <w:sz w:val="24"/>
          <w:szCs w:val="24"/>
          <w:highlight w:val="none"/>
        </w:rPr>
        <w:t>附件二</w:t>
      </w:r>
      <w:bookmarkEnd w:id="69"/>
      <w:bookmarkEnd w:id="70"/>
      <w:r>
        <w:rPr>
          <w:rFonts w:hint="eastAsia" w:ascii="宋体" w:hAnsi="宋体" w:eastAsia="宋体" w:cs="宋体"/>
          <w:color w:val="auto"/>
          <w:sz w:val="24"/>
          <w:szCs w:val="24"/>
          <w:highlight w:val="none"/>
        </w:rPr>
        <w:t xml:space="preserve"> 投标报价一览表</w:t>
      </w:r>
      <w:bookmarkEnd w:id="71"/>
      <w:bookmarkEnd w:id="72"/>
    </w:p>
    <w:p>
      <w:pPr>
        <w:pStyle w:val="18"/>
        <w:rPr>
          <w:rFonts w:hint="eastAsia"/>
          <w:color w:val="auto"/>
          <w:highlight w:val="none"/>
        </w:rPr>
      </w:pPr>
    </w:p>
    <w:p>
      <w:pPr>
        <w:spacing w:line="400" w:lineRule="exact"/>
        <w:jc w:val="center"/>
        <w:rPr>
          <w:rFonts w:hint="eastAsia" w:ascii="宋体" w:hAnsi="宋体" w:cs="宋体"/>
          <w:b/>
          <w:bCs/>
          <w:color w:val="auto"/>
          <w:sz w:val="28"/>
          <w:szCs w:val="28"/>
          <w:highlight w:val="none"/>
        </w:rPr>
      </w:pPr>
      <w:bookmarkStart w:id="73" w:name="_Toc195336281"/>
      <w:bookmarkStart w:id="74" w:name="_Toc230773786"/>
      <w:bookmarkStart w:id="75" w:name="_Toc218392090"/>
      <w:bookmarkStart w:id="76" w:name="_Toc345161250"/>
      <w:bookmarkStart w:id="77" w:name="_Toc230773789"/>
      <w:r>
        <w:rPr>
          <w:rFonts w:hint="eastAsia" w:ascii="宋体" w:hAnsi="宋体" w:cs="宋体"/>
          <w:b/>
          <w:bCs/>
          <w:color w:val="auto"/>
          <w:sz w:val="28"/>
          <w:szCs w:val="28"/>
          <w:highlight w:val="none"/>
        </w:rPr>
        <w:t>投标报价一览表</w:t>
      </w:r>
    </w:p>
    <w:p>
      <w:pPr>
        <w:spacing w:line="380" w:lineRule="exact"/>
        <w:jc w:val="center"/>
        <w:rPr>
          <w:rFonts w:hint="eastAsia" w:ascii="宋体" w:hAnsi="宋体" w:cs="宋体"/>
          <w:b/>
          <w:bCs/>
          <w:color w:val="auto"/>
          <w:sz w:val="28"/>
          <w:highlight w:val="none"/>
        </w:rPr>
      </w:pPr>
    </w:p>
    <w:p>
      <w:pPr>
        <w:spacing w:line="38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r>
        <w:rPr>
          <w:rFonts w:hint="eastAsia" w:ascii="新宋体" w:hAnsi="新宋体" w:eastAsia="新宋体"/>
          <w:b/>
          <w:bCs/>
          <w:color w:val="auto"/>
          <w:sz w:val="22"/>
          <w:szCs w:val="22"/>
          <w:lang w:eastAsia="zh-CN"/>
        </w:rPr>
        <w:t>浙江省温州市自然灾害应急能力提升工程基层防灾项目（第二批-车辆及装备）</w:t>
      </w:r>
      <w:r>
        <w:rPr>
          <w:rFonts w:hint="eastAsia" w:ascii="宋体" w:hAnsi="宋体" w:cs="宋体"/>
          <w:b/>
          <w:bCs/>
          <w:color w:val="auto"/>
          <w:sz w:val="22"/>
          <w:szCs w:val="22"/>
          <w:highlight w:val="none"/>
        </w:rPr>
        <w:t xml:space="preserve">  </w:t>
      </w:r>
    </w:p>
    <w:p>
      <w:pPr>
        <w:spacing w:line="380" w:lineRule="exac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rPr>
        <w:t>项目编号：</w:t>
      </w:r>
      <w:r>
        <w:rPr>
          <w:rFonts w:hint="eastAsia" w:ascii="宋体" w:hAnsi="宋体" w:cs="宋体"/>
          <w:b/>
          <w:bCs/>
          <w:color w:val="auto"/>
          <w:sz w:val="22"/>
          <w:szCs w:val="22"/>
          <w:highlight w:val="none"/>
          <w:lang w:val="en-US" w:eastAsia="zh-CN"/>
        </w:rPr>
        <w:t xml:space="preserve">                                                     标项号：</w:t>
      </w:r>
    </w:p>
    <w:tbl>
      <w:tblPr>
        <w:tblStyle w:val="44"/>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571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8" w:type="dxa"/>
            <w:vAlign w:val="center"/>
          </w:tcPr>
          <w:p>
            <w:pPr>
              <w:spacing w:before="0" w:beforeAutospacing="0" w:after="0" w:afterAutospacing="0" w:line="380" w:lineRule="exact"/>
              <w:ind w:left="0" w:right="0"/>
              <w:jc w:val="center"/>
              <w:rPr>
                <w:rFonts w:hint="eastAsia" w:ascii="宋体" w:hAnsi="宋体" w:eastAsia="宋体" w:cs="Times New Roman"/>
                <w:b/>
                <w:bCs/>
                <w:color w:val="auto"/>
                <w:sz w:val="22"/>
                <w:szCs w:val="22"/>
                <w:highlight w:val="none"/>
                <w:lang w:eastAsia="zh-CN"/>
              </w:rPr>
            </w:pPr>
            <w:r>
              <w:rPr>
                <w:rFonts w:hint="eastAsia" w:ascii="宋体" w:hAnsi="宋体" w:cs="Times New Roman"/>
                <w:b/>
                <w:bCs/>
                <w:color w:val="auto"/>
                <w:sz w:val="22"/>
                <w:szCs w:val="22"/>
                <w:highlight w:val="none"/>
                <w:lang w:eastAsia="zh-CN"/>
              </w:rPr>
              <w:t>标项</w:t>
            </w:r>
          </w:p>
        </w:tc>
        <w:tc>
          <w:tcPr>
            <w:tcW w:w="19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lang w:eastAsia="zh-CN"/>
              </w:rPr>
              <w:t>标项</w:t>
            </w:r>
            <w:r>
              <w:rPr>
                <w:rFonts w:hint="eastAsia" w:ascii="宋体" w:hAnsi="宋体" w:cs="Times New Roman"/>
                <w:b/>
                <w:bCs/>
                <w:color w:val="auto"/>
                <w:sz w:val="22"/>
                <w:szCs w:val="22"/>
                <w:highlight w:val="none"/>
              </w:rPr>
              <w:t>名称</w:t>
            </w:r>
          </w:p>
        </w:tc>
        <w:tc>
          <w:tcPr>
            <w:tcW w:w="5713"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投标报价</w:t>
            </w:r>
          </w:p>
        </w:tc>
        <w:tc>
          <w:tcPr>
            <w:tcW w:w="10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8" w:type="dxa"/>
            <w:vMerge w:val="restart"/>
            <w:vAlign w:val="center"/>
          </w:tcPr>
          <w:p>
            <w:pPr>
              <w:spacing w:before="0" w:beforeAutospacing="0" w:after="0" w:afterAutospacing="0" w:line="380" w:lineRule="exact"/>
              <w:ind w:left="0" w:right="0"/>
              <w:jc w:val="center"/>
              <w:rPr>
                <w:rFonts w:hint="eastAsia" w:ascii="宋体" w:hAnsi="宋体" w:eastAsia="宋体" w:cs="Times New Roman"/>
                <w:bCs/>
                <w:color w:val="auto"/>
                <w:sz w:val="22"/>
                <w:szCs w:val="22"/>
                <w:highlight w:val="none"/>
                <w:lang w:val="en-US" w:eastAsia="zh-CN"/>
              </w:rPr>
            </w:pPr>
            <w:r>
              <w:rPr>
                <w:rFonts w:hint="eastAsia" w:ascii="宋体" w:hAnsi="宋体" w:cs="Times New Roman"/>
                <w:bCs/>
                <w:color w:val="auto"/>
                <w:sz w:val="22"/>
                <w:szCs w:val="22"/>
                <w:highlight w:val="none"/>
                <w:lang w:val="en-US" w:eastAsia="zh-CN"/>
              </w:rPr>
              <w:t>1</w:t>
            </w:r>
          </w:p>
        </w:tc>
        <w:tc>
          <w:tcPr>
            <w:tcW w:w="1980" w:type="dxa"/>
            <w:vMerge w:val="restart"/>
            <w:vAlign w:val="center"/>
          </w:tcPr>
          <w:p>
            <w:pPr>
              <w:spacing w:before="0" w:beforeAutospacing="0" w:after="0" w:afterAutospacing="0" w:line="380" w:lineRule="exact"/>
              <w:ind w:left="0" w:right="0"/>
              <w:rPr>
                <w:rFonts w:hint="eastAsia" w:ascii="Times New Roman" w:hAnsi="Times New Roman" w:eastAsia="宋体" w:cs="Times New Roman"/>
                <w:color w:val="auto"/>
                <w:sz w:val="20"/>
                <w:szCs w:val="20"/>
                <w:highlight w:val="none"/>
                <w:lang w:eastAsia="zh-CN"/>
              </w:rPr>
            </w:pPr>
          </w:p>
        </w:tc>
        <w:tc>
          <w:tcPr>
            <w:tcW w:w="5713" w:type="dxa"/>
            <w:vAlign w:val="center"/>
          </w:tcPr>
          <w:p>
            <w:pPr>
              <w:spacing w:before="0" w:beforeAutospacing="0" w:after="0" w:afterAutospacing="0" w:line="380" w:lineRule="exact"/>
              <w:ind w:left="0" w:right="0"/>
              <w:rPr>
                <w:rFonts w:hint="eastAsia" w:ascii="宋体" w:hAnsi="宋体" w:cs="Times New Roman"/>
                <w:bCs/>
                <w:color w:val="auto"/>
                <w:sz w:val="22"/>
                <w:szCs w:val="22"/>
                <w:highlight w:val="none"/>
              </w:rPr>
            </w:pPr>
            <w:r>
              <w:rPr>
                <w:rFonts w:hint="eastAsia" w:ascii="宋体" w:hAnsi="宋体" w:cs="Times New Roman"/>
                <w:bCs/>
                <w:color w:val="auto"/>
                <w:sz w:val="22"/>
                <w:szCs w:val="22"/>
                <w:highlight w:val="none"/>
              </w:rPr>
              <w:t>小写：¥</w:t>
            </w:r>
          </w:p>
        </w:tc>
        <w:tc>
          <w:tcPr>
            <w:tcW w:w="1080" w:type="dxa"/>
            <w:vMerge w:val="restart"/>
            <w:vAlign w:val="center"/>
          </w:tcPr>
          <w:p>
            <w:pPr>
              <w:spacing w:before="0" w:beforeAutospacing="0" w:after="0" w:afterAutospacing="0" w:line="380" w:lineRule="exact"/>
              <w:ind w:left="0" w:right="0"/>
              <w:jc w:val="center"/>
              <w:rPr>
                <w:rFonts w:hint="eastAsia" w:ascii="宋体" w:hAnsi="宋体" w:cs="Times New Roman"/>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vMerge w:val="continue"/>
            <w:vAlign w:val="center"/>
          </w:tcPr>
          <w:p>
            <w:pPr>
              <w:spacing w:before="0" w:beforeAutospacing="0" w:after="0" w:afterAutospacing="0" w:line="380" w:lineRule="exact"/>
              <w:ind w:left="0" w:right="0"/>
              <w:jc w:val="center"/>
              <w:rPr>
                <w:rFonts w:hint="eastAsia" w:ascii="宋体" w:hAnsi="宋体" w:cs="宋体"/>
                <w:color w:val="auto"/>
                <w:sz w:val="22"/>
                <w:szCs w:val="22"/>
                <w:highlight w:val="none"/>
              </w:rPr>
            </w:pPr>
          </w:p>
        </w:tc>
        <w:tc>
          <w:tcPr>
            <w:tcW w:w="1980" w:type="dxa"/>
            <w:vMerge w:val="continue"/>
            <w:vAlign w:val="center"/>
          </w:tcPr>
          <w:p>
            <w:pPr>
              <w:spacing w:before="0" w:beforeAutospacing="0" w:after="0" w:afterAutospacing="0" w:line="380" w:lineRule="exact"/>
              <w:ind w:left="0" w:right="0"/>
              <w:jc w:val="center"/>
              <w:rPr>
                <w:rFonts w:hint="eastAsia" w:ascii="宋体" w:hAnsi="宋体" w:cs="宋体"/>
                <w:color w:val="auto"/>
                <w:sz w:val="22"/>
                <w:szCs w:val="22"/>
                <w:highlight w:val="none"/>
              </w:rPr>
            </w:pPr>
          </w:p>
        </w:tc>
        <w:tc>
          <w:tcPr>
            <w:tcW w:w="5713" w:type="dxa"/>
            <w:vAlign w:val="center"/>
          </w:tcPr>
          <w:p>
            <w:pPr>
              <w:spacing w:before="0" w:beforeAutospacing="0" w:after="0" w:afterAutospacing="0" w:line="380" w:lineRule="exact"/>
              <w:ind w:left="0" w:right="0"/>
              <w:rPr>
                <w:rFonts w:hint="eastAsia" w:ascii="宋体" w:hAnsi="宋体" w:cs="Times New Roman"/>
                <w:bCs/>
                <w:color w:val="auto"/>
                <w:sz w:val="22"/>
                <w:szCs w:val="22"/>
                <w:highlight w:val="none"/>
              </w:rPr>
            </w:pPr>
            <w:r>
              <w:rPr>
                <w:rFonts w:hint="eastAsia" w:ascii="宋体" w:hAnsi="宋体" w:cs="Times New Roman"/>
                <w:bCs/>
                <w:color w:val="auto"/>
                <w:sz w:val="22"/>
                <w:szCs w:val="22"/>
                <w:highlight w:val="none"/>
              </w:rPr>
              <w:t>大写：人民币</w:t>
            </w:r>
          </w:p>
        </w:tc>
        <w:tc>
          <w:tcPr>
            <w:tcW w:w="1080" w:type="dxa"/>
            <w:vMerge w:val="continue"/>
            <w:vAlign w:val="center"/>
          </w:tcPr>
          <w:p>
            <w:pPr>
              <w:spacing w:before="0" w:beforeAutospacing="0" w:after="0" w:afterAutospacing="0" w:line="380" w:lineRule="exact"/>
              <w:ind w:left="0" w:right="0"/>
              <w:jc w:val="center"/>
              <w:rPr>
                <w:rFonts w:hint="eastAsia" w:ascii="宋体" w:hAnsi="宋体" w:cs="Times New Roman"/>
                <w:bCs/>
                <w:color w:val="auto"/>
                <w:sz w:val="22"/>
                <w:szCs w:val="22"/>
                <w:highlight w:val="none"/>
              </w:rPr>
            </w:pPr>
          </w:p>
        </w:tc>
      </w:tr>
    </w:tbl>
    <w:p>
      <w:pPr>
        <w:spacing w:line="440" w:lineRule="exact"/>
        <w:ind w:left="528" w:leftChars="38" w:hanging="448" w:hangingChars="20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w:t>
      </w:r>
    </w:p>
    <w:p>
      <w:pPr>
        <w:spacing w:line="440" w:lineRule="exact"/>
        <w:ind w:left="521" w:leftChars="248" w:firstLine="216" w:firstLineChars="98"/>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rPr>
        <w:t>1.此栏内投标报价应与附件三“投标分项报价表”中总计</w:t>
      </w:r>
      <w:r>
        <w:rPr>
          <w:rFonts w:hint="eastAsia" w:ascii="宋体" w:hAnsi="宋体"/>
          <w:b/>
          <w:bCs/>
          <w:color w:val="auto"/>
          <w:sz w:val="22"/>
          <w:szCs w:val="22"/>
          <w:highlight w:val="none"/>
          <w:lang w:eastAsia="zh-CN"/>
        </w:rPr>
        <w:t>价的数值</w:t>
      </w:r>
      <w:r>
        <w:rPr>
          <w:rFonts w:hint="eastAsia" w:ascii="宋体" w:hAnsi="宋体"/>
          <w:b/>
          <w:bCs/>
          <w:color w:val="auto"/>
          <w:sz w:val="22"/>
          <w:szCs w:val="22"/>
          <w:highlight w:val="none"/>
        </w:rPr>
        <w:t>一致</w:t>
      </w:r>
      <w:r>
        <w:rPr>
          <w:rFonts w:hint="eastAsia" w:ascii="宋体" w:hAnsi="宋体"/>
          <w:b/>
          <w:bCs/>
          <w:color w:val="auto"/>
          <w:sz w:val="22"/>
          <w:szCs w:val="22"/>
          <w:highlight w:val="none"/>
          <w:lang w:eastAsia="zh-CN"/>
        </w:rPr>
        <w:t>；</w:t>
      </w:r>
    </w:p>
    <w:p>
      <w:pPr>
        <w:spacing w:line="440" w:lineRule="exact"/>
        <w:ind w:left="535" w:leftChars="-171" w:hanging="894" w:hangingChars="405"/>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          2.</w:t>
      </w:r>
      <w:r>
        <w:rPr>
          <w:rFonts w:hint="eastAsia" w:ascii="宋体" w:hAnsi="宋体" w:cs="宋体"/>
          <w:b/>
          <w:bCs/>
          <w:color w:val="auto"/>
          <w:sz w:val="22"/>
          <w:szCs w:val="22"/>
        </w:rPr>
        <w:t>报价均为含税价</w:t>
      </w:r>
      <w:r>
        <w:rPr>
          <w:rFonts w:hint="eastAsia" w:ascii="宋体" w:hAnsi="宋体" w:cs="宋体"/>
          <w:b/>
          <w:bCs/>
          <w:color w:val="auto"/>
          <w:sz w:val="22"/>
          <w:szCs w:val="22"/>
          <w:lang w:eastAsia="zh-CN"/>
        </w:rPr>
        <w:t>；</w:t>
      </w:r>
      <w:r>
        <w:rPr>
          <w:rFonts w:hint="eastAsia" w:ascii="宋体" w:hAnsi="宋体"/>
          <w:b/>
          <w:bCs/>
          <w:color w:val="auto"/>
          <w:sz w:val="22"/>
          <w:szCs w:val="22"/>
          <w:highlight w:val="none"/>
        </w:rPr>
        <w:t>总报价应包括采购代理服务费。</w:t>
      </w:r>
    </w:p>
    <w:p>
      <w:pPr>
        <w:spacing w:line="44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3.未按规定提供投标报价一览表的按无效标处理。</w:t>
      </w:r>
    </w:p>
    <w:p>
      <w:pPr>
        <w:spacing w:line="440" w:lineRule="exact"/>
        <w:ind w:firstLine="9460" w:firstLineChars="4300"/>
        <w:rPr>
          <w:rFonts w:hint="eastAsia" w:ascii="宋体" w:hAnsi="宋体" w:cs="宋体"/>
          <w:color w:val="auto"/>
          <w:sz w:val="22"/>
          <w:szCs w:val="22"/>
          <w:highlight w:val="none"/>
        </w:rPr>
      </w:pPr>
    </w:p>
    <w:p>
      <w:pPr>
        <w:spacing w:line="440" w:lineRule="exact"/>
        <w:ind w:firstLine="9460" w:firstLineChars="4300"/>
        <w:rPr>
          <w:rFonts w:hint="eastAsia" w:ascii="宋体" w:hAnsi="宋体" w:cs="宋体"/>
          <w:color w:val="auto"/>
          <w:sz w:val="22"/>
          <w:szCs w:val="22"/>
          <w:highlight w:val="none"/>
        </w:rPr>
      </w:pP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pPr>
        <w:spacing w:line="440" w:lineRule="exact"/>
        <w:rPr>
          <w:rFonts w:ascii="宋体" w:hAnsi="宋体" w:cs="宋体"/>
          <w:color w:val="auto"/>
          <w:sz w:val="22"/>
          <w:szCs w:val="22"/>
          <w:highlight w:val="none"/>
        </w:rPr>
      </w:pPr>
    </w:p>
    <w:p>
      <w:pPr>
        <w:pStyle w:val="3"/>
        <w:spacing w:line="240" w:lineRule="auto"/>
        <w:rPr>
          <w:rFonts w:hint="eastAsia" w:ascii="宋体" w:hAnsi="宋体" w:eastAsia="宋体"/>
          <w:color w:val="auto"/>
          <w:sz w:val="24"/>
          <w:szCs w:val="24"/>
          <w:highlight w:val="none"/>
        </w:rPr>
      </w:pPr>
      <w:bookmarkStart w:id="78" w:name="_Toc340922814"/>
      <w:r>
        <w:rPr>
          <w:rFonts w:ascii="宋体" w:hAnsi="宋体" w:eastAsia="宋体"/>
          <w:color w:val="auto"/>
          <w:sz w:val="24"/>
          <w:szCs w:val="24"/>
          <w:highlight w:val="none"/>
        </w:rPr>
        <w:br w:type="page"/>
      </w:r>
      <w:bookmarkStart w:id="79" w:name="_Toc11070"/>
      <w:r>
        <w:rPr>
          <w:rFonts w:hint="eastAsia" w:ascii="宋体" w:hAnsi="宋体" w:eastAsia="宋体"/>
          <w:color w:val="auto"/>
          <w:sz w:val="24"/>
          <w:szCs w:val="24"/>
          <w:highlight w:val="none"/>
        </w:rPr>
        <w:t>附件三</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 xml:space="preserve"> 投标分项报价表</w:t>
      </w:r>
      <w:bookmarkEnd w:id="78"/>
      <w:bookmarkEnd w:id="79"/>
    </w:p>
    <w:p>
      <w:pPr>
        <w:spacing w:line="440" w:lineRule="exact"/>
        <w:jc w:val="center"/>
        <w:rPr>
          <w:rFonts w:hint="default" w:ascii="宋体" w:hAnsi="宋体" w:eastAsia="宋体"/>
          <w:bCs/>
          <w:color w:val="auto"/>
          <w:sz w:val="28"/>
          <w:szCs w:val="28"/>
          <w:highlight w:val="none"/>
          <w:lang w:val="en-US" w:eastAsia="zh-CN"/>
        </w:rPr>
      </w:pPr>
      <w:r>
        <w:rPr>
          <w:rFonts w:hint="eastAsia" w:ascii="宋体" w:hAnsi="宋体"/>
          <w:b/>
          <w:bCs/>
          <w:color w:val="auto"/>
          <w:sz w:val="28"/>
          <w:szCs w:val="28"/>
          <w:highlight w:val="none"/>
        </w:rPr>
        <w:t>投标分项报价表</w:t>
      </w:r>
    </w:p>
    <w:p>
      <w:pPr>
        <w:spacing w:line="380" w:lineRule="exact"/>
        <w:rPr>
          <w:rFonts w:hint="eastAsia" w:ascii="新宋体" w:hAnsi="新宋体" w:eastAsia="新宋体"/>
          <w:b/>
          <w:bCs/>
          <w:color w:val="auto"/>
          <w:sz w:val="22"/>
          <w:szCs w:val="22"/>
          <w:lang w:eastAsia="zh-CN"/>
        </w:rPr>
      </w:pPr>
      <w:r>
        <w:rPr>
          <w:rFonts w:hint="eastAsia" w:ascii="新宋体" w:hAnsi="新宋体" w:eastAsia="新宋体"/>
          <w:b/>
          <w:bCs/>
          <w:color w:val="auto"/>
          <w:sz w:val="22"/>
          <w:szCs w:val="22"/>
        </w:rPr>
        <w:t>项目名称：</w:t>
      </w:r>
      <w:r>
        <w:rPr>
          <w:rFonts w:hint="eastAsia" w:ascii="新宋体" w:hAnsi="新宋体" w:eastAsia="新宋体"/>
          <w:b/>
          <w:bCs/>
          <w:color w:val="auto"/>
          <w:sz w:val="22"/>
          <w:szCs w:val="22"/>
          <w:lang w:eastAsia="zh-CN"/>
        </w:rPr>
        <w:t>浙江省温州市自然灾害应急能力提升工程基层防灾项目（第二批-车辆及装备）</w:t>
      </w:r>
    </w:p>
    <w:p>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项目编号：</w:t>
      </w:r>
      <w:r>
        <w:rPr>
          <w:rFonts w:hint="eastAsia" w:ascii="宋体" w:hAnsi="宋体" w:cs="宋体"/>
          <w:b/>
          <w:bCs/>
          <w:color w:val="auto"/>
          <w:sz w:val="22"/>
          <w:szCs w:val="22"/>
          <w:highlight w:val="none"/>
          <w:lang w:val="en-US" w:eastAsia="zh-CN"/>
        </w:rPr>
        <w:t xml:space="preserve">                                                   标项号：标项1</w:t>
      </w:r>
    </w:p>
    <w:tbl>
      <w:tblPr>
        <w:tblStyle w:val="44"/>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95"/>
        <w:gridCol w:w="1150"/>
        <w:gridCol w:w="900"/>
        <w:gridCol w:w="960"/>
        <w:gridCol w:w="980"/>
        <w:gridCol w:w="1050"/>
        <w:gridCol w:w="81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567" w:type="dxa"/>
            <w:tcBorders>
              <w:top w:val="single" w:color="auto" w:sz="12" w:space="0"/>
              <w:left w:val="single" w:color="auto" w:sz="12" w:space="0"/>
              <w:bottom w:val="single" w:color="auto" w:sz="12" w:space="0"/>
            </w:tcBorders>
            <w:vAlign w:val="center"/>
          </w:tcPr>
          <w:p>
            <w:pPr>
              <w:spacing w:before="0" w:beforeAutospacing="0" w:after="0" w:afterAutospacing="0"/>
              <w:ind w:left="0" w:right="-11"/>
              <w:jc w:val="center"/>
              <w:rPr>
                <w:rFonts w:hint="eastAsia" w:ascii="Arial" w:hAnsi="Arial" w:eastAsia="宋体" w:cs="Arial"/>
                <w:b/>
                <w:bCs/>
                <w:color w:val="auto"/>
                <w:sz w:val="18"/>
                <w:szCs w:val="18"/>
                <w:lang w:val="en-US" w:eastAsia="zh-CN"/>
              </w:rPr>
            </w:pPr>
            <w:r>
              <w:rPr>
                <w:rFonts w:hint="eastAsia" w:ascii="Arial" w:hAnsi="Arial" w:cs="Arial"/>
                <w:b/>
                <w:bCs/>
                <w:color w:val="auto"/>
                <w:sz w:val="18"/>
                <w:szCs w:val="18"/>
                <w:lang w:val="en-US" w:eastAsia="zh-CN"/>
              </w:rPr>
              <w:t>编号</w:t>
            </w:r>
          </w:p>
        </w:tc>
        <w:tc>
          <w:tcPr>
            <w:tcW w:w="2095" w:type="dxa"/>
            <w:tcBorders>
              <w:top w:val="single" w:color="auto" w:sz="12" w:space="0"/>
              <w:left w:val="single" w:color="auto" w:sz="4" w:space="0"/>
              <w:bottom w:val="single" w:color="auto" w:sz="12" w:space="0"/>
            </w:tcBorders>
            <w:vAlign w:val="center"/>
          </w:tcPr>
          <w:p>
            <w:pPr>
              <w:spacing w:before="0" w:beforeAutospacing="0" w:after="0" w:afterAutospacing="0"/>
              <w:ind w:left="0" w:right="-11"/>
              <w:jc w:val="center"/>
              <w:rPr>
                <w:rFonts w:hint="eastAsia" w:ascii="Arial" w:hAnsi="Arial" w:eastAsia="宋体" w:cs="Arial"/>
                <w:b/>
                <w:bCs/>
                <w:color w:val="auto"/>
                <w:sz w:val="18"/>
                <w:szCs w:val="18"/>
                <w:lang w:eastAsia="zh-CN"/>
              </w:rPr>
            </w:pPr>
            <w:r>
              <w:rPr>
                <w:rFonts w:hint="eastAsia" w:ascii="Arial" w:hAnsi="Arial" w:cs="Arial"/>
                <w:b/>
                <w:bCs/>
                <w:color w:val="auto"/>
                <w:sz w:val="18"/>
                <w:szCs w:val="18"/>
                <w:lang w:eastAsia="zh-CN"/>
              </w:rPr>
              <w:t>车辆名称</w:t>
            </w:r>
            <w:r>
              <w:rPr>
                <w:rFonts w:hint="eastAsia" w:ascii="新宋体" w:hAnsi="新宋体" w:eastAsia="新宋体" w:cs="Times New Roman"/>
                <w:b/>
                <w:color w:val="auto"/>
                <w:sz w:val="18"/>
                <w:szCs w:val="18"/>
                <w:u w:val="none"/>
              </w:rPr>
              <w:t>（</w:t>
            </w:r>
            <w:r>
              <w:rPr>
                <w:rFonts w:hint="eastAsia" w:ascii="新宋体" w:hAnsi="新宋体" w:eastAsia="新宋体" w:cs="Times New Roman"/>
                <w:b/>
                <w:bCs/>
                <w:color w:val="auto"/>
                <w:sz w:val="18"/>
                <w:szCs w:val="18"/>
                <w:u w:val="none"/>
              </w:rPr>
              <w:t>按采购清单逐项列出</w:t>
            </w:r>
            <w:r>
              <w:rPr>
                <w:rFonts w:hint="eastAsia" w:ascii="新宋体" w:hAnsi="新宋体" w:eastAsia="新宋体" w:cs="Times New Roman"/>
                <w:b/>
                <w:color w:val="auto"/>
                <w:sz w:val="18"/>
                <w:szCs w:val="18"/>
                <w:u w:val="none"/>
              </w:rPr>
              <w:t>）</w:t>
            </w:r>
          </w:p>
        </w:tc>
        <w:tc>
          <w:tcPr>
            <w:tcW w:w="1150" w:type="dxa"/>
            <w:tcBorders>
              <w:top w:val="single" w:color="auto" w:sz="12" w:space="0"/>
              <w:bottom w:val="single" w:color="auto" w:sz="12" w:space="0"/>
            </w:tcBorders>
            <w:vAlign w:val="center"/>
          </w:tcPr>
          <w:p>
            <w:pPr>
              <w:spacing w:before="0" w:beforeAutospacing="0" w:after="0" w:afterAutospacing="0"/>
              <w:ind w:left="0" w:right="-11"/>
              <w:jc w:val="center"/>
              <w:rPr>
                <w:rFonts w:hint="eastAsia" w:ascii="Arial" w:hAnsi="Arial" w:eastAsia="宋体" w:cs="Arial"/>
                <w:b/>
                <w:bCs/>
                <w:color w:val="auto"/>
                <w:sz w:val="18"/>
                <w:szCs w:val="18"/>
                <w:lang w:eastAsia="zh-CN"/>
              </w:rPr>
            </w:pPr>
            <w:r>
              <w:rPr>
                <w:rFonts w:hint="eastAsia" w:ascii="新宋体" w:hAnsi="新宋体" w:eastAsia="新宋体" w:cs="Times New Roman"/>
                <w:b/>
                <w:bCs/>
                <w:color w:val="auto"/>
                <w:sz w:val="18"/>
                <w:szCs w:val="18"/>
                <w:lang w:eastAsia="zh-CN"/>
              </w:rPr>
              <w:t>区域</w:t>
            </w:r>
          </w:p>
        </w:tc>
        <w:tc>
          <w:tcPr>
            <w:tcW w:w="900" w:type="dxa"/>
            <w:tcBorders>
              <w:top w:val="single" w:color="auto" w:sz="12" w:space="0"/>
              <w:bottom w:val="single" w:color="auto" w:sz="12" w:space="0"/>
            </w:tcBorders>
            <w:vAlign w:val="center"/>
          </w:tcPr>
          <w:p>
            <w:pPr>
              <w:spacing w:before="0" w:beforeAutospacing="0" w:after="0" w:afterAutospacing="0"/>
              <w:ind w:left="0" w:right="-11"/>
              <w:jc w:val="center"/>
              <w:rPr>
                <w:rFonts w:hint="eastAsia" w:ascii="Arial" w:hAnsi="Arial" w:cs="Arial"/>
                <w:b/>
                <w:bCs/>
                <w:color w:val="auto"/>
                <w:sz w:val="18"/>
                <w:szCs w:val="18"/>
              </w:rPr>
            </w:pPr>
            <w:r>
              <w:rPr>
                <w:rFonts w:hint="eastAsia" w:ascii="新宋体" w:hAnsi="新宋体" w:eastAsia="新宋体" w:cs="Times New Roman"/>
                <w:b/>
                <w:bCs/>
                <w:color w:val="auto"/>
                <w:sz w:val="18"/>
                <w:szCs w:val="18"/>
                <w:lang w:eastAsia="zh-CN"/>
              </w:rPr>
              <w:t>底盘</w:t>
            </w:r>
            <w:r>
              <w:rPr>
                <w:rFonts w:hint="eastAsia" w:ascii="Arial" w:hAnsi="Arial" w:cs="Arial"/>
                <w:b/>
                <w:bCs/>
                <w:color w:val="auto"/>
                <w:sz w:val="18"/>
                <w:szCs w:val="18"/>
              </w:rPr>
              <w:t>型号</w:t>
            </w:r>
          </w:p>
        </w:tc>
        <w:tc>
          <w:tcPr>
            <w:tcW w:w="960" w:type="dxa"/>
            <w:tcBorders>
              <w:top w:val="single" w:color="auto" w:sz="12" w:space="0"/>
              <w:bottom w:val="single" w:color="auto" w:sz="12" w:space="0"/>
            </w:tcBorders>
            <w:vAlign w:val="center"/>
          </w:tcPr>
          <w:p>
            <w:pPr>
              <w:spacing w:before="0" w:beforeAutospacing="0" w:after="0" w:afterAutospacing="0" w:line="380" w:lineRule="exact"/>
              <w:ind w:left="0" w:right="0"/>
              <w:jc w:val="center"/>
              <w:rPr>
                <w:rFonts w:hint="eastAsia" w:ascii="新宋体" w:hAnsi="新宋体" w:eastAsia="新宋体" w:cs="Times New Roman"/>
                <w:b/>
                <w:bCs/>
                <w:color w:val="auto"/>
                <w:sz w:val="18"/>
                <w:szCs w:val="18"/>
                <w:lang w:eastAsia="zh-CN"/>
              </w:rPr>
            </w:pPr>
            <w:r>
              <w:rPr>
                <w:rFonts w:hint="eastAsia" w:ascii="Arial" w:hAnsi="Arial" w:cs="Arial"/>
                <w:b/>
                <w:bCs/>
                <w:color w:val="auto"/>
                <w:sz w:val="18"/>
                <w:szCs w:val="18"/>
                <w:lang w:eastAsia="zh-CN"/>
              </w:rPr>
              <w:t>整车</w:t>
            </w:r>
            <w:r>
              <w:rPr>
                <w:rFonts w:hint="eastAsia" w:ascii="Arial" w:hAnsi="Arial" w:cs="Arial"/>
                <w:b/>
                <w:bCs/>
                <w:color w:val="auto"/>
                <w:sz w:val="18"/>
                <w:szCs w:val="18"/>
              </w:rPr>
              <w:t>型号</w:t>
            </w:r>
          </w:p>
        </w:tc>
        <w:tc>
          <w:tcPr>
            <w:tcW w:w="980" w:type="dxa"/>
            <w:tcBorders>
              <w:top w:val="single" w:color="auto" w:sz="12" w:space="0"/>
              <w:bottom w:val="single" w:color="auto" w:sz="12" w:space="0"/>
            </w:tcBorders>
            <w:vAlign w:val="center"/>
          </w:tcPr>
          <w:p>
            <w:pPr>
              <w:spacing w:before="0" w:beforeAutospacing="0" w:after="0" w:afterAutospacing="0" w:line="380" w:lineRule="exact"/>
              <w:ind w:left="0" w:right="0"/>
              <w:jc w:val="center"/>
              <w:rPr>
                <w:rFonts w:hint="eastAsia" w:ascii="新宋体" w:hAnsi="新宋体" w:eastAsia="新宋体" w:cs="Times New Roman"/>
                <w:b/>
                <w:bCs/>
                <w:color w:val="auto"/>
                <w:sz w:val="18"/>
                <w:szCs w:val="18"/>
                <w:lang w:eastAsia="zh-CN"/>
              </w:rPr>
            </w:pPr>
            <w:r>
              <w:rPr>
                <w:rFonts w:hint="eastAsia" w:ascii="新宋体" w:hAnsi="新宋体" w:eastAsia="新宋体" w:cs="Times New Roman"/>
                <w:b/>
                <w:bCs/>
                <w:color w:val="auto"/>
                <w:sz w:val="18"/>
                <w:szCs w:val="18"/>
                <w:lang w:eastAsia="zh-CN"/>
              </w:rPr>
              <w:t>生产厂家</w:t>
            </w:r>
          </w:p>
        </w:tc>
        <w:tc>
          <w:tcPr>
            <w:tcW w:w="1050" w:type="dxa"/>
            <w:tcBorders>
              <w:top w:val="single" w:color="auto" w:sz="12" w:space="0"/>
              <w:bottom w:val="single" w:color="auto" w:sz="12" w:space="0"/>
            </w:tcBorders>
            <w:vAlign w:val="center"/>
          </w:tcPr>
          <w:p>
            <w:pPr>
              <w:spacing w:before="0" w:beforeAutospacing="0" w:after="0" w:afterAutospacing="0" w:line="380" w:lineRule="exact"/>
              <w:ind w:left="0" w:leftChars="0" w:right="0"/>
              <w:jc w:val="center"/>
              <w:rPr>
                <w:rFonts w:hint="eastAsia" w:ascii="新宋体" w:hAnsi="新宋体" w:eastAsia="新宋体" w:cs="Times New Roman"/>
                <w:b/>
                <w:bCs/>
                <w:color w:val="auto"/>
                <w:sz w:val="18"/>
                <w:szCs w:val="18"/>
                <w:lang w:val="en-US" w:eastAsia="zh-CN" w:bidi="ar-SA"/>
              </w:rPr>
            </w:pPr>
            <w:r>
              <w:rPr>
                <w:rFonts w:hint="eastAsia" w:ascii="新宋体" w:hAnsi="新宋体" w:eastAsia="新宋体" w:cs="Times New Roman"/>
                <w:b/>
                <w:bCs/>
                <w:color w:val="auto"/>
                <w:sz w:val="18"/>
                <w:szCs w:val="18"/>
              </w:rPr>
              <w:t>数量</w:t>
            </w:r>
            <w:r>
              <w:rPr>
                <w:rFonts w:hint="eastAsia" w:ascii="新宋体" w:hAnsi="新宋体" w:eastAsia="新宋体" w:cs="Times New Roman"/>
                <w:b/>
                <w:bCs/>
                <w:color w:val="auto"/>
                <w:sz w:val="18"/>
                <w:szCs w:val="18"/>
                <w:lang w:eastAsia="zh-CN"/>
              </w:rPr>
              <w:t>（辆）</w:t>
            </w:r>
          </w:p>
        </w:tc>
        <w:tc>
          <w:tcPr>
            <w:tcW w:w="810" w:type="dxa"/>
            <w:tcBorders>
              <w:top w:val="single" w:color="auto" w:sz="12" w:space="0"/>
              <w:bottom w:val="single" w:color="auto" w:sz="12" w:space="0"/>
            </w:tcBorders>
            <w:vAlign w:val="center"/>
          </w:tcPr>
          <w:p>
            <w:pPr>
              <w:spacing w:before="0" w:beforeAutospacing="0" w:after="0" w:afterAutospacing="0" w:line="380" w:lineRule="exact"/>
              <w:ind w:left="0" w:right="0"/>
              <w:jc w:val="center"/>
              <w:rPr>
                <w:rFonts w:hint="eastAsia" w:ascii="新宋体" w:hAnsi="新宋体" w:eastAsia="新宋体" w:cs="Times New Roman"/>
                <w:b/>
                <w:bCs/>
                <w:color w:val="auto"/>
                <w:sz w:val="18"/>
                <w:szCs w:val="18"/>
              </w:rPr>
            </w:pPr>
            <w:r>
              <w:rPr>
                <w:rFonts w:hint="eastAsia" w:ascii="新宋体" w:hAnsi="新宋体" w:eastAsia="新宋体" w:cs="Times New Roman"/>
                <w:b/>
                <w:bCs/>
                <w:color w:val="auto"/>
                <w:sz w:val="18"/>
                <w:szCs w:val="18"/>
              </w:rPr>
              <w:t>单价</w:t>
            </w:r>
          </w:p>
        </w:tc>
        <w:tc>
          <w:tcPr>
            <w:tcW w:w="1230" w:type="dxa"/>
            <w:tcBorders>
              <w:top w:val="single" w:color="auto" w:sz="12" w:space="0"/>
              <w:bottom w:val="single" w:color="auto" w:sz="12" w:space="0"/>
              <w:right w:val="single" w:color="auto" w:sz="12" w:space="0"/>
            </w:tcBorders>
            <w:vAlign w:val="center"/>
          </w:tcPr>
          <w:p>
            <w:pPr>
              <w:spacing w:before="0" w:beforeAutospacing="0" w:after="0" w:afterAutospacing="0" w:line="380" w:lineRule="exact"/>
              <w:ind w:left="0" w:right="0"/>
              <w:jc w:val="center"/>
              <w:rPr>
                <w:rFonts w:hint="default" w:ascii="新宋体" w:hAnsi="新宋体" w:eastAsia="新宋体" w:cs="Times New Roman"/>
                <w:b/>
                <w:bCs/>
                <w:color w:val="auto"/>
                <w:sz w:val="18"/>
                <w:szCs w:val="18"/>
              </w:rPr>
            </w:pPr>
            <w:r>
              <w:rPr>
                <w:rFonts w:hint="eastAsia" w:ascii="新宋体" w:hAnsi="新宋体" w:eastAsia="新宋体" w:cs="Times New Roman"/>
                <w:b/>
                <w:bCs/>
                <w:color w:val="auto"/>
                <w:sz w:val="18"/>
                <w:szCs w:val="18"/>
              </w:rPr>
              <w:t>合价（万元）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7" w:type="dxa"/>
            <w:tcBorders>
              <w:left w:val="single" w:color="auto" w:sz="12"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2095" w:type="dxa"/>
            <w:tcBorders>
              <w:left w:val="single" w:color="auto"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1150" w:type="dxa"/>
            <w:vAlign w:val="center"/>
          </w:tcPr>
          <w:p>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567" w:type="dxa"/>
            <w:tcBorders>
              <w:left w:val="single" w:color="auto" w:sz="12" w:space="0"/>
            </w:tcBorders>
            <w:vAlign w:val="center"/>
          </w:tcPr>
          <w:p>
            <w:pPr>
              <w:widowControl/>
              <w:spacing w:before="0" w:beforeAutospacing="0" w:after="0" w:afterAutospacing="0"/>
              <w:ind w:left="0" w:leftChars="0" w:right="0"/>
              <w:jc w:val="center"/>
              <w:textAlignment w:val="center"/>
              <w:rPr>
                <w:rFonts w:hint="eastAsia" w:ascii="宋体" w:hAnsi="宋体" w:eastAsia="宋体" w:cs="宋体"/>
                <w:color w:val="auto"/>
                <w:sz w:val="22"/>
                <w:szCs w:val="22"/>
                <w:lang w:val="en-US" w:eastAsia="zh-CN" w:bidi="ar-SA"/>
              </w:rPr>
            </w:pPr>
          </w:p>
        </w:tc>
        <w:tc>
          <w:tcPr>
            <w:tcW w:w="2095" w:type="dxa"/>
            <w:tcBorders>
              <w:left w:val="single" w:color="auto" w:sz="4" w:space="0"/>
            </w:tcBorders>
            <w:vAlign w:val="center"/>
          </w:tcPr>
          <w:p>
            <w:pPr>
              <w:widowControl/>
              <w:spacing w:before="0" w:beforeAutospacing="0" w:after="0" w:afterAutospacing="0"/>
              <w:ind w:left="0" w:leftChars="0" w:right="0"/>
              <w:jc w:val="center"/>
              <w:textAlignment w:val="center"/>
              <w:rPr>
                <w:rFonts w:hint="eastAsia" w:ascii="宋体" w:hAnsi="宋体" w:eastAsia="宋体" w:cs="宋体"/>
                <w:color w:val="auto"/>
                <w:sz w:val="22"/>
                <w:szCs w:val="22"/>
                <w:lang w:val="en-US" w:eastAsia="zh-CN" w:bidi="ar-SA"/>
              </w:rPr>
            </w:pPr>
          </w:p>
        </w:tc>
        <w:tc>
          <w:tcPr>
            <w:tcW w:w="115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00" w:type="dxa"/>
            <w:vAlign w:val="center"/>
          </w:tcPr>
          <w:p>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60" w:type="dxa"/>
            <w:vAlign w:val="center"/>
          </w:tcPr>
          <w:p>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567" w:type="dxa"/>
            <w:tcBorders>
              <w:left w:val="single" w:color="auto" w:sz="12" w:space="0"/>
            </w:tcBorders>
            <w:vAlign w:val="center"/>
          </w:tcPr>
          <w:p>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60" w:type="dxa"/>
            <w:vAlign w:val="center"/>
          </w:tcPr>
          <w:p>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pPr>
              <w:spacing w:before="0" w:beforeAutospacing="0" w:after="0" w:afterAutospacing="0"/>
              <w:ind w:left="0" w:leftChars="0" w:right="0"/>
              <w:jc w:val="center"/>
              <w:rPr>
                <w:rFonts w:hint="default" w:ascii="宋体" w:hAnsi="宋体" w:eastAsia="宋体" w:cs="宋体"/>
                <w:color w:val="auto"/>
                <w:sz w:val="22"/>
                <w:szCs w:val="22"/>
                <w:lang w:val="en-US" w:eastAsia="zh-CN" w:bidi="ar-SA"/>
              </w:rPr>
            </w:pPr>
          </w:p>
        </w:tc>
        <w:tc>
          <w:tcPr>
            <w:tcW w:w="810" w:type="dxa"/>
            <w:vAlign w:val="center"/>
          </w:tcPr>
          <w:p>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67" w:type="dxa"/>
            <w:tcBorders>
              <w:left w:val="single" w:color="auto" w:sz="12"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2095" w:type="dxa"/>
            <w:tcBorders>
              <w:left w:val="single" w:color="auto"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115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rPr>
            </w:pPr>
          </w:p>
        </w:tc>
        <w:tc>
          <w:tcPr>
            <w:tcW w:w="900" w:type="dxa"/>
            <w:vAlign w:val="center"/>
          </w:tcPr>
          <w:p>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rPr>
            </w:pPr>
          </w:p>
        </w:tc>
        <w:tc>
          <w:tcPr>
            <w:tcW w:w="960" w:type="dxa"/>
            <w:vAlign w:val="center"/>
          </w:tcPr>
          <w:p>
            <w:pPr>
              <w:spacing w:before="0" w:beforeAutospacing="0" w:after="0" w:afterAutospacing="0"/>
              <w:ind w:left="0" w:right="0"/>
              <w:jc w:val="center"/>
              <w:rPr>
                <w:rFonts w:hint="eastAsia" w:ascii="宋体" w:hAnsi="宋体" w:eastAsia="宋体" w:cs="宋体"/>
                <w:color w:val="auto"/>
                <w:sz w:val="22"/>
                <w:szCs w:val="22"/>
                <w:lang w:val="en-US" w:eastAsia="zh-CN" w:bidi="ar-SA"/>
              </w:rPr>
            </w:pPr>
          </w:p>
        </w:tc>
        <w:tc>
          <w:tcPr>
            <w:tcW w:w="980" w:type="dxa"/>
            <w:vAlign w:val="center"/>
          </w:tcPr>
          <w:p>
            <w:pPr>
              <w:spacing w:before="0" w:beforeAutospacing="0" w:after="0" w:afterAutospacing="0"/>
              <w:ind w:left="0" w:right="0"/>
              <w:rPr>
                <w:rFonts w:hint="default" w:ascii="Arial" w:hAnsi="Arial" w:eastAsia="宋体" w:cs="Arial"/>
                <w:color w:val="auto"/>
                <w:sz w:val="22"/>
                <w:szCs w:val="22"/>
                <w:lang w:val="en-US" w:eastAsia="zh-CN" w:bidi="ar-SA"/>
              </w:rPr>
            </w:pPr>
          </w:p>
        </w:tc>
        <w:tc>
          <w:tcPr>
            <w:tcW w:w="1050" w:type="dxa"/>
            <w:vAlign w:val="center"/>
          </w:tcPr>
          <w:p>
            <w:pPr>
              <w:spacing w:before="0" w:beforeAutospacing="0" w:after="0" w:afterAutospacing="0"/>
              <w:ind w:left="0" w:leftChars="0" w:right="0"/>
              <w:jc w:val="center"/>
              <w:rPr>
                <w:rFonts w:hint="default" w:ascii="宋体" w:hAnsi="宋体" w:eastAsia="宋体" w:cs="宋体"/>
                <w:color w:val="auto"/>
                <w:sz w:val="22"/>
                <w:szCs w:val="22"/>
                <w:lang w:val="en-US" w:eastAsia="zh-CN" w:bidi="ar-SA"/>
              </w:rPr>
            </w:pPr>
          </w:p>
        </w:tc>
        <w:tc>
          <w:tcPr>
            <w:tcW w:w="810"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0" w:type="dxa"/>
            <w:tcBorders>
              <w:right w:val="single" w:color="auto" w:sz="12" w:space="0"/>
            </w:tcBorders>
            <w:vAlign w:val="center"/>
          </w:tcPr>
          <w:p>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567" w:type="dxa"/>
            <w:tcBorders>
              <w:left w:val="single" w:color="auto" w:sz="12" w:space="0"/>
            </w:tcBorders>
            <w:vAlign w:val="center"/>
          </w:tcPr>
          <w:p>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pPr>
              <w:spacing w:before="0" w:beforeAutospacing="0" w:after="0" w:afterAutospacing="0"/>
              <w:ind w:left="0" w:leftChars="0" w:right="0"/>
              <w:jc w:val="center"/>
              <w:rPr>
                <w:rFonts w:hint="default" w:ascii="Arial" w:hAnsi="Arial" w:eastAsia="宋体" w:cs="Arial"/>
                <w:color w:val="auto"/>
                <w:sz w:val="22"/>
                <w:szCs w:val="22"/>
                <w:lang w:val="en-US" w:eastAsia="zh-CN" w:bidi="ar-SA"/>
              </w:rPr>
            </w:pPr>
          </w:p>
        </w:tc>
        <w:tc>
          <w:tcPr>
            <w:tcW w:w="1050" w:type="dxa"/>
            <w:vAlign w:val="center"/>
          </w:tcPr>
          <w:p>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567" w:type="dxa"/>
            <w:tcBorders>
              <w:left w:val="single" w:color="auto" w:sz="12" w:space="0"/>
            </w:tcBorders>
            <w:vAlign w:val="center"/>
          </w:tcPr>
          <w:p>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0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pPr>
              <w:widowControl w:val="0"/>
              <w:spacing w:before="0" w:beforeAutospacing="0" w:after="0" w:afterAutospacing="0"/>
              <w:ind w:left="0" w:leftChars="0" w:right="0"/>
              <w:jc w:val="center"/>
              <w:rPr>
                <w:rFonts w:hint="eastAsia" w:ascii="宋体" w:hAnsi="宋体" w:eastAsia="宋体" w:cs="仿宋_GB2312"/>
                <w:b/>
                <w:bCs/>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7" w:type="dxa"/>
            <w:tcBorders>
              <w:left w:val="single" w:color="auto" w:sz="12"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60" w:type="dxa"/>
            <w:vAlign w:val="center"/>
          </w:tcPr>
          <w:p>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pPr>
              <w:widowControl w:val="0"/>
              <w:spacing w:before="0" w:beforeAutospacing="0" w:after="0" w:afterAutospacing="0"/>
              <w:ind w:left="0" w:leftChars="0" w:right="0"/>
              <w:jc w:val="center"/>
              <w:rPr>
                <w:rFonts w:hint="default" w:ascii="宋体" w:hAnsi="宋体" w:eastAsia="宋体" w:cs="仿宋_GB2312"/>
                <w:b/>
                <w:bCs/>
                <w:color w:val="auto"/>
                <w:kern w:val="2"/>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567" w:type="dxa"/>
            <w:tcBorders>
              <w:left w:val="single" w:color="auto" w:sz="12"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pPr>
              <w:widowControl w:val="0"/>
              <w:spacing w:before="0" w:beforeAutospacing="0" w:after="0" w:afterAutospacing="0"/>
              <w:ind w:left="0" w:leftChars="0" w:right="0"/>
              <w:jc w:val="center"/>
              <w:rPr>
                <w:rFonts w:hint="default" w:ascii="宋体" w:hAnsi="宋体" w:eastAsia="宋体" w:cs="仿宋_GB2312"/>
                <w:color w:val="auto"/>
                <w:kern w:val="2"/>
                <w:sz w:val="18"/>
                <w:szCs w:val="18"/>
                <w:highlight w:val="none"/>
                <w:lang w:val="en-US" w:eastAsia="zh-CN"/>
              </w:rPr>
            </w:pPr>
          </w:p>
        </w:tc>
        <w:tc>
          <w:tcPr>
            <w:tcW w:w="960" w:type="dxa"/>
            <w:vAlign w:val="center"/>
          </w:tcPr>
          <w:p>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pPr>
              <w:widowControl w:val="0"/>
              <w:spacing w:before="0" w:beforeAutospacing="0" w:after="0" w:afterAutospacing="0"/>
              <w:ind w:left="0" w:leftChars="0" w:right="0"/>
              <w:jc w:val="center"/>
              <w:rPr>
                <w:rFonts w:hint="eastAsia" w:ascii="宋体" w:hAnsi="宋体" w:eastAsia="宋体" w:cs="仿宋_GB2312"/>
                <w:b/>
                <w:bCs/>
                <w:color w:val="auto"/>
                <w:kern w:val="2"/>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67" w:type="dxa"/>
            <w:tcBorders>
              <w:left w:val="single" w:color="auto" w:sz="12"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60" w:type="dxa"/>
            <w:vAlign w:val="center"/>
          </w:tcPr>
          <w:p>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pPr>
              <w:widowControl w:val="0"/>
              <w:spacing w:before="0" w:beforeAutospacing="0" w:after="0" w:afterAutospacing="0"/>
              <w:ind w:left="0" w:leftChars="0" w:right="0"/>
              <w:jc w:val="center"/>
              <w:rPr>
                <w:rFonts w:hint="default" w:ascii="宋体" w:hAnsi="宋体" w:eastAsia="宋体" w:cs="仿宋_GB2312"/>
                <w:b/>
                <w:bCs/>
                <w:color w:val="auto"/>
                <w:kern w:val="2"/>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top w:val="single" w:color="auto" w:sz="12" w:space="0"/>
              <w:left w:val="single" w:color="auto" w:sz="12" w:space="0"/>
            </w:tcBorders>
            <w:vAlign w:val="center"/>
          </w:tcPr>
          <w:p>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运杂及保险费（含卸货）</w:t>
            </w:r>
          </w:p>
        </w:tc>
        <w:tc>
          <w:tcPr>
            <w:tcW w:w="5030" w:type="dxa"/>
            <w:gridSpan w:val="5"/>
            <w:tcBorders>
              <w:top w:val="single" w:color="auto" w:sz="12" w:space="0"/>
              <w:right w:val="single" w:color="auto" w:sz="12" w:space="0"/>
            </w:tcBorders>
            <w:vAlign w:val="center"/>
          </w:tcPr>
          <w:p>
            <w:pPr>
              <w:spacing w:before="0" w:beforeAutospacing="0" w:after="0" w:afterAutospacing="0"/>
              <w:ind w:left="0" w:right="0"/>
              <w:jc w:val="center"/>
              <w:rPr>
                <w:rFonts w:hint="eastAsia"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pPr>
              <w:spacing w:before="0" w:beforeAutospacing="0" w:after="0" w:afterAutospacing="0"/>
              <w:ind w:left="0" w:right="-11"/>
              <w:rPr>
                <w:rFonts w:hint="eastAsia" w:ascii="Arial" w:hAnsi="Arial" w:cs="Arial"/>
                <w:color w:val="auto"/>
                <w:sz w:val="22"/>
                <w:szCs w:val="22"/>
              </w:rPr>
            </w:pPr>
            <w:r>
              <w:rPr>
                <w:rFonts w:hint="eastAsia" w:ascii="新宋体" w:hAnsi="新宋体" w:eastAsia="新宋体" w:cs="Times New Roman"/>
                <w:bCs/>
                <w:color w:val="auto"/>
                <w:sz w:val="22"/>
                <w:szCs w:val="22"/>
              </w:rPr>
              <w:t>税金</w:t>
            </w:r>
          </w:p>
        </w:tc>
        <w:tc>
          <w:tcPr>
            <w:tcW w:w="5030" w:type="dxa"/>
            <w:gridSpan w:val="5"/>
            <w:tcBorders>
              <w:right w:val="single" w:color="auto" w:sz="12" w:space="0"/>
            </w:tcBorders>
            <w:vAlign w:val="center"/>
          </w:tcPr>
          <w:p>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pPr>
              <w:spacing w:before="0" w:beforeAutospacing="0" w:after="0" w:afterAutospacing="0"/>
              <w:ind w:left="0" w:right="-11"/>
              <w:rPr>
                <w:rFonts w:hint="default" w:ascii="新宋体" w:hAnsi="新宋体" w:eastAsia="新宋体" w:cs="Times New Roman"/>
                <w:bCs/>
                <w:color w:val="auto"/>
                <w:sz w:val="22"/>
                <w:szCs w:val="22"/>
              </w:rPr>
            </w:pPr>
            <w:r>
              <w:rPr>
                <w:rFonts w:hint="eastAsia" w:ascii="新宋体" w:hAnsi="新宋体" w:eastAsia="新宋体" w:cs="Times New Roman"/>
                <w:bCs/>
                <w:color w:val="auto"/>
                <w:sz w:val="22"/>
                <w:szCs w:val="22"/>
              </w:rPr>
              <w:t>采购代理服务费</w:t>
            </w:r>
          </w:p>
        </w:tc>
        <w:tc>
          <w:tcPr>
            <w:tcW w:w="5030" w:type="dxa"/>
            <w:gridSpan w:val="5"/>
            <w:tcBorders>
              <w:right w:val="single" w:color="auto" w:sz="12" w:space="0"/>
            </w:tcBorders>
            <w:vAlign w:val="center"/>
          </w:tcPr>
          <w:p>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其他相关费用（含产品外包装等）</w:t>
            </w:r>
          </w:p>
        </w:tc>
        <w:tc>
          <w:tcPr>
            <w:tcW w:w="5030" w:type="dxa"/>
            <w:gridSpan w:val="5"/>
            <w:tcBorders>
              <w:right w:val="single" w:color="auto" w:sz="12" w:space="0"/>
            </w:tcBorders>
            <w:vAlign w:val="center"/>
          </w:tcPr>
          <w:p>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bottom w:val="single" w:color="auto" w:sz="12" w:space="0"/>
            </w:tcBorders>
            <w:vAlign w:val="center"/>
          </w:tcPr>
          <w:p>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总计价</w:t>
            </w:r>
          </w:p>
        </w:tc>
        <w:tc>
          <w:tcPr>
            <w:tcW w:w="5030" w:type="dxa"/>
            <w:gridSpan w:val="5"/>
            <w:tcBorders>
              <w:bottom w:val="single" w:color="auto" w:sz="12" w:space="0"/>
              <w:right w:val="single" w:color="auto" w:sz="12" w:space="0"/>
            </w:tcBorders>
            <w:vAlign w:val="center"/>
          </w:tcPr>
          <w:p>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p>
        </w:tc>
      </w:tr>
    </w:tbl>
    <w:p>
      <w:pPr>
        <w:spacing w:line="440" w:lineRule="exact"/>
        <w:rPr>
          <w:rFonts w:hint="eastAsia" w:ascii="宋体" w:hAnsi="宋体"/>
          <w:b/>
          <w:bCs/>
          <w:color w:val="auto"/>
          <w:sz w:val="22"/>
          <w:szCs w:val="22"/>
          <w:highlight w:val="none"/>
        </w:rPr>
      </w:pPr>
    </w:p>
    <w:p>
      <w:pPr>
        <w:spacing w:line="440" w:lineRule="exact"/>
        <w:rPr>
          <w:rFonts w:hint="eastAsia" w:ascii="Times New Roman" w:hAnsi="Times New Roman" w:eastAsia="宋体" w:cs="Times New Roman"/>
          <w:b/>
          <w:color w:val="auto"/>
          <w:sz w:val="22"/>
          <w:szCs w:val="22"/>
          <w:highlight w:val="none"/>
          <w:lang w:eastAsia="zh-CN"/>
        </w:rPr>
      </w:pPr>
      <w:r>
        <w:rPr>
          <w:rFonts w:hint="eastAsia" w:ascii="宋体" w:hAnsi="宋体"/>
          <w:b/>
          <w:bCs/>
          <w:color w:val="auto"/>
          <w:sz w:val="22"/>
          <w:szCs w:val="22"/>
          <w:highlight w:val="none"/>
        </w:rPr>
        <w:t>说明：</w:t>
      </w: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不提供详细分项报价将视为没有实质性响应招标文件。</w:t>
      </w:r>
    </w:p>
    <w:p>
      <w:pPr>
        <w:numPr>
          <w:ilvl w:val="0"/>
          <w:numId w:val="5"/>
        </w:numPr>
        <w:spacing w:line="440" w:lineRule="exact"/>
        <w:ind w:firstLine="720"/>
        <w:rPr>
          <w:rFonts w:hint="eastAsia" w:ascii="宋体" w:hAnsi="宋体"/>
          <w:color w:val="auto"/>
          <w:sz w:val="22"/>
          <w:szCs w:val="22"/>
          <w:highlight w:val="none"/>
        </w:rPr>
      </w:pPr>
      <w:r>
        <w:rPr>
          <w:rFonts w:hint="eastAsia" w:ascii="宋体" w:hAnsi="宋体"/>
          <w:color w:val="auto"/>
          <w:sz w:val="22"/>
          <w:szCs w:val="22"/>
          <w:highlight w:val="none"/>
        </w:rPr>
        <w:t>此表的</w:t>
      </w:r>
      <w:r>
        <w:rPr>
          <w:rFonts w:hint="eastAsia" w:ascii="宋体" w:hAnsi="宋体"/>
          <w:color w:val="auto"/>
          <w:sz w:val="22"/>
          <w:szCs w:val="22"/>
          <w:highlight w:val="none"/>
          <w:lang w:eastAsia="zh-CN"/>
        </w:rPr>
        <w:t>所有车辆</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价应与附件二“投标报价一览表”对应投标报价相一致</w:t>
      </w:r>
      <w:r>
        <w:rPr>
          <w:rFonts w:hint="eastAsia" w:ascii="宋体" w:hAnsi="宋体"/>
          <w:color w:val="auto"/>
          <w:sz w:val="22"/>
          <w:szCs w:val="22"/>
          <w:highlight w:val="none"/>
          <w:lang w:eastAsia="zh-CN"/>
        </w:rPr>
        <w:t>。</w:t>
      </w:r>
    </w:p>
    <w:p>
      <w:pPr>
        <w:numPr>
          <w:ilvl w:val="0"/>
          <w:numId w:val="5"/>
        </w:numPr>
        <w:spacing w:line="440" w:lineRule="exact"/>
        <w:ind w:firstLine="720"/>
        <w:rPr>
          <w:rFonts w:hint="eastAsia" w:ascii="宋体" w:hAnsi="宋体" w:eastAsia="宋体" w:cs="Times New Roman"/>
          <w:b/>
          <w:bCs/>
          <w:color w:val="auto"/>
          <w:sz w:val="22"/>
          <w:szCs w:val="22"/>
          <w:highlight w:val="none"/>
          <w:u w:val="single"/>
        </w:rPr>
      </w:pPr>
      <w:r>
        <w:rPr>
          <w:rFonts w:hint="eastAsia" w:ascii="宋体" w:hAnsi="宋体" w:cs="宋体"/>
          <w:b/>
          <w:color w:val="auto"/>
          <w:sz w:val="22"/>
          <w:szCs w:val="22"/>
          <w:highlight w:val="none"/>
        </w:rPr>
        <w:t>▲</w:t>
      </w:r>
      <w:r>
        <w:rPr>
          <w:rFonts w:hint="eastAsia" w:ascii="宋体" w:hAnsi="宋体" w:eastAsia="宋体" w:cs="Times New Roman"/>
          <w:b/>
          <w:bCs/>
          <w:color w:val="auto"/>
          <w:sz w:val="22"/>
          <w:szCs w:val="22"/>
          <w:highlight w:val="none"/>
          <w:u w:val="single"/>
          <w:lang w:eastAsia="zh-CN"/>
        </w:rPr>
        <w:t>投标</w:t>
      </w:r>
      <w:r>
        <w:rPr>
          <w:rFonts w:hint="eastAsia" w:ascii="宋体" w:hAnsi="宋体" w:eastAsia="宋体" w:cs="Times New Roman"/>
          <w:b/>
          <w:bCs/>
          <w:color w:val="auto"/>
          <w:sz w:val="22"/>
          <w:szCs w:val="22"/>
          <w:highlight w:val="none"/>
          <w:u w:val="single"/>
          <w:lang w:val="en-US" w:eastAsia="zh-CN"/>
        </w:rPr>
        <w:t>单价</w:t>
      </w:r>
      <w:r>
        <w:rPr>
          <w:rFonts w:hint="eastAsia" w:ascii="宋体" w:hAnsi="宋体" w:eastAsia="宋体" w:cs="Times New Roman"/>
          <w:b/>
          <w:bCs/>
          <w:color w:val="auto"/>
          <w:sz w:val="22"/>
          <w:szCs w:val="22"/>
          <w:highlight w:val="none"/>
          <w:u w:val="single"/>
          <w:lang w:eastAsia="zh-CN"/>
        </w:rPr>
        <w:t>报价不得超过招标文件规定的</w:t>
      </w:r>
      <w:r>
        <w:rPr>
          <w:rFonts w:hint="eastAsia" w:ascii="宋体" w:hAnsi="宋体" w:eastAsia="宋体" w:cs="Times New Roman"/>
          <w:b/>
          <w:bCs/>
          <w:color w:val="auto"/>
          <w:sz w:val="22"/>
          <w:szCs w:val="22"/>
          <w:highlight w:val="none"/>
          <w:u w:val="single"/>
          <w:lang w:val="en-US" w:eastAsia="zh-CN"/>
        </w:rPr>
        <w:t>单价</w:t>
      </w:r>
      <w:r>
        <w:rPr>
          <w:rFonts w:hint="eastAsia" w:ascii="宋体" w:hAnsi="宋体" w:eastAsia="宋体" w:cs="Times New Roman"/>
          <w:b/>
          <w:bCs/>
          <w:color w:val="auto"/>
          <w:sz w:val="22"/>
          <w:szCs w:val="22"/>
          <w:highlight w:val="none"/>
          <w:u w:val="single"/>
          <w:lang w:eastAsia="zh-CN"/>
        </w:rPr>
        <w:t>最高限价，否则按无效标处理。</w:t>
      </w:r>
    </w:p>
    <w:p>
      <w:pPr>
        <w:numPr>
          <w:ilvl w:val="0"/>
          <w:numId w:val="5"/>
        </w:numPr>
        <w:spacing w:line="440" w:lineRule="exact"/>
        <w:ind w:firstLine="72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如果免费请在该备注栏内注明“免”，如果含在产品价格中则填“含”，如无此项内容则填“无”，不留空白。</w:t>
      </w:r>
    </w:p>
    <w:p>
      <w:pPr>
        <w:pStyle w:val="18"/>
        <w:rPr>
          <w:rFonts w:hint="eastAsia" w:ascii="宋体" w:hAnsi="宋体" w:cs="宋体"/>
          <w:color w:val="auto"/>
          <w:sz w:val="22"/>
          <w:szCs w:val="22"/>
          <w:highlight w:val="none"/>
        </w:rPr>
      </w:pPr>
    </w:p>
    <w:p>
      <w:pPr>
        <w:pStyle w:val="18"/>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pPr>
        <w:spacing w:line="380" w:lineRule="exact"/>
        <w:ind w:firstLine="9460" w:firstLineChars="4300"/>
        <w:rPr>
          <w:rFonts w:hint="eastAsia" w:ascii="宋体" w:hAnsi="宋体" w:cs="宋体"/>
          <w:color w:val="auto"/>
          <w:sz w:val="22"/>
          <w:szCs w:val="22"/>
          <w:highlight w:val="none"/>
        </w:rPr>
      </w:pPr>
    </w:p>
    <w:p>
      <w:pPr>
        <w:pStyle w:val="3"/>
        <w:spacing w:line="240" w:lineRule="auto"/>
        <w:rPr>
          <w:rFonts w:hint="eastAsia" w:ascii="宋体" w:hAnsi="宋体" w:eastAsia="宋体" w:cs="宋体"/>
          <w:color w:val="auto"/>
          <w:sz w:val="24"/>
          <w:szCs w:val="24"/>
        </w:rPr>
      </w:pPr>
      <w:r>
        <w:rPr>
          <w:rFonts w:hint="eastAsia" w:ascii="宋体" w:hAnsi="宋体" w:cs="宋体"/>
          <w:color w:val="auto"/>
          <w:sz w:val="22"/>
          <w:szCs w:val="22"/>
          <w:highlight w:val="none"/>
        </w:rPr>
        <w:br w:type="page"/>
      </w:r>
      <w:bookmarkEnd w:id="73"/>
      <w:bookmarkEnd w:id="74"/>
      <w:bookmarkEnd w:id="75"/>
      <w:bookmarkEnd w:id="76"/>
      <w:bookmarkStart w:id="80" w:name="_Toc21421"/>
      <w:bookmarkStart w:id="81" w:name="_Toc14084"/>
      <w:r>
        <w:rPr>
          <w:rFonts w:hint="eastAsia" w:ascii="宋体" w:hAnsi="宋体" w:eastAsia="宋体" w:cs="宋体"/>
          <w:color w:val="auto"/>
          <w:sz w:val="24"/>
          <w:szCs w:val="24"/>
        </w:rPr>
        <w:t>附件三</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投标分项报价表</w:t>
      </w:r>
      <w:bookmarkEnd w:id="80"/>
    </w:p>
    <w:p>
      <w:pPr>
        <w:spacing w:line="460" w:lineRule="exact"/>
        <w:ind w:firstLine="435"/>
        <w:jc w:val="center"/>
        <w:rPr>
          <w:rFonts w:hint="eastAsia"/>
          <w:b/>
          <w:color w:val="auto"/>
          <w:sz w:val="28"/>
          <w:szCs w:val="28"/>
        </w:rPr>
      </w:pPr>
      <w:bookmarkStart w:id="82" w:name="_Toc414878303"/>
      <w:bookmarkStart w:id="83" w:name="_Toc415066823"/>
      <w:bookmarkStart w:id="84" w:name="_Toc414878182"/>
      <w:r>
        <w:rPr>
          <w:rFonts w:hint="eastAsia"/>
          <w:b/>
          <w:color w:val="auto"/>
          <w:sz w:val="28"/>
          <w:szCs w:val="28"/>
        </w:rPr>
        <w:t>投标分项报价表</w:t>
      </w:r>
      <w:bookmarkEnd w:id="82"/>
      <w:bookmarkEnd w:id="83"/>
      <w:bookmarkEnd w:id="84"/>
    </w:p>
    <w:p>
      <w:pPr>
        <w:spacing w:line="380" w:lineRule="exact"/>
        <w:rPr>
          <w:rFonts w:hint="default" w:ascii="新宋体" w:hAnsi="新宋体" w:eastAsia="新宋体"/>
          <w:b/>
          <w:bCs/>
          <w:color w:val="auto"/>
          <w:sz w:val="22"/>
          <w:szCs w:val="22"/>
          <w:lang w:val="en-US"/>
        </w:rPr>
      </w:pPr>
      <w:r>
        <w:rPr>
          <w:rFonts w:hint="eastAsia" w:ascii="新宋体" w:hAnsi="新宋体" w:eastAsia="新宋体"/>
          <w:b/>
          <w:bCs/>
          <w:color w:val="auto"/>
          <w:sz w:val="22"/>
          <w:szCs w:val="22"/>
        </w:rPr>
        <w:t>项目名称：浙江省温州市自然灾害应急能力提升工程基层防灾项目（</w:t>
      </w:r>
      <w:r>
        <w:rPr>
          <w:rFonts w:hint="eastAsia" w:ascii="新宋体" w:hAnsi="新宋体" w:eastAsia="新宋体"/>
          <w:b/>
          <w:bCs/>
          <w:color w:val="auto"/>
          <w:sz w:val="22"/>
          <w:szCs w:val="22"/>
          <w:lang w:eastAsia="zh-CN"/>
        </w:rPr>
        <w:t>第二批-车辆及装备</w:t>
      </w:r>
      <w:r>
        <w:rPr>
          <w:rFonts w:hint="eastAsia" w:ascii="新宋体" w:hAnsi="新宋体" w:eastAsia="新宋体"/>
          <w:b/>
          <w:bCs/>
          <w:color w:val="auto"/>
          <w:sz w:val="22"/>
          <w:szCs w:val="22"/>
        </w:rPr>
        <w:t xml:space="preserve">） </w:t>
      </w:r>
      <w:r>
        <w:rPr>
          <w:rFonts w:hint="eastAsia" w:ascii="新宋体" w:hAnsi="新宋体" w:eastAsia="新宋体"/>
          <w:color w:val="auto"/>
          <w:sz w:val="22"/>
          <w:szCs w:val="22"/>
        </w:rPr>
        <w:t xml:space="preserve">                                         </w:t>
      </w:r>
      <w:r>
        <w:rPr>
          <w:rFonts w:hint="eastAsia" w:ascii="新宋体" w:hAnsi="新宋体" w:eastAsia="新宋体"/>
          <w:b/>
          <w:bCs/>
          <w:color w:val="auto"/>
          <w:sz w:val="22"/>
          <w:szCs w:val="22"/>
        </w:rPr>
        <w:t>项目编号：</w:t>
      </w:r>
      <w:r>
        <w:rPr>
          <w:rFonts w:hint="eastAsia" w:ascii="宋体" w:hAnsi="宋体" w:cs="宋体"/>
          <w:b/>
          <w:bCs/>
          <w:color w:val="auto"/>
          <w:sz w:val="22"/>
          <w:szCs w:val="22"/>
          <w:highlight w:val="none"/>
          <w:lang w:val="en-US" w:eastAsia="zh-CN"/>
        </w:rPr>
        <w:t xml:space="preserve">                                                       标项号：标项2</w:t>
      </w:r>
    </w:p>
    <w:tbl>
      <w:tblPr>
        <w:tblStyle w:val="44"/>
        <w:tblW w:w="10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139"/>
        <w:gridCol w:w="1218"/>
        <w:gridCol w:w="1425"/>
        <w:gridCol w:w="1211"/>
        <w:gridCol w:w="1083"/>
        <w:gridCol w:w="123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86" w:type="dxa"/>
            <w:tcBorders>
              <w:top w:val="single" w:color="auto" w:sz="12" w:space="0"/>
              <w:left w:val="single" w:color="auto" w:sz="12" w:space="0"/>
              <w:bottom w:val="single" w:color="auto" w:sz="12" w:space="0"/>
            </w:tcBorders>
            <w:vAlign w:val="center"/>
          </w:tcPr>
          <w:p>
            <w:pPr>
              <w:spacing w:before="0" w:beforeAutospacing="0" w:after="0" w:afterAutospacing="0"/>
              <w:ind w:left="0" w:right="-11"/>
              <w:jc w:val="center"/>
              <w:rPr>
                <w:rFonts w:hint="eastAsia" w:ascii="Arial" w:hAnsi="Arial" w:cs="Arial"/>
                <w:b/>
                <w:bCs/>
                <w:color w:val="auto"/>
                <w:sz w:val="22"/>
                <w:szCs w:val="22"/>
              </w:rPr>
            </w:pPr>
            <w:r>
              <w:rPr>
                <w:rFonts w:hint="eastAsia" w:ascii="Arial" w:hAnsi="Arial" w:cs="Arial"/>
                <w:b/>
                <w:bCs/>
                <w:color w:val="auto"/>
                <w:sz w:val="22"/>
                <w:szCs w:val="22"/>
              </w:rPr>
              <w:t>项目</w:t>
            </w:r>
          </w:p>
        </w:tc>
        <w:tc>
          <w:tcPr>
            <w:tcW w:w="2139" w:type="dxa"/>
            <w:tcBorders>
              <w:top w:val="single" w:color="auto" w:sz="12" w:space="0"/>
              <w:bottom w:val="single" w:color="auto" w:sz="12" w:space="0"/>
            </w:tcBorders>
            <w:vAlign w:val="center"/>
          </w:tcPr>
          <w:p>
            <w:pPr>
              <w:spacing w:before="0" w:beforeAutospacing="0" w:after="0" w:afterAutospacing="0"/>
              <w:ind w:left="0" w:right="-11"/>
              <w:jc w:val="center"/>
              <w:rPr>
                <w:rFonts w:hint="eastAsia" w:ascii="Arial" w:hAnsi="Arial" w:cs="Arial"/>
                <w:b/>
                <w:bCs/>
                <w:color w:val="auto"/>
                <w:sz w:val="22"/>
                <w:szCs w:val="22"/>
              </w:rPr>
            </w:pPr>
            <w:r>
              <w:rPr>
                <w:rFonts w:hint="eastAsia" w:ascii="新宋体" w:hAnsi="新宋体" w:eastAsia="新宋体" w:cs="Times New Roman"/>
                <w:b/>
                <w:bCs/>
                <w:color w:val="auto"/>
                <w:sz w:val="22"/>
                <w:szCs w:val="22"/>
              </w:rPr>
              <w:t>项目内容</w:t>
            </w:r>
            <w:r>
              <w:rPr>
                <w:rFonts w:hint="eastAsia" w:ascii="新宋体" w:hAnsi="新宋体" w:eastAsia="新宋体" w:cs="Times New Roman"/>
                <w:b/>
                <w:color w:val="auto"/>
                <w:sz w:val="22"/>
                <w:szCs w:val="22"/>
                <w:u w:val="single"/>
              </w:rPr>
              <w:t>（</w:t>
            </w:r>
            <w:r>
              <w:rPr>
                <w:rFonts w:hint="eastAsia" w:ascii="新宋体" w:hAnsi="新宋体" w:eastAsia="新宋体" w:cs="Times New Roman"/>
                <w:b/>
                <w:bCs/>
                <w:color w:val="auto"/>
                <w:sz w:val="22"/>
                <w:szCs w:val="22"/>
                <w:u w:val="single"/>
              </w:rPr>
              <w:t>按采购清单逐项列出</w:t>
            </w:r>
            <w:r>
              <w:rPr>
                <w:rFonts w:hint="eastAsia" w:ascii="新宋体" w:hAnsi="新宋体" w:eastAsia="新宋体" w:cs="Times New Roman"/>
                <w:b/>
                <w:color w:val="auto"/>
                <w:sz w:val="22"/>
                <w:szCs w:val="22"/>
                <w:u w:val="single"/>
              </w:rPr>
              <w:t>）</w:t>
            </w:r>
          </w:p>
        </w:tc>
        <w:tc>
          <w:tcPr>
            <w:tcW w:w="1218" w:type="dxa"/>
            <w:tcBorders>
              <w:top w:val="single" w:color="auto" w:sz="12" w:space="0"/>
              <w:bottom w:val="single" w:color="auto" w:sz="12" w:space="0"/>
            </w:tcBorders>
            <w:vAlign w:val="center"/>
          </w:tcPr>
          <w:p>
            <w:pPr>
              <w:spacing w:before="0" w:beforeAutospacing="0" w:after="0" w:afterAutospacing="0"/>
              <w:ind w:left="0" w:right="-11"/>
              <w:jc w:val="center"/>
              <w:rPr>
                <w:rFonts w:hint="eastAsia" w:ascii="Arial" w:hAnsi="Arial" w:cs="Arial"/>
                <w:b/>
                <w:bCs/>
                <w:color w:val="auto"/>
                <w:sz w:val="22"/>
                <w:szCs w:val="22"/>
              </w:rPr>
            </w:pPr>
            <w:r>
              <w:rPr>
                <w:rFonts w:hint="eastAsia" w:ascii="Arial" w:hAnsi="Arial" w:cs="Arial"/>
                <w:b/>
                <w:bCs/>
                <w:color w:val="auto"/>
                <w:sz w:val="22"/>
                <w:szCs w:val="22"/>
              </w:rPr>
              <w:t>型号规格</w:t>
            </w:r>
          </w:p>
        </w:tc>
        <w:tc>
          <w:tcPr>
            <w:tcW w:w="1425" w:type="dxa"/>
            <w:tcBorders>
              <w:top w:val="single" w:color="auto" w:sz="12" w:space="0"/>
              <w:bottom w:val="single" w:color="auto" w:sz="12" w:space="0"/>
            </w:tcBorders>
            <w:vAlign w:val="center"/>
          </w:tcPr>
          <w:p>
            <w:pPr>
              <w:spacing w:before="0" w:beforeAutospacing="0" w:after="0" w:afterAutospacing="0" w:line="380" w:lineRule="exact"/>
              <w:ind w:left="0" w:right="0"/>
              <w:jc w:val="center"/>
              <w:rPr>
                <w:rFonts w:hint="eastAsia" w:ascii="新宋体" w:hAnsi="新宋体" w:eastAsia="新宋体" w:cs="Times New Roman"/>
                <w:b/>
                <w:bCs/>
                <w:color w:val="auto"/>
                <w:sz w:val="22"/>
                <w:szCs w:val="22"/>
              </w:rPr>
            </w:pPr>
            <w:r>
              <w:rPr>
                <w:rFonts w:hint="eastAsia" w:ascii="新宋体" w:hAnsi="新宋体" w:eastAsia="新宋体" w:cs="Times New Roman"/>
                <w:b/>
                <w:bCs/>
                <w:color w:val="auto"/>
                <w:sz w:val="22"/>
                <w:szCs w:val="22"/>
              </w:rPr>
              <w:t>数量</w:t>
            </w:r>
          </w:p>
        </w:tc>
        <w:tc>
          <w:tcPr>
            <w:tcW w:w="1211" w:type="dxa"/>
            <w:tcBorders>
              <w:top w:val="single" w:color="auto" w:sz="12" w:space="0"/>
              <w:bottom w:val="single" w:color="auto" w:sz="12" w:space="0"/>
            </w:tcBorders>
            <w:vAlign w:val="center"/>
          </w:tcPr>
          <w:p>
            <w:pPr>
              <w:spacing w:before="0" w:beforeAutospacing="0" w:after="0" w:afterAutospacing="0" w:line="380" w:lineRule="exact"/>
              <w:ind w:left="0" w:right="0"/>
              <w:jc w:val="center"/>
              <w:rPr>
                <w:rFonts w:hint="eastAsia" w:ascii="新宋体" w:hAnsi="新宋体" w:eastAsia="新宋体" w:cs="Times New Roman"/>
                <w:b/>
                <w:bCs/>
                <w:color w:val="auto"/>
                <w:sz w:val="22"/>
                <w:szCs w:val="22"/>
                <w:lang w:eastAsia="zh-CN"/>
              </w:rPr>
            </w:pPr>
            <w:r>
              <w:rPr>
                <w:rFonts w:hint="eastAsia" w:ascii="新宋体" w:hAnsi="新宋体" w:eastAsia="新宋体" w:cs="Times New Roman"/>
                <w:b/>
                <w:bCs/>
                <w:color w:val="auto"/>
                <w:sz w:val="22"/>
                <w:szCs w:val="22"/>
                <w:lang w:eastAsia="zh-CN"/>
              </w:rPr>
              <w:t>厂家或品牌</w:t>
            </w:r>
          </w:p>
        </w:tc>
        <w:tc>
          <w:tcPr>
            <w:tcW w:w="1083" w:type="dxa"/>
            <w:tcBorders>
              <w:top w:val="single" w:color="auto" w:sz="12" w:space="0"/>
              <w:bottom w:val="single" w:color="auto" w:sz="12" w:space="0"/>
            </w:tcBorders>
            <w:vAlign w:val="center"/>
          </w:tcPr>
          <w:p>
            <w:pPr>
              <w:spacing w:before="0" w:beforeAutospacing="0" w:after="0" w:afterAutospacing="0" w:line="380" w:lineRule="exact"/>
              <w:ind w:left="0" w:right="0"/>
              <w:jc w:val="center"/>
              <w:rPr>
                <w:rFonts w:hint="eastAsia" w:ascii="新宋体" w:hAnsi="新宋体" w:eastAsia="新宋体" w:cs="Times New Roman"/>
                <w:b/>
                <w:bCs/>
                <w:color w:val="auto"/>
                <w:sz w:val="22"/>
                <w:szCs w:val="22"/>
              </w:rPr>
            </w:pPr>
            <w:r>
              <w:rPr>
                <w:rFonts w:hint="eastAsia" w:ascii="新宋体" w:hAnsi="新宋体" w:eastAsia="新宋体" w:cs="Times New Roman"/>
                <w:b/>
                <w:bCs/>
                <w:color w:val="auto"/>
                <w:sz w:val="22"/>
                <w:szCs w:val="22"/>
              </w:rPr>
              <w:t>单价</w:t>
            </w:r>
          </w:p>
        </w:tc>
        <w:tc>
          <w:tcPr>
            <w:tcW w:w="1235" w:type="dxa"/>
            <w:tcBorders>
              <w:top w:val="single" w:color="auto" w:sz="12" w:space="0"/>
              <w:bottom w:val="single" w:color="auto" w:sz="12" w:space="0"/>
            </w:tcBorders>
            <w:vAlign w:val="center"/>
          </w:tcPr>
          <w:p>
            <w:pPr>
              <w:spacing w:before="0" w:beforeAutospacing="0" w:after="0" w:afterAutospacing="0" w:line="380" w:lineRule="exact"/>
              <w:ind w:left="0" w:right="0"/>
              <w:jc w:val="center"/>
              <w:rPr>
                <w:rFonts w:hint="eastAsia" w:ascii="新宋体" w:hAnsi="新宋体" w:eastAsia="新宋体" w:cs="Times New Roman"/>
                <w:b/>
                <w:bCs/>
                <w:color w:val="auto"/>
                <w:sz w:val="22"/>
                <w:szCs w:val="22"/>
              </w:rPr>
            </w:pPr>
            <w:r>
              <w:rPr>
                <w:rFonts w:hint="eastAsia" w:ascii="新宋体" w:hAnsi="新宋体" w:eastAsia="新宋体" w:cs="Times New Roman"/>
                <w:b/>
                <w:bCs/>
                <w:color w:val="auto"/>
                <w:sz w:val="22"/>
                <w:szCs w:val="22"/>
              </w:rPr>
              <w:t>合价</w:t>
            </w:r>
          </w:p>
        </w:tc>
        <w:tc>
          <w:tcPr>
            <w:tcW w:w="1221" w:type="dxa"/>
            <w:tcBorders>
              <w:top w:val="single" w:color="auto" w:sz="12" w:space="0"/>
              <w:bottom w:val="single" w:color="auto" w:sz="12" w:space="0"/>
              <w:right w:val="single" w:color="auto" w:sz="12" w:space="0"/>
            </w:tcBorders>
            <w:vAlign w:val="center"/>
          </w:tcPr>
          <w:p>
            <w:pPr>
              <w:spacing w:before="0" w:beforeAutospacing="0" w:after="0" w:afterAutospacing="0" w:line="380" w:lineRule="exact"/>
              <w:ind w:left="0" w:right="0"/>
              <w:jc w:val="center"/>
              <w:rPr>
                <w:rFonts w:hint="eastAsia" w:ascii="新宋体" w:hAnsi="新宋体" w:eastAsia="新宋体" w:cs="Times New Roman"/>
                <w:b/>
                <w:bCs/>
                <w:color w:val="auto"/>
                <w:sz w:val="22"/>
                <w:szCs w:val="22"/>
              </w:rPr>
            </w:pPr>
            <w:r>
              <w:rPr>
                <w:rFonts w:hint="eastAsia" w:ascii="新宋体" w:hAnsi="新宋体" w:eastAsia="新宋体" w:cs="Times New Roman"/>
                <w:b/>
                <w:bCs/>
                <w:color w:val="auto"/>
                <w:sz w:val="22"/>
                <w:szCs w:val="22"/>
              </w:rPr>
              <w:t>最高</w:t>
            </w:r>
          </w:p>
          <w:p>
            <w:pPr>
              <w:spacing w:before="0" w:beforeAutospacing="0" w:after="0" w:afterAutospacing="0" w:line="380" w:lineRule="exact"/>
              <w:ind w:left="0" w:right="0"/>
              <w:jc w:val="center"/>
              <w:rPr>
                <w:rFonts w:hint="default" w:ascii="新宋体" w:hAnsi="新宋体" w:eastAsia="新宋体" w:cs="Times New Roman"/>
                <w:b/>
                <w:bCs/>
                <w:color w:val="auto"/>
                <w:sz w:val="22"/>
                <w:szCs w:val="22"/>
              </w:rPr>
            </w:pPr>
            <w:r>
              <w:rPr>
                <w:rFonts w:hint="eastAsia" w:ascii="新宋体" w:hAnsi="新宋体" w:eastAsia="新宋体" w:cs="Times New Roman"/>
                <w:b/>
                <w:bCs/>
                <w:color w:val="auto"/>
                <w:sz w:val="22"/>
                <w:szCs w:val="22"/>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eastAsia" w:ascii="宋体" w:hAnsi="宋体" w:cs="宋体"/>
                <w:color w:val="auto"/>
                <w:sz w:val="22"/>
                <w:szCs w:val="22"/>
              </w:rPr>
            </w:pPr>
            <w:r>
              <w:rPr>
                <w:rFonts w:hint="eastAsia" w:ascii="宋体" w:hAnsi="宋体" w:cs="宋体"/>
                <w:color w:val="auto"/>
                <w:sz w:val="22"/>
                <w:szCs w:val="22"/>
              </w:rPr>
              <w:t>1</w:t>
            </w:r>
          </w:p>
        </w:tc>
        <w:tc>
          <w:tcPr>
            <w:tcW w:w="2139" w:type="dxa"/>
            <w:vAlign w:val="center"/>
          </w:tcPr>
          <w:p>
            <w:pPr>
              <w:spacing w:before="0" w:beforeAutospacing="0" w:after="0" w:afterAutospacing="0"/>
              <w:ind w:left="0" w:right="0"/>
              <w:jc w:val="center"/>
              <w:textAlignment w:val="center"/>
              <w:rPr>
                <w:rFonts w:hint="default" w:ascii="Arial" w:hAnsi="Arial" w:cs="Arial"/>
                <w:color w:val="auto"/>
                <w:sz w:val="22"/>
                <w:szCs w:val="22"/>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rPr>
                <w:rFonts w:hint="eastAsia" w:ascii="宋体" w:hAnsi="宋体" w:cs="宋体"/>
                <w:color w:val="auto"/>
                <w:sz w:val="22"/>
                <w:szCs w:val="22"/>
              </w:rPr>
            </w:pPr>
          </w:p>
        </w:tc>
        <w:tc>
          <w:tcPr>
            <w:tcW w:w="1211" w:type="dxa"/>
            <w:vAlign w:val="center"/>
          </w:tcPr>
          <w:p>
            <w:pPr>
              <w:spacing w:before="0" w:beforeAutospacing="0" w:after="0" w:afterAutospacing="0"/>
              <w:ind w:left="0" w:right="0"/>
              <w:jc w:val="center"/>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eastAsia" w:ascii="宋体" w:hAnsi="宋体" w:cs="宋体"/>
                <w:color w:val="auto"/>
                <w:sz w:val="22"/>
                <w:szCs w:val="22"/>
              </w:rPr>
            </w:pPr>
            <w:r>
              <w:rPr>
                <w:rFonts w:hint="eastAsia" w:ascii="宋体" w:hAnsi="宋体" w:cs="宋体"/>
                <w:color w:val="auto"/>
                <w:sz w:val="22"/>
                <w:szCs w:val="22"/>
              </w:rPr>
              <w:t>2</w:t>
            </w:r>
          </w:p>
        </w:tc>
        <w:tc>
          <w:tcPr>
            <w:tcW w:w="2139" w:type="dxa"/>
            <w:vAlign w:val="center"/>
          </w:tcPr>
          <w:p>
            <w:pPr>
              <w:spacing w:before="0" w:beforeAutospacing="0" w:after="0" w:afterAutospacing="0"/>
              <w:ind w:left="0" w:right="0"/>
              <w:jc w:val="center"/>
              <w:textAlignment w:val="center"/>
              <w:rPr>
                <w:rFonts w:hint="eastAsia" w:ascii="Arial" w:hAnsi="Arial" w:cs="Arial"/>
                <w:color w:val="auto"/>
                <w:sz w:val="22"/>
                <w:szCs w:val="22"/>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rPr>
                <w:rFonts w:hint="eastAsia" w:ascii="宋体" w:hAnsi="宋体" w:cs="宋体"/>
                <w:color w:val="auto"/>
                <w:sz w:val="22"/>
                <w:szCs w:val="22"/>
              </w:rPr>
            </w:pPr>
          </w:p>
        </w:tc>
        <w:tc>
          <w:tcPr>
            <w:tcW w:w="1211" w:type="dxa"/>
            <w:vAlign w:val="center"/>
          </w:tcPr>
          <w:p>
            <w:pPr>
              <w:spacing w:before="0" w:beforeAutospacing="0" w:after="0" w:afterAutospacing="0"/>
              <w:ind w:left="0" w:right="0"/>
              <w:jc w:val="center"/>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eastAsia" w:ascii="宋体" w:hAnsi="宋体" w:cs="宋体"/>
                <w:color w:val="auto"/>
                <w:sz w:val="22"/>
                <w:szCs w:val="22"/>
              </w:rPr>
            </w:pPr>
            <w:r>
              <w:rPr>
                <w:rFonts w:hint="eastAsia" w:ascii="宋体" w:hAnsi="宋体" w:cs="宋体"/>
                <w:color w:val="auto"/>
                <w:sz w:val="22"/>
                <w:szCs w:val="22"/>
              </w:rPr>
              <w:t>3</w:t>
            </w:r>
          </w:p>
        </w:tc>
        <w:tc>
          <w:tcPr>
            <w:tcW w:w="2139" w:type="dxa"/>
            <w:vAlign w:val="center"/>
          </w:tcPr>
          <w:p>
            <w:pPr>
              <w:spacing w:before="0" w:beforeAutospacing="0" w:after="0" w:afterAutospacing="0"/>
              <w:ind w:left="0" w:right="0"/>
              <w:jc w:val="center"/>
              <w:textAlignment w:val="center"/>
              <w:rPr>
                <w:rFonts w:hint="eastAsia" w:ascii="Arial" w:hAnsi="Arial" w:cs="Arial"/>
                <w:color w:val="auto"/>
                <w:sz w:val="22"/>
                <w:szCs w:val="22"/>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rPr>
                <w:rFonts w:hint="default" w:ascii="宋体" w:hAnsi="宋体" w:cs="宋体"/>
                <w:color w:val="auto"/>
                <w:sz w:val="22"/>
                <w:szCs w:val="22"/>
              </w:rPr>
            </w:pPr>
          </w:p>
        </w:tc>
        <w:tc>
          <w:tcPr>
            <w:tcW w:w="1211" w:type="dxa"/>
            <w:vAlign w:val="center"/>
          </w:tcPr>
          <w:p>
            <w:pPr>
              <w:spacing w:before="0" w:beforeAutospacing="0" w:after="0" w:afterAutospacing="0"/>
              <w:ind w:left="0" w:right="0"/>
              <w:jc w:val="center"/>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default" w:ascii="宋体" w:hAnsi="宋体" w:cs="宋体"/>
                <w:color w:val="auto"/>
                <w:sz w:val="22"/>
                <w:szCs w:val="22"/>
              </w:rPr>
            </w:pPr>
            <w:r>
              <w:rPr>
                <w:rFonts w:hint="eastAsia" w:ascii="宋体" w:hAnsi="宋体" w:cs="宋体"/>
                <w:color w:val="auto"/>
                <w:sz w:val="22"/>
                <w:szCs w:val="22"/>
              </w:rPr>
              <w:t>4</w:t>
            </w:r>
          </w:p>
        </w:tc>
        <w:tc>
          <w:tcPr>
            <w:tcW w:w="2139" w:type="dxa"/>
            <w:vAlign w:val="center"/>
          </w:tcPr>
          <w:p>
            <w:pPr>
              <w:spacing w:before="0" w:beforeAutospacing="0" w:after="0" w:afterAutospacing="0"/>
              <w:ind w:left="0" w:right="0"/>
              <w:jc w:val="center"/>
              <w:textAlignment w:val="center"/>
              <w:rPr>
                <w:rFonts w:hint="eastAsia" w:ascii="Arial" w:hAnsi="Arial" w:cs="Arial"/>
                <w:color w:val="auto"/>
                <w:sz w:val="22"/>
                <w:szCs w:val="22"/>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rPr>
                <w:rFonts w:hint="eastAsia" w:ascii="宋体" w:hAnsi="宋体" w:cs="宋体"/>
                <w:color w:val="auto"/>
                <w:sz w:val="22"/>
                <w:szCs w:val="22"/>
              </w:rPr>
            </w:pPr>
          </w:p>
        </w:tc>
        <w:tc>
          <w:tcPr>
            <w:tcW w:w="1211" w:type="dxa"/>
            <w:vAlign w:val="center"/>
          </w:tcPr>
          <w:p>
            <w:pPr>
              <w:spacing w:before="0" w:beforeAutospacing="0" w:after="0" w:afterAutospacing="0"/>
              <w:ind w:left="0" w:right="0"/>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eastAsia" w:ascii="宋体" w:hAnsi="宋体" w:cs="宋体"/>
                <w:color w:val="auto"/>
                <w:sz w:val="22"/>
                <w:szCs w:val="22"/>
              </w:rPr>
            </w:pPr>
            <w:r>
              <w:rPr>
                <w:rFonts w:hint="eastAsia" w:ascii="宋体" w:hAnsi="宋体" w:cs="宋体"/>
                <w:color w:val="auto"/>
                <w:sz w:val="22"/>
                <w:szCs w:val="22"/>
              </w:rPr>
              <w:t>5</w:t>
            </w:r>
          </w:p>
        </w:tc>
        <w:tc>
          <w:tcPr>
            <w:tcW w:w="2139" w:type="dxa"/>
            <w:vAlign w:val="center"/>
          </w:tcPr>
          <w:p>
            <w:pPr>
              <w:spacing w:before="0" w:beforeAutospacing="0" w:after="0" w:afterAutospacing="0"/>
              <w:ind w:left="0" w:right="0"/>
              <w:jc w:val="center"/>
              <w:textAlignment w:val="center"/>
              <w:rPr>
                <w:rFonts w:hint="default" w:ascii="宋体" w:hAnsi="宋体" w:cs="宋体"/>
                <w:color w:val="auto"/>
                <w:sz w:val="22"/>
                <w:szCs w:val="22"/>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textAlignment w:val="center"/>
              <w:rPr>
                <w:rFonts w:hint="eastAsia" w:ascii="宋体" w:hAnsi="宋体" w:cs="宋体"/>
                <w:color w:val="auto"/>
                <w:sz w:val="22"/>
                <w:szCs w:val="22"/>
              </w:rPr>
            </w:pPr>
          </w:p>
        </w:tc>
        <w:tc>
          <w:tcPr>
            <w:tcW w:w="1211" w:type="dxa"/>
            <w:vAlign w:val="center"/>
          </w:tcPr>
          <w:p>
            <w:pPr>
              <w:spacing w:before="0" w:beforeAutospacing="0" w:after="0" w:afterAutospacing="0"/>
              <w:ind w:left="0" w:right="0"/>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eastAsia" w:ascii="宋体" w:hAnsi="宋体" w:cs="宋体"/>
                <w:color w:val="auto"/>
                <w:sz w:val="22"/>
                <w:szCs w:val="22"/>
              </w:rPr>
            </w:pPr>
            <w:r>
              <w:rPr>
                <w:rFonts w:hint="eastAsia" w:ascii="宋体" w:hAnsi="宋体" w:cs="宋体"/>
                <w:color w:val="auto"/>
                <w:sz w:val="22"/>
                <w:szCs w:val="22"/>
              </w:rPr>
              <w:t>6</w:t>
            </w:r>
          </w:p>
        </w:tc>
        <w:tc>
          <w:tcPr>
            <w:tcW w:w="2139" w:type="dxa"/>
            <w:vAlign w:val="center"/>
          </w:tcPr>
          <w:p>
            <w:pPr>
              <w:spacing w:before="0" w:beforeAutospacing="0" w:after="0" w:afterAutospacing="0"/>
              <w:ind w:left="0" w:right="0"/>
              <w:jc w:val="center"/>
              <w:rPr>
                <w:rFonts w:hint="eastAsia" w:ascii="Times New Roman" w:hAnsi="Times New Roman" w:cs="Times New Roman"/>
                <w:color w:val="auto"/>
                <w:sz w:val="20"/>
                <w:szCs w:val="20"/>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textAlignment w:val="center"/>
              <w:rPr>
                <w:rFonts w:hint="eastAsia" w:ascii="宋体" w:hAnsi="宋体" w:cs="宋体"/>
                <w:color w:val="auto"/>
                <w:sz w:val="22"/>
                <w:szCs w:val="22"/>
              </w:rPr>
            </w:pPr>
          </w:p>
        </w:tc>
        <w:tc>
          <w:tcPr>
            <w:tcW w:w="1211" w:type="dxa"/>
            <w:vAlign w:val="center"/>
          </w:tcPr>
          <w:p>
            <w:pPr>
              <w:spacing w:before="0" w:beforeAutospacing="0" w:after="0" w:afterAutospacing="0"/>
              <w:ind w:left="0" w:right="0"/>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default"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default" w:ascii="宋体" w:hAnsi="宋体" w:cs="宋体"/>
                <w:color w:val="auto"/>
                <w:sz w:val="22"/>
                <w:szCs w:val="22"/>
              </w:rPr>
            </w:pPr>
            <w:r>
              <w:rPr>
                <w:rFonts w:hint="eastAsia" w:ascii="宋体" w:hAnsi="宋体" w:cs="宋体"/>
                <w:color w:val="auto"/>
                <w:sz w:val="22"/>
                <w:szCs w:val="22"/>
              </w:rPr>
              <w:t>7</w:t>
            </w:r>
          </w:p>
        </w:tc>
        <w:tc>
          <w:tcPr>
            <w:tcW w:w="2139" w:type="dxa"/>
            <w:vAlign w:val="center"/>
          </w:tcPr>
          <w:p>
            <w:pPr>
              <w:spacing w:before="0" w:beforeAutospacing="0" w:after="0" w:afterAutospacing="0"/>
              <w:ind w:left="0" w:right="0"/>
              <w:jc w:val="center"/>
              <w:textAlignment w:val="center"/>
              <w:rPr>
                <w:rFonts w:hint="eastAsia" w:ascii="宋体" w:hAnsi="宋体" w:cs="宋体"/>
                <w:color w:val="auto"/>
                <w:sz w:val="22"/>
                <w:szCs w:val="22"/>
                <w:highlight w:val="yellow"/>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textAlignment w:val="center"/>
              <w:rPr>
                <w:rFonts w:hint="eastAsia" w:ascii="宋体" w:hAnsi="宋体" w:cs="宋体"/>
                <w:color w:val="auto"/>
                <w:sz w:val="22"/>
                <w:szCs w:val="22"/>
              </w:rPr>
            </w:pPr>
          </w:p>
        </w:tc>
        <w:tc>
          <w:tcPr>
            <w:tcW w:w="1211" w:type="dxa"/>
            <w:vAlign w:val="center"/>
          </w:tcPr>
          <w:p>
            <w:pPr>
              <w:spacing w:before="0" w:beforeAutospacing="0" w:after="0" w:afterAutospacing="0"/>
              <w:ind w:left="0" w:right="0"/>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default" w:ascii="宋体" w:hAnsi="宋体" w:cs="宋体"/>
                <w:color w:val="auto"/>
                <w:sz w:val="22"/>
                <w:szCs w:val="22"/>
              </w:rPr>
            </w:pPr>
            <w:r>
              <w:rPr>
                <w:rFonts w:hint="eastAsia" w:ascii="宋体" w:hAnsi="宋体" w:cs="宋体"/>
                <w:color w:val="auto"/>
                <w:sz w:val="22"/>
                <w:szCs w:val="22"/>
              </w:rPr>
              <w:t>8</w:t>
            </w:r>
          </w:p>
        </w:tc>
        <w:tc>
          <w:tcPr>
            <w:tcW w:w="2139" w:type="dxa"/>
            <w:vAlign w:val="center"/>
          </w:tcPr>
          <w:p>
            <w:pPr>
              <w:spacing w:before="0" w:beforeAutospacing="0" w:after="0" w:afterAutospacing="0"/>
              <w:ind w:left="0" w:right="0"/>
              <w:jc w:val="center"/>
              <w:textAlignment w:val="center"/>
              <w:rPr>
                <w:rFonts w:hint="eastAsia" w:ascii="宋体" w:hAnsi="宋体" w:cs="宋体"/>
                <w:color w:val="auto"/>
                <w:sz w:val="22"/>
                <w:szCs w:val="22"/>
                <w:highlight w:val="yellow"/>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textAlignment w:val="center"/>
              <w:rPr>
                <w:rFonts w:hint="default" w:ascii="宋体" w:hAnsi="宋体" w:cs="宋体"/>
                <w:color w:val="auto"/>
                <w:sz w:val="22"/>
                <w:szCs w:val="22"/>
              </w:rPr>
            </w:pPr>
          </w:p>
        </w:tc>
        <w:tc>
          <w:tcPr>
            <w:tcW w:w="1211" w:type="dxa"/>
            <w:vAlign w:val="center"/>
          </w:tcPr>
          <w:p>
            <w:pPr>
              <w:spacing w:before="0" w:beforeAutospacing="0" w:after="0" w:afterAutospacing="0"/>
              <w:ind w:left="0" w:right="0"/>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default" w:ascii="宋体" w:hAnsi="宋体" w:cs="宋体"/>
                <w:color w:val="auto"/>
                <w:sz w:val="22"/>
                <w:szCs w:val="22"/>
              </w:rPr>
            </w:pPr>
            <w:r>
              <w:rPr>
                <w:rFonts w:hint="eastAsia" w:ascii="宋体" w:hAnsi="宋体" w:cs="宋体"/>
                <w:color w:val="auto"/>
                <w:sz w:val="22"/>
                <w:szCs w:val="22"/>
              </w:rPr>
              <w:t>9</w:t>
            </w:r>
          </w:p>
        </w:tc>
        <w:tc>
          <w:tcPr>
            <w:tcW w:w="2139" w:type="dxa"/>
            <w:vAlign w:val="center"/>
          </w:tcPr>
          <w:p>
            <w:pPr>
              <w:spacing w:before="0" w:beforeAutospacing="0" w:after="0" w:afterAutospacing="0"/>
              <w:ind w:left="0" w:right="0"/>
              <w:textAlignment w:val="center"/>
              <w:rPr>
                <w:rFonts w:hint="eastAsia" w:ascii="宋体" w:hAnsi="宋体" w:cs="宋体"/>
                <w:color w:val="auto"/>
                <w:sz w:val="22"/>
                <w:szCs w:val="22"/>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textAlignment w:val="center"/>
              <w:rPr>
                <w:rFonts w:hint="default" w:ascii="宋体" w:hAnsi="宋体" w:cs="宋体"/>
                <w:color w:val="auto"/>
                <w:sz w:val="22"/>
                <w:szCs w:val="22"/>
              </w:rPr>
            </w:pPr>
          </w:p>
        </w:tc>
        <w:tc>
          <w:tcPr>
            <w:tcW w:w="1211" w:type="dxa"/>
            <w:vAlign w:val="center"/>
          </w:tcPr>
          <w:p>
            <w:pPr>
              <w:spacing w:before="0" w:beforeAutospacing="0" w:after="0" w:afterAutospacing="0"/>
              <w:ind w:left="0" w:right="0"/>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default" w:ascii="宋体" w:hAnsi="宋体" w:cs="宋体"/>
                <w:color w:val="auto"/>
                <w:sz w:val="22"/>
                <w:szCs w:val="22"/>
              </w:rPr>
            </w:pPr>
            <w:r>
              <w:rPr>
                <w:rFonts w:hint="eastAsia" w:ascii="宋体" w:hAnsi="宋体" w:cs="宋体"/>
                <w:color w:val="auto"/>
                <w:sz w:val="22"/>
                <w:szCs w:val="22"/>
              </w:rPr>
              <w:t>10</w:t>
            </w:r>
          </w:p>
        </w:tc>
        <w:tc>
          <w:tcPr>
            <w:tcW w:w="2139" w:type="dxa"/>
            <w:vAlign w:val="center"/>
          </w:tcPr>
          <w:p>
            <w:pPr>
              <w:spacing w:before="0" w:beforeAutospacing="0" w:after="0" w:afterAutospacing="0"/>
              <w:ind w:left="0" w:right="0"/>
              <w:jc w:val="center"/>
              <w:textAlignment w:val="center"/>
              <w:rPr>
                <w:rFonts w:hint="eastAsia" w:ascii="宋体" w:hAnsi="宋体" w:cs="宋体"/>
                <w:color w:val="auto"/>
                <w:sz w:val="22"/>
                <w:szCs w:val="22"/>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textAlignment w:val="center"/>
              <w:rPr>
                <w:rFonts w:hint="default" w:ascii="宋体" w:hAnsi="宋体" w:cs="宋体"/>
                <w:color w:val="auto"/>
                <w:sz w:val="22"/>
                <w:szCs w:val="22"/>
              </w:rPr>
            </w:pPr>
          </w:p>
        </w:tc>
        <w:tc>
          <w:tcPr>
            <w:tcW w:w="1211" w:type="dxa"/>
            <w:vAlign w:val="center"/>
          </w:tcPr>
          <w:p>
            <w:pPr>
              <w:spacing w:before="0" w:beforeAutospacing="0" w:after="0" w:afterAutospacing="0"/>
              <w:ind w:left="0" w:right="0"/>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6" w:type="dxa"/>
            <w:tcBorders>
              <w:left w:val="single" w:color="auto" w:sz="12" w:space="0"/>
            </w:tcBorders>
            <w:vAlign w:val="center"/>
          </w:tcPr>
          <w:p>
            <w:pPr>
              <w:spacing w:before="0" w:beforeAutospacing="0" w:after="0" w:afterAutospacing="0" w:line="360" w:lineRule="auto"/>
              <w:ind w:left="0" w:right="0"/>
              <w:jc w:val="center"/>
              <w:textAlignment w:val="center"/>
              <w:rPr>
                <w:rFonts w:hint="default" w:ascii="宋体" w:hAnsi="宋体" w:cs="宋体"/>
                <w:color w:val="auto"/>
                <w:sz w:val="22"/>
                <w:szCs w:val="22"/>
              </w:rPr>
            </w:pPr>
            <w:r>
              <w:rPr>
                <w:rFonts w:hint="eastAsia" w:ascii="宋体" w:hAnsi="宋体" w:cs="宋体"/>
                <w:color w:val="auto"/>
                <w:sz w:val="22"/>
                <w:szCs w:val="22"/>
              </w:rPr>
              <w:t>11</w:t>
            </w:r>
          </w:p>
        </w:tc>
        <w:tc>
          <w:tcPr>
            <w:tcW w:w="2139" w:type="dxa"/>
            <w:vAlign w:val="center"/>
          </w:tcPr>
          <w:p>
            <w:pPr>
              <w:spacing w:before="0" w:beforeAutospacing="0" w:after="0" w:afterAutospacing="0"/>
              <w:ind w:left="0" w:right="0"/>
              <w:jc w:val="center"/>
              <w:textAlignment w:val="center"/>
              <w:rPr>
                <w:rFonts w:hint="eastAsia" w:ascii="宋体" w:hAnsi="宋体" w:cs="宋体"/>
                <w:color w:val="auto"/>
                <w:sz w:val="22"/>
                <w:szCs w:val="22"/>
              </w:rPr>
            </w:pPr>
          </w:p>
        </w:tc>
        <w:tc>
          <w:tcPr>
            <w:tcW w:w="1218" w:type="dxa"/>
            <w:vAlign w:val="center"/>
          </w:tcPr>
          <w:p>
            <w:pPr>
              <w:spacing w:before="0" w:beforeAutospacing="0" w:after="0" w:afterAutospacing="0"/>
              <w:ind w:left="0" w:right="0"/>
              <w:jc w:val="center"/>
              <w:rPr>
                <w:rFonts w:hint="default" w:ascii="Arial" w:hAnsi="Arial" w:cs="Arial"/>
                <w:color w:val="auto"/>
                <w:sz w:val="22"/>
                <w:szCs w:val="22"/>
              </w:rPr>
            </w:pPr>
          </w:p>
        </w:tc>
        <w:tc>
          <w:tcPr>
            <w:tcW w:w="1425" w:type="dxa"/>
            <w:vAlign w:val="center"/>
          </w:tcPr>
          <w:p>
            <w:pPr>
              <w:spacing w:before="0" w:beforeAutospacing="0" w:after="0" w:afterAutospacing="0"/>
              <w:ind w:left="0" w:right="0"/>
              <w:jc w:val="center"/>
              <w:textAlignment w:val="center"/>
              <w:rPr>
                <w:rFonts w:hint="default" w:ascii="宋体" w:hAnsi="宋体" w:cs="宋体"/>
                <w:color w:val="auto"/>
                <w:sz w:val="22"/>
                <w:szCs w:val="22"/>
              </w:rPr>
            </w:pPr>
          </w:p>
        </w:tc>
        <w:tc>
          <w:tcPr>
            <w:tcW w:w="1211" w:type="dxa"/>
            <w:vAlign w:val="center"/>
          </w:tcPr>
          <w:p>
            <w:pPr>
              <w:spacing w:before="0" w:beforeAutospacing="0" w:after="0" w:afterAutospacing="0"/>
              <w:ind w:left="0" w:right="0"/>
              <w:rPr>
                <w:rFonts w:hint="default" w:ascii="Arial" w:hAnsi="Arial" w:cs="Arial"/>
                <w:color w:val="auto"/>
                <w:sz w:val="22"/>
                <w:szCs w:val="22"/>
              </w:rPr>
            </w:pPr>
          </w:p>
        </w:tc>
        <w:tc>
          <w:tcPr>
            <w:tcW w:w="1083"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35" w:type="dxa"/>
            <w:vAlign w:val="center"/>
          </w:tcPr>
          <w:p>
            <w:pPr>
              <w:spacing w:before="0" w:beforeAutospacing="0" w:after="0" w:afterAutospacing="0"/>
              <w:ind w:left="0" w:right="-11"/>
              <w:jc w:val="center"/>
              <w:rPr>
                <w:rFonts w:hint="eastAsia" w:ascii="Arial" w:hAnsi="Arial" w:cs="Arial"/>
                <w:color w:val="auto"/>
                <w:sz w:val="22"/>
                <w:szCs w:val="22"/>
              </w:rPr>
            </w:pPr>
          </w:p>
        </w:tc>
        <w:tc>
          <w:tcPr>
            <w:tcW w:w="1221" w:type="dxa"/>
            <w:tcBorders>
              <w:right w:val="single" w:color="auto" w:sz="12" w:space="0"/>
            </w:tcBorders>
            <w:vAlign w:val="center"/>
          </w:tcPr>
          <w:p>
            <w:pPr>
              <w:spacing w:before="0" w:beforeAutospacing="0" w:after="0" w:afterAutospacing="0"/>
              <w:ind w:left="0" w:right="0"/>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043" w:type="dxa"/>
            <w:gridSpan w:val="3"/>
            <w:tcBorders>
              <w:top w:val="single" w:color="auto" w:sz="12" w:space="0"/>
              <w:left w:val="single" w:color="auto" w:sz="12" w:space="0"/>
            </w:tcBorders>
            <w:vAlign w:val="center"/>
          </w:tcPr>
          <w:p>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运杂及保险费（含卸货）</w:t>
            </w:r>
          </w:p>
        </w:tc>
        <w:tc>
          <w:tcPr>
            <w:tcW w:w="6175" w:type="dxa"/>
            <w:gridSpan w:val="5"/>
            <w:tcBorders>
              <w:top w:val="single" w:color="auto" w:sz="12" w:space="0"/>
              <w:right w:val="single" w:color="auto" w:sz="12" w:space="0"/>
            </w:tcBorders>
            <w:vAlign w:val="center"/>
          </w:tcPr>
          <w:p>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新宋体" w:hAnsi="新宋体" w:eastAsia="新宋体" w:cs="Times New Roman"/>
                <w:bCs/>
                <w:color w:val="auto"/>
                <w:sz w:val="22"/>
                <w:szCs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4043" w:type="dxa"/>
            <w:gridSpan w:val="3"/>
            <w:tcBorders>
              <w:left w:val="single" w:color="auto" w:sz="12" w:space="0"/>
            </w:tcBorders>
            <w:vAlign w:val="center"/>
          </w:tcPr>
          <w:p>
            <w:pPr>
              <w:spacing w:before="0" w:beforeAutospacing="0" w:after="0" w:afterAutospacing="0"/>
              <w:ind w:left="0" w:right="-11"/>
              <w:rPr>
                <w:rFonts w:hint="eastAsia" w:ascii="Arial" w:hAnsi="Arial" w:cs="Arial"/>
                <w:color w:val="auto"/>
                <w:sz w:val="22"/>
                <w:szCs w:val="22"/>
              </w:rPr>
            </w:pPr>
            <w:r>
              <w:rPr>
                <w:rFonts w:hint="eastAsia" w:ascii="新宋体" w:hAnsi="新宋体" w:eastAsia="新宋体" w:cs="Times New Roman"/>
                <w:bCs/>
                <w:color w:val="auto"/>
                <w:sz w:val="22"/>
                <w:szCs w:val="22"/>
              </w:rPr>
              <w:t>税金</w:t>
            </w:r>
          </w:p>
        </w:tc>
        <w:tc>
          <w:tcPr>
            <w:tcW w:w="6175" w:type="dxa"/>
            <w:gridSpan w:val="5"/>
            <w:tcBorders>
              <w:right w:val="single" w:color="auto" w:sz="12" w:space="0"/>
            </w:tcBorders>
            <w:vAlign w:val="center"/>
          </w:tcPr>
          <w:p>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新宋体" w:hAnsi="新宋体" w:eastAsia="新宋体" w:cs="Times New Roman"/>
                <w:bCs/>
                <w:color w:val="auto"/>
                <w:sz w:val="22"/>
                <w:szCs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043" w:type="dxa"/>
            <w:gridSpan w:val="3"/>
            <w:tcBorders>
              <w:left w:val="single" w:color="auto" w:sz="12" w:space="0"/>
            </w:tcBorders>
            <w:vAlign w:val="center"/>
          </w:tcPr>
          <w:p>
            <w:pPr>
              <w:spacing w:before="0" w:beforeAutospacing="0" w:after="0" w:afterAutospacing="0"/>
              <w:ind w:left="0" w:right="-11"/>
              <w:rPr>
                <w:rFonts w:hint="default" w:ascii="新宋体" w:hAnsi="新宋体" w:eastAsia="新宋体" w:cs="Times New Roman"/>
                <w:bCs/>
                <w:color w:val="auto"/>
                <w:sz w:val="22"/>
                <w:szCs w:val="22"/>
              </w:rPr>
            </w:pPr>
            <w:r>
              <w:rPr>
                <w:rFonts w:hint="eastAsia" w:ascii="新宋体" w:hAnsi="新宋体" w:eastAsia="新宋体" w:cs="Times New Roman"/>
                <w:bCs/>
                <w:color w:val="auto"/>
                <w:sz w:val="22"/>
                <w:szCs w:val="22"/>
              </w:rPr>
              <w:t>采购代理服务费</w:t>
            </w:r>
          </w:p>
        </w:tc>
        <w:tc>
          <w:tcPr>
            <w:tcW w:w="6175" w:type="dxa"/>
            <w:gridSpan w:val="5"/>
            <w:tcBorders>
              <w:right w:val="single" w:color="auto" w:sz="12" w:space="0"/>
            </w:tcBorders>
            <w:vAlign w:val="center"/>
          </w:tcPr>
          <w:p>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新宋体" w:hAnsi="新宋体" w:eastAsia="新宋体" w:cs="Times New Roman"/>
                <w:bCs/>
                <w:color w:val="auto"/>
                <w:sz w:val="22"/>
                <w:szCs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043" w:type="dxa"/>
            <w:gridSpan w:val="3"/>
            <w:tcBorders>
              <w:left w:val="single" w:color="auto" w:sz="12" w:space="0"/>
            </w:tcBorders>
            <w:vAlign w:val="center"/>
          </w:tcPr>
          <w:p>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其他相关费用（含产品外包装等）</w:t>
            </w:r>
          </w:p>
        </w:tc>
        <w:tc>
          <w:tcPr>
            <w:tcW w:w="6175" w:type="dxa"/>
            <w:gridSpan w:val="5"/>
            <w:tcBorders>
              <w:right w:val="single" w:color="auto" w:sz="12" w:space="0"/>
            </w:tcBorders>
            <w:vAlign w:val="center"/>
          </w:tcPr>
          <w:p>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新宋体" w:hAnsi="新宋体" w:eastAsia="新宋体" w:cs="Times New Roman"/>
                <w:bCs/>
                <w:color w:val="auto"/>
                <w:sz w:val="22"/>
                <w:szCs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043" w:type="dxa"/>
            <w:gridSpan w:val="3"/>
            <w:tcBorders>
              <w:left w:val="single" w:color="auto" w:sz="12" w:space="0"/>
              <w:bottom w:val="single" w:color="auto" w:sz="12" w:space="0"/>
            </w:tcBorders>
            <w:vAlign w:val="center"/>
          </w:tcPr>
          <w:p>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总计价</w:t>
            </w:r>
          </w:p>
        </w:tc>
        <w:tc>
          <w:tcPr>
            <w:tcW w:w="6175" w:type="dxa"/>
            <w:gridSpan w:val="5"/>
            <w:tcBorders>
              <w:bottom w:val="single" w:color="auto" w:sz="12" w:space="0"/>
              <w:right w:val="single" w:color="auto" w:sz="12" w:space="0"/>
            </w:tcBorders>
            <w:vAlign w:val="top"/>
          </w:tcPr>
          <w:p>
            <w:pPr>
              <w:spacing w:before="0" w:beforeAutospacing="0" w:after="0" w:afterAutospacing="0" w:line="340" w:lineRule="exact"/>
              <w:ind w:left="0" w:right="0"/>
              <w:rPr>
                <w:rFonts w:hint="eastAsia" w:ascii="新宋体" w:hAnsi="新宋体" w:eastAsia="新宋体" w:cs="Times New Roman"/>
                <w:bCs/>
                <w:color w:val="auto"/>
                <w:sz w:val="22"/>
                <w:szCs w:val="22"/>
              </w:rPr>
            </w:pPr>
          </w:p>
        </w:tc>
      </w:tr>
    </w:tbl>
    <w:p>
      <w:pPr>
        <w:pStyle w:val="43"/>
        <w:ind w:hanging="480"/>
        <w:rPr>
          <w:rFonts w:hint="eastAsia"/>
          <w:color w:val="auto"/>
        </w:rPr>
      </w:pPr>
    </w:p>
    <w:p>
      <w:pPr>
        <w:spacing w:line="380" w:lineRule="exact"/>
        <w:rPr>
          <w:rFonts w:hint="eastAsia" w:ascii="新宋体" w:hAnsi="新宋体" w:eastAsia="新宋体"/>
          <w:color w:val="auto"/>
          <w:sz w:val="22"/>
          <w:szCs w:val="22"/>
        </w:rPr>
      </w:pPr>
      <w:r>
        <w:rPr>
          <w:rFonts w:hint="eastAsia" w:ascii="新宋体" w:hAnsi="新宋体" w:eastAsia="新宋体"/>
          <w:b/>
          <w:bCs/>
          <w:color w:val="auto"/>
          <w:sz w:val="22"/>
          <w:szCs w:val="22"/>
        </w:rPr>
        <w:t>说明：</w:t>
      </w:r>
      <w:r>
        <w:rPr>
          <w:rFonts w:hint="eastAsia" w:ascii="新宋体" w:hAnsi="新宋体" w:eastAsia="新宋体"/>
          <w:color w:val="auto"/>
          <w:sz w:val="22"/>
          <w:szCs w:val="22"/>
        </w:rPr>
        <w:t>1.不提供详细分项报价将视为没有实质性响应招标文件。</w:t>
      </w:r>
    </w:p>
    <w:p>
      <w:pPr>
        <w:spacing w:line="380" w:lineRule="exact"/>
        <w:ind w:firstLine="720"/>
        <w:rPr>
          <w:rFonts w:hint="eastAsia" w:ascii="新宋体" w:hAnsi="新宋体" w:eastAsia="新宋体"/>
          <w:color w:val="auto"/>
          <w:sz w:val="22"/>
          <w:szCs w:val="22"/>
        </w:rPr>
      </w:pPr>
      <w:r>
        <w:rPr>
          <w:rFonts w:hint="eastAsia" w:ascii="新宋体" w:hAnsi="新宋体" w:eastAsia="新宋体"/>
          <w:color w:val="auto"/>
          <w:sz w:val="22"/>
          <w:szCs w:val="22"/>
        </w:rPr>
        <w:t>2.此表总计价应与附件二“投标报价一览表”</w:t>
      </w:r>
      <w:r>
        <w:rPr>
          <w:rFonts w:hint="eastAsia" w:ascii="宋体" w:hAnsi="宋体" w:cs="宋体"/>
          <w:bCs/>
          <w:color w:val="auto"/>
          <w:sz w:val="22"/>
          <w:szCs w:val="22"/>
        </w:rPr>
        <w:t>投标报价</w:t>
      </w:r>
      <w:r>
        <w:rPr>
          <w:rFonts w:hint="eastAsia" w:ascii="新宋体" w:hAnsi="新宋体" w:eastAsia="新宋体"/>
          <w:color w:val="auto"/>
          <w:sz w:val="22"/>
          <w:szCs w:val="22"/>
        </w:rPr>
        <w:t>相一致。</w:t>
      </w:r>
    </w:p>
    <w:p>
      <w:pPr>
        <w:spacing w:line="380" w:lineRule="exact"/>
        <w:ind w:firstLine="720"/>
        <w:rPr>
          <w:rFonts w:hint="eastAsia" w:ascii="新宋体" w:hAnsi="新宋体" w:eastAsia="新宋体"/>
          <w:color w:val="auto"/>
          <w:sz w:val="22"/>
          <w:szCs w:val="22"/>
        </w:rPr>
      </w:pPr>
      <w:r>
        <w:rPr>
          <w:rFonts w:hint="eastAsia" w:ascii="新宋体" w:hAnsi="新宋体" w:eastAsia="新宋体"/>
          <w:color w:val="auto"/>
          <w:sz w:val="22"/>
          <w:szCs w:val="22"/>
        </w:rPr>
        <w:t>3.如果免费请在该备注栏内注明“免”，如果含在产品价格中则填“含”，如无此项内容则填“无”，不留空白。</w:t>
      </w:r>
    </w:p>
    <w:p>
      <w:pPr>
        <w:spacing w:line="380" w:lineRule="exact"/>
        <w:ind w:firstLine="720"/>
        <w:jc w:val="center"/>
        <w:rPr>
          <w:rFonts w:hint="eastAsia" w:ascii="新宋体" w:hAnsi="新宋体" w:eastAsia="新宋体"/>
          <w:color w:val="auto"/>
          <w:sz w:val="22"/>
          <w:szCs w:val="22"/>
        </w:rPr>
      </w:pPr>
      <w:r>
        <w:rPr>
          <w:rFonts w:hint="eastAsia" w:ascii="新宋体" w:hAnsi="新宋体" w:eastAsia="新宋体"/>
          <w:color w:val="auto"/>
          <w:sz w:val="22"/>
          <w:szCs w:val="22"/>
        </w:rPr>
        <w:t xml:space="preserve">          投标供应商全称（盖章）：</w:t>
      </w:r>
    </w:p>
    <w:p>
      <w:pPr>
        <w:spacing w:line="460" w:lineRule="exact"/>
        <w:ind w:firstLine="4400" w:firstLineChars="2000"/>
        <w:rPr>
          <w:rFonts w:hint="eastAsia" w:ascii="新宋体" w:hAnsi="新宋体" w:eastAsia="新宋体"/>
          <w:color w:val="auto"/>
          <w:sz w:val="22"/>
          <w:szCs w:val="22"/>
        </w:rPr>
      </w:pPr>
      <w:r>
        <w:rPr>
          <w:rFonts w:hint="eastAsia" w:ascii="新宋体" w:hAnsi="新宋体" w:eastAsia="新宋体"/>
          <w:color w:val="auto"/>
          <w:sz w:val="22"/>
          <w:szCs w:val="22"/>
        </w:rPr>
        <w:t>投标供应商代表（签字）：</w:t>
      </w:r>
    </w:p>
    <w:p>
      <w:pPr>
        <w:spacing w:line="460" w:lineRule="exact"/>
        <w:ind w:firstLine="4400" w:firstLineChars="2000"/>
        <w:rPr>
          <w:rFonts w:hint="eastAsia" w:ascii="新宋体" w:hAnsi="新宋体" w:eastAsia="新宋体"/>
          <w:color w:val="auto"/>
          <w:sz w:val="22"/>
          <w:szCs w:val="22"/>
        </w:rPr>
        <w:sectPr>
          <w:footerReference r:id="rId12" w:type="default"/>
          <w:pgSz w:w="11906" w:h="16838"/>
          <w:pgMar w:top="1134" w:right="1134" w:bottom="1134" w:left="1134" w:header="851" w:footer="992" w:gutter="0"/>
          <w:cols w:space="720" w:num="1"/>
          <w:docGrid w:linePitch="312" w:charSpace="0"/>
        </w:sectPr>
      </w:pPr>
      <w:r>
        <w:rPr>
          <w:rFonts w:hint="eastAsia" w:ascii="新宋体" w:hAnsi="新宋体" w:eastAsia="新宋体"/>
          <w:color w:val="auto"/>
          <w:sz w:val="22"/>
          <w:szCs w:val="22"/>
        </w:rPr>
        <w:t>日期：    年   月   日</w:t>
      </w:r>
    </w:p>
    <w:p>
      <w:pPr>
        <w:pStyle w:val="3"/>
        <w:spacing w:line="240" w:lineRule="auto"/>
        <w:rPr>
          <w:rFonts w:hint="eastAsia" w:ascii="宋体" w:hAnsi="宋体" w:cs="宋体"/>
          <w:color w:val="auto"/>
          <w:sz w:val="24"/>
          <w:highlight w:val="none"/>
        </w:rPr>
      </w:pPr>
      <w:r>
        <w:rPr>
          <w:rFonts w:hint="eastAsia" w:ascii="宋体" w:hAnsi="宋体" w:eastAsia="宋体"/>
          <w:color w:val="auto"/>
          <w:sz w:val="24"/>
          <w:szCs w:val="24"/>
          <w:highlight w:val="none"/>
        </w:rPr>
        <w:t>附件四 资格证明文件</w:t>
      </w:r>
      <w:bookmarkEnd w:id="77"/>
      <w:bookmarkEnd w:id="81"/>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资格证明文件</w:t>
      </w:r>
    </w:p>
    <w:p>
      <w:pPr>
        <w:spacing w:line="440" w:lineRule="exact"/>
        <w:jc w:val="center"/>
        <w:rPr>
          <w:rFonts w:hint="eastAsia" w:ascii="宋体" w:hAnsi="宋体" w:cs="宋体"/>
          <w:b/>
          <w:color w:val="auto"/>
          <w:szCs w:val="22"/>
          <w:highlight w:val="none"/>
        </w:rPr>
      </w:pPr>
      <w:r>
        <w:rPr>
          <w:rFonts w:hint="eastAsia" w:ascii="宋体" w:hAnsi="宋体" w:cs="宋体"/>
          <w:b/>
          <w:color w:val="auto"/>
          <w:sz w:val="24"/>
          <w:highlight w:val="none"/>
        </w:rPr>
        <w:t>（1）法定代表人、单位负责人或自然人本人的身份证明（适用于法定代表人、单位负责人或者自然人本人代表投标人参加投标）</w:t>
      </w:r>
    </w:p>
    <w:p>
      <w:pPr>
        <w:autoSpaceDE w:val="0"/>
        <w:autoSpaceDN w:val="0"/>
        <w:adjustRightInd w:val="0"/>
        <w:rPr>
          <w:rFonts w:hint="eastAsia" w:ascii="宋体" w:hAnsi="宋体" w:cs="宋体"/>
          <w:color w:val="auto"/>
          <w:sz w:val="22"/>
          <w:szCs w:val="22"/>
          <w:highlight w:val="none"/>
        </w:rPr>
      </w:pPr>
    </w:p>
    <w:p>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单位性质： </w:t>
      </w:r>
      <w:r>
        <w:rPr>
          <w:rFonts w:hint="eastAsia" w:ascii="宋体" w:hAnsi="宋体" w:cs="宋体"/>
          <w:color w:val="auto"/>
          <w:sz w:val="22"/>
          <w:szCs w:val="22"/>
          <w:highlight w:val="none"/>
          <w:u w:val="single"/>
        </w:rPr>
        <w:t xml:space="preserve">                                 </w:t>
      </w:r>
    </w:p>
    <w:p>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成立时间：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ab/>
      </w:r>
    </w:p>
    <w:p>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姓    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（投标人名称）的法定代表人</w:t>
      </w:r>
    </w:p>
    <w:p>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特此证明</w:t>
      </w:r>
    </w:p>
    <w:p>
      <w:pPr>
        <w:autoSpaceDE w:val="0"/>
        <w:autoSpaceDN w:val="0"/>
        <w:adjustRightInd w:val="0"/>
        <w:spacing w:line="440" w:lineRule="exact"/>
        <w:rPr>
          <w:rFonts w:hint="eastAsia" w:ascii="宋体" w:hAnsi="宋体" w:cs="宋体"/>
          <w:color w:val="auto"/>
          <w:sz w:val="22"/>
          <w:szCs w:val="22"/>
          <w:highlight w:val="none"/>
        </w:rPr>
      </w:pPr>
    </w:p>
    <w:p>
      <w:pPr>
        <w:autoSpaceDE w:val="0"/>
        <w:autoSpaceDN w:val="0"/>
        <w:adjustRightInd w:val="0"/>
        <w:spacing w:line="440" w:lineRule="exact"/>
        <w:rPr>
          <w:rFonts w:hint="eastAsia" w:ascii="宋体" w:hAnsi="宋体" w:cs="宋体"/>
          <w:color w:val="auto"/>
          <w:sz w:val="22"/>
          <w:szCs w:val="22"/>
          <w:highlight w:val="none"/>
        </w:rPr>
      </w:pPr>
    </w:p>
    <w:p>
      <w:pPr>
        <w:autoSpaceDE w:val="0"/>
        <w:autoSpaceDN w:val="0"/>
        <w:adjustRightInd w:val="0"/>
        <w:spacing w:line="440" w:lineRule="exact"/>
        <w:rPr>
          <w:rFonts w:hint="eastAsia" w:ascii="宋体" w:hAnsi="宋体" w:cs="宋体"/>
          <w:color w:val="auto"/>
          <w:sz w:val="22"/>
          <w:szCs w:val="22"/>
          <w:highlight w:val="none"/>
        </w:rPr>
      </w:pPr>
    </w:p>
    <w:p>
      <w:pPr>
        <w:autoSpaceDE w:val="0"/>
        <w:autoSpaceDN w:val="0"/>
        <w:adjustRightInd w:val="0"/>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pPr>
        <w:wordWrap w:val="0"/>
        <w:autoSpaceDE w:val="0"/>
        <w:autoSpaceDN w:val="0"/>
        <w:adjustRightInd w:val="0"/>
        <w:spacing w:line="440" w:lineRule="exact"/>
        <w:ind w:firstLine="1650" w:firstLineChars="75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pPr>
        <w:autoSpaceDE w:val="0"/>
        <w:autoSpaceDN w:val="0"/>
        <w:adjustRightInd w:val="0"/>
        <w:jc w:val="left"/>
        <w:rPr>
          <w:rFonts w:hint="eastAsia" w:ascii="宋体" w:hAnsi="宋体" w:cs="宋体"/>
          <w:color w:val="auto"/>
          <w:sz w:val="22"/>
          <w:szCs w:val="22"/>
          <w:highlight w:val="none"/>
        </w:rPr>
      </w:pPr>
    </w:p>
    <w:p>
      <w:pPr>
        <w:spacing w:line="380" w:lineRule="exact"/>
        <w:jc w:val="center"/>
        <w:rPr>
          <w:rFonts w:hint="eastAsia" w:ascii="宋体" w:hAnsi="宋体" w:cs="宋体"/>
          <w:b/>
          <w:color w:val="auto"/>
          <w:sz w:val="24"/>
          <w:highlight w:val="none"/>
        </w:rPr>
      </w:pPr>
    </w:p>
    <w:p>
      <w:pPr>
        <w:spacing w:line="380" w:lineRule="exact"/>
        <w:rPr>
          <w:rFonts w:hint="eastAsia" w:ascii="宋体" w:hAnsi="宋体" w:cs="宋体"/>
          <w:b/>
          <w:color w:val="auto"/>
          <w:sz w:val="24"/>
          <w:highlight w:val="none"/>
        </w:rPr>
      </w:pPr>
      <w:r>
        <w:rPr>
          <w:rFonts w:hint="eastAsia" w:ascii="宋体" w:hAnsi="宋体" w:cs="宋体"/>
          <w:b/>
          <w:color w:val="auto"/>
          <w:sz w:val="24"/>
          <w:highlight w:val="none"/>
        </w:rPr>
        <w:t>附：法定代表人身份证明</w:t>
      </w:r>
    </w:p>
    <w:tbl>
      <w:tblPr>
        <w:tblStyle w:val="44"/>
        <w:tblpPr w:leftFromText="180" w:rightFromText="180" w:vertAnchor="text" w:horzAnchor="page" w:tblpX="1162" w:tblpY="137"/>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75" w:type="dxa"/>
            <w:vAlign w:val="top"/>
          </w:tcPr>
          <w:p>
            <w:pPr>
              <w:spacing w:before="0" w:beforeAutospacing="0" w:after="0" w:afterAutospacing="0" w:line="440" w:lineRule="exact"/>
              <w:ind w:left="0" w:right="0"/>
              <w:rPr>
                <w:rFonts w:hint="eastAsia" w:ascii="宋体" w:hAnsi="宋体" w:cs="宋体"/>
                <w:color w:val="auto"/>
                <w:sz w:val="22"/>
                <w:szCs w:val="22"/>
                <w:highlight w:val="none"/>
              </w:rPr>
            </w:pPr>
          </w:p>
          <w:p>
            <w:pPr>
              <w:spacing w:before="0" w:beforeAutospacing="0" w:after="0" w:afterAutospacing="0" w:line="440" w:lineRule="exact"/>
              <w:ind w:left="0" w:right="0"/>
              <w:rPr>
                <w:rFonts w:hint="eastAsia" w:ascii="宋体" w:hAnsi="宋体" w:cs="宋体"/>
                <w:color w:val="auto"/>
                <w:sz w:val="22"/>
                <w:szCs w:val="22"/>
                <w:highlight w:val="none"/>
              </w:rPr>
            </w:pPr>
          </w:p>
          <w:p>
            <w:pPr>
              <w:spacing w:before="0" w:beforeAutospacing="0" w:after="0" w:afterAutospacing="0" w:line="440" w:lineRule="exact"/>
              <w:ind w:left="0" w:right="0"/>
              <w:rPr>
                <w:rFonts w:hint="eastAsia" w:ascii="宋体" w:hAnsi="宋体" w:cs="宋体"/>
                <w:color w:val="auto"/>
                <w:sz w:val="22"/>
                <w:szCs w:val="22"/>
                <w:highlight w:val="none"/>
              </w:rPr>
            </w:pPr>
          </w:p>
          <w:p>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法人代表身份证复印件</w:t>
            </w:r>
          </w:p>
          <w:p>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pPr>
        <w:spacing w:line="380" w:lineRule="exact"/>
        <w:rPr>
          <w:rFonts w:hint="eastAsia" w:ascii="宋体" w:hAnsi="宋体" w:cs="宋体"/>
          <w:b/>
          <w:color w:val="auto"/>
          <w:sz w:val="24"/>
          <w:highlight w:val="none"/>
        </w:rPr>
      </w:pPr>
    </w:p>
    <w:p>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pPr>
        <w:spacing w:line="460" w:lineRule="exact"/>
        <w:rPr>
          <w:rFonts w:hint="eastAsia" w:ascii="宋体" w:hAnsi="宋体" w:cs="宋体"/>
          <w:color w:val="auto"/>
          <w:sz w:val="22"/>
          <w:szCs w:val="22"/>
          <w:highlight w:val="none"/>
        </w:rPr>
      </w:pPr>
    </w:p>
    <w:p>
      <w:pPr>
        <w:spacing w:line="460" w:lineRule="exact"/>
        <w:rPr>
          <w:rFonts w:hint="eastAsia" w:ascii="宋体" w:hAnsi="宋体" w:cs="宋体"/>
          <w:b/>
          <w:color w:val="auto"/>
          <w:sz w:val="24"/>
          <w:highlight w:val="none"/>
        </w:rPr>
      </w:pPr>
      <w:r>
        <w:rPr>
          <w:rFonts w:hint="eastAsia" w:ascii="宋体" w:hAnsi="宋体" w:cs="宋体"/>
          <w:b/>
          <w:color w:val="auto"/>
          <w:sz w:val="24"/>
          <w:highlight w:val="none"/>
          <w:lang w:eastAsia="zh-CN"/>
        </w:rPr>
        <w:t>温州市应急管理局</w:t>
      </w:r>
      <w:r>
        <w:rPr>
          <w:rFonts w:hint="eastAsia" w:ascii="宋体" w:hAnsi="宋体" w:cs="宋体"/>
          <w:b/>
          <w:color w:val="auto"/>
          <w:sz w:val="24"/>
          <w:highlight w:val="none"/>
        </w:rPr>
        <w:t>：</w:t>
      </w:r>
    </w:p>
    <w:p>
      <w:pPr>
        <w:spacing w:line="440" w:lineRule="exact"/>
        <w:rPr>
          <w:rFonts w:hint="eastAsia" w:ascii="宋体" w:hAnsi="宋体" w:cs="宋体"/>
          <w:color w:val="auto"/>
          <w:sz w:val="22"/>
          <w:szCs w:val="22"/>
          <w:highlight w:val="none"/>
          <w:u w:val="single"/>
        </w:rPr>
      </w:pPr>
    </w:p>
    <w:p>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rPr>
        <w:t>）投标文件、签订合同和处理有关事宜，其法律后果由我方承担。</w:t>
      </w:r>
    </w:p>
    <w:p>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spacing w:line="440" w:lineRule="exact"/>
        <w:rPr>
          <w:rFonts w:hint="eastAsia" w:ascii="宋体" w:hAnsi="宋体" w:cs="宋体"/>
          <w:color w:val="auto"/>
          <w:sz w:val="22"/>
          <w:szCs w:val="22"/>
          <w:highlight w:val="none"/>
        </w:rPr>
      </w:pPr>
    </w:p>
    <w:p>
      <w:pPr>
        <w:spacing w:line="440" w:lineRule="exact"/>
        <w:rPr>
          <w:rFonts w:hint="eastAsia" w:ascii="宋体" w:hAnsi="宋体" w:cs="宋体"/>
          <w:color w:val="auto"/>
          <w:sz w:val="22"/>
          <w:szCs w:val="22"/>
          <w:highlight w:val="none"/>
        </w:rPr>
      </w:pP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手机号码：</w:t>
      </w:r>
    </w:p>
    <w:p>
      <w:pPr>
        <w:spacing w:line="440" w:lineRule="exact"/>
        <w:rPr>
          <w:rFonts w:hint="eastAsia"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44"/>
        <w:tblpPr w:leftFromText="180" w:rightFromText="180" w:vertAnchor="text" w:horzAnchor="page" w:tblpX="1237" w:tblpY="100"/>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vAlign w:val="top"/>
          </w:tcPr>
          <w:p>
            <w:pPr>
              <w:spacing w:before="0" w:beforeAutospacing="0" w:after="0" w:afterAutospacing="0" w:line="440" w:lineRule="exact"/>
              <w:ind w:left="0" w:right="0"/>
              <w:rPr>
                <w:rFonts w:hint="eastAsia" w:ascii="宋体" w:hAnsi="宋体" w:cs="宋体"/>
                <w:color w:val="auto"/>
                <w:sz w:val="22"/>
                <w:szCs w:val="22"/>
                <w:highlight w:val="none"/>
              </w:rPr>
            </w:pPr>
          </w:p>
          <w:p>
            <w:pPr>
              <w:spacing w:before="0" w:beforeAutospacing="0" w:after="0" w:afterAutospacing="0" w:line="440" w:lineRule="exact"/>
              <w:ind w:left="0" w:right="0"/>
              <w:rPr>
                <w:rFonts w:hint="eastAsia" w:ascii="宋体" w:hAnsi="宋体" w:cs="宋体"/>
                <w:color w:val="auto"/>
                <w:sz w:val="22"/>
                <w:szCs w:val="22"/>
                <w:highlight w:val="none"/>
              </w:rPr>
            </w:pPr>
          </w:p>
          <w:p>
            <w:pPr>
              <w:spacing w:before="0" w:beforeAutospacing="0" w:after="0" w:afterAutospacing="0" w:line="440" w:lineRule="exact"/>
              <w:ind w:left="0" w:right="0"/>
              <w:rPr>
                <w:rFonts w:hint="eastAsia" w:ascii="宋体" w:hAnsi="宋体" w:cs="宋体"/>
                <w:color w:val="auto"/>
                <w:sz w:val="22"/>
                <w:szCs w:val="22"/>
                <w:highlight w:val="none"/>
              </w:rPr>
            </w:pPr>
          </w:p>
          <w:p>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授权代表身份证复印件</w:t>
            </w:r>
          </w:p>
          <w:p>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pPr>
        <w:spacing w:line="440" w:lineRule="exact"/>
        <w:ind w:firstLine="220" w:firstLineChars="100"/>
        <w:rPr>
          <w:rFonts w:hint="eastAsia" w:ascii="宋体" w:hAnsi="宋体" w:cs="宋体"/>
          <w:color w:val="auto"/>
          <w:sz w:val="22"/>
          <w:szCs w:val="22"/>
          <w:highlight w:val="none"/>
        </w:rPr>
      </w:pPr>
    </w:p>
    <w:p>
      <w:pPr>
        <w:spacing w:line="440" w:lineRule="exact"/>
        <w:rPr>
          <w:rFonts w:hint="eastAsia" w:ascii="宋体" w:hAnsi="宋体" w:cs="宋体"/>
          <w:b/>
          <w:bCs/>
          <w:color w:val="auto"/>
          <w:sz w:val="22"/>
          <w:szCs w:val="22"/>
          <w:highlight w:val="none"/>
        </w:rPr>
      </w:pPr>
    </w:p>
    <w:p>
      <w:pPr>
        <w:spacing w:line="440" w:lineRule="exact"/>
        <w:rPr>
          <w:rFonts w:hint="eastAsia" w:ascii="宋体" w:hAnsi="宋体" w:cs="宋体"/>
          <w:b/>
          <w:color w:val="auto"/>
          <w:sz w:val="24"/>
          <w:highlight w:val="none"/>
        </w:rPr>
        <w:sectPr>
          <w:footerReference r:id="rId1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400" w:lineRule="exact"/>
        <w:jc w:val="center"/>
        <w:rPr>
          <w:rFonts w:hint="eastAsia"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color w:val="auto"/>
          <w:sz w:val="24"/>
          <w:highlight w:val="none"/>
        </w:rPr>
        <w:t>符合参加政府采购活动应当具备的一般条件的承诺函</w:t>
      </w:r>
    </w:p>
    <w:p>
      <w:pPr>
        <w:pStyle w:val="18"/>
        <w:rPr>
          <w:rFonts w:hint="eastAsia"/>
          <w:color w:val="auto"/>
          <w:highlight w:val="none"/>
        </w:rPr>
      </w:pPr>
    </w:p>
    <w:p>
      <w:pPr>
        <w:widowControl/>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温州市应急管理局</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浙江高申工程咨询有限公司</w:t>
      </w:r>
      <w:r>
        <w:rPr>
          <w:rFonts w:hint="eastAsia" w:ascii="宋体" w:hAnsi="宋体" w:cs="宋体"/>
          <w:b/>
          <w:bCs/>
          <w:color w:val="auto"/>
          <w:sz w:val="24"/>
          <w:highlight w:val="none"/>
        </w:rPr>
        <w:t>：</w:t>
      </w:r>
    </w:p>
    <w:p>
      <w:pPr>
        <w:widowControl/>
        <w:adjustRightInd w:val="0"/>
        <w:snapToGrid w:val="0"/>
        <w:spacing w:line="440" w:lineRule="exact"/>
        <w:ind w:firstLine="440" w:firstLineChars="200"/>
        <w:jc w:val="left"/>
        <w:rPr>
          <w:rFonts w:hint="eastAsia" w:ascii="宋体" w:hAnsi="宋体" w:cs="Arial"/>
          <w:color w:val="auto"/>
          <w:sz w:val="22"/>
          <w:szCs w:val="22"/>
          <w:highlight w:val="none"/>
        </w:rPr>
      </w:pPr>
    </w:p>
    <w:p>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仿宋_GB2312"/>
          <w:color w:val="auto"/>
          <w:sz w:val="22"/>
          <w:szCs w:val="22"/>
          <w:highlight w:val="none"/>
          <w:u w:val="single"/>
        </w:rPr>
        <w:t xml:space="preserve"> </w:t>
      </w:r>
      <w:r>
        <w:rPr>
          <w:rFonts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    】</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u w:val="single"/>
          <w:lang w:val="en-US" w:eastAsia="zh-CN"/>
        </w:rPr>
        <w:t xml:space="preserve">    </w:t>
      </w:r>
      <w:r>
        <w:rPr>
          <w:rFonts w:hint="eastAsia" w:ascii="宋体" w:hAnsi="宋体" w:cs="仿宋_GB2312"/>
          <w:color w:val="auto"/>
          <w:sz w:val="22"/>
          <w:szCs w:val="22"/>
          <w:highlight w:val="none"/>
        </w:rPr>
        <w:t>政府采购活动，郑重承诺：</w:t>
      </w:r>
    </w:p>
    <w:p>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pPr>
        <w:snapToGrid w:val="0"/>
        <w:spacing w:line="360" w:lineRule="auto"/>
        <w:ind w:firstLine="440" w:firstLineChars="200"/>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r>
        <w:rPr>
          <w:rFonts w:hint="eastAsia" w:ascii="宋体" w:hAnsi="宋体" w:cs="仿宋_GB2312"/>
          <w:color w:val="auto"/>
          <w:sz w:val="22"/>
          <w:szCs w:val="22"/>
          <w:highlight w:val="none"/>
          <w:lang w:eastAsia="zh-CN"/>
        </w:rPr>
        <w:t>；</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具有良好的商业信誉和健全的财务会计制度</w:t>
      </w:r>
      <w:r>
        <w:rPr>
          <w:rFonts w:hint="eastAsia" w:ascii="宋体" w:hAnsi="宋体"/>
          <w:color w:val="auto"/>
          <w:sz w:val="22"/>
          <w:szCs w:val="22"/>
          <w:highlight w:val="none"/>
          <w:lang w:eastAsia="zh-CN"/>
        </w:rPr>
        <w:t>；</w:t>
      </w:r>
      <w:r>
        <w:rPr>
          <w:rFonts w:ascii="宋体" w:hAnsi="宋体"/>
          <w:color w:val="auto"/>
          <w:sz w:val="22"/>
          <w:szCs w:val="22"/>
          <w:highlight w:val="none"/>
        </w:rPr>
        <w:t xml:space="preserve"> </w:t>
      </w:r>
    </w:p>
    <w:p>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r>
        <w:rPr>
          <w:rFonts w:hint="eastAsia" w:ascii="宋体" w:hAnsi="宋体"/>
          <w:color w:val="auto"/>
          <w:sz w:val="22"/>
          <w:szCs w:val="22"/>
          <w:highlight w:val="none"/>
          <w:lang w:eastAsia="zh-CN"/>
        </w:rPr>
        <w:t>；</w:t>
      </w:r>
    </w:p>
    <w:p>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r>
        <w:rPr>
          <w:rFonts w:hint="eastAsia" w:ascii="宋体" w:hAnsi="宋体"/>
          <w:color w:val="auto"/>
          <w:sz w:val="22"/>
          <w:szCs w:val="22"/>
          <w:highlight w:val="none"/>
          <w:lang w:eastAsia="zh-CN"/>
        </w:rPr>
        <w:t>；</w:t>
      </w:r>
    </w:p>
    <w:p>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r>
        <w:rPr>
          <w:rFonts w:hint="eastAsia" w:ascii="宋体" w:hAnsi="宋体"/>
          <w:color w:val="auto"/>
          <w:sz w:val="22"/>
          <w:szCs w:val="22"/>
          <w:highlight w:val="none"/>
          <w:lang w:eastAsia="zh-CN"/>
        </w:rPr>
        <w:t>；</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pPr>
        <w:snapToGrid w:val="0"/>
        <w:spacing w:line="360" w:lineRule="auto"/>
        <w:ind w:firstLine="440" w:firstLineChars="200"/>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r>
        <w:rPr>
          <w:rFonts w:hint="eastAsia" w:ascii="宋体" w:hAnsi="宋体" w:cs="仿宋_GB2312"/>
          <w:color w:val="auto"/>
          <w:sz w:val="22"/>
          <w:szCs w:val="22"/>
          <w:highlight w:val="none"/>
          <w:lang w:eastAsia="zh-CN"/>
        </w:rPr>
        <w:t>；</w:t>
      </w:r>
    </w:p>
    <w:p>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pPr>
        <w:snapToGrid w:val="0"/>
        <w:spacing w:line="360" w:lineRule="auto"/>
        <w:ind w:firstLine="440" w:firstLineChars="200"/>
        <w:rPr>
          <w:rFonts w:ascii="宋体" w:hAnsi="宋体" w:cs="仿宋_GB2312"/>
          <w:color w:val="auto"/>
          <w:sz w:val="22"/>
          <w:szCs w:val="22"/>
          <w:highlight w:val="none"/>
        </w:rPr>
      </w:pPr>
    </w:p>
    <w:p>
      <w:pPr>
        <w:snapToGrid w:val="0"/>
        <w:spacing w:line="360" w:lineRule="auto"/>
        <w:ind w:firstLine="440" w:firstLineChars="200"/>
        <w:rPr>
          <w:rFonts w:ascii="宋体" w:hAnsi="宋体" w:cs="仿宋_GB2312"/>
          <w:color w:val="auto"/>
          <w:sz w:val="22"/>
          <w:szCs w:val="22"/>
          <w:highlight w:val="none"/>
        </w:rPr>
      </w:pPr>
    </w:p>
    <w:p>
      <w:pPr>
        <w:snapToGrid w:val="0"/>
        <w:spacing w:line="360" w:lineRule="auto"/>
        <w:ind w:firstLine="440" w:firstLineChars="200"/>
        <w:rPr>
          <w:rFonts w:ascii="宋体" w:hAnsi="宋体" w:cs="仿宋_GB2312"/>
          <w:color w:val="auto"/>
          <w:sz w:val="22"/>
          <w:szCs w:val="22"/>
          <w:highlight w:val="none"/>
        </w:rPr>
      </w:pPr>
    </w:p>
    <w:p>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供应商名称（电子签名/公章）</w:t>
      </w:r>
      <w:r>
        <w:rPr>
          <w:rFonts w:ascii="宋体" w:hAnsi="宋体"/>
          <w:color w:val="auto"/>
          <w:sz w:val="22"/>
          <w:szCs w:val="22"/>
          <w:highlight w:val="none"/>
        </w:rPr>
        <w:t>：</w:t>
      </w:r>
    </w:p>
    <w:p>
      <w:pPr>
        <w:spacing w:line="440" w:lineRule="exact"/>
        <w:jc w:val="center"/>
        <w:rPr>
          <w:rFonts w:hint="eastAsia"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月</w:t>
      </w:r>
      <w:r>
        <w:rPr>
          <w:rFonts w:ascii="宋体" w:hAnsi="宋体"/>
          <w:color w:val="auto"/>
          <w:sz w:val="22"/>
          <w:szCs w:val="22"/>
          <w:highlight w:val="none"/>
        </w:rPr>
        <w:t xml:space="preserve">     </w:t>
      </w:r>
      <w:r>
        <w:rPr>
          <w:rFonts w:hint="eastAsia" w:ascii="宋体" w:hAnsi="宋体"/>
          <w:color w:val="auto"/>
          <w:sz w:val="22"/>
          <w:szCs w:val="22"/>
          <w:highlight w:val="none"/>
        </w:rPr>
        <w:t>日</w:t>
      </w:r>
    </w:p>
    <w:p>
      <w:pPr>
        <w:spacing w:line="440" w:lineRule="exact"/>
        <w:jc w:val="center"/>
        <w:rPr>
          <w:rFonts w:hint="eastAsia" w:ascii="宋体" w:hAnsi="宋体"/>
          <w:color w:val="auto"/>
          <w:sz w:val="22"/>
          <w:szCs w:val="22"/>
          <w:highlight w:val="none"/>
        </w:rPr>
      </w:pPr>
    </w:p>
    <w:p>
      <w:pPr>
        <w:widowControl/>
        <w:spacing w:before="100" w:beforeAutospacing="1" w:after="100" w:afterAutospacing="1" w:line="360" w:lineRule="auto"/>
        <w:jc w:val="center"/>
        <w:rPr>
          <w:rFonts w:ascii="新宋体" w:hAnsi="新宋体" w:eastAsia="新宋体" w:cs="新宋体"/>
          <w:color w:val="auto"/>
          <w:sz w:val="22"/>
          <w:szCs w:val="22"/>
          <w:highlight w:val="none"/>
        </w:rPr>
      </w:pPr>
      <w:r>
        <w:rPr>
          <w:rFonts w:hint="eastAsia" w:ascii="宋体" w:hAnsi="宋体"/>
          <w:color w:val="auto"/>
          <w:sz w:val="22"/>
          <w:szCs w:val="22"/>
          <w:highlight w:val="none"/>
        </w:rPr>
        <w:br w:type="page"/>
      </w:r>
      <w:r>
        <w:rPr>
          <w:rFonts w:hint="eastAsia" w:ascii="宋体" w:hAnsi="宋体" w:cs="宋体"/>
          <w:b/>
          <w:color w:val="auto"/>
          <w:sz w:val="24"/>
          <w:highlight w:val="none"/>
        </w:rPr>
        <w:t>（4）联合体协议书（如为联合体投标，请提供）</w:t>
      </w:r>
    </w:p>
    <w:p>
      <w:pPr>
        <w:widowControl/>
        <w:snapToGrid w:val="0"/>
        <w:spacing w:line="360" w:lineRule="auto"/>
        <w:ind w:firstLine="440" w:firstLineChars="200"/>
        <w:jc w:val="left"/>
        <w:rPr>
          <w:rFonts w:ascii="宋体" w:hAnsi="宋体" w:cs="仿宋_GB2312"/>
          <w:color w:val="auto"/>
          <w:sz w:val="22"/>
          <w:highlight w:val="none"/>
          <w:u w:val="single"/>
        </w:rPr>
      </w:pPr>
      <w:r>
        <w:rPr>
          <w:rFonts w:ascii="宋体" w:hAnsi="宋体" w:cs="仿宋_GB2312"/>
          <w:color w:val="auto"/>
          <w:sz w:val="22"/>
          <w:highlight w:val="none"/>
        </w:rPr>
        <w:t xml:space="preserve">甲公司（全称）： </w:t>
      </w:r>
      <w:r>
        <w:rPr>
          <w:rFonts w:ascii="宋体" w:hAnsi="宋体" w:cs="仿宋_GB2312"/>
          <w:color w:val="auto"/>
          <w:sz w:val="22"/>
          <w:highlight w:val="none"/>
          <w:u w:val="single"/>
        </w:rPr>
        <w:t xml:space="preserve">             </w:t>
      </w:r>
    </w:p>
    <w:p>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 xml:space="preserve">乙公司（全称）： </w:t>
      </w:r>
      <w:r>
        <w:rPr>
          <w:rFonts w:ascii="宋体" w:hAnsi="宋体" w:cs="仿宋_GB2312"/>
          <w:color w:val="auto"/>
          <w:sz w:val="22"/>
          <w:highlight w:val="none"/>
          <w:u w:val="single"/>
        </w:rPr>
        <w:t xml:space="preserve">             </w:t>
      </w:r>
    </w:p>
    <w:p>
      <w:pPr>
        <w:snapToGrid w:val="0"/>
        <w:spacing w:line="360" w:lineRule="auto"/>
        <w:ind w:firstLine="440" w:firstLineChars="200"/>
        <w:rPr>
          <w:rFonts w:ascii="宋体" w:hAnsi="宋体" w:cs="仿宋_GB2312"/>
          <w:color w:val="auto"/>
          <w:sz w:val="22"/>
          <w:highlight w:val="none"/>
        </w:rPr>
      </w:pPr>
    </w:p>
    <w:p>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本协议书各方遵循平等、自愿、公平和诚实信用的原则，共同愿意组成联合体，实施、完成合同内容。现就下列有关事宜，订立本协议书。</w:t>
      </w:r>
    </w:p>
    <w:p>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1.（甲公司名称）为联合体主办人，（乙公司名称）为联合体成员</w:t>
      </w:r>
      <w:r>
        <w:rPr>
          <w:rFonts w:hint="eastAsia" w:ascii="宋体" w:hAnsi="宋体" w:cs="仿宋_GB2312"/>
          <w:color w:val="auto"/>
          <w:sz w:val="22"/>
          <w:highlight w:val="none"/>
          <w:lang w:eastAsia="zh-CN"/>
        </w:rPr>
        <w:t>；</w:t>
      </w:r>
    </w:p>
    <w:p>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 联合体内部有关事项规定如下：</w:t>
      </w:r>
    </w:p>
    <w:p>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2.1 联合体由主办人负责与采购人联系</w:t>
      </w:r>
      <w:r>
        <w:rPr>
          <w:rFonts w:hint="eastAsia" w:ascii="宋体" w:hAnsi="宋体" w:cs="仿宋_GB2312"/>
          <w:color w:val="auto"/>
          <w:sz w:val="22"/>
          <w:highlight w:val="none"/>
          <w:lang w:eastAsia="zh-CN"/>
        </w:rPr>
        <w:t>；</w:t>
      </w:r>
    </w:p>
    <w:p>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2.2 合同一切工作由联合体主办人负责组织，由联合体各方按内部划分比例具体实施</w:t>
      </w:r>
      <w:r>
        <w:rPr>
          <w:rFonts w:hint="eastAsia" w:ascii="宋体" w:hAnsi="宋体" w:cs="仿宋_GB2312"/>
          <w:color w:val="auto"/>
          <w:sz w:val="22"/>
          <w:highlight w:val="none"/>
          <w:lang w:eastAsia="zh-CN"/>
        </w:rPr>
        <w:t>；</w:t>
      </w:r>
    </w:p>
    <w:p>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2.3 联合体将严格按照招标文件的各项要求，切实执行一切合同文件，共同承担合同约定的一切义务和责任，同时按照内部划分的职责，各自承担自身的责任和风险</w:t>
      </w:r>
      <w:r>
        <w:rPr>
          <w:rFonts w:hint="eastAsia" w:ascii="宋体" w:hAnsi="宋体" w:cs="仿宋_GB2312"/>
          <w:color w:val="auto"/>
          <w:sz w:val="22"/>
          <w:highlight w:val="none"/>
          <w:lang w:eastAsia="zh-CN"/>
        </w:rPr>
        <w:t>；</w:t>
      </w:r>
    </w:p>
    <w:p>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2.4 联合体内部各自按下列分工负责本项目工作：</w:t>
      </w:r>
    </w:p>
    <w:p>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主办人（甲公司名称）承担本项目的</w:t>
      </w:r>
      <w:r>
        <w:rPr>
          <w:rFonts w:ascii="宋体" w:hAnsi="宋体" w:cs="仿宋_GB2312"/>
          <w:color w:val="auto"/>
          <w:sz w:val="22"/>
          <w:highlight w:val="none"/>
          <w:u w:val="single"/>
        </w:rPr>
        <w:t xml:space="preserve">                </w:t>
      </w:r>
      <w:r>
        <w:rPr>
          <w:rFonts w:ascii="宋体" w:hAnsi="宋体" w:cs="仿宋_GB2312"/>
          <w:color w:val="auto"/>
          <w:sz w:val="22"/>
          <w:highlight w:val="none"/>
        </w:rPr>
        <w:t>等工作，联合体成员（乙公司名称）各承担本项目的</w:t>
      </w:r>
      <w:r>
        <w:rPr>
          <w:rFonts w:ascii="宋体" w:hAnsi="宋体" w:cs="仿宋_GB2312"/>
          <w:color w:val="auto"/>
          <w:sz w:val="22"/>
          <w:highlight w:val="none"/>
          <w:u w:val="single"/>
        </w:rPr>
        <w:t xml:space="preserve">                </w:t>
      </w:r>
      <w:r>
        <w:rPr>
          <w:rFonts w:ascii="宋体" w:hAnsi="宋体" w:cs="仿宋_GB2312"/>
          <w:color w:val="auto"/>
          <w:sz w:val="22"/>
          <w:highlight w:val="none"/>
        </w:rPr>
        <w:t>等工作</w:t>
      </w:r>
      <w:r>
        <w:rPr>
          <w:rFonts w:hint="eastAsia" w:ascii="宋体" w:hAnsi="宋体" w:cs="仿宋_GB2312"/>
          <w:color w:val="auto"/>
          <w:sz w:val="22"/>
          <w:highlight w:val="none"/>
          <w:lang w:eastAsia="zh-CN"/>
        </w:rPr>
        <w:t>；</w:t>
      </w:r>
    </w:p>
    <w:p>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2.5 联合体在合同实施过程中的有关费用</w:t>
      </w:r>
      <w:r>
        <w:rPr>
          <w:rFonts w:hint="eastAsia" w:ascii="宋体" w:hAnsi="宋体" w:cs="仿宋_GB2312"/>
          <w:color w:val="auto"/>
          <w:sz w:val="22"/>
          <w:highlight w:val="none"/>
        </w:rPr>
        <w:t>情况：</w:t>
      </w:r>
      <w:r>
        <w:rPr>
          <w:rFonts w:hint="eastAsia" w:ascii="宋体" w:hAnsi="宋体" w:cs="仿宋_GB2312"/>
          <w:color w:val="auto"/>
          <w:sz w:val="22"/>
          <w:highlight w:val="none"/>
          <w:u w:val="single"/>
        </w:rPr>
        <w:t xml:space="preserve"> </w:t>
      </w:r>
      <w:r>
        <w:rPr>
          <w:rFonts w:ascii="宋体" w:hAnsi="宋体" w:cs="仿宋_GB2312"/>
          <w:color w:val="auto"/>
          <w:sz w:val="22"/>
          <w:highlight w:val="none"/>
          <w:u w:val="single"/>
        </w:rPr>
        <w:t xml:space="preserve">                </w:t>
      </w:r>
      <w:r>
        <w:rPr>
          <w:rFonts w:ascii="宋体" w:hAnsi="宋体" w:cs="仿宋_GB2312"/>
          <w:color w:val="auto"/>
          <w:sz w:val="22"/>
          <w:highlight w:val="none"/>
        </w:rPr>
        <w:t>。</w:t>
      </w:r>
    </w:p>
    <w:p>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3. 联合体主办人应将本协议书送交采购人</w:t>
      </w:r>
      <w:r>
        <w:rPr>
          <w:rFonts w:hint="eastAsia" w:ascii="宋体" w:hAnsi="宋体" w:cs="仿宋_GB2312"/>
          <w:color w:val="auto"/>
          <w:sz w:val="22"/>
          <w:highlight w:val="none"/>
          <w:lang w:eastAsia="zh-CN"/>
        </w:rPr>
        <w:t>；</w:t>
      </w:r>
    </w:p>
    <w:p>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4. 本协议书自签署之日起生效，至各方履行完</w:t>
      </w:r>
      <w:r>
        <w:rPr>
          <w:color w:val="auto"/>
          <w:highlight w:val="none"/>
        </w:rPr>
        <w:fldChar w:fldCharType="begin"/>
      </w:r>
      <w:r>
        <w:rPr>
          <w:color w:val="auto"/>
          <w:highlight w:val="none"/>
        </w:rPr>
        <w:instrText xml:space="preserve"> HYPERLINK "https://baike.baidu.com/item/%E5%8B%98%E5%AF%9F%E8%AE%BE%E8%AE%A1%E5%90%88%E5%90%8C" \t "_blank" </w:instrText>
      </w:r>
      <w:r>
        <w:rPr>
          <w:color w:val="auto"/>
          <w:highlight w:val="none"/>
        </w:rPr>
        <w:fldChar w:fldCharType="separate"/>
      </w:r>
      <w:r>
        <w:rPr>
          <w:rFonts w:ascii="宋体" w:hAnsi="宋体" w:cs="仿宋_GB2312"/>
          <w:color w:val="auto"/>
          <w:sz w:val="22"/>
          <w:highlight w:val="none"/>
        </w:rPr>
        <w:t>合同</w:t>
      </w:r>
      <w:r>
        <w:rPr>
          <w:rFonts w:ascii="宋体" w:hAnsi="宋体" w:cs="仿宋_GB2312"/>
          <w:color w:val="auto"/>
          <w:sz w:val="22"/>
          <w:highlight w:val="none"/>
        </w:rPr>
        <w:fldChar w:fldCharType="end"/>
      </w:r>
      <w:r>
        <w:rPr>
          <w:rFonts w:ascii="宋体" w:hAnsi="宋体" w:cs="仿宋_GB2312"/>
          <w:color w:val="auto"/>
          <w:sz w:val="22"/>
          <w:highlight w:val="none"/>
        </w:rPr>
        <w:t>全部义务后自行失效，并随合同的终止而终止</w:t>
      </w:r>
      <w:r>
        <w:rPr>
          <w:rFonts w:hint="eastAsia" w:ascii="宋体" w:hAnsi="宋体" w:cs="仿宋_GB2312"/>
          <w:color w:val="auto"/>
          <w:sz w:val="22"/>
          <w:highlight w:val="none"/>
          <w:lang w:eastAsia="zh-CN"/>
        </w:rPr>
        <w:t>；</w:t>
      </w:r>
    </w:p>
    <w:p>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5. 本协议书正本一式伍份，联合体主办人及成员各执壹份，交采购人执贰份，交采购代理机构壹份。</w:t>
      </w:r>
    </w:p>
    <w:p>
      <w:pPr>
        <w:snapToGrid w:val="0"/>
        <w:spacing w:line="360" w:lineRule="auto"/>
        <w:ind w:firstLine="440" w:firstLineChars="200"/>
        <w:rPr>
          <w:rFonts w:ascii="宋体" w:hAnsi="宋体" w:cs="仿宋_GB2312"/>
          <w:color w:val="auto"/>
          <w:sz w:val="22"/>
          <w:highlight w:val="none"/>
        </w:rPr>
      </w:pPr>
    </w:p>
    <w:p>
      <w:pPr>
        <w:pStyle w:val="42"/>
        <w:ind w:firstLine="210"/>
        <w:rPr>
          <w:rFonts w:ascii="宋体" w:hAnsi="宋体"/>
          <w:color w:val="auto"/>
          <w:highlight w:val="none"/>
        </w:rPr>
      </w:pPr>
    </w:p>
    <w:p>
      <w:pPr>
        <w:pStyle w:val="42"/>
        <w:ind w:firstLine="210"/>
        <w:rPr>
          <w:rFonts w:ascii="宋体" w:hAnsi="宋体"/>
          <w:color w:val="auto"/>
          <w:highlight w:val="none"/>
        </w:rPr>
      </w:pPr>
    </w:p>
    <w:p>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甲公司名称：（公章）                     乙公司名称：（公章）</w:t>
      </w:r>
    </w:p>
    <w:p>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法定代表人：                             法定代表人：</w:t>
      </w:r>
    </w:p>
    <w:p>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委托代理人：                             委托代理人：</w:t>
      </w:r>
    </w:p>
    <w:p>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联系电话：                               联系电话：</w:t>
      </w:r>
    </w:p>
    <w:p>
      <w:pPr>
        <w:spacing w:line="360" w:lineRule="auto"/>
        <w:ind w:right="420"/>
        <w:rPr>
          <w:rFonts w:hint="eastAsia" w:ascii="宋体" w:hAnsi="宋体" w:cs="宋体"/>
          <w:color w:val="auto"/>
          <w:sz w:val="22"/>
          <w:szCs w:val="22"/>
          <w:highlight w:val="none"/>
        </w:rPr>
      </w:pPr>
      <w:r>
        <w:rPr>
          <w:rFonts w:ascii="宋体" w:hAnsi="宋体" w:cs="仿宋_GB2312"/>
          <w:color w:val="auto"/>
          <w:sz w:val="22"/>
          <w:highlight w:val="none"/>
        </w:rPr>
        <w:t>日期：      年      月    日             日期：       年     月     日</w:t>
      </w:r>
    </w:p>
    <w:p>
      <w:pPr>
        <w:spacing w:line="360" w:lineRule="auto"/>
        <w:ind w:right="420"/>
        <w:rPr>
          <w:rFonts w:hint="eastAsia" w:ascii="宋体" w:hAnsi="宋体" w:cs="宋体"/>
          <w:color w:val="auto"/>
          <w:sz w:val="22"/>
          <w:szCs w:val="22"/>
          <w:highlight w:val="none"/>
        </w:rPr>
      </w:pPr>
    </w:p>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（5）分包意向协议（如有分包，请根据格式提供）</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CN"/>
        </w:rPr>
        <w:t>的中标人，将依法采取分包方式履行合同。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pP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pPr>
        <w:snapToGrid w:val="0"/>
        <w:spacing w:line="360" w:lineRule="auto"/>
        <w:ind w:firstLine="576"/>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pPr>
        <w:spacing w:line="360" w:lineRule="auto"/>
        <w:ind w:firstLine="440" w:firstLineChars="200"/>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pPr>
        <w:snapToGrid w:val="0"/>
        <w:spacing w:line="360" w:lineRule="auto"/>
        <w:ind w:firstLine="576"/>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pPr>
        <w:snapToGrid w:val="0"/>
        <w:spacing w:line="360" w:lineRule="auto"/>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分包供应商名称(电子签名/公章)：</w:t>
      </w:r>
    </w:p>
    <w:p>
      <w:pPr>
        <w:rPr>
          <w:rFonts w:hint="eastAsia"/>
          <w:color w:val="auto"/>
          <w:highlight w:val="none"/>
        </w:rPr>
      </w:pPr>
      <w:r>
        <w:rPr>
          <w:rFonts w:hint="eastAsia" w:ascii="宋体" w:hAnsi="宋体" w:cs="宋体"/>
          <w:color w:val="auto"/>
          <w:sz w:val="22"/>
          <w:szCs w:val="22"/>
          <w:highlight w:val="none"/>
          <w:lang w:val="zh-CN"/>
        </w:rPr>
        <w:t>……</w:t>
      </w:r>
    </w:p>
    <w:p>
      <w:pPr>
        <w:rPr>
          <w:rFonts w:hint="eastAsia"/>
          <w:color w:val="auto"/>
          <w:highlight w:val="none"/>
          <w:lang w:val="zh-CN"/>
        </w:rPr>
      </w:pPr>
      <w:r>
        <w:rPr>
          <w:rFonts w:hint="eastAsia"/>
          <w:color w:val="auto"/>
          <w:highlight w:val="none"/>
          <w:lang w:val="zh-CN"/>
        </w:rPr>
        <w:t xml:space="preserve">                                        </w:t>
      </w:r>
      <w:r>
        <w:rPr>
          <w:rFonts w:hint="eastAsia"/>
          <w:color w:val="auto"/>
          <w:highlight w:val="none"/>
        </w:rPr>
        <w:t xml:space="preserve">           </w:t>
      </w:r>
      <w:r>
        <w:rPr>
          <w:rFonts w:hint="eastAsia"/>
          <w:color w:val="auto"/>
          <w:highlight w:val="none"/>
          <w:lang w:val="zh-CN"/>
        </w:rPr>
        <w:t>日期：  年  月   日</w:t>
      </w:r>
    </w:p>
    <w:p>
      <w:pPr>
        <w:rPr>
          <w:rFonts w:hint="eastAsia"/>
          <w:color w:val="auto"/>
          <w:highlight w:val="none"/>
          <w:lang w:val="zh-CN"/>
        </w:rPr>
      </w:pPr>
    </w:p>
    <w:p>
      <w:pPr>
        <w:widowControl/>
        <w:snapToGrid w:val="0"/>
        <w:spacing w:line="360" w:lineRule="auto"/>
        <w:ind w:firstLine="420" w:firstLineChars="200"/>
        <w:jc w:val="left"/>
        <w:rPr>
          <w:rFonts w:ascii="宋体" w:hAnsi="宋体" w:cs="仿宋_GB2312"/>
          <w:color w:val="auto"/>
          <w:sz w:val="22"/>
          <w:highlight w:val="none"/>
        </w:rPr>
      </w:pPr>
      <w:r>
        <w:rPr>
          <w:rFonts w:hint="eastAsia"/>
          <w:color w:val="auto"/>
          <w:highlight w:val="none"/>
          <w:lang w:val="zh-CN"/>
        </w:rPr>
        <w:t>注：按本格式和要求提供。</w:t>
      </w:r>
    </w:p>
    <w:p>
      <w:pPr>
        <w:spacing w:line="440" w:lineRule="exact"/>
        <w:jc w:val="center"/>
        <w:rPr>
          <w:rFonts w:hint="eastAsia" w:ascii="宋体" w:hAnsi="宋体"/>
          <w:color w:val="auto"/>
          <w:sz w:val="22"/>
          <w:szCs w:val="22"/>
          <w:highlight w:val="none"/>
        </w:rPr>
      </w:pPr>
    </w:p>
    <w:p>
      <w:pPr>
        <w:pStyle w:val="3"/>
        <w:spacing w:line="240" w:lineRule="auto"/>
        <w:rPr>
          <w:rFonts w:hint="eastAsia" w:ascii="宋体" w:hAnsi="宋体" w:eastAsia="宋体" w:cs="宋体"/>
          <w:color w:val="auto"/>
          <w:sz w:val="24"/>
          <w:szCs w:val="24"/>
          <w:highlight w:val="none"/>
        </w:rPr>
      </w:pPr>
      <w:bookmarkStart w:id="85" w:name="_Toc8914"/>
      <w:bookmarkStart w:id="86" w:name="_Toc184281693"/>
      <w:r>
        <w:rPr>
          <w:rFonts w:hint="eastAsia" w:ascii="宋体" w:hAnsi="宋体" w:eastAsia="宋体" w:cs="宋体"/>
          <w:color w:val="auto"/>
          <w:sz w:val="24"/>
          <w:szCs w:val="24"/>
          <w:highlight w:val="none"/>
        </w:rPr>
        <w:t>附件五 商务条款、技术规格偏离表</w:t>
      </w:r>
      <w:bookmarkEnd w:id="85"/>
    </w:p>
    <w:p>
      <w:pPr>
        <w:spacing w:line="440" w:lineRule="exact"/>
        <w:ind w:firstLine="437"/>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商务条款、技术规格偏离表</w:t>
      </w:r>
    </w:p>
    <w:p>
      <w:pPr>
        <w:spacing w:line="560" w:lineRule="exact"/>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rPr>
        <w:t>项目名称：                                项目编号：</w:t>
      </w:r>
      <w:r>
        <w:rPr>
          <w:rFonts w:hint="eastAsia" w:ascii="宋体" w:hAnsi="宋体" w:cs="宋体"/>
          <w:b/>
          <w:color w:val="auto"/>
          <w:sz w:val="22"/>
          <w:szCs w:val="22"/>
          <w:highlight w:val="none"/>
          <w:lang w:val="en-US" w:eastAsia="zh-CN"/>
        </w:rPr>
        <w:t xml:space="preserve">         标项号：</w:t>
      </w:r>
    </w:p>
    <w:tbl>
      <w:tblPr>
        <w:tblStyle w:val="44"/>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vAlign w:val="top"/>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招标文件</w:t>
            </w:r>
          </w:p>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招标文件</w:t>
            </w:r>
          </w:p>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投标文件</w:t>
            </w:r>
          </w:p>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商</w:t>
            </w:r>
          </w:p>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务</w:t>
            </w:r>
          </w:p>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条</w:t>
            </w:r>
          </w:p>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款</w:t>
            </w:r>
          </w:p>
        </w:tc>
        <w:tc>
          <w:tcPr>
            <w:tcW w:w="13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技</w:t>
            </w:r>
          </w:p>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术</w:t>
            </w:r>
          </w:p>
          <w:p>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规</w:t>
            </w:r>
          </w:p>
          <w:p>
            <w:pPr>
              <w:spacing w:before="0" w:beforeAutospacing="0" w:after="0" w:afterAutospacing="0" w:line="380" w:lineRule="exact"/>
              <w:ind w:left="0" w:right="0"/>
              <w:jc w:val="center"/>
              <w:rPr>
                <w:rFonts w:hint="default" w:ascii="宋体" w:hAnsi="宋体" w:cs="宋体"/>
                <w:b/>
                <w:color w:val="auto"/>
                <w:sz w:val="22"/>
                <w:szCs w:val="20"/>
                <w:highlight w:val="none"/>
              </w:rPr>
            </w:pPr>
            <w:r>
              <w:rPr>
                <w:rFonts w:hint="eastAsia" w:ascii="宋体" w:hAnsi="宋体" w:cs="宋体"/>
                <w:b/>
                <w:color w:val="auto"/>
                <w:sz w:val="22"/>
                <w:szCs w:val="20"/>
                <w:highlight w:val="none"/>
              </w:rPr>
              <w:t>格</w:t>
            </w:r>
          </w:p>
        </w:tc>
        <w:tc>
          <w:tcPr>
            <w:tcW w:w="13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80" w:lineRule="exact"/>
              <w:ind w:left="0" w:right="0"/>
              <w:jc w:val="center"/>
              <w:rPr>
                <w:rFonts w:hint="eastAsia" w:ascii="宋体" w:hAnsi="宋体" w:cs="宋体"/>
                <w:color w:val="auto"/>
                <w:sz w:val="22"/>
                <w:szCs w:val="20"/>
                <w:highlight w:val="none"/>
              </w:rPr>
            </w:pPr>
          </w:p>
        </w:tc>
      </w:tr>
    </w:tbl>
    <w:p>
      <w:pPr>
        <w:pStyle w:val="24"/>
        <w:spacing w:line="440" w:lineRule="exact"/>
        <w:ind w:left="537" w:hanging="537" w:hangingChars="243"/>
        <w:rPr>
          <w:rFonts w:hint="eastAsia"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pPr>
        <w:pStyle w:val="24"/>
        <w:spacing w:line="440" w:lineRule="exact"/>
        <w:ind w:left="537" w:hanging="537" w:hangingChars="243"/>
        <w:rPr>
          <w:rFonts w:hint="eastAsia" w:hAnsi="宋体" w:cs="宋体"/>
          <w:b/>
          <w:color w:val="auto"/>
          <w:sz w:val="22"/>
          <w:szCs w:val="22"/>
          <w:highlight w:val="none"/>
        </w:rPr>
      </w:pPr>
    </w:p>
    <w:p>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pPr>
        <w:pStyle w:val="18"/>
        <w:rPr>
          <w:color w:val="auto"/>
          <w:highlight w:val="none"/>
        </w:rPr>
      </w:pPr>
    </w:p>
    <w:p>
      <w:pPr>
        <w:pStyle w:val="3"/>
        <w:spacing w:line="240" w:lineRule="auto"/>
        <w:rPr>
          <w:rFonts w:hint="eastAsia" w:ascii="宋体" w:hAnsi="宋体" w:eastAsia="宋体" w:cs="宋体"/>
          <w:color w:val="auto"/>
          <w:sz w:val="24"/>
          <w:szCs w:val="24"/>
          <w:highlight w:val="none"/>
        </w:rPr>
      </w:pPr>
      <w:bookmarkStart w:id="87" w:name="_Toc4090"/>
      <w:r>
        <w:rPr>
          <w:rFonts w:hint="eastAsia" w:ascii="宋体" w:hAnsi="宋体" w:eastAsia="宋体" w:cs="宋体"/>
          <w:color w:val="auto"/>
          <w:sz w:val="24"/>
          <w:szCs w:val="24"/>
          <w:highlight w:val="none"/>
        </w:rPr>
        <w:t xml:space="preserve">附件六 </w:t>
      </w:r>
      <w:r>
        <w:rPr>
          <w:rFonts w:hint="eastAsia" w:ascii="宋体" w:hAnsi="宋体" w:eastAsia="宋体"/>
          <w:color w:val="auto"/>
          <w:sz w:val="24"/>
          <w:szCs w:val="24"/>
          <w:highlight w:val="none"/>
        </w:rPr>
        <w:t>货物成套供货清单</w:t>
      </w:r>
      <w:bookmarkEnd w:id="87"/>
    </w:p>
    <w:p>
      <w:pPr>
        <w:numPr>
          <w:ilvl w:val="0"/>
          <w:numId w:val="6"/>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货物成套供货清单（或详细配置清单）</w:t>
      </w:r>
    </w:p>
    <w:p>
      <w:pPr>
        <w:spacing w:line="560" w:lineRule="exact"/>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项目名称： </w:t>
      </w:r>
      <w:r>
        <w:rPr>
          <w:rFonts w:hint="eastAsia" w:ascii="宋体" w:hAnsi="宋体" w:cs="宋体"/>
          <w:b/>
          <w:color w:val="auto"/>
          <w:sz w:val="22"/>
          <w:szCs w:val="22"/>
          <w:highlight w:val="none"/>
        </w:rPr>
        <w:t xml:space="preserve">                                项目编号：</w:t>
      </w:r>
      <w:r>
        <w:rPr>
          <w:rFonts w:hint="eastAsia" w:ascii="宋体" w:hAnsi="宋体" w:cs="宋体"/>
          <w:b/>
          <w:color w:val="auto"/>
          <w:sz w:val="22"/>
          <w:szCs w:val="22"/>
          <w:highlight w:val="none"/>
          <w:lang w:val="en-US" w:eastAsia="zh-CN"/>
        </w:rPr>
        <w:t xml:space="preserve">         标项号：</w:t>
      </w:r>
    </w:p>
    <w:tbl>
      <w:tblPr>
        <w:tblStyle w:val="4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pPr>
              <w:spacing w:before="0" w:beforeAutospacing="0" w:after="0" w:afterAutospacing="0" w:line="380" w:lineRule="exact"/>
              <w:ind w:left="0" w:right="0"/>
              <w:jc w:val="both"/>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序号</w:t>
            </w:r>
          </w:p>
        </w:tc>
        <w:tc>
          <w:tcPr>
            <w:tcW w:w="1260" w:type="dxa"/>
            <w:shd w:val="clear" w:color="auto" w:fill="D9D9D9"/>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名  称</w:t>
            </w:r>
          </w:p>
        </w:tc>
        <w:tc>
          <w:tcPr>
            <w:tcW w:w="1980" w:type="dxa"/>
            <w:shd w:val="clear" w:color="auto" w:fill="D9D9D9"/>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品牌、规格型号</w:t>
            </w:r>
          </w:p>
        </w:tc>
        <w:tc>
          <w:tcPr>
            <w:tcW w:w="720" w:type="dxa"/>
            <w:shd w:val="clear" w:color="auto" w:fill="D9D9D9"/>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单位</w:t>
            </w:r>
          </w:p>
        </w:tc>
        <w:tc>
          <w:tcPr>
            <w:tcW w:w="900" w:type="dxa"/>
            <w:shd w:val="clear" w:color="auto" w:fill="D9D9D9"/>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数量</w:t>
            </w:r>
          </w:p>
        </w:tc>
        <w:tc>
          <w:tcPr>
            <w:tcW w:w="1440" w:type="dxa"/>
            <w:shd w:val="clear" w:color="auto" w:fill="D9D9D9"/>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原产地</w:t>
            </w:r>
          </w:p>
        </w:tc>
        <w:tc>
          <w:tcPr>
            <w:tcW w:w="1440" w:type="dxa"/>
            <w:shd w:val="clear" w:color="auto" w:fill="D9D9D9"/>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制造商</w:t>
            </w:r>
          </w:p>
        </w:tc>
        <w:tc>
          <w:tcPr>
            <w:tcW w:w="1080" w:type="dxa"/>
            <w:shd w:val="clear" w:color="auto" w:fill="D9D9D9"/>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bl>
    <w:p>
      <w:pPr>
        <w:spacing w:line="380" w:lineRule="exact"/>
        <w:ind w:firstLine="5963" w:firstLineChars="2700"/>
        <w:rPr>
          <w:rFonts w:hint="eastAsia" w:ascii="宋体" w:hAnsi="宋体"/>
          <w:b/>
          <w:bCs/>
          <w:color w:val="auto"/>
          <w:sz w:val="22"/>
          <w:szCs w:val="22"/>
          <w:highlight w:val="none"/>
        </w:rPr>
      </w:pPr>
    </w:p>
    <w:p>
      <w:pPr>
        <w:numPr>
          <w:ilvl w:val="0"/>
          <w:numId w:val="6"/>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随机备品备件、易损易耗件和专用工具清单（如有）</w:t>
      </w:r>
    </w:p>
    <w:tbl>
      <w:tblPr>
        <w:tblStyle w:val="4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shd w:val="clear" w:color="auto" w:fill="D7D7D7"/>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序号</w:t>
            </w:r>
          </w:p>
        </w:tc>
        <w:tc>
          <w:tcPr>
            <w:tcW w:w="2328" w:type="dxa"/>
            <w:shd w:val="clear" w:color="auto" w:fill="D7D7D7"/>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名  称</w:t>
            </w:r>
          </w:p>
        </w:tc>
        <w:tc>
          <w:tcPr>
            <w:tcW w:w="1470" w:type="dxa"/>
            <w:shd w:val="clear" w:color="auto" w:fill="D7D7D7"/>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型号规格</w:t>
            </w:r>
          </w:p>
        </w:tc>
        <w:tc>
          <w:tcPr>
            <w:tcW w:w="931" w:type="dxa"/>
            <w:shd w:val="clear" w:color="auto" w:fill="D7D7D7"/>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数量</w:t>
            </w:r>
          </w:p>
        </w:tc>
        <w:tc>
          <w:tcPr>
            <w:tcW w:w="2340" w:type="dxa"/>
            <w:shd w:val="clear" w:color="auto" w:fill="D7D7D7"/>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原产地/制造商</w:t>
            </w:r>
          </w:p>
        </w:tc>
        <w:tc>
          <w:tcPr>
            <w:tcW w:w="1570" w:type="dxa"/>
            <w:shd w:val="clear" w:color="auto" w:fill="D7D7D7"/>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bl>
    <w:p>
      <w:pPr>
        <w:spacing w:line="440" w:lineRule="exact"/>
        <w:jc w:val="left"/>
        <w:rPr>
          <w:rFonts w:hint="eastAsia" w:ascii="宋体" w:hAnsi="宋体"/>
          <w:b/>
          <w:bCs/>
          <w:color w:val="auto"/>
          <w:sz w:val="22"/>
          <w:szCs w:val="22"/>
          <w:highlight w:val="none"/>
        </w:rPr>
      </w:pPr>
      <w:r>
        <w:rPr>
          <w:rFonts w:hint="eastAsia" w:ascii="宋体" w:hAnsi="宋体"/>
          <w:b/>
          <w:bCs/>
          <w:color w:val="auto"/>
          <w:sz w:val="22"/>
          <w:szCs w:val="22"/>
          <w:highlight w:val="none"/>
        </w:rPr>
        <w:t>注：投标人可按以上表格形式进行复制、附在技术标内。</w:t>
      </w:r>
    </w:p>
    <w:p>
      <w:pPr>
        <w:spacing w:line="440" w:lineRule="exact"/>
        <w:jc w:val="left"/>
        <w:rPr>
          <w:rFonts w:hint="eastAsia" w:ascii="宋体" w:hAnsi="宋体"/>
          <w:b/>
          <w:bCs/>
          <w:color w:val="auto"/>
          <w:sz w:val="22"/>
          <w:szCs w:val="22"/>
          <w:highlight w:val="none"/>
        </w:rPr>
      </w:pPr>
    </w:p>
    <w:p>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spacing w:line="440" w:lineRule="exact"/>
        <w:ind w:firstLine="4400" w:firstLineChars="2000"/>
        <w:rPr>
          <w:rFonts w:hint="eastAsia" w:ascii="宋体" w:hAnsi="宋体" w:cs="宋体"/>
          <w:color w:val="auto"/>
          <w:sz w:val="22"/>
          <w:szCs w:val="22"/>
          <w:highlight w:val="none"/>
        </w:rPr>
        <w:sectPr>
          <w:headerReference r:id="rId14" w:type="default"/>
          <w:headerReference r:id="rId15" w:type="even"/>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
        <w:spacing w:line="240" w:lineRule="auto"/>
        <w:rPr>
          <w:rFonts w:hint="eastAsia" w:ascii="宋体" w:hAnsi="宋体" w:eastAsia="宋体" w:cs="宋体"/>
          <w:color w:val="auto"/>
          <w:sz w:val="24"/>
          <w:szCs w:val="24"/>
          <w:highlight w:val="none"/>
        </w:rPr>
      </w:pPr>
      <w:bookmarkStart w:id="88" w:name="_Toc460707936"/>
      <w:bookmarkStart w:id="89" w:name="_Toc23799"/>
      <w:bookmarkStart w:id="90" w:name="_Toc405195141"/>
      <w:r>
        <w:rPr>
          <w:rFonts w:hint="eastAsia" w:ascii="宋体" w:hAnsi="宋体" w:eastAsia="宋体" w:cs="宋体"/>
          <w:color w:val="auto"/>
          <w:sz w:val="24"/>
          <w:szCs w:val="24"/>
          <w:highlight w:val="none"/>
        </w:rPr>
        <w:t>附件七 项目业绩一览表</w:t>
      </w:r>
      <w:bookmarkEnd w:id="88"/>
      <w:bookmarkEnd w:id="89"/>
    </w:p>
    <w:p>
      <w:pPr>
        <w:spacing w:line="440" w:lineRule="exact"/>
        <w:rPr>
          <w:rFonts w:hint="eastAsia" w:ascii="宋体" w:hAnsi="宋体"/>
          <w:b/>
          <w:bCs/>
          <w:color w:val="auto"/>
          <w:sz w:val="24"/>
          <w:highlight w:val="none"/>
        </w:rPr>
      </w:pPr>
    </w:p>
    <w:p>
      <w:pPr>
        <w:spacing w:line="44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类似</w:t>
      </w:r>
      <w:r>
        <w:rPr>
          <w:rFonts w:hint="eastAsia" w:ascii="宋体" w:hAnsi="宋体" w:cs="宋体"/>
          <w:b/>
          <w:bCs/>
          <w:color w:val="auto"/>
          <w:sz w:val="28"/>
          <w:szCs w:val="28"/>
          <w:highlight w:val="none"/>
        </w:rPr>
        <w:t>项目业绩一览表</w:t>
      </w:r>
    </w:p>
    <w:p>
      <w:pPr>
        <w:spacing w:line="380" w:lineRule="exact"/>
        <w:ind w:left="-357" w:leftChars="-170" w:firstLine="216" w:firstLineChars="98"/>
        <w:rPr>
          <w:rFonts w:hint="eastAsia" w:ascii="宋体" w:hAnsi="宋体" w:cs="宋体"/>
          <w:b/>
          <w:bCs/>
          <w:color w:val="auto"/>
          <w:sz w:val="22"/>
          <w:szCs w:val="22"/>
          <w:highlight w:val="none"/>
        </w:rPr>
      </w:pPr>
    </w:p>
    <w:p>
      <w:pPr>
        <w:spacing w:line="380" w:lineRule="exact"/>
        <w:ind w:left="-357" w:leftChars="-170" w:firstLine="216" w:firstLineChars="98"/>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r>
        <w:rPr>
          <w:rFonts w:hint="eastAsia" w:ascii="宋体" w:hAnsi="宋体"/>
          <w:b/>
          <w:bCs/>
          <w:color w:val="auto"/>
          <w:sz w:val="22"/>
          <w:szCs w:val="22"/>
          <w:highlight w:val="none"/>
        </w:rPr>
        <w:t xml:space="preserve"> </w:t>
      </w:r>
      <w:r>
        <w:rPr>
          <w:rFonts w:hint="eastAsia" w:ascii="宋体" w:hAnsi="宋体" w:cs="宋体"/>
          <w:b/>
          <w:color w:val="auto"/>
          <w:sz w:val="22"/>
          <w:szCs w:val="22"/>
          <w:highlight w:val="none"/>
        </w:rPr>
        <w:t xml:space="preserve">                                项目编号：</w:t>
      </w:r>
      <w:r>
        <w:rPr>
          <w:rFonts w:hint="eastAsia" w:ascii="宋体" w:hAnsi="宋体" w:cs="宋体"/>
          <w:b/>
          <w:color w:val="auto"/>
          <w:sz w:val="22"/>
          <w:szCs w:val="22"/>
          <w:highlight w:val="none"/>
          <w:lang w:val="en-US" w:eastAsia="zh-CN"/>
        </w:rPr>
        <w:t xml:space="preserve">         标项号：</w:t>
      </w:r>
    </w:p>
    <w:tbl>
      <w:tblPr>
        <w:tblStyle w:val="4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92" w:type="dxa"/>
            <w:shd w:val="clear" w:color="auto" w:fill="D9D9D9"/>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636" w:type="dxa"/>
            <w:shd w:val="clear" w:color="auto" w:fill="D9D9D9"/>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60" w:type="dxa"/>
            <w:shd w:val="clear" w:color="auto" w:fill="D9D9D9"/>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345" w:type="dxa"/>
            <w:shd w:val="clear" w:color="auto" w:fill="D9D9D9"/>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2615" w:type="dxa"/>
            <w:shd w:val="clear" w:color="auto" w:fill="D9D9D9"/>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bl>
    <w:p>
      <w:pPr>
        <w:spacing w:line="440" w:lineRule="exact"/>
        <w:rPr>
          <w:rFonts w:hint="eastAsia" w:ascii="宋体" w:hAnsi="宋体" w:cs="宋体"/>
          <w:b/>
          <w:color w:val="auto"/>
          <w:sz w:val="22"/>
          <w:szCs w:val="22"/>
          <w:highlight w:val="none"/>
        </w:rPr>
      </w:pPr>
      <w:bookmarkStart w:id="91" w:name="_Toc469730741"/>
      <w:bookmarkStart w:id="92" w:name="_Toc480204650"/>
      <w:bookmarkStart w:id="93" w:name="_Toc82417917"/>
      <w:bookmarkStart w:id="94" w:name="_Toc13603237"/>
      <w:bookmarkStart w:id="95" w:name="_Toc54034498"/>
      <w:r>
        <w:rPr>
          <w:rFonts w:hint="eastAsia" w:ascii="宋体" w:hAnsi="宋体" w:cs="宋体"/>
          <w:b/>
          <w:color w:val="auto"/>
          <w:sz w:val="22"/>
          <w:szCs w:val="22"/>
          <w:highlight w:val="none"/>
        </w:rPr>
        <w:t>注：根据商务技术评分要求提供证明材料。</w:t>
      </w:r>
    </w:p>
    <w:p>
      <w:pPr>
        <w:tabs>
          <w:tab w:val="left" w:pos="720"/>
          <w:tab w:val="left" w:pos="1260"/>
          <w:tab w:val="left" w:pos="5355"/>
        </w:tabs>
        <w:spacing w:line="430" w:lineRule="exact"/>
        <w:rPr>
          <w:rFonts w:hint="eastAsia" w:ascii="宋体" w:hAnsi="宋体" w:cs="宋体"/>
          <w:bCs/>
          <w:color w:val="auto"/>
          <w:sz w:val="22"/>
          <w:szCs w:val="22"/>
          <w:highlight w:val="none"/>
        </w:rPr>
      </w:pPr>
    </w:p>
    <w:p>
      <w:pPr>
        <w:spacing w:line="440" w:lineRule="exact"/>
        <w:ind w:firstLine="4400" w:firstLineChars="2000"/>
        <w:rPr>
          <w:rFonts w:hint="eastAsia" w:ascii="宋体" w:hAnsi="宋体" w:cs="宋体"/>
          <w:color w:val="auto"/>
          <w:sz w:val="22"/>
          <w:szCs w:val="22"/>
          <w:highlight w:val="none"/>
        </w:rPr>
      </w:pPr>
    </w:p>
    <w:p>
      <w:pPr>
        <w:spacing w:line="440" w:lineRule="exact"/>
        <w:ind w:firstLine="4400" w:firstLineChars="2000"/>
        <w:rPr>
          <w:rFonts w:hint="eastAsia" w:ascii="宋体" w:hAnsi="宋体" w:cs="宋体"/>
          <w:color w:val="auto"/>
          <w:sz w:val="22"/>
          <w:szCs w:val="22"/>
          <w:highlight w:val="none"/>
        </w:rPr>
      </w:pPr>
    </w:p>
    <w:p>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pPr>
        <w:pStyle w:val="18"/>
        <w:rPr>
          <w:rFonts w:hint="eastAsia" w:ascii="宋体" w:hAnsi="宋体" w:cs="宋体"/>
          <w:color w:val="auto"/>
          <w:sz w:val="22"/>
          <w:szCs w:val="22"/>
          <w:highlight w:val="none"/>
        </w:rPr>
      </w:pPr>
    </w:p>
    <w:p>
      <w:pPr>
        <w:pStyle w:val="42"/>
        <w:rPr>
          <w:rFonts w:hint="eastAsia" w:ascii="宋体" w:hAnsi="宋体" w:cs="宋体"/>
          <w:color w:val="auto"/>
          <w:sz w:val="22"/>
          <w:szCs w:val="22"/>
          <w:highlight w:val="none"/>
        </w:rPr>
      </w:pPr>
    </w:p>
    <w:p>
      <w:pPr>
        <w:rPr>
          <w:rFonts w:hint="eastAsia" w:ascii="宋体" w:hAnsi="宋体" w:cs="宋体"/>
          <w:color w:val="auto"/>
          <w:sz w:val="22"/>
          <w:szCs w:val="22"/>
          <w:highlight w:val="none"/>
        </w:rPr>
      </w:pPr>
    </w:p>
    <w:bookmarkEnd w:id="91"/>
    <w:bookmarkEnd w:id="92"/>
    <w:bookmarkEnd w:id="93"/>
    <w:bookmarkEnd w:id="94"/>
    <w:bookmarkEnd w:id="95"/>
    <w:p>
      <w:pPr>
        <w:pStyle w:val="3"/>
        <w:spacing w:line="240" w:lineRule="auto"/>
        <w:rPr>
          <w:rFonts w:ascii="宋体" w:hAnsi="宋体" w:eastAsia="宋体"/>
          <w:color w:val="auto"/>
          <w:sz w:val="24"/>
          <w:szCs w:val="24"/>
          <w:highlight w:val="none"/>
        </w:rPr>
      </w:pPr>
      <w:bookmarkStart w:id="96" w:name="_Toc10560"/>
      <w:bookmarkStart w:id="97" w:name="_Toc524273184"/>
      <w:bookmarkStart w:id="98" w:name="_Toc1555"/>
      <w:bookmarkStart w:id="99" w:name="_Toc20385"/>
      <w:bookmarkStart w:id="100" w:name="_Toc40035657"/>
      <w:r>
        <w:rPr>
          <w:rFonts w:ascii="宋体" w:hAnsi="宋体" w:eastAsia="宋体"/>
          <w:color w:val="auto"/>
          <w:sz w:val="24"/>
          <w:szCs w:val="24"/>
          <w:highlight w:val="none"/>
        </w:rPr>
        <w:t>附件</w:t>
      </w:r>
      <w:r>
        <w:rPr>
          <w:rFonts w:hint="eastAsia" w:ascii="宋体" w:hAnsi="宋体" w:eastAsia="宋体"/>
          <w:color w:val="auto"/>
          <w:sz w:val="24"/>
          <w:szCs w:val="24"/>
          <w:highlight w:val="none"/>
          <w:lang w:eastAsia="zh-CN"/>
        </w:rPr>
        <w:t>八</w:t>
      </w:r>
      <w:r>
        <w:rPr>
          <w:rFonts w:hint="eastAsia" w:ascii="宋体" w:hAnsi="宋体" w:eastAsia="宋体"/>
          <w:color w:val="auto"/>
          <w:sz w:val="24"/>
          <w:szCs w:val="24"/>
          <w:highlight w:val="none"/>
        </w:rPr>
        <w:t xml:space="preserve"> 政府采购政策功能相关说明</w:t>
      </w:r>
      <w:bookmarkEnd w:id="96"/>
      <w:bookmarkEnd w:id="97"/>
      <w:bookmarkEnd w:id="98"/>
      <w:bookmarkEnd w:id="99"/>
      <w:bookmarkEnd w:id="100"/>
    </w:p>
    <w:p>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pPr>
        <w:spacing w:line="440" w:lineRule="atLeast"/>
        <w:jc w:val="left"/>
        <w:rPr>
          <w:rFonts w:ascii="宋体" w:hAnsi="宋体"/>
          <w:color w:val="auto"/>
          <w:sz w:val="22"/>
          <w:highlight w:val="none"/>
        </w:rPr>
      </w:pPr>
      <w:r>
        <w:rPr>
          <w:rFonts w:ascii="宋体" w:hAnsi="宋体"/>
          <w:color w:val="auto"/>
          <w:sz w:val="22"/>
          <w:highlight w:val="none"/>
        </w:rPr>
        <w:t xml:space="preserve">1.   </w:t>
      </w:r>
      <w:r>
        <w:rPr>
          <w:rFonts w:hint="eastAsia" w:ascii="宋体" w:hAnsi="宋体"/>
          <w:color w:val="auto"/>
          <w:sz w:val="22"/>
          <w:highlight w:val="none"/>
        </w:rPr>
        <w:t>文件依据</w:t>
      </w:r>
    </w:p>
    <w:p>
      <w:pPr>
        <w:spacing w:line="440" w:lineRule="atLeast"/>
        <w:jc w:val="left"/>
        <w:rPr>
          <w:rFonts w:hint="eastAsia" w:ascii="宋体" w:hAnsi="宋体"/>
          <w:color w:val="auto"/>
          <w:sz w:val="22"/>
          <w:highlight w:val="none"/>
        </w:rPr>
      </w:pPr>
      <w:r>
        <w:rPr>
          <w:rFonts w:hint="eastAsia" w:ascii="宋体" w:hAnsi="宋体"/>
          <w:color w:val="auto"/>
          <w:sz w:val="22"/>
          <w:highlight w:val="none"/>
        </w:rPr>
        <w:t>（1）关于印发《政府采购促进中小企业发展暂行办法》的通知（财库〔2020〕46号）</w:t>
      </w:r>
    </w:p>
    <w:p>
      <w:pPr>
        <w:spacing w:line="440" w:lineRule="atLeast"/>
        <w:jc w:val="left"/>
        <w:rPr>
          <w:rFonts w:ascii="宋体" w:hAnsi="宋体"/>
          <w:color w:val="auto"/>
          <w:sz w:val="22"/>
          <w:highlight w:val="none"/>
        </w:rPr>
      </w:pPr>
      <w:r>
        <w:rPr>
          <w:rFonts w:hint="eastAsia" w:ascii="宋体" w:hAnsi="宋体"/>
          <w:color w:val="auto"/>
          <w:sz w:val="22"/>
          <w:highlight w:val="none"/>
        </w:rPr>
        <w:t>（4）《工业和信息化部、国家统计局、国家发展和改革委员会、财政部关于印发中小企业划型标准规定的通知》（</w:t>
      </w:r>
      <w:r>
        <w:rPr>
          <w:rFonts w:ascii="宋体" w:hAnsi="宋体"/>
          <w:color w:val="auto"/>
          <w:sz w:val="22"/>
          <w:highlight w:val="none"/>
        </w:rPr>
        <w:t>工信部联企业[2011]300号</w:t>
      </w:r>
      <w:r>
        <w:rPr>
          <w:rFonts w:hint="eastAsia" w:ascii="宋体" w:hAnsi="宋体"/>
          <w:color w:val="auto"/>
          <w:sz w:val="22"/>
          <w:highlight w:val="none"/>
        </w:rPr>
        <w:t>）</w:t>
      </w:r>
    </w:p>
    <w:p>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3</w:t>
      </w:r>
      <w:r>
        <w:rPr>
          <w:rFonts w:hint="eastAsia" w:ascii="宋体" w:hAnsi="宋体"/>
          <w:color w:val="auto"/>
          <w:sz w:val="22"/>
          <w:highlight w:val="none"/>
        </w:rPr>
        <w:t>）财政部、司法部《关于政府采购支持监狱企业发展有关问题的通知》（财库〔2014〕68号）</w:t>
      </w:r>
    </w:p>
    <w:p>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4</w:t>
      </w:r>
      <w:r>
        <w:rPr>
          <w:rFonts w:hint="eastAsia" w:ascii="宋体" w:hAnsi="宋体"/>
          <w:color w:val="auto"/>
          <w:sz w:val="22"/>
          <w:highlight w:val="none"/>
        </w:rPr>
        <w:t>）《财政部 民政部 中国残疾人联合会关于促进残疾人就业政府采购政策的通知》（财库〔2017〕 141号）</w:t>
      </w:r>
    </w:p>
    <w:p>
      <w:pPr>
        <w:spacing w:line="440" w:lineRule="atLeast"/>
        <w:rPr>
          <w:color w:val="auto"/>
          <w:highlight w:val="none"/>
        </w:rPr>
      </w:pPr>
      <w:r>
        <w:rPr>
          <w:rFonts w:ascii="宋体" w:hAnsi="宋体"/>
          <w:color w:val="auto"/>
          <w:sz w:val="22"/>
          <w:highlight w:val="none"/>
        </w:rPr>
        <w:t xml:space="preserve">2.  </w:t>
      </w:r>
      <w:r>
        <w:rPr>
          <w:rFonts w:hint="eastAsia"/>
          <w:color w:val="auto"/>
          <w:highlight w:val="none"/>
        </w:rPr>
        <w:t>中小企业应具备的条件：</w:t>
      </w:r>
    </w:p>
    <w:p>
      <w:pPr>
        <w:spacing w:line="440" w:lineRule="atLeast"/>
        <w:jc w:val="left"/>
        <w:rPr>
          <w:rFonts w:hint="eastAsia" w:ascii="宋体" w:hAnsi="宋体" w:eastAsia="宋体"/>
          <w:b/>
          <w:color w:val="auto"/>
          <w:sz w:val="22"/>
          <w:highlight w:val="none"/>
          <w:lang w:eastAsia="zh-CN"/>
        </w:rPr>
      </w:pPr>
      <w:r>
        <w:rPr>
          <w:rFonts w:hint="eastAsia" w:ascii="宋体" w:hAnsi="宋体"/>
          <w:b/>
          <w:color w:val="auto"/>
          <w:sz w:val="22"/>
          <w:highlight w:val="none"/>
        </w:rPr>
        <w:t>（1）符合中小企业划分标准</w:t>
      </w:r>
      <w:r>
        <w:rPr>
          <w:rFonts w:hint="eastAsia" w:ascii="宋体" w:hAnsi="宋体"/>
          <w:b/>
          <w:color w:val="auto"/>
          <w:sz w:val="22"/>
          <w:highlight w:val="none"/>
          <w:lang w:eastAsia="zh-CN"/>
        </w:rPr>
        <w:t>；</w:t>
      </w:r>
    </w:p>
    <w:p>
      <w:pPr>
        <w:spacing w:line="440" w:lineRule="atLeast"/>
        <w:jc w:val="left"/>
        <w:rPr>
          <w:rFonts w:hint="eastAsia" w:ascii="宋体" w:hAnsi="宋体" w:eastAsia="宋体"/>
          <w:b/>
          <w:color w:val="auto"/>
          <w:sz w:val="22"/>
          <w:highlight w:val="none"/>
          <w:lang w:eastAsia="zh-CN"/>
        </w:rPr>
      </w:pPr>
      <w:r>
        <w:rPr>
          <w:rFonts w:ascii="宋体" w:hAnsi="宋体"/>
          <w:b/>
          <w:color w:val="auto"/>
          <w:sz w:val="22"/>
          <w:highlight w:val="none"/>
        </w:rPr>
        <w:t>（</w:t>
      </w:r>
      <w:r>
        <w:rPr>
          <w:rFonts w:hint="eastAsia" w:ascii="宋体" w:hAnsi="宋体"/>
          <w:b/>
          <w:color w:val="auto"/>
          <w:sz w:val="22"/>
          <w:highlight w:val="none"/>
        </w:rPr>
        <w:t>2</w:t>
      </w:r>
      <w:r>
        <w:rPr>
          <w:rFonts w:ascii="宋体" w:hAnsi="宋体"/>
          <w:b/>
          <w:color w:val="auto"/>
          <w:sz w:val="22"/>
          <w:highlight w:val="none"/>
        </w:rPr>
        <w:t>）在货物采购项目中，货物由中小企业制造，即货物由中小企业生产且使用该中小企业商号或者注册商标</w:t>
      </w:r>
      <w:r>
        <w:rPr>
          <w:rFonts w:hint="eastAsia" w:ascii="宋体" w:hAnsi="宋体"/>
          <w:b/>
          <w:color w:val="auto"/>
          <w:sz w:val="22"/>
          <w:highlight w:val="none"/>
          <w:lang w:eastAsia="zh-CN"/>
        </w:rPr>
        <w:t>；</w:t>
      </w:r>
    </w:p>
    <w:p>
      <w:pPr>
        <w:spacing w:line="440" w:lineRule="atLeast"/>
        <w:jc w:val="left"/>
        <w:rPr>
          <w:rFonts w:hint="eastAsia" w:ascii="宋体" w:hAnsi="宋体" w:eastAsia="宋体"/>
          <w:b/>
          <w:color w:val="auto"/>
          <w:sz w:val="22"/>
          <w:highlight w:val="none"/>
          <w:lang w:eastAsia="zh-CN"/>
        </w:rPr>
      </w:pPr>
      <w:r>
        <w:rPr>
          <w:rFonts w:ascii="宋体" w:hAnsi="宋体"/>
          <w:b/>
          <w:color w:val="auto"/>
          <w:sz w:val="22"/>
          <w:highlight w:val="none"/>
        </w:rPr>
        <w:t>（</w:t>
      </w:r>
      <w:r>
        <w:rPr>
          <w:rFonts w:hint="eastAsia" w:ascii="宋体" w:hAnsi="宋体"/>
          <w:b/>
          <w:color w:val="auto"/>
          <w:sz w:val="22"/>
          <w:highlight w:val="none"/>
        </w:rPr>
        <w:t>3</w:t>
      </w:r>
      <w:r>
        <w:rPr>
          <w:rFonts w:ascii="宋体" w:hAnsi="宋体"/>
          <w:b/>
          <w:color w:val="auto"/>
          <w:sz w:val="22"/>
          <w:highlight w:val="none"/>
        </w:rPr>
        <w:t>）在工程采购项目中，工程由中小企业承建，即工程施工单位为中小企业</w:t>
      </w:r>
      <w:r>
        <w:rPr>
          <w:rFonts w:hint="eastAsia" w:ascii="宋体" w:hAnsi="宋体"/>
          <w:b/>
          <w:color w:val="auto"/>
          <w:sz w:val="22"/>
          <w:highlight w:val="none"/>
          <w:lang w:eastAsia="zh-CN"/>
        </w:rPr>
        <w:t>；</w:t>
      </w:r>
    </w:p>
    <w:p>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4</w:t>
      </w:r>
      <w:r>
        <w:rPr>
          <w:rFonts w:ascii="宋体" w:hAnsi="宋体"/>
          <w:b/>
          <w:color w:val="auto"/>
          <w:sz w:val="22"/>
          <w:highlight w:val="none"/>
        </w:rPr>
        <w:t>）在服务采购项目中，服务由中小企业承接，即</w:t>
      </w:r>
      <w:r>
        <w:rPr>
          <w:rFonts w:hint="eastAsia" w:ascii="宋体" w:hAnsi="宋体"/>
          <w:b/>
          <w:color w:val="auto"/>
          <w:sz w:val="22"/>
          <w:highlight w:val="none"/>
        </w:rPr>
        <w:t>提供</w:t>
      </w:r>
      <w:r>
        <w:rPr>
          <w:rFonts w:ascii="宋体" w:hAnsi="宋体"/>
          <w:b/>
          <w:color w:val="auto"/>
          <w:sz w:val="22"/>
          <w:highlight w:val="none"/>
        </w:rPr>
        <w:t>服务的人员为中小企业依照《中华人民共和国劳动合同法》订立劳动合同的从业人员。</w:t>
      </w:r>
    </w:p>
    <w:p>
      <w:pPr>
        <w:spacing w:line="440" w:lineRule="atLeast"/>
        <w:jc w:val="left"/>
        <w:rPr>
          <w:rFonts w:ascii="宋体" w:hAnsi="宋体"/>
          <w:b/>
          <w:color w:val="auto"/>
          <w:sz w:val="22"/>
          <w:highlight w:val="none"/>
        </w:rPr>
      </w:pPr>
      <w:r>
        <w:rPr>
          <w:rFonts w:hint="eastAsia" w:ascii="宋体" w:hAnsi="宋体"/>
          <w:b/>
          <w:color w:val="auto"/>
          <w:sz w:val="22"/>
          <w:highlight w:val="none"/>
        </w:rPr>
        <w:t>（5）</w:t>
      </w:r>
      <w:r>
        <w:rPr>
          <w:rFonts w:ascii="宋体" w:hAnsi="宋体"/>
          <w:b/>
          <w:color w:val="auto"/>
          <w:sz w:val="22"/>
          <w:highlight w:val="none"/>
        </w:rPr>
        <w:t>在货物采购项目中，供应商提供的货物既有中小企业制造货物，也有大型企业制造货物的，不享受本办法规定的中小企业扶持政策。</w:t>
      </w:r>
    </w:p>
    <w:p>
      <w:pPr>
        <w:spacing w:line="440" w:lineRule="atLeast"/>
        <w:jc w:val="left"/>
        <w:rPr>
          <w:rFonts w:ascii="宋体" w:hAnsi="宋体"/>
          <w:b/>
          <w:color w:val="auto"/>
          <w:sz w:val="22"/>
          <w:highlight w:val="none"/>
        </w:rPr>
      </w:pPr>
      <w:r>
        <w:rPr>
          <w:rFonts w:hint="eastAsia" w:ascii="宋体" w:hAnsi="宋体"/>
          <w:b/>
          <w:color w:val="auto"/>
          <w:sz w:val="22"/>
          <w:highlight w:val="none"/>
        </w:rPr>
        <w:t>（6）</w:t>
      </w:r>
      <w:r>
        <w:rPr>
          <w:rFonts w:ascii="宋体" w:hAnsi="宋体"/>
          <w:b/>
          <w:color w:val="auto"/>
          <w:sz w:val="22"/>
          <w:highlight w:val="none"/>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color w:val="auto"/>
          <w:sz w:val="22"/>
          <w:highlight w:val="none"/>
        </w:rPr>
      </w:pPr>
      <w:r>
        <w:rPr>
          <w:rFonts w:ascii="宋体" w:hAnsi="宋体"/>
          <w:color w:val="auto"/>
          <w:sz w:val="22"/>
          <w:highlight w:val="none"/>
        </w:rPr>
        <w:t xml:space="preserve">3.   </w:t>
      </w:r>
      <w:r>
        <w:rPr>
          <w:rFonts w:hint="eastAsia" w:ascii="宋体" w:hAnsi="宋体"/>
          <w:color w:val="auto"/>
          <w:sz w:val="22"/>
          <w:highlight w:val="none"/>
          <w:u w:val="single"/>
        </w:rPr>
        <w:t>享受小微企业价格折扣应提供以下证明材料（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pPr>
        <w:spacing w:line="440" w:lineRule="exact"/>
        <w:ind w:firstLine="440" w:firstLineChars="200"/>
        <w:jc w:val="left"/>
        <w:rPr>
          <w:rFonts w:hint="eastAsia" w:ascii="宋体" w:hAnsi="宋体"/>
          <w:color w:val="auto"/>
          <w:sz w:val="22"/>
          <w:highlight w:val="none"/>
        </w:rPr>
      </w:pPr>
      <w:r>
        <w:rPr>
          <w:rFonts w:hint="eastAsia" w:ascii="宋体" w:hAnsi="宋体"/>
          <w:color w:val="auto"/>
          <w:sz w:val="22"/>
          <w:highlight w:val="none"/>
        </w:rPr>
        <w:t>《中小企业声明函》（加盖供应商公章，格式见附件1）</w:t>
      </w:r>
    </w:p>
    <w:p>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 xml:space="preserve">.   </w:t>
      </w:r>
      <w:r>
        <w:rPr>
          <w:rFonts w:hint="eastAsia" w:ascii="宋体" w:hAnsi="宋体"/>
          <w:color w:val="auto"/>
          <w:sz w:val="22"/>
          <w:highlight w:val="none"/>
          <w:u w:val="single"/>
        </w:rPr>
        <w:t>享受监狱企业价格折扣应提供以下证明材料（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pPr>
        <w:spacing w:line="440" w:lineRule="atLeast"/>
        <w:ind w:left="550" w:hanging="550" w:hangingChars="250"/>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w:t>
      </w:r>
      <w:r>
        <w:rPr>
          <w:rFonts w:ascii="宋体" w:hAnsi="宋体"/>
          <w:color w:val="auto"/>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sz w:val="22"/>
          <w:highlight w:val="none"/>
        </w:rPr>
        <w:t>（加盖供应商公章）</w:t>
      </w:r>
      <w:r>
        <w:rPr>
          <w:rFonts w:ascii="宋体" w:hAnsi="宋体"/>
          <w:color w:val="auto"/>
          <w:sz w:val="22"/>
          <w:highlight w:val="none"/>
        </w:rPr>
        <w:t>。在政府采购活动中，监狱企业视同小型、微型企业</w:t>
      </w:r>
      <w:r>
        <w:rPr>
          <w:rFonts w:hint="eastAsia" w:ascii="宋体" w:hAnsi="宋体"/>
          <w:color w:val="auto"/>
          <w:sz w:val="22"/>
          <w:highlight w:val="none"/>
        </w:rPr>
        <w:t>。</w:t>
      </w:r>
    </w:p>
    <w:p>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 xml:space="preserve">5.   </w:t>
      </w:r>
      <w:r>
        <w:rPr>
          <w:rFonts w:hint="eastAsia" w:ascii="宋体" w:hAnsi="宋体"/>
          <w:color w:val="auto"/>
          <w:sz w:val="22"/>
          <w:highlight w:val="none"/>
          <w:u w:val="single"/>
        </w:rPr>
        <w:t>享受残疾人福利性单位格折扣应提供以下证明材料（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pPr>
        <w:spacing w:line="440" w:lineRule="atLeast"/>
        <w:jc w:val="left"/>
        <w:rPr>
          <w:rFonts w:hint="eastAsia"/>
          <w:color w:val="auto"/>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）残疾人福利性单位声明函（加盖供应商公章，格式见附件2）。</w:t>
      </w:r>
    </w:p>
    <w:p>
      <w:pPr>
        <w:spacing w:line="440" w:lineRule="atLeast"/>
        <w:rPr>
          <w:rFonts w:ascii="宋体" w:hAnsi="宋体"/>
          <w:color w:val="auto"/>
          <w:sz w:val="22"/>
          <w:highlight w:val="none"/>
        </w:rPr>
      </w:pPr>
      <w:r>
        <w:rPr>
          <w:rFonts w:ascii="宋体" w:hAnsi="宋体"/>
          <w:color w:val="auto"/>
          <w:sz w:val="22"/>
          <w:highlight w:val="none"/>
        </w:rPr>
        <w:br w:type="page"/>
      </w:r>
      <w:r>
        <w:rPr>
          <w:rFonts w:hint="eastAsia" w:ascii="宋体" w:hAnsi="宋体"/>
          <w:color w:val="auto"/>
          <w:sz w:val="22"/>
          <w:highlight w:val="none"/>
        </w:rPr>
        <w:t>附件1：</w:t>
      </w:r>
    </w:p>
    <w:p>
      <w:pPr>
        <w:pStyle w:val="18"/>
        <w:spacing w:line="440" w:lineRule="exact"/>
        <w:ind w:left="860"/>
        <w:jc w:val="center"/>
        <w:rPr>
          <w:rFonts w:ascii="宋体" w:hAnsi="宋体"/>
          <w:b/>
          <w:bCs/>
          <w:color w:val="auto"/>
          <w:sz w:val="24"/>
          <w:highlight w:val="none"/>
        </w:rPr>
      </w:pPr>
      <w:r>
        <w:rPr>
          <w:rFonts w:ascii="宋体" w:hAnsi="宋体"/>
          <w:b/>
          <w:bCs/>
          <w:color w:val="auto"/>
          <w:sz w:val="24"/>
          <w:highlight w:val="none"/>
        </w:rPr>
        <w:t>中小企业声明函（货物）</w:t>
      </w:r>
    </w:p>
    <w:p>
      <w:pPr>
        <w:pStyle w:val="18"/>
        <w:spacing w:line="440" w:lineRule="exact"/>
        <w:rPr>
          <w:rFonts w:ascii="宋体" w:hAnsi="宋体"/>
          <w:b/>
          <w:color w:val="auto"/>
          <w:sz w:val="22"/>
          <w:szCs w:val="22"/>
          <w:highlight w:val="none"/>
        </w:rPr>
      </w:pPr>
    </w:p>
    <w:p>
      <w:pPr>
        <w:pStyle w:val="18"/>
        <w:spacing w:before="55" w:line="480" w:lineRule="exact"/>
        <w:ind w:firstLine="660" w:firstLineChars="3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hint="eastAsia" w:ascii="宋体" w:hAnsi="宋体"/>
          <w:b w:val="0"/>
          <w:bCs w:val="0"/>
          <w:color w:val="auto"/>
          <w:sz w:val="22"/>
          <w:szCs w:val="22"/>
          <w:highlight w:val="none"/>
          <w:u w:val="none"/>
          <w:lang w:eastAsia="zh-CN"/>
        </w:rPr>
        <w:t>，</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ascii="宋体" w:hAnsi="宋体"/>
          <w:color w:val="auto"/>
          <w:sz w:val="22"/>
          <w:szCs w:val="22"/>
          <w:highlight w:val="none"/>
        </w:rPr>
        <w:t>采购活动，提供的货物全部由符合政策要求的中小企业制造。相关企业（含联合体中的中小企业、签订分包意向协议的中小企业）的具体情况如下：</w:t>
      </w:r>
    </w:p>
    <w:p>
      <w:pPr>
        <w:numPr>
          <w:ilvl w:val="0"/>
          <w:numId w:val="7"/>
        </w:numPr>
        <w:tabs>
          <w:tab w:val="left" w:pos="1183"/>
          <w:tab w:val="left" w:pos="1484"/>
          <w:tab w:val="left" w:pos="3825"/>
        </w:tabs>
        <w:spacing w:line="48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pPr>
        <w:pStyle w:val="18"/>
        <w:numPr>
          <w:ilvl w:val="0"/>
          <w:numId w:val="7"/>
        </w:numPr>
        <w:spacing w:before="55" w:line="480" w:lineRule="exact"/>
        <w:ind w:left="0" w:leftChars="0" w:right="415"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pPr>
        <w:pStyle w:val="18"/>
        <w:numPr>
          <w:ilvl w:val="0"/>
          <w:numId w:val="7"/>
        </w:numPr>
        <w:spacing w:line="480" w:lineRule="exact"/>
        <w:ind w:left="0" w:leftChars="0"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pPr>
        <w:pStyle w:val="18"/>
        <w:numPr>
          <w:ilvl w:val="0"/>
          <w:numId w:val="7"/>
        </w:numPr>
        <w:spacing w:before="105" w:line="480" w:lineRule="exact"/>
        <w:ind w:left="0" w:leftChars="0" w:right="417"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u w:val="single"/>
          <w:lang w:eastAsia="zh-CN"/>
        </w:rPr>
        <w:t>。</w:t>
      </w:r>
    </w:p>
    <w:p>
      <w:pPr>
        <w:pStyle w:val="18"/>
        <w:spacing w:before="105" w:line="480" w:lineRule="exact"/>
        <w:ind w:right="417" w:firstLine="645"/>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p>
      <w:pPr>
        <w:pStyle w:val="18"/>
        <w:spacing w:before="105"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pPr>
        <w:pStyle w:val="18"/>
        <w:spacing w:line="480" w:lineRule="exact"/>
        <w:ind w:right="372" w:firstLine="645"/>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pPr>
        <w:pStyle w:val="18"/>
        <w:spacing w:before="105" w:line="480" w:lineRule="exact"/>
        <w:ind w:right="417" w:firstLine="3740" w:firstLineChars="1700"/>
        <w:rPr>
          <w:rFonts w:ascii="宋体" w:hAnsi="宋体"/>
          <w:color w:val="auto"/>
          <w:sz w:val="22"/>
          <w:szCs w:val="22"/>
          <w:highlight w:val="none"/>
        </w:rPr>
      </w:pPr>
      <w:r>
        <w:rPr>
          <w:rFonts w:hint="eastAsia" w:ascii="宋体" w:hAnsi="宋体" w:cs="宋体"/>
          <w:color w:val="auto"/>
          <w:sz w:val="22"/>
          <w:szCs w:val="22"/>
          <w:highlight w:val="none"/>
          <w:lang w:val="en-US" w:eastAsia="zh-CN"/>
        </w:rPr>
        <w:t>企业</w:t>
      </w:r>
      <w:r>
        <w:rPr>
          <w:rFonts w:hint="eastAsia" w:ascii="宋体" w:hAnsi="宋体" w:cs="宋体"/>
          <w:color w:val="auto"/>
          <w:sz w:val="22"/>
          <w:szCs w:val="22"/>
          <w:highlight w:val="none"/>
          <w:lang w:eastAsia="zh-CN"/>
        </w:rPr>
        <w:t>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盖章</w:t>
      </w:r>
      <w:r>
        <w:rPr>
          <w:rFonts w:hint="eastAsia" w:ascii="宋体" w:hAnsi="宋体" w:cs="宋体"/>
          <w:color w:val="auto"/>
          <w:sz w:val="22"/>
          <w:szCs w:val="22"/>
          <w:highlight w:val="none"/>
        </w:rPr>
        <w:t>）：</w:t>
      </w:r>
    </w:p>
    <w:p>
      <w:pPr>
        <w:pStyle w:val="18"/>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日期：</w:t>
      </w:r>
    </w:p>
    <w:p>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注：</w:t>
      </w:r>
    </w:p>
    <w:p>
      <w:pPr>
        <w:spacing w:line="360" w:lineRule="auto"/>
        <w:ind w:firstLine="207" w:firstLineChars="98"/>
        <w:rPr>
          <w:rFonts w:hint="eastAsia" w:ascii="宋体" w:hAnsi="宋体" w:cs="宋体"/>
          <w:b/>
          <w:bCs/>
          <w:color w:val="auto"/>
          <w:kern w:val="0"/>
          <w:szCs w:val="21"/>
        </w:rPr>
      </w:pPr>
      <w:r>
        <w:rPr>
          <w:rFonts w:hint="eastAsia" w:ascii="宋体" w:hAnsi="宋体" w:cs="宋体"/>
          <w:b/>
          <w:bCs/>
          <w:color w:val="auto"/>
          <w:kern w:val="0"/>
          <w:szCs w:val="21"/>
        </w:rPr>
        <w:t>1.从业人员、营业收入、资产总额填报上一年度数据，无上一年度数据的新成立企业可不填报。</w:t>
      </w:r>
    </w:p>
    <w:p>
      <w:pPr>
        <w:spacing w:line="360" w:lineRule="auto"/>
        <w:ind w:firstLine="207" w:firstLineChars="98"/>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2.上述制造商为货物的生产厂家</w:t>
      </w:r>
      <w:r>
        <w:rPr>
          <w:rFonts w:hint="eastAsia" w:ascii="宋体" w:hAnsi="宋体" w:cs="宋体"/>
          <w:b/>
          <w:bCs/>
          <w:color w:val="auto"/>
          <w:kern w:val="0"/>
          <w:szCs w:val="21"/>
          <w:lang w:eastAsia="zh-CN"/>
        </w:rPr>
        <w:t>；</w:t>
      </w:r>
    </w:p>
    <w:p>
      <w:pPr>
        <w:spacing w:line="360" w:lineRule="auto"/>
        <w:ind w:firstLine="207" w:firstLineChars="98"/>
        <w:rPr>
          <w:rFonts w:hint="eastAsia" w:eastAsia="宋体"/>
          <w:color w:val="auto"/>
          <w:lang w:eastAsia="zh-CN"/>
        </w:rPr>
      </w:pPr>
      <w:r>
        <w:rPr>
          <w:rFonts w:hint="eastAsia" w:ascii="宋体" w:hAnsi="宋体" w:cs="宋体"/>
          <w:b/>
          <w:bCs/>
          <w:color w:val="auto"/>
          <w:kern w:val="0"/>
          <w:szCs w:val="21"/>
        </w:rPr>
        <w:t>3.</w:t>
      </w:r>
      <w:r>
        <w:rPr>
          <w:rFonts w:hint="eastAsia" w:ascii="宋体" w:hAnsi="宋体" w:cs="仿宋"/>
          <w:b/>
          <w:bCs/>
          <w:color w:val="auto"/>
          <w:sz w:val="22"/>
          <w:szCs w:val="22"/>
          <w:highlight w:val="none"/>
        </w:rPr>
        <w:t>供应商提供的货物既有小</w:t>
      </w:r>
      <w:r>
        <w:rPr>
          <w:rFonts w:hint="eastAsia" w:ascii="宋体" w:hAnsi="宋体" w:cs="仿宋"/>
          <w:b/>
          <w:bCs/>
          <w:color w:val="auto"/>
          <w:sz w:val="22"/>
          <w:szCs w:val="22"/>
          <w:highlight w:val="none"/>
          <w:lang w:val="en-US" w:eastAsia="zh-CN"/>
        </w:rPr>
        <w:t>微</w:t>
      </w:r>
      <w:r>
        <w:rPr>
          <w:rFonts w:hint="eastAsia" w:ascii="宋体" w:hAnsi="宋体" w:cs="仿宋"/>
          <w:b/>
          <w:bCs/>
          <w:color w:val="auto"/>
          <w:sz w:val="22"/>
          <w:szCs w:val="22"/>
          <w:highlight w:val="none"/>
        </w:rPr>
        <w:t>企业制造货物，也有</w:t>
      </w:r>
      <w:r>
        <w:rPr>
          <w:rFonts w:hint="eastAsia" w:ascii="宋体" w:hAnsi="宋体" w:cs="仿宋"/>
          <w:b/>
          <w:bCs/>
          <w:color w:val="auto"/>
          <w:sz w:val="22"/>
          <w:szCs w:val="22"/>
          <w:highlight w:val="none"/>
          <w:lang w:eastAsia="zh-CN"/>
        </w:rPr>
        <w:t>中</w:t>
      </w:r>
      <w:r>
        <w:rPr>
          <w:rFonts w:hint="eastAsia" w:ascii="宋体" w:hAnsi="宋体" w:cs="仿宋"/>
          <w:b/>
          <w:bCs/>
          <w:color w:val="auto"/>
          <w:sz w:val="22"/>
          <w:szCs w:val="22"/>
          <w:highlight w:val="none"/>
        </w:rPr>
        <w:t>型</w:t>
      </w:r>
      <w:r>
        <w:rPr>
          <w:rFonts w:hint="eastAsia" w:ascii="宋体" w:hAnsi="宋体" w:cs="仿宋"/>
          <w:b/>
          <w:bCs/>
          <w:color w:val="auto"/>
          <w:sz w:val="22"/>
          <w:szCs w:val="22"/>
          <w:highlight w:val="none"/>
          <w:lang w:eastAsia="zh-CN"/>
        </w:rPr>
        <w:t>或</w:t>
      </w:r>
      <w:r>
        <w:rPr>
          <w:rFonts w:hint="eastAsia" w:ascii="宋体" w:hAnsi="宋体" w:cs="仿宋"/>
          <w:b/>
          <w:bCs/>
          <w:color w:val="auto"/>
          <w:sz w:val="22"/>
          <w:szCs w:val="22"/>
          <w:highlight w:val="none"/>
        </w:rPr>
        <w:t>大型企业制造货物的，不享受的小微企业价格</w:t>
      </w:r>
      <w:r>
        <w:rPr>
          <w:rFonts w:hint="eastAsia" w:ascii="宋体" w:hAnsi="宋体" w:cs="仿宋"/>
          <w:b/>
          <w:bCs/>
          <w:color w:val="auto"/>
          <w:sz w:val="22"/>
          <w:szCs w:val="22"/>
          <w:highlight w:val="none"/>
          <w:lang w:val="en-US" w:eastAsia="zh-CN"/>
        </w:rPr>
        <w:t>扣除</w:t>
      </w:r>
      <w:r>
        <w:rPr>
          <w:rFonts w:hint="eastAsia" w:ascii="宋体" w:hAnsi="宋体" w:cs="宋体"/>
          <w:b/>
          <w:bCs/>
          <w:color w:val="auto"/>
          <w:kern w:val="0"/>
          <w:szCs w:val="21"/>
        </w:rPr>
        <w:t>。</w:t>
      </w:r>
    </w:p>
    <w:p>
      <w:pPr>
        <w:pStyle w:val="18"/>
        <w:rPr>
          <w:rFonts w:hint="eastAsia" w:ascii="宋体" w:hAnsi="宋体"/>
          <w:color w:val="auto"/>
          <w:highlight w:val="none"/>
        </w:rPr>
      </w:pPr>
    </w:p>
    <w:p>
      <w:pPr>
        <w:pStyle w:val="42"/>
        <w:rPr>
          <w:color w:val="auto"/>
          <w:highlight w:val="none"/>
        </w:rPr>
      </w:pPr>
    </w:p>
    <w:p>
      <w:pPr>
        <w:spacing w:line="440" w:lineRule="exact"/>
        <w:rPr>
          <w:rFonts w:hint="eastAsia" w:ascii="宋体" w:hAnsi="宋体"/>
          <w:color w:val="auto"/>
          <w:sz w:val="22"/>
          <w:highlight w:val="none"/>
        </w:rPr>
      </w:pPr>
      <w:r>
        <w:rPr>
          <w:rFonts w:ascii="宋体" w:hAnsi="宋体"/>
          <w:b/>
          <w:bCs/>
          <w:color w:val="auto"/>
          <w:sz w:val="24"/>
          <w:highlight w:val="none"/>
        </w:rPr>
        <w:br w:type="page"/>
      </w:r>
    </w:p>
    <w:p>
      <w:pPr>
        <w:spacing w:line="440" w:lineRule="exact"/>
        <w:rPr>
          <w:rFonts w:ascii="宋体" w:hAnsi="宋体"/>
          <w:color w:val="auto"/>
          <w:sz w:val="22"/>
          <w:highlight w:val="none"/>
        </w:rPr>
      </w:pPr>
      <w:r>
        <w:rPr>
          <w:rFonts w:hint="eastAsia" w:ascii="宋体" w:hAnsi="宋体"/>
          <w:color w:val="auto"/>
          <w:sz w:val="22"/>
          <w:highlight w:val="none"/>
        </w:rPr>
        <w:t>附件2：</w:t>
      </w:r>
    </w:p>
    <w:p>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pPr>
        <w:spacing w:line="588" w:lineRule="exact"/>
        <w:rPr>
          <w:rFonts w:ascii="新宋体" w:hAnsi="新宋体" w:eastAsia="新宋体"/>
          <w:b/>
          <w:color w:val="auto"/>
          <w:spacing w:val="6"/>
          <w:sz w:val="30"/>
          <w:szCs w:val="30"/>
          <w:highlight w:val="none"/>
        </w:rPr>
      </w:pPr>
    </w:p>
    <w:p>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s="宋体"/>
          <w:color w:val="auto"/>
          <w:sz w:val="22"/>
          <w:szCs w:val="22"/>
          <w:highlight w:val="none"/>
        </w:rPr>
        <w:t>）</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pPr>
        <w:spacing w:line="588" w:lineRule="exact"/>
        <w:ind w:firstLine="440" w:firstLineChars="200"/>
        <w:rPr>
          <w:rFonts w:ascii="宋体" w:hAnsi="宋体" w:cs="宋体"/>
          <w:color w:val="auto"/>
          <w:sz w:val="22"/>
          <w:szCs w:val="22"/>
          <w:highlight w:val="none"/>
        </w:rPr>
      </w:pPr>
    </w:p>
    <w:p>
      <w:pPr>
        <w:spacing w:line="588" w:lineRule="exact"/>
        <w:ind w:firstLine="440" w:firstLineChars="200"/>
        <w:rPr>
          <w:rFonts w:ascii="宋体" w:hAnsi="宋体" w:cs="宋体"/>
          <w:color w:val="auto"/>
          <w:sz w:val="22"/>
          <w:szCs w:val="22"/>
          <w:highlight w:val="none"/>
        </w:rPr>
      </w:pPr>
    </w:p>
    <w:p>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pPr>
        <w:widowControl/>
        <w:adjustRightInd w:val="0"/>
        <w:snapToGrid w:val="0"/>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  期：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年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月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w:t>
      </w:r>
    </w:p>
    <w:p>
      <w:pPr>
        <w:pStyle w:val="18"/>
        <w:rPr>
          <w:color w:val="auto"/>
          <w:highlight w:val="none"/>
        </w:rPr>
      </w:pPr>
    </w:p>
    <w:p>
      <w:pPr>
        <w:pStyle w:val="18"/>
        <w:rPr>
          <w:rFonts w:hint="eastAsia"/>
          <w:color w:val="auto"/>
          <w:highlight w:val="none"/>
        </w:rPr>
      </w:pPr>
    </w:p>
    <w:p>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pPr>
        <w:spacing w:line="588"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1、如中标，将在中标公告中将此残疾人福利性单位声明函予以公示，接受社会监督</w:t>
      </w:r>
      <w:r>
        <w:rPr>
          <w:rFonts w:hint="eastAsia" w:ascii="宋体" w:hAnsi="宋体" w:cs="宋体"/>
          <w:color w:val="auto"/>
          <w:sz w:val="22"/>
          <w:szCs w:val="22"/>
          <w:highlight w:val="none"/>
          <w:lang w:eastAsia="zh-CN"/>
        </w:rPr>
        <w:t>；</w:t>
      </w:r>
    </w:p>
    <w:p>
      <w:pPr>
        <w:spacing w:line="588"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pPr>
        <w:spacing w:line="420" w:lineRule="exact"/>
        <w:rPr>
          <w:color w:val="auto"/>
          <w:highlight w:val="none"/>
        </w:rPr>
      </w:pPr>
    </w:p>
    <w:p>
      <w:pPr>
        <w:pStyle w:val="18"/>
        <w:rPr>
          <w:color w:val="auto"/>
          <w:highlight w:val="none"/>
        </w:rPr>
      </w:pPr>
    </w:p>
    <w:p>
      <w:pPr>
        <w:pStyle w:val="18"/>
        <w:rPr>
          <w:rFonts w:hint="eastAsia"/>
          <w:color w:val="auto"/>
          <w:highlight w:val="none"/>
        </w:rPr>
      </w:pPr>
    </w:p>
    <w:p>
      <w:pPr>
        <w:spacing w:line="440" w:lineRule="exact"/>
        <w:rPr>
          <w:rFonts w:ascii="宋体" w:hAnsi="宋体" w:cs="宋体"/>
          <w:b/>
          <w:color w:val="auto"/>
          <w:sz w:val="24"/>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rFonts w:hint="eastAsia"/>
          <w:color w:val="auto"/>
          <w:highlight w:val="none"/>
        </w:rPr>
      </w:pPr>
    </w:p>
    <w:p>
      <w:pPr>
        <w:pStyle w:val="18"/>
        <w:rPr>
          <w:rFonts w:hint="eastAsia"/>
          <w:color w:val="auto"/>
          <w:highlight w:val="none"/>
        </w:rPr>
      </w:pPr>
    </w:p>
    <w:p>
      <w:pPr>
        <w:spacing w:line="440" w:lineRule="exact"/>
        <w:ind w:left="708" w:hanging="708" w:hangingChars="294"/>
        <w:jc w:val="center"/>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（2）节能、环保产品优先（强制）采购政策说明</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1、政策依据</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（五）关于印发环境标志产品政府采购品目清单的通知（财库〔2019〕18号）</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pPr>
        <w:pStyle w:val="18"/>
        <w:rPr>
          <w:color w:val="auto"/>
          <w:highlight w:val="none"/>
        </w:rPr>
      </w:pPr>
    </w:p>
    <w:p>
      <w:pPr>
        <w:spacing w:line="380" w:lineRule="exact"/>
        <w:jc w:val="left"/>
        <w:rPr>
          <w:rFonts w:ascii="宋体" w:hAnsi="宋体"/>
          <w:color w:val="auto"/>
          <w:sz w:val="22"/>
          <w:highlight w:val="none"/>
        </w:rPr>
      </w:pPr>
      <w:r>
        <w:rPr>
          <w:color w:val="auto"/>
          <w:highlight w:val="none"/>
        </w:rPr>
        <w:br w:type="page"/>
      </w:r>
      <w:r>
        <w:rPr>
          <w:rFonts w:hint="eastAsia" w:ascii="宋体" w:hAnsi="宋体"/>
          <w:color w:val="auto"/>
          <w:sz w:val="22"/>
          <w:highlight w:val="none"/>
        </w:rPr>
        <w:t>附件</w:t>
      </w:r>
      <w:r>
        <w:rPr>
          <w:rFonts w:hint="eastAsia" w:ascii="宋体" w:hAnsi="宋体"/>
          <w:color w:val="auto"/>
          <w:sz w:val="22"/>
          <w:highlight w:val="none"/>
          <w:lang w:val="en-US" w:eastAsia="zh-CN"/>
        </w:rPr>
        <w:t>1</w:t>
      </w:r>
      <w:r>
        <w:rPr>
          <w:rFonts w:hint="eastAsia" w:ascii="宋体" w:hAnsi="宋体"/>
          <w:color w:val="auto"/>
          <w:sz w:val="22"/>
          <w:highlight w:val="none"/>
        </w:rPr>
        <w:t>：</w:t>
      </w:r>
    </w:p>
    <w:p>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节能环保产品声明函</w:t>
      </w:r>
    </w:p>
    <w:p>
      <w:pPr>
        <w:autoSpaceDE w:val="0"/>
        <w:autoSpaceDN w:val="0"/>
        <w:adjustRightInd w:val="0"/>
        <w:spacing w:line="460" w:lineRule="atLeast"/>
        <w:jc w:val="center"/>
        <w:rPr>
          <w:rFonts w:ascii="宋体" w:hAnsi="宋体"/>
          <w:color w:val="auto"/>
          <w:sz w:val="36"/>
          <w:szCs w:val="20"/>
          <w:highlight w:val="none"/>
          <w:lang w:val="zh-CN"/>
        </w:rPr>
      </w:pPr>
      <w:r>
        <w:rPr>
          <w:rFonts w:hint="eastAsia" w:ascii="宋体" w:hAnsi="宋体"/>
          <w:color w:val="auto"/>
          <w:sz w:val="22"/>
          <w:highlight w:val="none"/>
        </w:rPr>
        <w:t>（如有则提供）</w:t>
      </w:r>
    </w:p>
    <w:p>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highlight w:val="none"/>
        </w:rPr>
        <w:t>2019〕9号）</w:t>
      </w:r>
      <w:r>
        <w:rPr>
          <w:rFonts w:hint="eastAsia" w:ascii="宋体" w:hAnsi="宋体"/>
          <w:color w:val="auto"/>
          <w:sz w:val="22"/>
          <w:highlight w:val="none"/>
        </w:rPr>
        <w:t>、《关于印发节能产品政府采购品目清单的通知》（财库〔</w:t>
      </w:r>
      <w:r>
        <w:rPr>
          <w:rFonts w:ascii="宋体" w:hAnsi="宋体"/>
          <w:color w:val="auto"/>
          <w:sz w:val="22"/>
          <w:highlight w:val="none"/>
        </w:rPr>
        <w:t>2019〕19号）</w:t>
      </w:r>
      <w:r>
        <w:rPr>
          <w:rFonts w:hint="eastAsia" w:ascii="宋体" w:hAnsi="宋体"/>
          <w:color w:val="auto"/>
          <w:sz w:val="22"/>
          <w:highlight w:val="none"/>
        </w:rPr>
        <w:t>、《关于印发环境标志产品政府采购品目清单的通知》（财库〔</w:t>
      </w:r>
      <w:r>
        <w:rPr>
          <w:rFonts w:ascii="宋体" w:hAnsi="宋体"/>
          <w:color w:val="auto"/>
          <w:sz w:val="22"/>
          <w:highlight w:val="none"/>
        </w:rPr>
        <w:t>2019〕18号）</w:t>
      </w:r>
      <w:r>
        <w:rPr>
          <w:rFonts w:hint="eastAsia" w:ascii="宋体" w:hAnsi="宋体"/>
          <w:color w:val="auto"/>
          <w:sz w:val="22"/>
          <w:highlight w:val="none"/>
        </w:rPr>
        <w:t>的规定，本公司声明如下：</w:t>
      </w:r>
    </w:p>
    <w:p>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1.本公司参加</w:t>
      </w:r>
      <w:r>
        <w:rPr>
          <w:rFonts w:hint="eastAsia" w:ascii="宋体" w:hAnsi="宋体"/>
          <w:color w:val="auto"/>
          <w:sz w:val="22"/>
          <w:highlight w:val="none"/>
          <w:u w:val="single"/>
        </w:rPr>
        <w:t>（采购项目名称，项目编号）</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olor w:val="auto"/>
          <w:sz w:val="22"/>
          <w:highlight w:val="none"/>
        </w:rPr>
        <w:t>的采购活动提供的产品已列入《节能产品政府采购品目清单》。</w:t>
      </w:r>
    </w:p>
    <w:p>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2.本公司参加</w:t>
      </w:r>
      <w:r>
        <w:rPr>
          <w:rFonts w:hint="eastAsia" w:ascii="宋体" w:hAnsi="宋体"/>
          <w:color w:val="auto"/>
          <w:sz w:val="22"/>
          <w:highlight w:val="none"/>
          <w:u w:val="single"/>
        </w:rPr>
        <w:t>（采购项目名称，项目编号）</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olor w:val="auto"/>
          <w:sz w:val="22"/>
          <w:highlight w:val="none"/>
        </w:rPr>
        <w:t>的采购活动提供的产品已列入《环境标志产品政府采购品目清单》。</w:t>
      </w:r>
    </w:p>
    <w:p>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本公司对上述声明的真实性负责。如有虚假，将依法承担相应法律责任。</w:t>
      </w:r>
    </w:p>
    <w:p>
      <w:pPr>
        <w:spacing w:line="460" w:lineRule="atLeast"/>
        <w:rPr>
          <w:rFonts w:ascii="宋体" w:hAnsi="宋体"/>
          <w:color w:val="auto"/>
          <w:sz w:val="22"/>
          <w:highlight w:val="none"/>
        </w:rPr>
      </w:pPr>
    </w:p>
    <w:p>
      <w:pPr>
        <w:pStyle w:val="18"/>
        <w:rPr>
          <w:rFonts w:hint="eastAsia"/>
          <w:color w:val="auto"/>
          <w:highlight w:val="none"/>
        </w:rPr>
      </w:pPr>
    </w:p>
    <w:p>
      <w:pPr>
        <w:autoSpaceDE w:val="0"/>
        <w:autoSpaceDN w:val="0"/>
        <w:adjustRightInd w:val="0"/>
        <w:spacing w:line="460" w:lineRule="atLeast"/>
        <w:rPr>
          <w:rFonts w:ascii="宋体" w:hAnsi="宋体" w:cs="Arial"/>
          <w:color w:val="auto"/>
          <w:sz w:val="22"/>
          <w:szCs w:val="20"/>
          <w:highlight w:val="none"/>
          <w:lang w:val="zh-CN"/>
        </w:rPr>
      </w:pPr>
      <w:r>
        <w:rPr>
          <w:rFonts w:hint="eastAsia" w:ascii="宋体" w:hAnsi="宋体" w:cs="Arial"/>
          <w:color w:val="auto"/>
          <w:sz w:val="22"/>
          <w:szCs w:val="20"/>
          <w:highlight w:val="none"/>
          <w:lang w:eastAsia="zh-CN"/>
        </w:rPr>
        <w:t>供应商</w:t>
      </w:r>
      <w:r>
        <w:rPr>
          <w:rFonts w:hint="eastAsia" w:ascii="宋体" w:hAnsi="宋体" w:cs="Arial"/>
          <w:color w:val="auto"/>
          <w:sz w:val="22"/>
          <w:szCs w:val="20"/>
          <w:highlight w:val="none"/>
          <w:lang w:val="zh-CN"/>
        </w:rPr>
        <w:t xml:space="preserve">盖章：        </w:t>
      </w:r>
    </w:p>
    <w:p>
      <w:pPr>
        <w:spacing w:line="460" w:lineRule="atLeast"/>
        <w:rPr>
          <w:rFonts w:ascii="宋体" w:hAnsi="宋体"/>
          <w:color w:val="auto"/>
          <w:sz w:val="28"/>
          <w:szCs w:val="28"/>
          <w:highlight w:val="none"/>
        </w:rPr>
      </w:pPr>
      <w:r>
        <w:rPr>
          <w:rFonts w:hint="eastAsia" w:ascii="宋体" w:hAnsi="宋体"/>
          <w:color w:val="auto"/>
          <w:sz w:val="22"/>
          <w:highlight w:val="none"/>
        </w:rPr>
        <w:t xml:space="preserve">日 期：                  </w:t>
      </w:r>
    </w:p>
    <w:p>
      <w:pPr>
        <w:spacing w:line="380" w:lineRule="exact"/>
        <w:jc w:val="left"/>
        <w:rPr>
          <w:rFonts w:ascii="宋体" w:hAnsi="宋体"/>
          <w:color w:val="auto"/>
          <w:sz w:val="22"/>
          <w:highlight w:val="none"/>
        </w:rPr>
      </w:pPr>
      <w:r>
        <w:rPr>
          <w:rFonts w:ascii="宋体" w:hAnsi="宋体"/>
          <w:color w:val="auto"/>
          <w:sz w:val="28"/>
          <w:szCs w:val="28"/>
          <w:highlight w:val="none"/>
        </w:rPr>
        <w:br w:type="page"/>
      </w:r>
      <w:r>
        <w:rPr>
          <w:rFonts w:hint="eastAsia" w:ascii="宋体" w:hAnsi="宋体"/>
          <w:color w:val="auto"/>
          <w:sz w:val="22"/>
          <w:highlight w:val="none"/>
        </w:rPr>
        <w:t>附件</w:t>
      </w:r>
      <w:r>
        <w:rPr>
          <w:rFonts w:hint="eastAsia" w:ascii="宋体" w:hAnsi="宋体"/>
          <w:color w:val="auto"/>
          <w:sz w:val="22"/>
          <w:highlight w:val="none"/>
          <w:lang w:val="en-US" w:eastAsia="zh-CN"/>
        </w:rPr>
        <w:t>2</w:t>
      </w:r>
      <w:r>
        <w:rPr>
          <w:rFonts w:hint="eastAsia" w:ascii="宋体" w:hAnsi="宋体"/>
          <w:color w:val="auto"/>
          <w:sz w:val="22"/>
          <w:highlight w:val="none"/>
        </w:rPr>
        <w:t>：</w:t>
      </w:r>
    </w:p>
    <w:p>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节能（环保）产品清单</w:t>
      </w:r>
    </w:p>
    <w:p>
      <w:pPr>
        <w:autoSpaceDE w:val="0"/>
        <w:autoSpaceDN w:val="0"/>
        <w:adjustRightInd w:val="0"/>
        <w:spacing w:line="460" w:lineRule="atLeast"/>
        <w:jc w:val="center"/>
        <w:rPr>
          <w:rFonts w:ascii="宋体" w:hAnsi="宋体"/>
          <w:color w:val="auto"/>
          <w:sz w:val="22"/>
          <w:highlight w:val="none"/>
        </w:rPr>
      </w:pPr>
      <w:r>
        <w:rPr>
          <w:rFonts w:hint="eastAsia" w:ascii="宋体" w:hAnsi="宋体"/>
          <w:color w:val="auto"/>
          <w:sz w:val="22"/>
          <w:highlight w:val="none"/>
        </w:rPr>
        <w:t>（如有则提供）</w:t>
      </w:r>
    </w:p>
    <w:p>
      <w:pPr>
        <w:pStyle w:val="18"/>
        <w:rPr>
          <w:rFonts w:hint="eastAsia"/>
          <w:color w:val="auto"/>
          <w:highlight w:val="none"/>
        </w:rPr>
      </w:pPr>
    </w:p>
    <w:p>
      <w:pPr>
        <w:rPr>
          <w:rFonts w:ascii="宋体" w:hAnsi="宋体"/>
          <w:color w:val="auto"/>
          <w:sz w:val="22"/>
          <w:highlight w:val="none"/>
        </w:rPr>
      </w:pPr>
      <w:r>
        <w:rPr>
          <w:rFonts w:hint="eastAsia" w:ascii="宋体" w:hAnsi="宋体"/>
          <w:color w:val="auto"/>
          <w:sz w:val="22"/>
          <w:highlight w:val="none"/>
        </w:rPr>
        <w:t>（1）所投产品中已列入《节能产品政府采购品目清单》明细</w:t>
      </w:r>
    </w:p>
    <w:tbl>
      <w:tblPr>
        <w:tblStyle w:val="44"/>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产品名称、</w:t>
            </w:r>
          </w:p>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default" w:ascii="宋体" w:hAnsi="宋体" w:cs="Times New Roman"/>
                <w:color w:val="auto"/>
                <w:sz w:val="22"/>
                <w:szCs w:val="20"/>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r>
    </w:tbl>
    <w:p>
      <w:pPr>
        <w:spacing w:line="460" w:lineRule="exact"/>
        <w:rPr>
          <w:rFonts w:ascii="宋体" w:hAnsi="宋体"/>
          <w:color w:val="auto"/>
          <w:sz w:val="22"/>
          <w:highlight w:val="none"/>
        </w:rPr>
      </w:pPr>
      <w:r>
        <w:rPr>
          <w:rFonts w:hint="eastAsia" w:ascii="宋体" w:hAnsi="宋体"/>
          <w:color w:val="auto"/>
          <w:sz w:val="22"/>
          <w:highlight w:val="none"/>
        </w:rPr>
        <w:t>（2）所投产品中已列入《环境标志产品政府采购品目清单》明细</w:t>
      </w:r>
    </w:p>
    <w:tbl>
      <w:tblPr>
        <w:tblStyle w:val="44"/>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产品名称、</w:t>
            </w:r>
          </w:p>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default" w:ascii="宋体" w:hAnsi="宋体" w:cs="Times New Roman"/>
                <w:color w:val="auto"/>
                <w:sz w:val="22"/>
                <w:szCs w:val="20"/>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60" w:lineRule="exact"/>
              <w:ind w:left="0" w:right="0"/>
              <w:rPr>
                <w:rFonts w:hint="default" w:ascii="宋体" w:hAnsi="宋体" w:cs="Times New Roman"/>
                <w:color w:val="auto"/>
                <w:sz w:val="22"/>
                <w:szCs w:val="20"/>
                <w:highlight w:val="none"/>
              </w:rPr>
            </w:pPr>
          </w:p>
        </w:tc>
      </w:tr>
    </w:tbl>
    <w:p>
      <w:pPr>
        <w:spacing w:line="460" w:lineRule="exact"/>
        <w:rPr>
          <w:rFonts w:ascii="宋体" w:hAnsi="宋体"/>
          <w:b/>
          <w:color w:val="auto"/>
          <w:sz w:val="22"/>
          <w:highlight w:val="none"/>
        </w:rPr>
      </w:pPr>
      <w:r>
        <w:rPr>
          <w:rFonts w:hint="eastAsia" w:ascii="宋体" w:hAnsi="宋体"/>
          <w:b/>
          <w:color w:val="auto"/>
          <w:sz w:val="22"/>
          <w:highlight w:val="none"/>
        </w:rPr>
        <w:t>说明：1、表后附所投相关产品对应的认证证书复印件</w:t>
      </w:r>
      <w:r>
        <w:rPr>
          <w:rFonts w:hint="eastAsia" w:ascii="宋体" w:hAnsi="宋体"/>
          <w:b/>
          <w:color w:val="auto"/>
          <w:sz w:val="22"/>
          <w:highlight w:val="none"/>
          <w:lang w:eastAsia="zh-CN"/>
        </w:rPr>
        <w:t>；</w:t>
      </w:r>
      <w:r>
        <w:rPr>
          <w:rFonts w:hint="eastAsia" w:ascii="宋体" w:hAnsi="宋体"/>
          <w:b/>
          <w:color w:val="auto"/>
          <w:sz w:val="22"/>
          <w:highlight w:val="none"/>
        </w:rPr>
        <w:t>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highlight w:val="none"/>
        </w:rPr>
        <w:t>2019〕19号）</w:t>
      </w:r>
      <w:r>
        <w:rPr>
          <w:rFonts w:hint="eastAsia" w:ascii="宋体" w:hAnsi="宋体" w:cs="Arial"/>
          <w:b/>
          <w:color w:val="auto"/>
          <w:sz w:val="22"/>
          <w:highlight w:val="none"/>
        </w:rPr>
        <w:t>。</w:t>
      </w:r>
      <w:r>
        <w:rPr>
          <w:rFonts w:hint="eastAsia" w:ascii="宋体" w:hAnsi="宋体" w:cs="Arial"/>
          <w:b/>
          <w:color w:val="auto"/>
          <w:sz w:val="22"/>
          <w:szCs w:val="20"/>
          <w:highlight w:val="none"/>
        </w:rPr>
        <w:t>响应文件中必须提供</w:t>
      </w:r>
      <w:r>
        <w:rPr>
          <w:rFonts w:ascii="宋体" w:hAnsi="宋体"/>
          <w:b/>
          <w:color w:val="auto"/>
          <w:sz w:val="22"/>
          <w:highlight w:val="none"/>
        </w:rPr>
        <w:t>属于政府强制采购的节能产品</w:t>
      </w:r>
      <w:r>
        <w:rPr>
          <w:rFonts w:hint="eastAsia" w:ascii="宋体" w:hAnsi="宋体" w:cs="Arial"/>
          <w:b/>
          <w:color w:val="auto"/>
          <w:sz w:val="22"/>
          <w:szCs w:val="20"/>
          <w:highlight w:val="none"/>
        </w:rPr>
        <w:t>的认证证书复印件或扫描件，否则不予认可。</w:t>
      </w:r>
    </w:p>
    <w:p>
      <w:pPr>
        <w:spacing w:line="460" w:lineRule="exact"/>
        <w:rPr>
          <w:rFonts w:ascii="宋体" w:hAnsi="宋体"/>
          <w:b/>
          <w:color w:val="auto"/>
          <w:sz w:val="22"/>
          <w:highlight w:val="none"/>
        </w:rPr>
      </w:pPr>
      <w:r>
        <w:rPr>
          <w:rFonts w:hint="eastAsia" w:ascii="宋体" w:hAnsi="宋体"/>
          <w:b/>
          <w:color w:val="auto"/>
          <w:sz w:val="22"/>
          <w:highlight w:val="none"/>
        </w:rPr>
        <w:t>2、表格可以延续。</w:t>
      </w:r>
    </w:p>
    <w:p>
      <w:pPr>
        <w:pStyle w:val="18"/>
        <w:rPr>
          <w:rFonts w:hint="eastAsia"/>
          <w:color w:val="auto"/>
          <w:highlight w:val="none"/>
        </w:rPr>
      </w:pPr>
    </w:p>
    <w:p>
      <w:pPr>
        <w:spacing w:line="440" w:lineRule="atLeast"/>
        <w:rPr>
          <w:rFonts w:ascii="宋体" w:hAnsi="宋体"/>
          <w:color w:val="auto"/>
          <w:sz w:val="22"/>
          <w:highlight w:val="none"/>
        </w:rPr>
      </w:pPr>
      <w:r>
        <w:rPr>
          <w:rFonts w:hint="eastAsia" w:ascii="宋体" w:hAnsi="宋体"/>
          <w:color w:val="auto"/>
          <w:sz w:val="22"/>
          <w:highlight w:val="none"/>
        </w:rPr>
        <w:t xml:space="preserve">供应商名称（盖章）：        </w:t>
      </w:r>
    </w:p>
    <w:p>
      <w:pPr>
        <w:pStyle w:val="18"/>
        <w:rPr>
          <w:rFonts w:hint="eastAsia" w:ascii="宋体" w:hAnsi="宋体" w:cs="宋体"/>
          <w:color w:val="auto"/>
          <w:highlight w:val="none"/>
        </w:rPr>
      </w:pPr>
      <w:r>
        <w:rPr>
          <w:rFonts w:hint="eastAsia" w:ascii="宋体" w:hAnsi="宋体"/>
          <w:color w:val="auto"/>
          <w:kern w:val="0"/>
          <w:sz w:val="22"/>
          <w:highlight w:val="none"/>
        </w:rPr>
        <w:t xml:space="preserve">日 期： </w:t>
      </w:r>
      <w:r>
        <w:rPr>
          <w:rFonts w:hint="eastAsia" w:ascii="宋体" w:hAnsi="宋体" w:cs="宋体"/>
          <w:color w:val="auto"/>
          <w:kern w:val="0"/>
          <w:sz w:val="22"/>
          <w:highlight w:val="none"/>
        </w:rPr>
        <w:t xml:space="preserve">  </w:t>
      </w:r>
    </w:p>
    <w:p>
      <w:pPr>
        <w:spacing w:line="380" w:lineRule="exact"/>
        <w:rPr>
          <w:rFonts w:ascii="宋体" w:hAnsi="宋体" w:cs="宋体"/>
          <w:color w:val="auto"/>
          <w:sz w:val="22"/>
          <w:szCs w:val="22"/>
          <w:highlight w:val="none"/>
        </w:rPr>
      </w:pPr>
    </w:p>
    <w:p>
      <w:pPr>
        <w:pStyle w:val="42"/>
        <w:rPr>
          <w:color w:val="auto"/>
          <w:highlight w:val="none"/>
        </w:rPr>
      </w:pPr>
    </w:p>
    <w:p>
      <w:pPr>
        <w:pStyle w:val="2"/>
        <w:spacing w:line="600" w:lineRule="exact"/>
        <w:jc w:val="center"/>
        <w:rPr>
          <w:rFonts w:ascii="黑体" w:hAnsi="黑体" w:eastAsia="黑体"/>
          <w:bCs/>
          <w:color w:val="auto"/>
          <w:sz w:val="36"/>
          <w:szCs w:val="36"/>
          <w:highlight w:val="none"/>
        </w:rPr>
      </w:pPr>
      <w:r>
        <w:rPr>
          <w:color w:val="auto"/>
          <w:highlight w:val="none"/>
        </w:rPr>
        <w:br w:type="page"/>
      </w:r>
      <w:bookmarkEnd w:id="86"/>
      <w:bookmarkEnd w:id="90"/>
      <w:bookmarkStart w:id="101" w:name="_Toc12856"/>
      <w:bookmarkStart w:id="102" w:name="_Toc230773793"/>
      <w:r>
        <w:rPr>
          <w:rFonts w:hint="eastAsia" w:ascii="黑体" w:hAnsi="黑体" w:eastAsia="黑体"/>
          <w:bCs/>
          <w:color w:val="auto"/>
          <w:sz w:val="36"/>
          <w:szCs w:val="36"/>
          <w:highlight w:val="none"/>
        </w:rPr>
        <w:t>第</w:t>
      </w:r>
      <w:r>
        <w:rPr>
          <w:rFonts w:hint="eastAsia" w:ascii="黑体" w:hAnsi="黑体" w:eastAsia="黑体"/>
          <w:bCs/>
          <w:color w:val="auto"/>
          <w:sz w:val="36"/>
          <w:szCs w:val="36"/>
          <w:highlight w:val="none"/>
          <w:lang w:eastAsia="zh-CN"/>
        </w:rPr>
        <w:t>五</w:t>
      </w:r>
      <w:r>
        <w:rPr>
          <w:rFonts w:hint="eastAsia" w:ascii="黑体" w:hAnsi="黑体" w:eastAsia="黑体"/>
          <w:bCs/>
          <w:color w:val="auto"/>
          <w:sz w:val="36"/>
          <w:szCs w:val="36"/>
          <w:highlight w:val="none"/>
        </w:rPr>
        <w:t>部分  招标内容及要求</w:t>
      </w:r>
      <w:bookmarkEnd w:id="101"/>
      <w:bookmarkEnd w:id="102"/>
    </w:p>
    <w:p>
      <w:pPr>
        <w:autoSpaceDE w:val="0"/>
        <w:autoSpaceDN w:val="0"/>
        <w:adjustRightInd w:val="0"/>
        <w:snapToGrid w:val="0"/>
        <w:spacing w:line="460" w:lineRule="exact"/>
        <w:outlineLvl w:val="0"/>
        <w:rPr>
          <w:rFonts w:hint="eastAsia"/>
          <w:b/>
          <w:color w:val="auto"/>
          <w:sz w:val="22"/>
          <w:szCs w:val="22"/>
          <w:highlight w:val="none"/>
        </w:rPr>
      </w:pPr>
      <w:bookmarkStart w:id="103" w:name="_Toc28749"/>
      <w:bookmarkStart w:id="104" w:name="_Toc80034912"/>
      <w:bookmarkStart w:id="105" w:name="_Toc56694061"/>
      <w:bookmarkStart w:id="106" w:name="_Toc230773795"/>
      <w:r>
        <w:rPr>
          <w:rFonts w:hint="eastAsia"/>
          <w:b/>
          <w:color w:val="auto"/>
          <w:sz w:val="22"/>
          <w:szCs w:val="22"/>
          <w:highlight w:val="none"/>
        </w:rPr>
        <w:t>一、总则</w:t>
      </w:r>
      <w:bookmarkEnd w:id="103"/>
    </w:p>
    <w:p>
      <w:pPr>
        <w:pStyle w:val="24"/>
        <w:adjustRightInd w:val="0"/>
        <w:snapToGrid w:val="0"/>
        <w:spacing w:line="460" w:lineRule="exact"/>
        <w:ind w:firstLine="482"/>
        <w:rPr>
          <w:rFonts w:hint="eastAsia" w:hAnsi="宋体" w:eastAsia="宋体"/>
          <w:color w:val="auto"/>
          <w:sz w:val="22"/>
          <w:szCs w:val="22"/>
          <w:highlight w:val="none"/>
          <w:lang w:eastAsia="zh-CN"/>
        </w:rPr>
      </w:pPr>
      <w:r>
        <w:rPr>
          <w:rFonts w:hint="eastAsia" w:hAnsi="宋体"/>
          <w:color w:val="auto"/>
          <w:sz w:val="22"/>
          <w:szCs w:val="22"/>
          <w:highlight w:val="none"/>
          <w:lang w:val="en-US" w:eastAsia="zh-CN"/>
        </w:rPr>
        <w:t>1</w:t>
      </w:r>
      <w:r>
        <w:rPr>
          <w:rFonts w:hint="eastAsia" w:hAnsi="宋体"/>
          <w:color w:val="auto"/>
          <w:sz w:val="22"/>
          <w:szCs w:val="22"/>
          <w:highlight w:val="none"/>
        </w:rPr>
        <w:t>、</w:t>
      </w:r>
      <w:r>
        <w:rPr>
          <w:rFonts w:hint="eastAsia" w:hAnsi="宋体"/>
          <w:color w:val="auto"/>
          <w:sz w:val="22"/>
          <w:szCs w:val="22"/>
          <w:highlight w:val="none"/>
          <w:lang w:eastAsia="zh-CN"/>
        </w:rPr>
        <w:t>基本要求</w:t>
      </w:r>
    </w:p>
    <w:p>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1.1本技术规范要求提出的是最低限度的基本技术要求，并未对所有技术细节作出规定，供应商应提供符合本技术要求和国家标准、行业标准的优质产品。</w:t>
      </w:r>
    </w:p>
    <w:p>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2、技术要求及标准的执行</w:t>
      </w:r>
    </w:p>
    <w:p>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pPr>
        <w:autoSpaceDE w:val="0"/>
        <w:autoSpaceDN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供应商须按国家有关规定及标准完成本次采购产品的供货、运输、装卸、调试、技术培训、检验、通过有关部门验收、上牌（如需、下同）、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pPr>
        <w:autoSpaceDE w:val="0"/>
        <w:autoSpaceDN w:val="0"/>
        <w:snapToGrid w:val="0"/>
        <w:spacing w:line="460" w:lineRule="exact"/>
        <w:ind w:firstLine="440" w:firstLineChars="200"/>
        <w:textAlignment w:val="bottom"/>
        <w:rPr>
          <w:rFonts w:hint="eastAsia"/>
          <w:color w:val="auto"/>
          <w:highlight w:val="none"/>
        </w:rPr>
      </w:pPr>
      <w:r>
        <w:rPr>
          <w:rFonts w:hint="eastAsia"/>
          <w:color w:val="auto"/>
          <w:sz w:val="22"/>
          <w:szCs w:val="22"/>
          <w:highlight w:val="none"/>
          <w:lang w:val="zh-CN"/>
        </w:rPr>
        <w:t>3、供应商须完成下列项目：设计、生产、试验、供货、运输、调试和试运行、技术服务及培训、备品备件、上牌、验收、售后服务、维修等各方面对供应商进行全方位的综合考核。相关文件的提交、与技术规格一致的资料、质保期内的维修。无论其是否被明细列在合同文件中，投标报价必须包括</w:t>
      </w:r>
      <w:r>
        <w:rPr>
          <w:rFonts w:hint="eastAsia" w:ascii="Arial" w:cs="Arial"/>
          <w:color w:val="auto"/>
          <w:sz w:val="22"/>
          <w:szCs w:val="22"/>
          <w:highlight w:val="none"/>
        </w:rPr>
        <w:t>运杂费、进口关税（如有）、增值税、海关费用（如有）、检验检疫费用（如有）、材料损耗费、采购保管费、安装费、调试费、检验费、培训费、购置税（如有）、保险费（第一年）、上牌费、维修保养费、质保期内售后服务费、利润、税金、风险和用户移交使用前产生的相关费用等直至车辆试运行及验收合格后交付使用单位的</w:t>
      </w:r>
      <w:r>
        <w:rPr>
          <w:rFonts w:hint="eastAsia"/>
          <w:color w:val="auto"/>
          <w:sz w:val="22"/>
          <w:szCs w:val="22"/>
          <w:highlight w:val="none"/>
          <w:lang w:val="zh-CN"/>
        </w:rPr>
        <w:t>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pPr>
        <w:adjustRightInd w:val="0"/>
        <w:snapToGrid w:val="0"/>
        <w:spacing w:line="440" w:lineRule="exact"/>
        <w:ind w:firstLine="550" w:firstLineChars="250"/>
        <w:rPr>
          <w:rFonts w:ascii="宋体" w:hAnsi="宋体"/>
          <w:color w:val="auto"/>
          <w:sz w:val="22"/>
          <w:szCs w:val="22"/>
          <w:highlight w:val="none"/>
        </w:rPr>
      </w:pPr>
    </w:p>
    <w:p>
      <w:pPr>
        <w:adjustRightInd w:val="0"/>
        <w:snapToGrid w:val="0"/>
        <w:spacing w:line="440" w:lineRule="exact"/>
        <w:ind w:firstLine="550" w:firstLineChars="250"/>
        <w:rPr>
          <w:rFonts w:ascii="宋体" w:hAnsi="宋体"/>
          <w:color w:val="auto"/>
          <w:sz w:val="22"/>
          <w:szCs w:val="22"/>
          <w:highlight w:val="none"/>
        </w:rPr>
        <w:sectPr>
          <w:headerReference r:id="rId16" w:type="default"/>
          <w:footerReference r:id="rId17"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104"/>
    <w:p>
      <w:pPr>
        <w:autoSpaceDE w:val="0"/>
        <w:autoSpaceDN w:val="0"/>
        <w:adjustRightInd w:val="0"/>
        <w:snapToGrid w:val="0"/>
        <w:spacing w:line="420" w:lineRule="exact"/>
        <w:rPr>
          <w:rFonts w:hint="eastAsia" w:eastAsia="宋体" w:cs="Times New Roman"/>
          <w:b/>
          <w:color w:val="auto"/>
          <w:sz w:val="22"/>
          <w:highlight w:val="none"/>
          <w:u w:val="single"/>
        </w:rPr>
      </w:pPr>
      <w:r>
        <w:rPr>
          <w:rFonts w:hint="eastAsia"/>
          <w:b/>
          <w:color w:val="auto"/>
          <w:sz w:val="22"/>
          <w:szCs w:val="22"/>
          <w:highlight w:val="none"/>
        </w:rPr>
        <w:t>二、 采购内容</w:t>
      </w:r>
      <w:r>
        <w:rPr>
          <w:rFonts w:hint="eastAsia" w:cs="Times New Roman"/>
          <w:b/>
          <w:color w:val="auto"/>
          <w:sz w:val="22"/>
          <w:highlight w:val="none"/>
          <w:u w:val="none"/>
          <w:lang w:val="en-US" w:eastAsia="zh-CN"/>
        </w:rPr>
        <w:t>（标项1）</w:t>
      </w:r>
    </w:p>
    <w:bookmarkEnd w:id="105"/>
    <w:p>
      <w:pPr>
        <w:autoSpaceDE w:val="0"/>
        <w:autoSpaceDN w:val="0"/>
        <w:adjustRightInd w:val="0"/>
        <w:snapToGrid w:val="0"/>
        <w:spacing w:line="420" w:lineRule="exact"/>
        <w:rPr>
          <w:rFonts w:hint="default" w:eastAsia="宋体" w:cs="Times New Roman"/>
          <w:b/>
          <w:color w:val="auto"/>
          <w:sz w:val="22"/>
          <w:highlight w:val="none"/>
          <w:u w:val="single"/>
          <w:lang w:val="en-US" w:eastAsia="zh-CN"/>
        </w:rPr>
      </w:pPr>
      <w:bookmarkStart w:id="107" w:name="_Toc9343395"/>
      <w:r>
        <w:rPr>
          <w:rFonts w:hint="eastAsia" w:cs="Times New Roman"/>
          <w:b/>
          <w:color w:val="auto"/>
          <w:sz w:val="22"/>
          <w:highlight w:val="none"/>
          <w:u w:val="none"/>
          <w:lang w:val="en-US" w:eastAsia="zh-CN"/>
        </w:rPr>
        <w:t>（一）</w:t>
      </w:r>
      <w:r>
        <w:rPr>
          <w:rFonts w:hint="eastAsia" w:eastAsia="宋体" w:cs="Times New Roman"/>
          <w:b/>
          <w:color w:val="auto"/>
          <w:sz w:val="22"/>
          <w:highlight w:val="none"/>
          <w:u w:val="none"/>
          <w:lang w:val="en-US" w:eastAsia="zh-CN"/>
        </w:rPr>
        <w:t>采购清单</w:t>
      </w:r>
    </w:p>
    <w:tbl>
      <w:tblPr>
        <w:tblStyle w:val="44"/>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640"/>
        <w:gridCol w:w="870"/>
        <w:gridCol w:w="630"/>
        <w:gridCol w:w="1020"/>
        <w:gridCol w:w="105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eastAsia="宋体" w:cs="仿宋_GB2312"/>
                <w:b/>
                <w:color w:val="auto"/>
                <w:kern w:val="2"/>
                <w:sz w:val="20"/>
                <w:szCs w:val="20"/>
                <w:highlight w:val="none"/>
                <w:lang w:val="en-US" w:eastAsia="zh-CN"/>
              </w:rPr>
              <w:t>序号</w:t>
            </w:r>
          </w:p>
        </w:tc>
        <w:tc>
          <w:tcPr>
            <w:tcW w:w="2640"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车辆</w:t>
            </w:r>
            <w:r>
              <w:rPr>
                <w:rFonts w:hint="eastAsia" w:ascii="宋体" w:hAnsi="宋体" w:eastAsia="宋体" w:cs="仿宋_GB2312"/>
                <w:b/>
                <w:color w:val="auto"/>
                <w:kern w:val="2"/>
                <w:sz w:val="20"/>
                <w:szCs w:val="20"/>
                <w:highlight w:val="none"/>
                <w:lang w:val="en-US" w:eastAsia="zh-CN"/>
              </w:rPr>
              <w:t>名称</w:t>
            </w:r>
          </w:p>
        </w:tc>
        <w:tc>
          <w:tcPr>
            <w:tcW w:w="870"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区域</w:t>
            </w:r>
          </w:p>
        </w:tc>
        <w:tc>
          <w:tcPr>
            <w:tcW w:w="630"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leftChars="0" w:right="0"/>
              <w:jc w:val="center"/>
              <w:rPr>
                <w:rFonts w:hint="eastAsia" w:ascii="宋体" w:hAnsi="宋体" w:eastAsia="宋体" w:cs="仿宋_GB2312"/>
                <w:b/>
                <w:color w:val="auto"/>
                <w:sz w:val="20"/>
                <w:szCs w:val="20"/>
                <w:highlight w:val="none"/>
                <w:lang w:val="en-US" w:eastAsia="zh-CN" w:bidi="ar-SA"/>
              </w:rPr>
            </w:pPr>
            <w:r>
              <w:rPr>
                <w:rFonts w:hint="eastAsia" w:ascii="宋体" w:hAnsi="宋体" w:eastAsia="宋体" w:cs="仿宋_GB2312"/>
                <w:b/>
                <w:color w:val="auto"/>
                <w:kern w:val="2"/>
                <w:sz w:val="20"/>
                <w:szCs w:val="20"/>
                <w:highlight w:val="none"/>
                <w:lang w:val="en-US" w:eastAsia="zh-CN"/>
              </w:rPr>
              <w:t>采购数量</w:t>
            </w:r>
          </w:p>
        </w:tc>
        <w:tc>
          <w:tcPr>
            <w:tcW w:w="1020"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leftChars="0" w:right="0"/>
              <w:jc w:val="center"/>
              <w:rPr>
                <w:rFonts w:hint="eastAsia" w:ascii="宋体" w:hAnsi="宋体" w:eastAsia="宋体" w:cs="仿宋_GB2312"/>
                <w:b/>
                <w:color w:val="auto"/>
                <w:kern w:val="2"/>
                <w:sz w:val="20"/>
                <w:szCs w:val="20"/>
                <w:highlight w:val="none"/>
                <w:lang w:val="en-US" w:eastAsia="zh-CN"/>
              </w:rPr>
            </w:pPr>
            <w:r>
              <w:rPr>
                <w:rFonts w:hint="eastAsia" w:ascii="宋体" w:hAnsi="宋体" w:cs="仿宋_GB2312"/>
                <w:b/>
                <w:color w:val="auto"/>
                <w:kern w:val="2"/>
                <w:sz w:val="20"/>
                <w:szCs w:val="20"/>
                <w:highlight w:val="none"/>
                <w:lang w:val="en-US" w:eastAsia="zh-CN"/>
              </w:rPr>
              <w:t>预算价单价</w:t>
            </w:r>
            <w:r>
              <w:rPr>
                <w:rFonts w:hint="eastAsia" w:ascii="宋体" w:hAnsi="宋体" w:eastAsia="宋体" w:cs="仿宋_GB2312"/>
                <w:b/>
                <w:color w:val="auto"/>
                <w:kern w:val="2"/>
                <w:sz w:val="20"/>
                <w:szCs w:val="20"/>
                <w:highlight w:val="none"/>
                <w:lang w:val="en-US" w:eastAsia="zh-CN"/>
              </w:rPr>
              <w:t>（</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c>
          <w:tcPr>
            <w:tcW w:w="1053"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仿宋_GB2312"/>
                <w:b/>
                <w:color w:val="auto"/>
                <w:kern w:val="2"/>
                <w:sz w:val="20"/>
                <w:szCs w:val="20"/>
                <w:highlight w:val="none"/>
                <w:lang w:val="en-US" w:eastAsia="zh-CN"/>
              </w:rPr>
            </w:pPr>
            <w:r>
              <w:rPr>
                <w:rFonts w:hint="eastAsia" w:ascii="宋体" w:hAnsi="宋体" w:cs="仿宋_GB2312"/>
                <w:b/>
                <w:color w:val="auto"/>
                <w:kern w:val="2"/>
                <w:sz w:val="20"/>
                <w:szCs w:val="20"/>
                <w:highlight w:val="none"/>
                <w:lang w:val="en-US" w:eastAsia="zh-CN"/>
              </w:rPr>
              <w:t>预算合价</w:t>
            </w:r>
            <w:r>
              <w:rPr>
                <w:rFonts w:hint="eastAsia" w:ascii="宋体" w:hAnsi="宋体" w:eastAsia="宋体" w:cs="仿宋_GB2312"/>
                <w:b/>
                <w:color w:val="auto"/>
                <w:kern w:val="2"/>
                <w:sz w:val="20"/>
                <w:szCs w:val="20"/>
                <w:highlight w:val="none"/>
                <w:lang w:val="en-US" w:eastAsia="zh-CN"/>
              </w:rPr>
              <w:t>（</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c>
          <w:tcPr>
            <w:tcW w:w="1414"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合价</w:t>
            </w:r>
            <w:r>
              <w:rPr>
                <w:rFonts w:hint="eastAsia" w:ascii="宋体" w:hAnsi="宋体" w:eastAsia="宋体" w:cs="仿宋_GB2312"/>
                <w:b/>
                <w:color w:val="auto"/>
                <w:kern w:val="2"/>
                <w:sz w:val="20"/>
                <w:szCs w:val="20"/>
                <w:highlight w:val="none"/>
                <w:lang w:val="en-US" w:eastAsia="zh-CN"/>
              </w:rPr>
              <w:t>最高限价（</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p>
        </w:tc>
        <w:tc>
          <w:tcPr>
            <w:tcW w:w="2640"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中小型水罐消防车</w:t>
            </w:r>
          </w:p>
        </w:tc>
        <w:tc>
          <w:tcPr>
            <w:tcW w:w="87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鹿城区</w:t>
            </w:r>
          </w:p>
        </w:tc>
        <w:tc>
          <w:tcPr>
            <w:tcW w:w="63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p>
        </w:tc>
        <w:tc>
          <w:tcPr>
            <w:tcW w:w="102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50</w:t>
            </w:r>
          </w:p>
        </w:tc>
        <w:tc>
          <w:tcPr>
            <w:tcW w:w="1053"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50</w:t>
            </w:r>
          </w:p>
        </w:tc>
        <w:tc>
          <w:tcPr>
            <w:tcW w:w="1414"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p>
        </w:tc>
        <w:tc>
          <w:tcPr>
            <w:tcW w:w="2640"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中小型水罐消防车</w:t>
            </w:r>
          </w:p>
        </w:tc>
        <w:tc>
          <w:tcPr>
            <w:tcW w:w="87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cs="宋体"/>
                <w:b w:val="0"/>
                <w:bCs w:val="0"/>
                <w:i w:val="0"/>
                <w:iCs w:val="0"/>
                <w:color w:val="auto"/>
                <w:kern w:val="0"/>
                <w:sz w:val="21"/>
                <w:szCs w:val="21"/>
                <w:u w:val="none"/>
                <w:lang w:val="en-US" w:eastAsia="zh-CN"/>
              </w:rPr>
              <w:t>瓯海区</w:t>
            </w:r>
          </w:p>
        </w:tc>
        <w:tc>
          <w:tcPr>
            <w:tcW w:w="63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p>
        </w:tc>
        <w:tc>
          <w:tcPr>
            <w:tcW w:w="102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47.5</w:t>
            </w:r>
          </w:p>
        </w:tc>
        <w:tc>
          <w:tcPr>
            <w:tcW w:w="1053"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95</w:t>
            </w:r>
          </w:p>
        </w:tc>
        <w:tc>
          <w:tcPr>
            <w:tcW w:w="1414"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2640" w:type="dxa"/>
            <w:tcBorders>
              <w:top w:val="single" w:color="auto" w:sz="4" w:space="0"/>
              <w:left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中小型水罐消防车</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龙港市</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32</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64</w:t>
            </w:r>
          </w:p>
        </w:tc>
        <w:tc>
          <w:tcPr>
            <w:tcW w:w="1414"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2640" w:type="dxa"/>
            <w:tcBorders>
              <w:top w:val="single" w:color="auto" w:sz="4" w:space="0"/>
              <w:left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default" w:ascii="宋体" w:hAnsi="宋体" w:cs="宋体"/>
                <w:color w:val="auto"/>
                <w:kern w:val="2"/>
                <w:sz w:val="21"/>
                <w:szCs w:val="21"/>
                <w:highlight w:val="none"/>
                <w:lang w:val="en-US" w:eastAsia="zh-CN"/>
              </w:rPr>
              <w:t>消防水罐车</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瓯海区</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1</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20</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20</w:t>
            </w:r>
          </w:p>
        </w:tc>
        <w:tc>
          <w:tcPr>
            <w:tcW w:w="1414"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2640" w:type="dxa"/>
            <w:tcBorders>
              <w:top w:val="single" w:color="auto" w:sz="4" w:space="0"/>
              <w:left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应急电源车</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文成县</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1</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50</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50</w:t>
            </w:r>
          </w:p>
        </w:tc>
        <w:tc>
          <w:tcPr>
            <w:tcW w:w="1414"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w:t>
            </w:r>
          </w:p>
        </w:tc>
        <w:tc>
          <w:tcPr>
            <w:tcW w:w="2640" w:type="dxa"/>
            <w:tcBorders>
              <w:top w:val="single" w:color="auto" w:sz="4" w:space="0"/>
              <w:left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rPr>
              <w:t>后勤保障车辆（救援运兵车）</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文成县</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1</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40</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40</w:t>
            </w:r>
          </w:p>
        </w:tc>
        <w:tc>
          <w:tcPr>
            <w:tcW w:w="1414"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7</w:t>
            </w:r>
          </w:p>
        </w:tc>
        <w:tc>
          <w:tcPr>
            <w:tcW w:w="2640" w:type="dxa"/>
            <w:tcBorders>
              <w:top w:val="single" w:color="auto" w:sz="4" w:space="0"/>
              <w:left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rPr>
              <w:t>后勤保障车辆（装备运输车）</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文成县</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40</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80</w:t>
            </w:r>
          </w:p>
        </w:tc>
        <w:tc>
          <w:tcPr>
            <w:tcW w:w="1414" w:type="dxa"/>
            <w:tcBorders>
              <w:top w:val="single" w:color="auto" w:sz="4" w:space="0"/>
              <w:left w:val="nil"/>
              <w:bottom w:val="single" w:color="auto" w:sz="4" w:space="0"/>
              <w:right w:val="single" w:color="auto" w:sz="4" w:space="0"/>
            </w:tcBorders>
            <w:shd w:val="clear" w:color="auto" w:fill="auto"/>
            <w:vAlign w:val="center"/>
          </w:tcPr>
          <w:p>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color w:val="auto"/>
                <w:kern w:val="2"/>
                <w:sz w:val="21"/>
                <w:szCs w:val="21"/>
                <w:highlight w:val="none"/>
                <w:lang w:val="en-US" w:eastAsia="zh-CN" w:bidi="ar-SA"/>
              </w:rPr>
            </w:pPr>
          </w:p>
        </w:tc>
        <w:tc>
          <w:tcPr>
            <w:tcW w:w="2640"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0"/>
                <w:szCs w:val="20"/>
                <w:highlight w:val="none"/>
                <w:lang w:val="en-US" w:eastAsia="zh-CN"/>
              </w:rPr>
            </w:pPr>
          </w:p>
        </w:tc>
        <w:tc>
          <w:tcPr>
            <w:tcW w:w="87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p>
        </w:tc>
        <w:tc>
          <w:tcPr>
            <w:tcW w:w="63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p>
        </w:tc>
        <w:tc>
          <w:tcPr>
            <w:tcW w:w="102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p>
        </w:tc>
        <w:tc>
          <w:tcPr>
            <w:tcW w:w="1053"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p>
        </w:tc>
        <w:tc>
          <w:tcPr>
            <w:tcW w:w="1414"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240" w:lineRule="atLeast"/>
              <w:ind w:left="0" w:leftChars="0" w:right="0"/>
              <w:jc w:val="center"/>
              <w:rPr>
                <w:rFonts w:hint="eastAsia" w:ascii="宋体" w:hAnsi="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264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合计</w:t>
            </w:r>
          </w:p>
        </w:tc>
        <w:tc>
          <w:tcPr>
            <w:tcW w:w="870"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630"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1020"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p>
        </w:tc>
        <w:tc>
          <w:tcPr>
            <w:tcW w:w="1053"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eastAsia="宋体" w:cs="宋体"/>
                <w:b/>
                <w:bCs/>
                <w:color w:val="auto"/>
                <w:kern w:val="2"/>
                <w:sz w:val="22"/>
                <w:szCs w:val="22"/>
                <w:highlight w:val="none"/>
                <w:shd w:val="clear" w:color="auto" w:fill="auto"/>
                <w:lang w:val="en-US" w:eastAsia="zh-CN"/>
              </w:rPr>
            </w:pPr>
            <w:r>
              <w:rPr>
                <w:rFonts w:hint="eastAsia" w:ascii="宋体" w:hAnsi="宋体" w:cs="宋体"/>
                <w:b/>
                <w:bCs/>
                <w:color w:val="auto"/>
                <w:kern w:val="2"/>
                <w:sz w:val="22"/>
                <w:szCs w:val="22"/>
                <w:highlight w:val="none"/>
                <w:shd w:val="clear" w:color="auto" w:fill="auto"/>
                <w:lang w:val="en-US" w:eastAsia="zh-CN"/>
              </w:rPr>
              <w:t>399</w:t>
            </w:r>
          </w:p>
        </w:tc>
        <w:tc>
          <w:tcPr>
            <w:tcW w:w="1414" w:type="dxa"/>
            <w:tcBorders>
              <w:top w:val="single" w:color="auto" w:sz="4" w:space="0"/>
              <w:left w:val="nil"/>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eastAsia="宋体" w:cs="宋体"/>
                <w:b/>
                <w:bCs/>
                <w:color w:val="auto"/>
                <w:kern w:val="2"/>
                <w:sz w:val="22"/>
                <w:szCs w:val="22"/>
                <w:highlight w:val="none"/>
                <w:lang w:val="en-US" w:eastAsia="zh-CN"/>
              </w:rPr>
            </w:pPr>
            <w:r>
              <w:rPr>
                <w:rFonts w:hint="eastAsia" w:ascii="宋体" w:hAnsi="宋体" w:cs="宋体"/>
                <w:b/>
                <w:bCs/>
                <w:color w:val="auto"/>
                <w:kern w:val="2"/>
                <w:sz w:val="22"/>
                <w:szCs w:val="22"/>
                <w:highlight w:val="none"/>
                <w:lang w:val="en-US" w:eastAsia="zh-CN"/>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24" w:type="dxa"/>
            <w:gridSpan w:val="7"/>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r>
              <w:rPr>
                <w:rFonts w:hint="eastAsia" w:ascii="宋体" w:hAnsi="宋体" w:cs="宋体"/>
                <w:b/>
                <w:bCs/>
                <w:color w:val="auto"/>
                <w:sz w:val="22"/>
                <w:szCs w:val="22"/>
                <w:u w:val="single"/>
                <w:lang w:eastAsia="zh-CN"/>
              </w:rPr>
              <w:t>备注：</w:t>
            </w:r>
            <w:r>
              <w:rPr>
                <w:rFonts w:hint="eastAsia" w:ascii="宋体" w:hAnsi="宋体" w:cs="宋体"/>
                <w:b/>
                <w:bCs/>
                <w:color w:val="auto"/>
                <w:sz w:val="22"/>
                <w:szCs w:val="22"/>
                <w:u w:val="single"/>
              </w:rPr>
              <w:t>▲投标供应商的投标报价超过采购预算及各产品最高限价的，按无效标处理。</w:t>
            </w:r>
            <w:r>
              <w:rPr>
                <w:rFonts w:hint="eastAsia" w:ascii="Times New Roman" w:hAnsi="Times New Roman" w:cs="Times New Roman"/>
                <w:b/>
                <w:color w:val="auto"/>
                <w:sz w:val="22"/>
                <w:szCs w:val="20"/>
                <w:highlight w:val="none"/>
                <w:u w:val="none"/>
                <w:lang w:val="en-US" w:eastAsia="zh-CN"/>
              </w:rPr>
              <w:t>核心产品：中小型水罐消防车（瓯海区）（不含器材和装备）</w:t>
            </w:r>
          </w:p>
        </w:tc>
      </w:tr>
    </w:tbl>
    <w:p>
      <w:pPr>
        <w:autoSpaceDE w:val="0"/>
        <w:autoSpaceDN w:val="0"/>
        <w:adjustRightInd w:val="0"/>
        <w:snapToGrid w:val="0"/>
        <w:spacing w:line="420" w:lineRule="exact"/>
        <w:rPr>
          <w:rFonts w:hint="eastAsia" w:eastAsia="宋体" w:cs="Times New Roman"/>
          <w:b/>
          <w:color w:val="auto"/>
          <w:sz w:val="22"/>
          <w:highlight w:val="none"/>
          <w:u w:val="none"/>
          <w:lang w:val="en-US" w:eastAsia="zh-CN"/>
        </w:rPr>
      </w:pPr>
    </w:p>
    <w:p>
      <w:pPr>
        <w:autoSpaceDE w:val="0"/>
        <w:autoSpaceDN w:val="0"/>
        <w:adjustRightInd w:val="0"/>
        <w:snapToGrid w:val="0"/>
        <w:spacing w:line="420" w:lineRule="exact"/>
        <w:ind w:firstLine="442" w:firstLineChars="200"/>
        <w:rPr>
          <w:rFonts w:hint="eastAsia" w:ascii="Times New Roman" w:hAnsi="Times New Roman" w:eastAsia="宋体" w:cs="Times New Roman"/>
          <w:b/>
          <w:color w:val="auto"/>
          <w:sz w:val="22"/>
          <w:highlight w:val="none"/>
          <w:u w:val="single"/>
        </w:rPr>
      </w:pPr>
      <w:r>
        <w:rPr>
          <w:rFonts w:hint="eastAsia" w:ascii="Times New Roman" w:hAnsi="Times New Roman" w:eastAsia="宋体" w:cs="Times New Roman"/>
          <w:b/>
          <w:color w:val="auto"/>
          <w:sz w:val="22"/>
          <w:highlight w:val="none"/>
          <w:u w:val="single"/>
        </w:rPr>
        <w:t>核心产品</w:t>
      </w:r>
      <w:r>
        <w:rPr>
          <w:rFonts w:hint="eastAsia" w:ascii="Times New Roman" w:hAnsi="Times New Roman" w:eastAsia="宋体" w:cs="Times New Roman"/>
          <w:b/>
          <w:color w:val="auto"/>
          <w:sz w:val="22"/>
          <w:highlight w:val="none"/>
          <w:u w:val="single"/>
          <w:lang w:val="en-US" w:eastAsia="zh-CN"/>
        </w:rPr>
        <w:t>说明：</w:t>
      </w:r>
      <w:r>
        <w:rPr>
          <w:rFonts w:hint="eastAsia" w:ascii="Times New Roman" w:hAnsi="Times New Roman" w:eastAsia="宋体" w:cs="Times New Roman"/>
          <w:b/>
          <w:color w:val="auto"/>
          <w:sz w:val="22"/>
          <w:highlight w:val="none"/>
          <w:u w:val="single"/>
        </w:rPr>
        <w:t>未明确核心产品的，则视为全部产品均为核心产品</w:t>
      </w:r>
      <w:r>
        <w:rPr>
          <w:rFonts w:hint="eastAsia" w:ascii="Times New Roman" w:hAnsi="Times New Roman" w:eastAsia="宋体"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任意一种核心产品为同一品牌时且通过资格审查、符合性审查的不同投标人参加同一合同项下投标的，评审后得分最高的同品牌投标人获得中标人推荐资格</w:t>
      </w:r>
      <w:r>
        <w:rPr>
          <w:rFonts w:hint="eastAsia"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评审得分相同的，由采购人委托评标委员会按照少数服从多数的原则以投票的方式确定一个参加评标的投标人，其他同品牌投标人不作为中标候选人。</w:t>
      </w:r>
    </w:p>
    <w:p>
      <w:pPr>
        <w:autoSpaceDE w:val="0"/>
        <w:autoSpaceDN w:val="0"/>
        <w:adjustRightInd w:val="0"/>
        <w:snapToGrid w:val="0"/>
        <w:spacing w:line="420" w:lineRule="exact"/>
        <w:ind w:firstLine="442" w:firstLineChars="200"/>
        <w:rPr>
          <w:rFonts w:hint="eastAsia"/>
          <w:b/>
          <w:color w:val="auto"/>
          <w:sz w:val="22"/>
          <w:highlight w:val="none"/>
        </w:rPr>
      </w:pPr>
      <w:r>
        <w:rPr>
          <w:rFonts w:hint="eastAsia"/>
          <w:b/>
          <w:color w:val="auto"/>
          <w:sz w:val="22"/>
          <w:highlight w:val="none"/>
        </w:rPr>
        <w:t>（</w:t>
      </w:r>
      <w:r>
        <w:rPr>
          <w:rFonts w:hint="eastAsia"/>
          <w:b/>
          <w:color w:val="auto"/>
          <w:sz w:val="22"/>
          <w:highlight w:val="none"/>
          <w:u w:val="single"/>
        </w:rPr>
        <w:t>以下所有参数是为了对拟投标的货物</w:t>
      </w:r>
      <w:r>
        <w:rPr>
          <w:rFonts w:hint="eastAsia"/>
          <w:b/>
          <w:color w:val="auto"/>
          <w:sz w:val="22"/>
          <w:highlight w:val="none"/>
          <w:u w:val="single"/>
          <w:lang w:eastAsia="zh-CN"/>
        </w:rPr>
        <w:t>（</w:t>
      </w:r>
      <w:r>
        <w:rPr>
          <w:rFonts w:hint="eastAsia"/>
          <w:b/>
          <w:color w:val="auto"/>
          <w:sz w:val="22"/>
          <w:highlight w:val="none"/>
          <w:u w:val="single"/>
        </w:rPr>
        <w:t>产品</w:t>
      </w:r>
      <w:r>
        <w:rPr>
          <w:rFonts w:hint="eastAsia"/>
          <w:b/>
          <w:color w:val="auto"/>
          <w:sz w:val="22"/>
          <w:highlight w:val="none"/>
          <w:u w:val="single"/>
          <w:lang w:eastAsia="zh-CN"/>
        </w:rPr>
        <w:t>）</w:t>
      </w:r>
      <w:r>
        <w:rPr>
          <w:rFonts w:hint="eastAsia"/>
          <w:b/>
          <w:color w:val="auto"/>
          <w:sz w:val="22"/>
          <w:highlight w:val="none"/>
          <w:u w:val="single"/>
        </w:rPr>
        <w:t>的技术指标和功能要求更好的说明，欢迎其他能满足本项目技术需求且性能相当的产品参加。产品性能是否相当由评标委员会按少数服从多数原则认定。</w:t>
      </w:r>
      <w:r>
        <w:rPr>
          <w:rFonts w:hint="eastAsia"/>
          <w:b/>
          <w:color w:val="auto"/>
          <w:sz w:val="22"/>
          <w:highlight w:val="none"/>
        </w:rPr>
        <w:t>）</w:t>
      </w:r>
    </w:p>
    <w:p>
      <w:pPr>
        <w:autoSpaceDE w:val="0"/>
        <w:autoSpaceDN w:val="0"/>
        <w:adjustRightInd w:val="0"/>
        <w:snapToGrid w:val="0"/>
        <w:spacing w:line="420" w:lineRule="exact"/>
        <w:ind w:firstLine="442" w:firstLineChars="200"/>
        <w:rPr>
          <w:rFonts w:hint="eastAsia" w:eastAsia="宋体"/>
          <w:b/>
          <w:bCs/>
          <w:color w:val="auto"/>
          <w:sz w:val="22"/>
          <w:szCs w:val="22"/>
          <w:lang w:eastAsia="zh-CN"/>
        </w:rPr>
      </w:pPr>
      <w:r>
        <w:rPr>
          <w:rFonts w:hint="eastAsia"/>
          <w:b/>
          <w:bCs/>
          <w:color w:val="auto"/>
          <w:sz w:val="22"/>
          <w:szCs w:val="22"/>
          <w:u w:val="single"/>
          <w:lang w:eastAsia="zh-CN"/>
        </w:rPr>
        <w:t>车身颜色和车身文字按照市应急管理局的需求，在中标后提供色板和字样确定。</w:t>
      </w:r>
    </w:p>
    <w:p>
      <w:pPr>
        <w:autoSpaceDE w:val="0"/>
        <w:autoSpaceDN w:val="0"/>
        <w:adjustRightInd w:val="0"/>
        <w:snapToGrid w:val="0"/>
        <w:spacing w:line="420" w:lineRule="exact"/>
        <w:ind w:firstLine="440" w:firstLineChars="200"/>
        <w:rPr>
          <w:rFonts w:hint="eastAsia" w:eastAsia="宋体"/>
          <w:b/>
          <w:color w:val="auto"/>
          <w:sz w:val="22"/>
          <w:highlight w:val="none"/>
          <w:lang w:eastAsia="zh-CN"/>
        </w:rPr>
      </w:pPr>
      <w:r>
        <w:rPr>
          <w:rFonts w:hint="eastAsia"/>
          <w:color w:val="auto"/>
          <w:sz w:val="22"/>
          <w:szCs w:val="22"/>
        </w:rPr>
        <w:t>▲</w:t>
      </w:r>
      <w:r>
        <w:rPr>
          <w:b/>
          <w:bCs/>
          <w:color w:val="auto"/>
          <w:sz w:val="22"/>
          <w:szCs w:val="22"/>
          <w:u w:val="single"/>
        </w:rPr>
        <w:t>交车时必须提供整车工信部公告、整车合格证、底盘合格证、底盘号码拓印件、发动机号码拓印件、随车工具清单、使用说明书</w:t>
      </w:r>
      <w:r>
        <w:rPr>
          <w:rFonts w:hint="eastAsia"/>
          <w:b/>
          <w:bCs/>
          <w:color w:val="auto"/>
          <w:sz w:val="22"/>
          <w:szCs w:val="22"/>
          <w:u w:val="single"/>
        </w:rPr>
        <w:t>、保修手册、</w:t>
      </w:r>
      <w:r>
        <w:rPr>
          <w:b/>
          <w:bCs/>
          <w:color w:val="auto"/>
          <w:sz w:val="22"/>
          <w:szCs w:val="22"/>
          <w:u w:val="single"/>
        </w:rPr>
        <w:t>车辆交接清单等所有相关资料，确保车辆正常上牌</w:t>
      </w:r>
      <w:r>
        <w:rPr>
          <w:rFonts w:hint="eastAsia"/>
          <w:b/>
          <w:bCs/>
          <w:color w:val="auto"/>
          <w:sz w:val="22"/>
          <w:szCs w:val="22"/>
          <w:u w:val="single"/>
          <w:lang w:eastAsia="zh-CN"/>
        </w:rPr>
        <w:t>。</w:t>
      </w:r>
    </w:p>
    <w:p>
      <w:pPr>
        <w:pStyle w:val="42"/>
        <w:numPr>
          <w:ilvl w:val="0"/>
          <w:numId w:val="0"/>
        </w:numPr>
        <w:wordWrap/>
        <w:adjustRightInd w:val="0"/>
        <w:snapToGrid w:val="0"/>
        <w:spacing w:beforeAutospacing="0" w:after="0" w:afterAutospacing="0" w:line="576" w:lineRule="exact"/>
        <w:ind w:leftChars="0" w:right="0"/>
        <w:textAlignment w:val="auto"/>
        <w:rPr>
          <w:rFonts w:hint="eastAsia" w:ascii="宋体" w:hAnsi="宋体" w:eastAsia="宋体" w:cs="宋体"/>
          <w:b/>
          <w:bCs w:val="0"/>
          <w:color w:val="auto"/>
          <w:sz w:val="22"/>
          <w:szCs w:val="22"/>
          <w:highlight w:val="none"/>
          <w:lang w:val="en-US" w:eastAsia="zh-CN"/>
        </w:rPr>
      </w:pPr>
      <w:bookmarkStart w:id="108" w:name="_Toc3449"/>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lang w:val="en-US" w:eastAsia="zh-CN"/>
        </w:rPr>
        <w:t>招标参数要求</w:t>
      </w:r>
      <w:bookmarkEnd w:id="108"/>
      <w:r>
        <w:rPr>
          <w:rFonts w:hint="eastAsia" w:ascii="宋体" w:hAnsi="宋体" w:eastAsia="宋体" w:cs="宋体"/>
          <w:b/>
          <w:bCs w:val="0"/>
          <w:color w:val="auto"/>
          <w:sz w:val="22"/>
          <w:szCs w:val="22"/>
          <w:highlight w:val="none"/>
          <w:lang w:val="en-US" w:eastAsia="zh-CN"/>
        </w:rPr>
        <w:t>：</w:t>
      </w:r>
    </w:p>
    <w:p>
      <w:pPr>
        <w:pStyle w:val="33"/>
        <w:numPr>
          <w:ilvl w:val="0"/>
          <w:numId w:val="0"/>
        </w:numPr>
        <w:ind w:leftChars="-200" w:firstLine="562" w:firstLineChars="200"/>
        <w:rPr>
          <w:rFonts w:hint="default"/>
          <w:color w:val="auto"/>
          <w:lang w:val="en-US" w:eastAsia="zh-CN"/>
        </w:rPr>
      </w:pPr>
      <w:r>
        <w:rPr>
          <w:rFonts w:hint="eastAsia"/>
          <w:b/>
          <w:bCs/>
          <w:color w:val="auto"/>
          <w:sz w:val="28"/>
          <w:szCs w:val="36"/>
          <w:lang w:val="en-US" w:eastAsia="zh-CN"/>
        </w:rPr>
        <w:t>标项1：</w:t>
      </w:r>
    </w:p>
    <w:p>
      <w:pPr>
        <w:pStyle w:val="33"/>
        <w:numPr>
          <w:ilvl w:val="0"/>
          <w:numId w:val="0"/>
        </w:numPr>
        <w:ind w:leftChars="-200" w:firstLine="482" w:firstLineChars="200"/>
        <w:rPr>
          <w:rFonts w:hint="eastAsia" w:ascii="宋体" w:hAnsi="宋体" w:cs="仿宋_GB2312"/>
          <w:b/>
          <w:bCs/>
          <w:color w:val="auto"/>
          <w:kern w:val="2"/>
          <w:sz w:val="24"/>
          <w:szCs w:val="24"/>
          <w:highlight w:val="none"/>
          <w:lang w:val="en-US" w:eastAsia="zh-CN"/>
        </w:rPr>
      </w:pPr>
      <w:r>
        <w:rPr>
          <w:rFonts w:hint="eastAsia" w:ascii="宋体" w:hAnsi="宋体" w:cs="仿宋_GB2312"/>
          <w:b/>
          <w:bCs/>
          <w:color w:val="auto"/>
          <w:kern w:val="2"/>
          <w:sz w:val="24"/>
          <w:szCs w:val="24"/>
          <w:highlight w:val="none"/>
          <w:lang w:val="en-US" w:eastAsia="zh-CN"/>
        </w:rPr>
        <w:t>1、中小型水罐消防车，鹿城区，1辆（预算50万元）</w:t>
      </w:r>
    </w:p>
    <w:tbl>
      <w:tblPr>
        <w:tblStyle w:val="44"/>
        <w:tblW w:w="8996"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8"/>
        <w:gridCol w:w="1161"/>
        <w:gridCol w:w="1523"/>
        <w:gridCol w:w="1500"/>
        <w:gridCol w:w="1477"/>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88" w:type="dxa"/>
            <w:tcBorders>
              <w:top w:val="single" w:color="000000" w:sz="4" w:space="0"/>
              <w:left w:val="single" w:color="000000"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default" w:ascii="宋体" w:hAnsi="宋体" w:eastAsia="宋体" w:cs="仿宋_GB2312"/>
                <w:color w:val="auto"/>
                <w:kern w:val="2"/>
                <w:sz w:val="22"/>
                <w:szCs w:val="22"/>
                <w:highlight w:val="none"/>
                <w:lang w:val="en-US" w:eastAsia="zh-CN" w:bidi="ar-SA"/>
              </w:rPr>
            </w:pPr>
            <w:r>
              <w:rPr>
                <w:rFonts w:hint="default" w:ascii="宋体" w:hAnsi="宋体" w:eastAsia="宋体" w:cs="仿宋_GB2312"/>
                <w:color w:val="auto"/>
                <w:kern w:val="2"/>
                <w:sz w:val="22"/>
                <w:szCs w:val="22"/>
                <w:highlight w:val="none"/>
                <w:lang w:val="en-US" w:eastAsia="zh-CN" w:bidi="ar-SA"/>
              </w:rPr>
              <w:t>鹿城区</w:t>
            </w:r>
          </w:p>
        </w:tc>
        <w:tc>
          <w:tcPr>
            <w:tcW w:w="1523"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宋体"/>
                <w:color w:val="auto"/>
                <w:kern w:val="2"/>
                <w:sz w:val="21"/>
                <w:szCs w:val="21"/>
                <w:highlight w:val="none"/>
                <w:lang w:val="en-US" w:eastAsia="zh-CN"/>
              </w:rPr>
              <w:t>中小型水罐消防车</w:t>
            </w:r>
          </w:p>
        </w:tc>
        <w:tc>
          <w:tcPr>
            <w:tcW w:w="1477"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▲整车具备办理地方牌证手续条件（分别提供所投产品的工信部公告截图、环保部公告截图、购置税免税目录截图、检验报告复印件）。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★1、外廓尺寸：≥</w:t>
            </w:r>
            <w:r>
              <w:rPr>
                <w:rFonts w:hint="eastAsia"/>
                <w:color w:val="auto"/>
                <w:lang w:val="en-US" w:eastAsia="zh-CN"/>
              </w:rPr>
              <w:t>6995</w:t>
            </w:r>
            <w:bookmarkStart w:id="119" w:name="_GoBack"/>
            <w:bookmarkEnd w:id="119"/>
            <w:r>
              <w:rPr>
                <w:rFonts w:hint="eastAsia"/>
                <w:color w:val="auto"/>
              </w:rPr>
              <w:t>*2200*</w:t>
            </w:r>
            <w:r>
              <w:rPr>
                <w:rFonts w:hint="eastAsia"/>
                <w:color w:val="auto"/>
                <w:lang w:val="en-US" w:eastAsia="zh-CN"/>
              </w:rPr>
              <w:t>28</w:t>
            </w:r>
            <w:r>
              <w:rPr>
                <w:rFonts w:hint="eastAsia"/>
                <w:color w:val="auto"/>
              </w:rPr>
              <w:t>00；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2、</w:t>
            </w:r>
            <w:r>
              <w:rPr>
                <w:rFonts w:hint="eastAsia"/>
                <w:color w:val="auto"/>
              </w:rPr>
              <w:t>最大总质量</w:t>
            </w:r>
            <w:r>
              <w:rPr>
                <w:rFonts w:hint="eastAsia"/>
                <w:color w:val="auto"/>
                <w:lang w:eastAsia="zh-CN"/>
              </w:rPr>
              <w:t>：</w:t>
            </w:r>
            <w:r>
              <w:rPr>
                <w:rFonts w:hint="eastAsia"/>
                <w:color w:val="auto"/>
              </w:rPr>
              <w:t>≤1</w:t>
            </w:r>
            <w:r>
              <w:rPr>
                <w:rFonts w:hint="eastAsia"/>
                <w:color w:val="auto"/>
                <w:lang w:val="en-US" w:eastAsia="zh-CN"/>
              </w:rPr>
              <w:t>20</w:t>
            </w:r>
            <w:r>
              <w:rPr>
                <w:rFonts w:hint="eastAsia"/>
                <w:color w:val="auto"/>
              </w:rPr>
              <w:t>00kg；</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3、乘员人数：≥</w:t>
            </w:r>
            <w:r>
              <w:rPr>
                <w:rFonts w:hint="eastAsia"/>
                <w:color w:val="auto"/>
                <w:lang w:val="en-US" w:eastAsia="zh-CN"/>
              </w:rPr>
              <w:t>2</w:t>
            </w:r>
            <w:r>
              <w:rPr>
                <w:rFonts w:hint="eastAsia"/>
                <w:color w:val="auto"/>
              </w:rPr>
              <w:t>+3人；</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4、罐体容积：≥</w:t>
            </w:r>
            <w:r>
              <w:rPr>
                <w:rFonts w:hint="eastAsia"/>
                <w:color w:val="auto"/>
                <w:lang w:val="en-US" w:eastAsia="zh-CN"/>
              </w:rPr>
              <w:t>4.9</w:t>
            </w:r>
            <w:r>
              <w:rPr>
                <w:rFonts w:hint="eastAsia"/>
                <w:color w:val="auto"/>
              </w:rPr>
              <w:t>m³；</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5、水泵流量：≥185L/min  8.0MPa</w:t>
            </w:r>
            <w:r>
              <w:rPr>
                <w:rFonts w:hint="eastAsia"/>
                <w:color w:val="auto"/>
                <w:lang w:eastAsia="zh-CN"/>
              </w:rPr>
              <w:t>；</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w:t>
            </w:r>
            <w:r>
              <w:rPr>
                <w:rFonts w:hint="eastAsia"/>
                <w:color w:val="auto"/>
                <w:lang w:eastAsia="zh-CN"/>
              </w:rPr>
              <w:t>、</w:t>
            </w:r>
            <w:r>
              <w:rPr>
                <w:rFonts w:hint="eastAsia"/>
                <w:color w:val="auto"/>
              </w:rPr>
              <w:t>水炮流量：≥185L/min  8.0MPa；</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7、水炮射程：≥</w:t>
            </w:r>
            <w:r>
              <w:rPr>
                <w:rFonts w:hint="eastAsia"/>
                <w:color w:val="auto"/>
                <w:lang w:val="en-US" w:eastAsia="zh-CN"/>
              </w:rPr>
              <w:t>8</w:t>
            </w:r>
            <w:r>
              <w:rPr>
                <w:rFonts w:hint="eastAsia"/>
                <w:color w:val="auto"/>
              </w:rPr>
              <w:t>0m（水）。</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（二）底盘</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1、含控制开关、前指示灯开关、空调、警灯、警报器、标志灯、示廓灯。做特殊防锈处理；</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2、驱动型式：≥4×2；</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★3、轴距：≥3</w:t>
            </w:r>
            <w:r>
              <w:rPr>
                <w:rFonts w:hint="eastAsia"/>
                <w:color w:val="auto"/>
                <w:lang w:val="en-US" w:eastAsia="zh-CN"/>
              </w:rPr>
              <w:t>8</w:t>
            </w:r>
            <w:r>
              <w:rPr>
                <w:rFonts w:hint="eastAsia"/>
                <w:color w:val="auto"/>
              </w:rPr>
              <w:t>00mm；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4、</w:t>
            </w:r>
            <w:r>
              <w:rPr>
                <w:rFonts w:hint="eastAsia"/>
                <w:color w:val="auto"/>
              </w:rPr>
              <w:t>发动机型式：直列四缸、水冷、增压中冷、高压共轨电控柴油发动机；</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★5、发动机功率：≥1</w:t>
            </w:r>
            <w:r>
              <w:rPr>
                <w:rFonts w:hint="eastAsia"/>
                <w:color w:val="auto"/>
                <w:lang w:val="en-US" w:eastAsia="zh-CN"/>
              </w:rPr>
              <w:t>2</w:t>
            </w:r>
            <w:r>
              <w:rPr>
                <w:rFonts w:hint="eastAsia"/>
                <w:color w:val="auto"/>
              </w:rPr>
              <w:t>0kW；</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▲6、排放标准：国Ⅵ；</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7、</w:t>
            </w:r>
            <w:r>
              <w:rPr>
                <w:rFonts w:hint="eastAsia"/>
                <w:color w:val="auto"/>
              </w:rPr>
              <w:t>变速箱：机械式手动变速箱，5个前进档，一个倒挡（最低需求）；</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8、空调：冷暖空调；</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9、转向系统：左置，液压助力转向，方向盘高度和角度可调；</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10、最高车速：≥</w:t>
            </w:r>
            <w:r>
              <w:rPr>
                <w:rFonts w:hint="eastAsia"/>
                <w:color w:val="auto"/>
                <w:lang w:val="en-US" w:eastAsia="zh-CN"/>
              </w:rPr>
              <w:t>10</w:t>
            </w:r>
            <w:r>
              <w:rPr>
                <w:rFonts w:hint="eastAsia"/>
                <w:color w:val="auto"/>
              </w:rPr>
              <w:t>0km/h；</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11、取力器：全功率夹心式取力器，电磁阀控制，飞溅润滑，强制式循环水冷；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12、离合器：单片、干式、膜片弹簧、液压控制。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（三）架乘室</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1、结构：整体钢骨架焊接平头驾驶室，四门，双排；</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2、布局：双排四门，乘员室与驾驶室连通；</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3、设备：除原车设备外，驾驶室内加装有取力器控制开关及指示灯100W警报器、警灯、标志灯、示廓灯开关等；</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4</w:t>
            </w:r>
            <w:r>
              <w:rPr>
                <w:rFonts w:hint="eastAsia"/>
                <w:color w:val="auto"/>
              </w:rPr>
              <w:t>、驾驶室内设取力器控制开关、前指示灯开关、空调、警灯、警报器开关、标志灯、示廓灯开关。关等；</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5、驾驶室内设取力器控制开关、前指示灯开关、空调、警灯、警报器开关、标志灯、示廓灯开关。</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（四）罐体</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★1、水罐容积：≥</w:t>
            </w:r>
            <w:r>
              <w:rPr>
                <w:rFonts w:hint="eastAsia"/>
                <w:color w:val="auto"/>
                <w:lang w:val="en-US" w:eastAsia="zh-CN"/>
              </w:rPr>
              <w:t>4.9</w:t>
            </w:r>
            <w:r>
              <w:rPr>
                <w:rFonts w:hint="eastAsia"/>
                <w:color w:val="auto"/>
              </w:rPr>
              <w:t>m³；</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2、</w:t>
            </w:r>
            <w:r>
              <w:rPr>
                <w:rFonts w:hint="eastAsia"/>
                <w:color w:val="auto"/>
              </w:rPr>
              <w:t>结构：</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w:t>
            </w:r>
            <w:r>
              <w:rPr>
                <w:rFonts w:hint="eastAsia"/>
                <w:color w:val="auto"/>
                <w:lang w:val="en-US" w:eastAsia="zh-CN"/>
              </w:rPr>
              <w:t>优质碳钢</w:t>
            </w:r>
            <w:r>
              <w:rPr>
                <w:rFonts w:hint="eastAsia"/>
                <w:color w:val="auto"/>
              </w:rPr>
              <w:t>内藏式焊接结构，内设防荡隔板和防浪孔；</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（2）设直径460mm人孔1个，带有快速锁定/开启装置溢流管1个，通径为DN65；</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（3）设DN65溢流口1个；</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（4）注水口位于泵室内，左右各1个，通径为DN80；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lang w:eastAsia="zh-CN"/>
              </w:rPr>
            </w:pPr>
            <w:r>
              <w:rPr>
                <w:rFonts w:hint="eastAsia"/>
                <w:color w:val="auto"/>
              </w:rPr>
              <w:t>（5）设1个水罐到水泵进水管，DN100阀门，手动控制，设1个水泵至水罐充水管，DN65阀门，手动控制</w:t>
            </w:r>
            <w:r>
              <w:rPr>
                <w:rFonts w:hint="eastAsia"/>
                <w:color w:val="auto"/>
                <w:lang w:eastAsia="zh-CN"/>
              </w:rPr>
              <w:t>；</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（6）放余水口1个，配球阀，位于罐体底部，通径为DN40；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3、</w:t>
            </w:r>
            <w:r>
              <w:rPr>
                <w:rFonts w:hint="eastAsia"/>
                <w:color w:val="auto"/>
              </w:rPr>
              <w:t>材质：采用</w:t>
            </w:r>
            <w:r>
              <w:rPr>
                <w:rFonts w:hint="eastAsia"/>
                <w:color w:val="auto"/>
                <w:lang w:val="en-US" w:eastAsia="zh-CN"/>
              </w:rPr>
              <w:t>优质碳钢</w:t>
            </w:r>
            <w:r>
              <w:rPr>
                <w:rFonts w:hint="eastAsia"/>
                <w:color w:val="auto"/>
              </w:rPr>
              <w:t>或高强度PP耐腐蚀复合材质焊接而成，侧板厚度≥3mm，底板厚度≥4mm；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4、设备：</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（1）人孔盖：带快速锁紧及开启装置，开启快捷、安全；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（2）排污阀：手动控制；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（3）★灭火剂余量实时检测：罐式消防车消防液使用计时装置。</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（五）器材箱</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1、结构：</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（1）骨架与外蒙皮为焊接结构；</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（2）内蒙皮为轻合金花纹铝板；</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（3）根据器材固定需要，配置可以上下调整的由铝合金型材搭接起来的器材固定架；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2、材质：骨架及外蒙皮为优质碳钢材料，外装饰板采用碳钢板焊接；</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3、卷帘门：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（1）材质为轻合金卷帘门，质量轻，防腐性能好；</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（2）卷帘门的特殊结构确保了外部雨水很难渗入，密封性能良好；</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（3）每个器材箱内装有照明灯，在控制面板上统一控制；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4、顶部：采用具有防滑作用的花纹板，确保人员安全。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（六）泵室</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1、位置：位于车辆尾部；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2、结构及材质：与器材箱焊接成一体，结构与材质与器材箱相同；</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3、尾部：配备可供消防人员上下的防滑爬梯和不锈钢扶手，爬梯采用铝合金两节翻转爬梯，使用时离地不超过350mm，上车拉手采用表面带凹槽防滑圆钢管，表面喷塑处理；</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4、顶部：采用具有防滑作用的花纹板，确保人员安全。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（七）消防泵</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1、形式：消防泵；</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2、安装位置：后置；</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★3、流量及压力：≥185L/min（8.0MPa）；</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4、</w:t>
            </w:r>
            <w:r>
              <w:rPr>
                <w:rFonts w:hint="eastAsia"/>
                <w:color w:val="auto"/>
              </w:rPr>
              <w:t>泵组运行中输入动力切换挡位会产生动力和转速的变化，在水路管道系统中安装压力达到≥4MPa匹配的卸荷安全阀(双压力切换功能，即工作压力8.0MPa或4MPa两种模式）。</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（八）引水泵</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1、引水时间：≤50秒（7米吸深时）；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2、引水装置：滑片泵。</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（九）消防炮</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1、安装位置：泵室顶部；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2、流量及压力：≥185L/min(8.0MPa)；</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3、射程：≥50m（水）；</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4、回转角度：360°水平回转；</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5、俯/仰角度</w:t>
            </w:r>
            <w:r>
              <w:rPr>
                <w:rFonts w:hint="eastAsia"/>
                <w:color w:val="auto"/>
                <w:lang w:eastAsia="zh-CN"/>
              </w:rPr>
              <w:t>：</w:t>
            </w:r>
            <w:r>
              <w:rPr>
                <w:rFonts w:hint="eastAsia"/>
                <w:color w:val="auto"/>
              </w:rPr>
              <w:t xml:space="preserve"> 俯角≤-15°，仰角≥+60°。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（十）消防管路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1、管道材质：优质无缝钢管；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2、吸水管路：泵房左右两侧各设1个DN100吸水口；</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3、注水管路：水罐左右两侧各设2个DN65注水口，泵房内设置1个DN65水泵向罐内注水管路；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出水管路：车辆左右两侧各设置1个≥DN40和1个≥DN25不锈钢出水接口，可直接与DN25和DN40森林消防水带连接，手动控制阀门开关，可通过关闭DN40高压球阀使2个DN25不锈钢出水口连接水带枪头进行双枪头灭火，关闭2个DN25不锈钢高压出水口球阀，同时打开DN40高压球阀出水口连接水带枪头进行大流量单枪头灭火或连接远距离水带，实现高扬程、高压力远程供水功能，整个步骤为智能控制，一键式触屏操作，方便快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5、冷却水管路：采用循环水对取力器进行不间断的强制冷却，确保取力器能够长时间，不间断的开展工作；</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lang w:eastAsia="zh-CN"/>
              </w:rPr>
            </w:pPr>
            <w:r>
              <w:rPr>
                <w:rFonts w:hint="eastAsia"/>
                <w:color w:val="auto"/>
              </w:rPr>
              <w:t>6、放余水管路：位于泵、罐体及管路的最低处，具有专用余水排除装置，以防泵、罐及管路等在低温状态下</w:t>
            </w:r>
            <w:r>
              <w:rPr>
                <w:rFonts w:hint="eastAsia"/>
                <w:color w:val="auto"/>
                <w:lang w:eastAsia="zh-CN"/>
              </w:rPr>
              <w:t>。</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（十一）电气系统</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1、附加电气：设独立电路；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2、驾驶室顶部装有功率为100W的红色长排频闪警灯和警报器，控制面板位于驾驶室内；</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3、车辆两侧装有2个红蓝相间的频闪警灯、2个5W的环绕照明灯和符合国家标准的侧标志灯；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4、每个器材箱和泵室均装有5W的照明灯；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5、尾部装有符合国家标准的视廓灯、组合尾灯和牌照灯；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操纵系统：各种仪表和开关集中布置在泵室尾部的仪表板上，包括仪表电源、转速表、耐震型压力表、耐震型真空表、液位指示器、器材箱照明开关、泵室照明开关、侧照明开关及水泵引水开关，并在仪表板上附有消防水路系统工作原理和操作说明；</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7、火场照明：上装后部安装35W消防探照灯1个。</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（十二）器材配备及布置</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1、有补充要求时，按照补充要求执行；</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2、没有补充要求时，按照国家标准或行业标准配备；</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3、合理布置，确保器材箱的空间利用率达到80%以上；</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4、按使用的先后顺序和频率开展器材布置，确保取放快捷；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5、按重量的大小开展器材布置，确保左右受载均衡；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6、按功能的分类开展器材布置，确保取放方便；</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7、使用防锈、防振、防脱落、防划伤的专用夹具对器材进行固定；</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8、照消防实战需要，根据消防操作程序，就近取放；</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9、用防锈蚀、防振动、防脱落、防划伤的专用夹具固定；</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10、示醒目，多人操作，互不干涉。</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（十三）整车涂装</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1、消防车的外表喷涂R03大红色；</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2、消防泵出水管路喷涂R03大红色；</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3、消防泵进水管路、水罐至消防泵的输水管路及水罐人孔盖喷涂G05深绿色；</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4、后翼子板、后保险杠喷涂白色。</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(十四)总体技术要求</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1、所有操作开关、仪表、器材及车辆均有符合规范的名牌标志；</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2、整车性能符合GB7956《消防车消防性能要求及试验方法》的规定；</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3、水罐质量符合GA39.4－92的规定；</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4、整车外形美观大方，平整度符合GA39.4－92的规定；</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5、所有铆接间距均匀、适中；</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6、所有焊接牢固、焊后打磨光整。</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(十五)其他要求</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1、驾驶室配备集 360°全景行车记录仪和（内存不小于 32G）、倒车雷达、导航等多功能一体的智能终端，屏幕尺寸不小于 7 英寸；</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供应商投标的车辆型号必须为工信部发布的《道路机动车辆生产企业及产品》目录中的产品，且由公告中对应的汽车企业生产（改装），应符合现行国家专用汽车的相关要求，并能合法上专用汽车牌照。（文件内需提供投标车辆合格证复印件、 国家相关部门出具的车辆检验报告。）</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3、车身颜色：车辆标识、字样按照业主需求定制。</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Times New Roman" w:hAnsi="Times New Roman" w:eastAsia="宋体" w:cs="Times New Roman"/>
                <w:color w:val="auto"/>
                <w:sz w:val="21"/>
                <w:szCs w:val="24"/>
                <w:lang w:val="en-US" w:eastAsia="zh-CN" w:bidi="ar-SA"/>
              </w:rPr>
            </w:pPr>
            <w:r>
              <w:rPr>
                <w:rFonts w:hint="eastAsia"/>
                <w:color w:val="auto"/>
              </w:rPr>
              <w:t>★4、投标人为代理商（销售商）必须出具生产厂家针对本次招标项目的授权书及售后服务承诺</w:t>
            </w:r>
            <w:r>
              <w:rPr>
                <w:rFonts w:hint="eastAsia"/>
                <w:color w:val="auto"/>
                <w:lang w:eastAsia="zh-CN"/>
              </w:rPr>
              <w:t>复制件</w:t>
            </w:r>
            <w:r>
              <w:rPr>
                <w:rFonts w:hint="eastAsia"/>
                <w:color w:va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before="0" w:beforeAutospacing="0" w:after="0" w:afterAutospacing="0"/>
              <w:ind w:left="0" w:right="0"/>
              <w:jc w:val="both"/>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(十六)</w:t>
            </w:r>
            <w:r>
              <w:rPr>
                <w:rFonts w:hint="eastAsia" w:ascii="宋体" w:hAnsi="宋体" w:cs="宋体"/>
                <w:color w:val="auto"/>
                <w:kern w:val="0"/>
                <w:sz w:val="20"/>
                <w:szCs w:val="20"/>
              </w:rPr>
              <w:t>器材配备（</w:t>
            </w:r>
            <w:r>
              <w:rPr>
                <w:rFonts w:hint="eastAsia" w:ascii="宋体" w:hAnsi="宋体" w:cs="宋体"/>
                <w:color w:val="auto"/>
                <w:kern w:val="0"/>
                <w:sz w:val="20"/>
                <w:szCs w:val="20"/>
                <w:lang w:eastAsia="zh-CN"/>
              </w:rPr>
              <w:t>每个车辆最低配置</w:t>
            </w:r>
            <w:r>
              <w:rPr>
                <w:rFonts w:hint="eastAsia" w:ascii="宋体" w:hAnsi="宋体" w:cs="宋体"/>
                <w:color w:val="auto"/>
                <w:kern w:val="0"/>
                <w:sz w:val="20"/>
                <w:szCs w:val="20"/>
              </w:rPr>
              <w:t>）</w:t>
            </w:r>
          </w:p>
          <w:tbl>
            <w:tblPr>
              <w:tblStyle w:val="44"/>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453"/>
              <w:gridCol w:w="4430"/>
              <w:gridCol w:w="700"/>
              <w:gridCol w:w="83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c>
                <w:tcPr>
                  <w:tcW w:w="1453" w:type="dxa"/>
                  <w:noWrap w:val="0"/>
                  <w:vAlign w:val="center"/>
                </w:tcPr>
                <w:p>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物品名称</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规格</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数量</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单位</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吸水管</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100×4米</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2</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根</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螺纹式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滤水器</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FLF100</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螺纹式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3</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分水器</w:t>
                  </w:r>
                </w:p>
              </w:tc>
              <w:tc>
                <w:tcPr>
                  <w:tcW w:w="4430" w:type="dxa"/>
                  <w:noWrap w:val="0"/>
                  <w:vAlign w:val="center"/>
                </w:tcPr>
                <w:p>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DN40二分水</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分水器</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DN40变DN25三分水</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5</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50-40-30</w:t>
                  </w:r>
                </w:p>
              </w:tc>
              <w:tc>
                <w:tcPr>
                  <w:tcW w:w="700" w:type="dxa"/>
                  <w:noWrap w:val="0"/>
                  <w:vAlign w:val="center"/>
                </w:tcPr>
                <w:p>
                  <w:pPr>
                    <w:widowControl/>
                    <w:spacing w:before="0" w:beforeAutospacing="0" w:after="0" w:afterAutospacing="0"/>
                    <w:ind w:left="0" w:right="0"/>
                    <w:jc w:val="center"/>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50</w:t>
                  </w:r>
                </w:p>
              </w:tc>
              <w:tc>
                <w:tcPr>
                  <w:tcW w:w="830" w:type="dxa"/>
                  <w:tcBorders>
                    <w:top w:val="nil"/>
                  </w:tcBorders>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盘</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高</w:t>
                  </w:r>
                  <w:r>
                    <w:rPr>
                      <w:rFonts w:hint="eastAsia" w:ascii="宋体" w:hAnsi="宋体" w:cs="宋体"/>
                      <w:color w:val="auto"/>
                      <w:kern w:val="0"/>
                      <w:sz w:val="20"/>
                      <w:szCs w:val="20"/>
                    </w:rPr>
                    <w:t>压；</w:t>
                  </w:r>
                  <w:r>
                    <w:rPr>
                      <w:rFonts w:hint="eastAsia" w:ascii="宋体" w:hAnsi="宋体" w:eastAsia="宋体" w:cs="宋体"/>
                      <w:i w:val="0"/>
                      <w:iCs w:val="0"/>
                      <w:color w:val="auto"/>
                      <w:kern w:val="0"/>
                      <w:sz w:val="22"/>
                      <w:szCs w:val="22"/>
                      <w:highlight w:val="none"/>
                      <w:u w:val="none"/>
                      <w:lang w:val="en-US" w:eastAsia="zh-CN" w:bidi="ar"/>
                    </w:rPr>
                    <w:t>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6</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50-25-30</w:t>
                  </w:r>
                </w:p>
              </w:tc>
              <w:tc>
                <w:tcPr>
                  <w:tcW w:w="700" w:type="dxa"/>
                  <w:noWrap w:val="0"/>
                  <w:vAlign w:val="center"/>
                </w:tcPr>
                <w:p>
                  <w:pPr>
                    <w:widowControl/>
                    <w:spacing w:before="0" w:beforeAutospacing="0" w:after="0" w:afterAutospacing="0"/>
                    <w:ind w:left="0" w:right="0"/>
                    <w:jc w:val="center"/>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20</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盘</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高</w:t>
                  </w:r>
                  <w:r>
                    <w:rPr>
                      <w:rFonts w:hint="eastAsia" w:ascii="宋体" w:hAnsi="宋体" w:cs="宋体"/>
                      <w:color w:val="auto"/>
                      <w:kern w:val="0"/>
                      <w:sz w:val="20"/>
                      <w:szCs w:val="20"/>
                    </w:rPr>
                    <w:t>压；</w:t>
                  </w:r>
                  <w:r>
                    <w:rPr>
                      <w:rFonts w:hint="eastAsia" w:ascii="宋体" w:hAnsi="宋体" w:eastAsia="宋体" w:cs="宋体"/>
                      <w:i w:val="0"/>
                      <w:iCs w:val="0"/>
                      <w:color w:val="auto"/>
                      <w:kern w:val="0"/>
                      <w:sz w:val="22"/>
                      <w:szCs w:val="22"/>
                      <w:highlight w:val="none"/>
                      <w:u w:val="none"/>
                      <w:lang w:val="en-US" w:eastAsia="zh-CN" w:bidi="ar"/>
                    </w:rPr>
                    <w:t>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7</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水带背包</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不锈钢骨架</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3</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个</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8</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异径接口</w:t>
                  </w:r>
                </w:p>
              </w:tc>
              <w:tc>
                <w:tcPr>
                  <w:tcW w:w="4430" w:type="dxa"/>
                  <w:noWrap w:val="0"/>
                  <w:vAlign w:val="center"/>
                </w:tcPr>
                <w:p>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rPr>
                    <w:t>KJ</w:t>
                  </w:r>
                  <w:r>
                    <w:rPr>
                      <w:rFonts w:hint="eastAsia" w:ascii="宋体" w:hAnsi="宋体" w:cs="宋体"/>
                      <w:color w:val="auto"/>
                      <w:kern w:val="0"/>
                      <w:sz w:val="20"/>
                      <w:szCs w:val="20"/>
                      <w:lang w:val="en-US" w:eastAsia="zh-CN"/>
                    </w:rPr>
                    <w:t>40</w:t>
                  </w: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65</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tcBorders>
                    <w:top w:val="nil"/>
                  </w:tcBorders>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9</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水带包布</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DT-SB</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10</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水带挂钩</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11</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地上消火栓扳手</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QT-DS1；长400</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12</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地下消火栓扳手</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长860</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13</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吸水管扳手</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FS100</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14</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直流水枪</w:t>
                  </w:r>
                </w:p>
              </w:tc>
              <w:tc>
                <w:tcPr>
                  <w:tcW w:w="4430" w:type="dxa"/>
                  <w:noWrap w:val="0"/>
                  <w:vAlign w:val="center"/>
                </w:tcPr>
                <w:p>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eastAsia" w:ascii="宋体" w:hAnsi="宋体" w:eastAsia="宋体" w:cs="宋体"/>
                      <w:i w:val="0"/>
                      <w:iCs w:val="0"/>
                      <w:color w:val="auto"/>
                      <w:kern w:val="0"/>
                      <w:sz w:val="22"/>
                      <w:szCs w:val="22"/>
                      <w:highlight w:val="none"/>
                      <w:u w:val="none"/>
                      <w:lang w:val="en-US" w:eastAsia="zh-CN" w:bidi="ar"/>
                    </w:rPr>
                    <w:t>DN40</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支</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高</w:t>
                  </w:r>
                  <w:r>
                    <w:rPr>
                      <w:rFonts w:hint="eastAsia" w:ascii="宋体" w:hAnsi="宋体" w:cs="宋体"/>
                      <w:color w:val="auto"/>
                      <w:kern w:val="0"/>
                      <w:sz w:val="20"/>
                      <w:szCs w:val="20"/>
                    </w:rPr>
                    <w:t>压；</w:t>
                  </w:r>
                  <w:r>
                    <w:rPr>
                      <w:rFonts w:hint="eastAsia" w:ascii="宋体" w:hAnsi="宋体" w:eastAsia="宋体" w:cs="宋体"/>
                      <w:i w:val="0"/>
                      <w:iCs w:val="0"/>
                      <w:color w:val="auto"/>
                      <w:kern w:val="0"/>
                      <w:sz w:val="22"/>
                      <w:szCs w:val="22"/>
                      <w:highlight w:val="none"/>
                      <w:u w:val="none"/>
                      <w:lang w:val="en-US" w:eastAsia="zh-CN" w:bidi="ar"/>
                    </w:rPr>
                    <w:t>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15</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直流水枪</w:t>
                  </w:r>
                </w:p>
              </w:tc>
              <w:tc>
                <w:tcPr>
                  <w:tcW w:w="4430" w:type="dxa"/>
                  <w:noWrap w:val="0"/>
                  <w:vAlign w:val="center"/>
                </w:tcPr>
                <w:p>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eastAsia" w:ascii="宋体" w:hAnsi="宋体" w:eastAsia="宋体" w:cs="宋体"/>
                      <w:i w:val="0"/>
                      <w:iCs w:val="0"/>
                      <w:color w:val="auto"/>
                      <w:kern w:val="0"/>
                      <w:sz w:val="22"/>
                      <w:szCs w:val="22"/>
                      <w:highlight w:val="none"/>
                      <w:u w:val="none"/>
                      <w:lang w:val="en-US" w:eastAsia="zh-CN" w:bidi="ar"/>
                    </w:rPr>
                    <w:t>DN25</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2</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支</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高</w:t>
                  </w:r>
                  <w:r>
                    <w:rPr>
                      <w:rFonts w:hint="eastAsia" w:ascii="宋体" w:hAnsi="宋体" w:cs="宋体"/>
                      <w:color w:val="auto"/>
                      <w:kern w:val="0"/>
                      <w:sz w:val="20"/>
                      <w:szCs w:val="20"/>
                    </w:rPr>
                    <w:t>压；</w:t>
                  </w:r>
                  <w:r>
                    <w:rPr>
                      <w:rFonts w:hint="eastAsia" w:ascii="宋体" w:hAnsi="宋体" w:eastAsia="宋体" w:cs="宋体"/>
                      <w:i w:val="0"/>
                      <w:iCs w:val="0"/>
                      <w:color w:val="auto"/>
                      <w:kern w:val="0"/>
                      <w:sz w:val="22"/>
                      <w:szCs w:val="22"/>
                      <w:highlight w:val="none"/>
                      <w:u w:val="none"/>
                      <w:lang w:val="en-US" w:eastAsia="zh-CN" w:bidi="ar"/>
                    </w:rPr>
                    <w:t>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16</w:t>
                  </w:r>
                </w:p>
              </w:tc>
              <w:tc>
                <w:tcPr>
                  <w:tcW w:w="1453" w:type="dxa"/>
                  <w:noWrap w:val="0"/>
                  <w:vAlign w:val="center"/>
                </w:tcPr>
                <w:p>
                  <w:pPr>
                    <w:widowControl/>
                    <w:spacing w:before="0" w:beforeAutospacing="0" w:after="0" w:afterAutospacing="0"/>
                    <w:ind w:left="0" w:right="0"/>
                    <w:jc w:val="both"/>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消防桶</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个</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17</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灭火器</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3kg</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具</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18</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消防腰斧</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长390 ；GF-285</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19</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橡皮锤</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20</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可充电式手提照明灯</w:t>
                  </w:r>
                </w:p>
              </w:tc>
              <w:tc>
                <w:tcPr>
                  <w:tcW w:w="4430" w:type="dxa"/>
                  <w:noWrap w:val="0"/>
                  <w:vAlign w:val="center"/>
                </w:tcPr>
                <w:p>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1、符合GB 30734―2014《消防员照明灯具》国家标准的技术要求。</w:t>
                  </w:r>
                </w:p>
                <w:p>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2.防爆等级</w:t>
                  </w:r>
                  <w:r>
                    <w:rPr>
                      <w:rFonts w:hint="eastAsia" w:ascii="宋体" w:hAnsi="宋体" w:cs="宋体"/>
                      <w:color w:val="auto"/>
                      <w:kern w:val="0"/>
                      <w:sz w:val="20"/>
                      <w:szCs w:val="20"/>
                      <w:lang w:val="en-US" w:eastAsia="zh-CN"/>
                    </w:rPr>
                    <w:t>：</w:t>
                  </w:r>
                  <w:r>
                    <w:rPr>
                      <w:rFonts w:hint="default" w:ascii="宋体" w:hAnsi="宋体" w:eastAsia="宋体" w:cs="宋体"/>
                      <w:color w:val="auto"/>
                      <w:kern w:val="0"/>
                      <w:sz w:val="20"/>
                      <w:szCs w:val="20"/>
                      <w:lang w:val="en-US" w:eastAsia="zh-CN"/>
                    </w:rPr>
                    <w:t>ExibIICT4Gb</w:t>
                  </w:r>
                  <w:r>
                    <w:rPr>
                      <w:rFonts w:hint="eastAsia" w:ascii="宋体" w:hAnsi="宋体" w:eastAsia="宋体" w:cs="宋体"/>
                      <w:color w:val="auto"/>
                      <w:kern w:val="0"/>
                      <w:sz w:val="20"/>
                      <w:szCs w:val="20"/>
                      <w:lang w:val="en-US" w:eastAsia="zh-CN"/>
                    </w:rPr>
                    <w:t>；</w:t>
                  </w:r>
                  <w:r>
                    <w:rPr>
                      <w:rFonts w:hint="default" w:ascii="宋体" w:hAnsi="宋体" w:eastAsia="宋体" w:cs="宋体"/>
                      <w:color w:val="auto"/>
                      <w:kern w:val="0"/>
                      <w:sz w:val="20"/>
                      <w:szCs w:val="20"/>
                      <w:lang w:val="en-US" w:eastAsia="zh-CN"/>
                    </w:rPr>
                    <w:t>防护等</w:t>
                  </w:r>
                  <w:r>
                    <w:rPr>
                      <w:rFonts w:hint="eastAsia" w:ascii="宋体" w:hAnsi="宋体" w:eastAsia="宋体" w:cs="宋体"/>
                      <w:color w:val="auto"/>
                      <w:kern w:val="0"/>
                      <w:sz w:val="20"/>
                      <w:szCs w:val="20"/>
                      <w:lang w:val="en-US" w:eastAsia="zh-CN"/>
                    </w:rPr>
                    <w:t>级IP66/</w:t>
                  </w:r>
                  <w:r>
                    <w:rPr>
                      <w:rFonts w:hint="default" w:ascii="宋体" w:hAnsi="宋体" w:eastAsia="宋体" w:cs="宋体"/>
                      <w:color w:val="auto"/>
                      <w:kern w:val="0"/>
                      <w:sz w:val="20"/>
                      <w:szCs w:val="20"/>
                      <w:lang w:val="en-US" w:eastAsia="zh-CN"/>
                    </w:rPr>
                    <w:t>IP68</w:t>
                  </w:r>
                </w:p>
                <w:p>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r>
                    <w:rPr>
                      <w:rFonts w:hint="default" w:ascii="宋体" w:hAnsi="宋体" w:eastAsia="宋体" w:cs="宋体"/>
                      <w:color w:val="auto"/>
                      <w:kern w:val="0"/>
                      <w:sz w:val="20"/>
                      <w:szCs w:val="20"/>
                      <w:lang w:val="en-US" w:eastAsia="zh-CN"/>
                    </w:rPr>
                    <w:t>.低压状态下连续工作时间</w:t>
                  </w:r>
                  <w:r>
                    <w:rPr>
                      <w:rFonts w:hint="eastAsia" w:ascii="宋体" w:hAnsi="宋体" w:cs="宋体"/>
                      <w:color w:val="auto"/>
                      <w:kern w:val="0"/>
                      <w:sz w:val="20"/>
                      <w:szCs w:val="20"/>
                      <w:lang w:val="en-US" w:eastAsia="zh-CN"/>
                    </w:rPr>
                    <w:t>：</w:t>
                  </w:r>
                  <w:r>
                    <w:rPr>
                      <w:rFonts w:hint="default" w:ascii="宋体" w:hAnsi="宋体" w:eastAsia="宋体" w:cs="宋体"/>
                      <w:color w:val="auto"/>
                      <w:kern w:val="0"/>
                      <w:sz w:val="20"/>
                      <w:szCs w:val="20"/>
                      <w:lang w:val="en-US" w:eastAsia="zh-CN"/>
                    </w:rPr>
                    <w:t>强光&gt;15min</w:t>
                  </w:r>
                  <w:r>
                    <w:rPr>
                      <w:rFonts w:hint="eastAsia" w:ascii="宋体" w:hAnsi="宋体" w:cs="宋体"/>
                      <w:color w:val="auto"/>
                      <w:kern w:val="0"/>
                      <w:sz w:val="20"/>
                      <w:szCs w:val="20"/>
                      <w:lang w:val="en-US" w:eastAsia="zh-CN"/>
                    </w:rPr>
                    <w:t>，</w:t>
                  </w:r>
                  <w:r>
                    <w:rPr>
                      <w:rFonts w:hint="eastAsia" w:ascii="宋体" w:hAnsi="宋体" w:eastAsia="宋体" w:cs="宋体"/>
                      <w:color w:val="auto"/>
                      <w:kern w:val="0"/>
                      <w:sz w:val="20"/>
                      <w:szCs w:val="20"/>
                      <w:lang w:val="en-US" w:eastAsia="zh-CN"/>
                    </w:rPr>
                    <w:t>弱</w:t>
                  </w:r>
                  <w:r>
                    <w:rPr>
                      <w:rFonts w:hint="default" w:ascii="宋体" w:hAnsi="宋体" w:eastAsia="宋体" w:cs="宋体"/>
                      <w:color w:val="auto"/>
                      <w:kern w:val="0"/>
                      <w:sz w:val="20"/>
                      <w:szCs w:val="20"/>
                      <w:lang w:val="en-US" w:eastAsia="zh-CN"/>
                    </w:rPr>
                    <w:t>光&gt;30m</w:t>
                  </w:r>
                  <w:r>
                    <w:rPr>
                      <w:rFonts w:hint="eastAsia" w:ascii="宋体" w:hAnsi="宋体" w:eastAsia="宋体" w:cs="宋体"/>
                      <w:color w:val="auto"/>
                      <w:kern w:val="0"/>
                      <w:sz w:val="20"/>
                      <w:szCs w:val="20"/>
                      <w:lang w:val="en-US" w:eastAsia="zh-CN"/>
                    </w:rPr>
                    <w:t>in</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防爆防水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21</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防爆工作灯</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1.产品符合GB26755-2011（消防移动照明装置）、GB/T2423.1-2008、GB/T2423.2-2008、GB/T2423.3-2016、GB/T2423.38-2021、GB/T2423.10-2019</w:t>
                  </w:r>
                </w:p>
                <w:p>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18"/>
                      <w:szCs w:val="18"/>
                      <w:lang w:val="en-US" w:eastAsia="zh-CN"/>
                    </w:rPr>
                    <w:t>2.功率：30W电池组能量180Wh；平均使用寿命100000h防护等级IP66；充电时间8h</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22</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防蜂服（带风扇）</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lang w:val="zh-CN"/>
                    </w:rPr>
                  </w:pPr>
                  <w:r>
                    <w:rPr>
                      <w:rFonts w:hint="eastAsia" w:ascii="宋体" w:hAnsi="宋体" w:cs="宋体"/>
                      <w:color w:val="auto"/>
                      <w:kern w:val="0"/>
                      <w:sz w:val="20"/>
                      <w:szCs w:val="20"/>
                      <w:lang w:val="zh-CN"/>
                    </w:rPr>
                    <w:t>整体要求</w:t>
                  </w:r>
                </w:p>
                <w:p>
                  <w:pPr>
                    <w:widowControl/>
                    <w:spacing w:before="0" w:beforeAutospacing="0" w:after="0" w:afterAutospacing="0"/>
                    <w:ind w:left="0" w:right="0"/>
                    <w:jc w:val="both"/>
                    <w:textAlignment w:val="center"/>
                    <w:rPr>
                      <w:rFonts w:hint="eastAsia" w:ascii="宋体" w:hAnsi="宋体" w:cs="宋体"/>
                      <w:color w:val="auto"/>
                      <w:kern w:val="0"/>
                      <w:sz w:val="20"/>
                      <w:szCs w:val="20"/>
                      <w:lang w:val="zh-CN"/>
                    </w:rPr>
                  </w:pPr>
                  <w:r>
                    <w:rPr>
                      <w:rFonts w:hint="eastAsia" w:ascii="宋体" w:hAnsi="宋体" w:cs="宋体"/>
                      <w:color w:val="auto"/>
                      <w:kern w:val="0"/>
                      <w:sz w:val="20"/>
                      <w:szCs w:val="20"/>
                    </w:rPr>
                    <w:t>1.1符合《消防员防蜂服试验大纲》标准要求，需提供应急管理部授权单位出具的检验报告复印件。</w:t>
                  </w:r>
                </w:p>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1.2本产品是施救人员在有蜂群的场合进行救援、除险时为保护自身安全而穿着的防护服装。</w:t>
                  </w:r>
                </w:p>
              </w:tc>
              <w:tc>
                <w:tcPr>
                  <w:tcW w:w="70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件</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23</w:t>
                  </w:r>
                </w:p>
              </w:tc>
              <w:tc>
                <w:tcPr>
                  <w:tcW w:w="1453"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color w:val="auto"/>
                      <w:kern w:val="0"/>
                      <w:sz w:val="22"/>
                      <w:szCs w:val="22"/>
                      <w:lang w:eastAsia="zh-CN" w:bidi="ar"/>
                    </w:rPr>
                    <w:t>消防员灭火防护服套装</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★13.1 符合XF44-2015《消防头盔》</w:t>
                  </w:r>
                  <w:r>
                    <w:rPr>
                      <w:rFonts w:hint="eastAsia" w:ascii="宋体" w:hAnsi="宋体" w:cs="宋体"/>
                      <w:color w:val="auto"/>
                      <w:kern w:val="0"/>
                      <w:sz w:val="18"/>
                      <w:szCs w:val="18"/>
                      <w:lang w:eastAsia="zh-CN"/>
                    </w:rPr>
                    <w:t>或</w:t>
                  </w:r>
                  <w:r>
                    <w:rPr>
                      <w:rFonts w:hint="eastAsia" w:ascii="宋体" w:hAnsi="宋体" w:cs="宋体"/>
                      <w:color w:val="auto"/>
                      <w:kern w:val="0"/>
                      <w:sz w:val="18"/>
                      <w:szCs w:val="18"/>
                    </w:rPr>
                    <w:t>GA44—2015《消防头盔》</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XF10-2014《消防员灭火防护服》</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XF 7-2004《消防手套》</w:t>
                  </w:r>
                  <w:r>
                    <w:rPr>
                      <w:rFonts w:hint="eastAsia" w:ascii="宋体" w:hAnsi="宋体" w:cs="宋体"/>
                      <w:color w:val="auto"/>
                      <w:kern w:val="0"/>
                      <w:sz w:val="18"/>
                      <w:szCs w:val="18"/>
                      <w:lang w:eastAsia="zh-CN"/>
                    </w:rPr>
                    <w:t>或</w:t>
                  </w:r>
                  <w:r>
                    <w:rPr>
                      <w:rFonts w:hint="eastAsia" w:ascii="宋体" w:hAnsi="宋体" w:cs="宋体"/>
                      <w:color w:val="auto"/>
                      <w:kern w:val="0"/>
                      <w:sz w:val="18"/>
                      <w:szCs w:val="18"/>
                    </w:rPr>
                    <w:t xml:space="preserve">GA </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-2004《消防手套》</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GA 6-2004《消防员灭火防护靴》或XF </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-2004《消防员灭火防护靴》</w:t>
                  </w:r>
                  <w:r>
                    <w:rPr>
                      <w:rFonts w:hint="eastAsia" w:ascii="宋体" w:hAnsi="宋体" w:cs="宋体"/>
                      <w:color w:val="auto"/>
                      <w:kern w:val="0"/>
                      <w:sz w:val="18"/>
                      <w:szCs w:val="18"/>
                      <w:lang w:eastAsia="zh-CN"/>
                    </w:rPr>
                    <w:t>；或</w:t>
                  </w:r>
                  <w:r>
                    <w:rPr>
                      <w:rFonts w:hint="eastAsia" w:ascii="宋体" w:hAnsi="宋体" w:cs="宋体"/>
                      <w:color w:val="auto"/>
                      <w:kern w:val="0"/>
                      <w:sz w:val="18"/>
                      <w:szCs w:val="18"/>
                    </w:rPr>
                    <w:t>XF494-2004国家级消防检测报告、CCCF消防认证等其他消防部门标准，每个附件需提供对应检测报告；</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13.2 消防头盔：由盔壳、滑轨、缓冲层、舒适衬垫、佩戴装置、面罩、披肩等组成。最大冲击≤3550N，质量：≤1200</w:t>
                  </w:r>
                  <w:r>
                    <w:rPr>
                      <w:rFonts w:hint="eastAsia" w:ascii="宋体" w:hAnsi="宋体" w:cs="宋体"/>
                      <w:color w:val="auto"/>
                      <w:kern w:val="0"/>
                      <w:sz w:val="18"/>
                      <w:szCs w:val="18"/>
                      <w:lang w:val="en-US" w:eastAsia="zh-CN"/>
                    </w:rPr>
                    <w:t>g；</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13.3 灭火防护服：阻燃性能：外层续燃时间≤0s，</w:t>
                  </w:r>
                  <w:r>
                    <w:rPr>
                      <w:rFonts w:hint="eastAsia" w:ascii="宋体" w:hAnsi="宋体" w:cs="宋体"/>
                      <w:color w:val="auto"/>
                      <w:kern w:val="0"/>
                      <w:sz w:val="18"/>
                      <w:szCs w:val="18"/>
                      <w:lang w:eastAsia="zh-CN"/>
                    </w:rPr>
                    <w:t>外层</w:t>
                  </w:r>
                  <w:r>
                    <w:rPr>
                      <w:rFonts w:hint="eastAsia" w:ascii="宋体" w:hAnsi="宋体" w:cs="宋体"/>
                      <w:color w:val="auto"/>
                      <w:kern w:val="0"/>
                      <w:sz w:val="18"/>
                      <w:szCs w:val="18"/>
                    </w:rPr>
                    <w:t>纬向损毁长度≤37mm，</w:t>
                  </w:r>
                  <w:r>
                    <w:rPr>
                      <w:rFonts w:hint="eastAsia" w:ascii="宋体" w:hAnsi="宋体" w:cs="宋体"/>
                      <w:color w:val="auto"/>
                      <w:kern w:val="0"/>
                      <w:sz w:val="18"/>
                      <w:szCs w:val="18"/>
                      <w:lang w:eastAsia="zh-CN"/>
                    </w:rPr>
                    <w:t>隔热层</w:t>
                  </w:r>
                  <w:r>
                    <w:rPr>
                      <w:rFonts w:hint="eastAsia" w:ascii="宋体" w:hAnsi="宋体" w:cs="宋体"/>
                      <w:color w:val="auto"/>
                      <w:kern w:val="0"/>
                      <w:sz w:val="18"/>
                      <w:szCs w:val="18"/>
                    </w:rPr>
                    <w:t>经向损毁长度≤35mm，无熔融、滴落现象；</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13.4消防手套：手套掌心面经向</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续燃时间≤0s，阴燃时间≤0s，损毁长度≤26mm，无熔融，滴落现象</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13.5 消防安全腰带：正立方向静拉力：≥13kN；</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13.6 灭火防护靴：</w:t>
                  </w:r>
                  <w:r>
                    <w:rPr>
                      <w:rFonts w:hint="eastAsia" w:ascii="宋体" w:hAnsi="宋体" w:cs="宋体"/>
                      <w:color w:val="auto"/>
                      <w:kern w:val="0"/>
                      <w:sz w:val="18"/>
                      <w:szCs w:val="18"/>
                      <w:lang w:eastAsia="zh-CN"/>
                    </w:rPr>
                    <w:t>防砸性能</w:t>
                  </w:r>
                  <w:r>
                    <w:rPr>
                      <w:rFonts w:hint="eastAsia" w:ascii="宋体" w:hAnsi="宋体" w:cs="宋体"/>
                      <w:color w:val="auto"/>
                      <w:kern w:val="0"/>
                      <w:sz w:val="18"/>
                      <w:szCs w:val="18"/>
                    </w:rPr>
                    <w:t>冲击≥15mm、抗刺穿性能：≥1300N、电绝缘性能：击穿电压≥5000V，泄漏电流≤0.7mA；</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13.7 体能训练胶鞋：KPU热切工艺、超透气网布、鞋垫内垫采用欧索莱加竹炭材质，轻便不臭脚；橡胶片+EVA发泡组合鞋底、后跟处包裹一体式TPU、TPU开窗反光设计、KPU足弓护片</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13.8 消防备勤鞋：鞋面采用优质牛皮、冲孔透气、不闷脚；带有反光标志，透气舒适内里；聚氨酯+橡胶片鞋底防滑耐磨轻便。</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★13.9 消防通用安全绳</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直径</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13mm材质</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锦纶，由连续纤维制成，采用夹心绳结构，整条绳子粗细均匀，结构一致，破断强度≥24KN</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静力绳常用于下降，但下降速度不能超过每秒3米，在204℃±5℃的高温下，绳子不会出现融熔、焦化的现象。提供符合XF494-2004国家级消防检测报告；</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13.10 手提式强光照明灯</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产品符合 GB 3836.1-2021、GB3836.2-2021、GB3836.4-2021、GB3836.31-2021 防爆检测，防爆标志Ex db ib IIC T6 Gb</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Ex ibtb IIIC T80℃ Db。产品由前盖、后端盖、外壳、线路板、电池组、LED 电源等组成，盖、外壳材质为 6063 铝合金，透明件材质为钢化玻璃。额定电压11.1V，光源采用 LED 灯珠，锂电池容量≥4400mAh。额定功率3X3W，光通量≥1350Lm，光源使用寿命≥100000h。 连续工作时间8h(强光) 16h (弱光)。试验温度（℃) </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 -25最低工作温度(℃) </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 -20持续时间(h)</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24。产品方便携带，配置背带，可斜挎于肩背身上，带有防护套。灯具的外壳防护等级为 GB/T4208-2008 中的 IP68 要求。  </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具有工作光、强光、频闪三种光设计，按动按钮可进行自由转换。 外形尺寸165mm*120mm*69mm±</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重量≤930g。提供国家认可（具备 CMA、CNAS 标识）的防爆检测中心出具的防爆合格证书报告扫描件。</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★13.11 消防护目镜：符合GB 14866-2006《个人用眼护具技术要求》</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XF1273-2015《消防员防护辅助装备 消防员护目镜》</w:t>
                  </w:r>
                  <w:r>
                    <w:rPr>
                      <w:rFonts w:hint="eastAsia" w:ascii="宋体" w:hAnsi="宋体" w:cs="宋体"/>
                      <w:color w:val="auto"/>
                      <w:kern w:val="0"/>
                      <w:sz w:val="18"/>
                      <w:szCs w:val="18"/>
                      <w:lang w:eastAsia="zh-CN"/>
                    </w:rPr>
                    <w:t>或GA1273—2015《消防员防护辅助装备 消防员护目镜》</w:t>
                  </w:r>
                  <w:r>
                    <w:rPr>
                      <w:rFonts w:hint="eastAsia" w:ascii="宋体" w:hAnsi="宋体" w:cs="宋体"/>
                      <w:color w:val="auto"/>
                      <w:kern w:val="0"/>
                      <w:sz w:val="18"/>
                      <w:szCs w:val="18"/>
                    </w:rPr>
                    <w:t>标准。提供国家认可的具备相关检测资质的检测机构出具的检验报告复印件。用于抢险救援时眼部防护。整片式透明聚碳酸脂镜片防护眼镜，一体式聚碳酸脂鼻梁。护目镜用于固定作用的头带可调节。抗高速粒子冲击性能：能承受直径为6mm，质量为0.86g，速度不小于1200+3m/s钢珠在正面、侧面冲击，试验后，无损坏、变形。化学雾滴化学雾滴防护性能：镜片中心范围内试纸无色斑出现。</w:t>
                  </w:r>
                </w:p>
                <w:p>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★13.12 消防水域救生衣：浮力：≥195N；救生衣衣身能承受≥1200N的作用力30 min而不损坏。救生衣肩部能承受≥900N的作用力 30 min 而不损坏。裆带与救生衣衣体之间能承受≥900N的作用力而不发生脱离或损坏；人员穿着救生衣以任意方式下水，能在10s解开快脱带，且快脱带的开启力不大于110 N。快脱带在系紧状态下能承受不大于2500N的拉力而不发生误开启；每件救生衣配有细索系牢的哨笛1只。使用时，穿着者任何一只手能将哨笛移出或放入。每件救生衣配有细索系牢的示位灯1只。人员穿着救生衣以任意方式下水，救生衣能在5s内使人体处于直立姿态，且人嘴高出水面120 mm以上。需提供国家消防装备质量监督检验中心出具的报告扫描件佐证。</w:t>
                  </w:r>
                </w:p>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18"/>
                      <w:szCs w:val="18"/>
                    </w:rPr>
                    <w:t>13.13 消防员呼救器：具有自动报警、强制报警、方位指示、低电压显示，连续开机时间≥24h，连续报警时间≥240min；</w:t>
                  </w:r>
                </w:p>
              </w:tc>
              <w:tc>
                <w:tcPr>
                  <w:tcW w:w="700" w:type="dxa"/>
                  <w:noWrap w:val="0"/>
                  <w:vAlign w:val="center"/>
                </w:tcPr>
                <w:p>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9</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套</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24</w:t>
                  </w:r>
                </w:p>
              </w:tc>
              <w:tc>
                <w:tcPr>
                  <w:tcW w:w="1453"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绳索救援套装</w:t>
                  </w:r>
                </w:p>
              </w:tc>
              <w:tc>
                <w:tcPr>
                  <w:tcW w:w="4430" w:type="dxa"/>
                  <w:noWrap w:val="0"/>
                  <w:vAlign w:val="center"/>
                </w:tcPr>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1.用于辅助救援人员进行攀爬以及搭建救援通道抢救和运送伤员。包含绳索手套 1 副、山岳救援头盔 1 顶、头灯 1 个、护目镜 1 副、全身式安全吊带 1 件、50 米</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静力绳、</w:t>
                  </w:r>
                  <w:r>
                    <w:rPr>
                      <w:rFonts w:hint="eastAsia" w:ascii="宋体" w:hAnsi="宋体" w:cs="宋体"/>
                      <w:color w:val="auto"/>
                      <w:kern w:val="0"/>
                      <w:sz w:val="18"/>
                      <w:szCs w:val="18"/>
                      <w:lang w:val="en-US" w:eastAsia="zh-CN"/>
                    </w:rPr>
                    <w:t>50</w:t>
                  </w:r>
                  <w:r>
                    <w:rPr>
                      <w:rFonts w:hint="eastAsia" w:ascii="宋体" w:hAnsi="宋体" w:cs="宋体"/>
                      <w:color w:val="auto"/>
                      <w:kern w:val="0"/>
                      <w:sz w:val="18"/>
                      <w:szCs w:val="18"/>
                      <w:lang w:val="en-US"/>
                    </w:rPr>
                    <w:t>米</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动力绳、安全钩 7 个、上升器 1 个、抓绳器 1 个、下降器 1 个、万向单滑轮 1 个、连接带（60</w:t>
                  </w:r>
                  <w:r>
                    <w:rPr>
                      <w:rFonts w:hint="eastAsia" w:ascii="宋体" w:hAnsi="宋体" w:cs="宋体"/>
                      <w:color w:val="auto"/>
                      <w:kern w:val="0"/>
                      <w:sz w:val="18"/>
                      <w:szCs w:val="18"/>
                      <w:lang w:val="en-US" w:eastAsia="zh-CN"/>
                    </w:rPr>
                    <w:t>cm</w:t>
                  </w:r>
                  <w:r>
                    <w:rPr>
                      <w:rFonts w:hint="eastAsia" w:ascii="宋体" w:hAnsi="宋体" w:cs="宋体"/>
                      <w:color w:val="auto"/>
                      <w:kern w:val="0"/>
                      <w:sz w:val="18"/>
                      <w:szCs w:val="18"/>
                      <w:lang w:val="en-US"/>
                    </w:rPr>
                    <w:t xml:space="preserve"> </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扁带 2 条，120</w:t>
                  </w:r>
                  <w:r>
                    <w:rPr>
                      <w:rFonts w:hint="eastAsia" w:ascii="宋体" w:hAnsi="宋体" w:cs="宋体"/>
                      <w:color w:val="auto"/>
                      <w:kern w:val="0"/>
                      <w:sz w:val="18"/>
                      <w:szCs w:val="18"/>
                      <w:lang w:val="en-US" w:eastAsia="zh-CN"/>
                    </w:rPr>
                    <w:t>cm</w:t>
                  </w:r>
                  <w:r>
                    <w:rPr>
                      <w:rFonts w:hint="eastAsia" w:ascii="宋体" w:hAnsi="宋体" w:cs="宋体"/>
                      <w:color w:val="auto"/>
                      <w:kern w:val="0"/>
                      <w:sz w:val="18"/>
                      <w:szCs w:val="18"/>
                      <w:lang w:val="en-US"/>
                    </w:rPr>
                    <w:t xml:space="preserve"> </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扁带 2 条）、70</w:t>
                  </w:r>
                  <w:r>
                    <w:rPr>
                      <w:rFonts w:hint="eastAsia" w:ascii="宋体" w:hAnsi="宋体" w:cs="宋体"/>
                      <w:color w:val="auto"/>
                      <w:kern w:val="0"/>
                      <w:sz w:val="18"/>
                      <w:szCs w:val="18"/>
                      <w:lang w:val="en-US" w:eastAsia="zh-CN"/>
                    </w:rPr>
                    <w:t>cm及以上</w:t>
                  </w:r>
                  <w:r>
                    <w:rPr>
                      <w:rFonts w:hint="eastAsia" w:ascii="宋体" w:hAnsi="宋体" w:cs="宋体"/>
                      <w:color w:val="auto"/>
                      <w:kern w:val="0"/>
                      <w:sz w:val="18"/>
                      <w:szCs w:val="18"/>
                      <w:lang w:val="en-US"/>
                    </w:rPr>
                    <w:t>绳索保护套各 1 根，止坠器 1 个、脚踏带 1 条，8 孔分力板 1 个、挂绳牛尾 1 条，O 型钩 4 个、垫布 1 块，防水背包 1 个等。</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2、绳索手套：训练手掌采用山羊头皮，柔软耐磨，手背采用弹力涤纶面料，手指可自由弯曲，工作灵活，手腕对称≥17mm锁孔，⽅便⽤锁挂起挂于安全带上，随⼿拿取使⽤，重量≤70g；</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3、山岳救援头盔 ：采用耐用的 ABS 注塑外壳和 EPS 内垫设计，头盔的下颚带至少能承受50</w:t>
                  </w:r>
                  <w:r>
                    <w:rPr>
                      <w:rFonts w:hint="eastAsia" w:ascii="宋体" w:hAnsi="宋体" w:cs="宋体"/>
                      <w:color w:val="auto"/>
                      <w:kern w:val="0"/>
                      <w:sz w:val="18"/>
                      <w:szCs w:val="18"/>
                      <w:lang w:val="en-US" w:eastAsia="zh-CN"/>
                    </w:rPr>
                    <w:t>kg</w:t>
                  </w:r>
                  <w:r>
                    <w:rPr>
                      <w:rFonts w:hint="eastAsia" w:ascii="宋体" w:hAnsi="宋体" w:cs="宋体"/>
                      <w:color w:val="auto"/>
                      <w:kern w:val="0"/>
                      <w:sz w:val="18"/>
                      <w:szCs w:val="18"/>
                      <w:lang w:val="en-US"/>
                    </w:rPr>
                    <w:t>的拉力，尺寸适合头围在51-62</w:t>
                  </w:r>
                  <w:r>
                    <w:rPr>
                      <w:rFonts w:hint="eastAsia" w:ascii="宋体" w:hAnsi="宋体" w:cs="宋体"/>
                      <w:color w:val="auto"/>
                      <w:kern w:val="0"/>
                      <w:sz w:val="18"/>
                      <w:szCs w:val="18"/>
                      <w:lang w:val="en-US" w:eastAsia="zh-CN"/>
                    </w:rPr>
                    <w:t>cm</w:t>
                  </w:r>
                  <w:r>
                    <w:rPr>
                      <w:rFonts w:hint="eastAsia" w:ascii="宋体" w:hAnsi="宋体" w:cs="宋体"/>
                      <w:color w:val="auto"/>
                      <w:kern w:val="0"/>
                      <w:sz w:val="18"/>
                      <w:szCs w:val="18"/>
                      <w:lang w:val="en-US"/>
                    </w:rPr>
                    <w:t>的人群使用，配有头灯卡槽和反光贴纸，重量≤410g；</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4、头灯：灯珠数量/类型≥3颗 Xtreme LED  ，色温K≥5200-6200，灯光功能：Boost/极强光/强光/弱光，亮度lm≥800/500/250/20，照射距离/米≥160/140/80/25，时长/小时≥ --/3/6/60，电池容量mAh≥2000，防护等级≥IP68，头带可拆卸、清洗、更换，重量带电池/克≤126，调节焦距：数字AFS，拨轮调焦 ；</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5、护目镜：聚碳酸酯材质，透明色有防磨和防雾处理，眼罩采用≥2.25mm厚和≥100mm高的材料，有两个稳定的固定位置；</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color w:val="auto"/>
                    </w:rPr>
                    <w:t>★</w:t>
                  </w:r>
                  <w:r>
                    <w:rPr>
                      <w:rFonts w:hint="eastAsia" w:ascii="宋体" w:hAnsi="宋体" w:cs="宋体"/>
                      <w:color w:val="auto"/>
                      <w:kern w:val="0"/>
                      <w:sz w:val="18"/>
                      <w:szCs w:val="18"/>
                      <w:lang w:val="en-US"/>
                    </w:rPr>
                    <w:t>6、全身式安全吊带：全身式安全带有8个</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可调扣，左肩部1只</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铝制快插结构，穿着方便、快捷；腹部1个</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不锈钢梅陇锁&gt;30</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；腹部自带胸式上升器，配合10.5mm~12mm直径的静力绳，用于绳索作业；</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color w:val="auto"/>
                    </w:rPr>
                    <w:t>★</w:t>
                  </w:r>
                  <w:r>
                    <w:rPr>
                      <w:rFonts w:hint="eastAsia" w:ascii="宋体" w:hAnsi="宋体" w:cs="宋体"/>
                      <w:color w:val="auto"/>
                      <w:kern w:val="0"/>
                      <w:sz w:val="18"/>
                      <w:szCs w:val="18"/>
                      <w:lang w:val="en-US"/>
                    </w:rPr>
                    <w:t>7、50 米</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静力绳：尼龙材质，直径≥10.5 mm ，断裂强度≥29.5</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 xml:space="preserve">，8字结强度≥15 </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，首次冲击力≥4.7</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 xml:space="preserve"> ，冲坠次数≥5次 ；</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8 、50米</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动力绳：尼龙材质，直径≥10.5mm，首次冲击力≥9.1</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，首次动态伸长率≥31%，静态伸长率≥8.0%，冲坠次数≥9次；</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9、安全钩：三段式铝合金D型锁扣，开口尺寸≥22mm，纵向拉力≥27</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，横向拉力≥8</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，开口拉力≥7</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，重量≤102g；</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10、上升器 ：主体采用铝合金材质，不锈钢棘齿轮设计，自动排泥沙槽，最大负重140≥公斤，绳索范围8-12mm，下连接孔可同时连接挽索锁扣和脚踏的锁扣，可开启的安全凸轮使上升器在绳索的任何位置都可以用单手打开或安装；</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11、抓绳器：铝合金材质，杠杆挤压制动设计，不会对绳索造成损伤，适用于绳索直径：8-12mm，承受拉力≥2</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color w:val="auto"/>
                    </w:rPr>
                    <w:t>★</w:t>
                  </w:r>
                  <w:r>
                    <w:rPr>
                      <w:rFonts w:hint="eastAsia" w:ascii="宋体" w:hAnsi="宋体" w:cs="宋体"/>
                      <w:color w:val="auto"/>
                      <w:kern w:val="0"/>
                      <w:sz w:val="18"/>
                      <w:szCs w:val="18"/>
                      <w:lang w:val="en-US"/>
                    </w:rPr>
                    <w:t>12、下降器 ：重量≤290g ，材质铝合金、钢 ，指定试验极限负荷≥13.5</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，最大工作负荷≥150</w:t>
                  </w:r>
                  <w:r>
                    <w:rPr>
                      <w:rFonts w:hint="eastAsia" w:ascii="宋体" w:hAnsi="宋体" w:cs="宋体"/>
                      <w:color w:val="auto"/>
                      <w:kern w:val="0"/>
                      <w:sz w:val="18"/>
                      <w:szCs w:val="18"/>
                      <w:lang w:val="en-US" w:eastAsia="zh-CN"/>
                    </w:rPr>
                    <w:t>kg</w:t>
                  </w:r>
                  <w:r>
                    <w:rPr>
                      <w:rFonts w:hint="eastAsia" w:ascii="宋体" w:hAnsi="宋体" w:cs="宋体"/>
                      <w:color w:val="auto"/>
                      <w:kern w:val="0"/>
                      <w:sz w:val="18"/>
                      <w:szCs w:val="18"/>
                      <w:lang w:val="en-US"/>
                    </w:rPr>
                    <w:t>；最小下降负荷≥30</w:t>
                  </w:r>
                  <w:r>
                    <w:rPr>
                      <w:rFonts w:hint="eastAsia" w:ascii="宋体" w:hAnsi="宋体" w:cs="宋体"/>
                      <w:color w:val="auto"/>
                      <w:kern w:val="0"/>
                      <w:sz w:val="18"/>
                      <w:szCs w:val="18"/>
                      <w:lang w:val="en-US" w:eastAsia="zh-CN"/>
                    </w:rPr>
                    <w:t>kg</w:t>
                  </w:r>
                  <w:r>
                    <w:rPr>
                      <w:rFonts w:hint="eastAsia" w:ascii="宋体" w:hAnsi="宋体" w:cs="宋体"/>
                      <w:color w:val="auto"/>
                      <w:kern w:val="0"/>
                      <w:sz w:val="18"/>
                      <w:szCs w:val="18"/>
                      <w:lang w:val="en-US"/>
                    </w:rPr>
                    <w:t>，适用绳径10.2mm-11.5mm单绳，在人体重力作用下，偏心凸轮自动卡紧绳索，且通过手柄控制下降速度；当手柄按压满档时，便处于制停状态或使用者由于慌乱，把手往下端按压满档即可防慌乱制停 ，</w:t>
                  </w:r>
                  <w:r>
                    <w:rPr>
                      <w:rFonts w:hint="eastAsia" w:ascii="宋体" w:hAnsi="宋体" w:cs="宋体"/>
                      <w:color w:val="auto"/>
                      <w:kern w:val="0"/>
                      <w:sz w:val="18"/>
                      <w:szCs w:val="18"/>
                      <w:lang w:val="en-US" w:eastAsia="zh-CN"/>
                    </w:rPr>
                    <w:t>需</w:t>
                  </w:r>
                  <w:r>
                    <w:rPr>
                      <w:rFonts w:hint="eastAsia" w:ascii="宋体" w:hAnsi="宋体" w:cs="宋体"/>
                      <w:color w:val="auto"/>
                      <w:kern w:val="0"/>
                      <w:sz w:val="18"/>
                      <w:szCs w:val="18"/>
                      <w:lang w:val="en-US"/>
                    </w:rPr>
                    <w:t>提供</w:t>
                  </w:r>
                  <w:r>
                    <w:rPr>
                      <w:rFonts w:hint="eastAsia" w:ascii="宋体" w:hAnsi="宋体" w:cs="宋体"/>
                      <w:color w:val="auto"/>
                      <w:kern w:val="0"/>
                      <w:sz w:val="18"/>
                      <w:szCs w:val="18"/>
                      <w:lang w:val="en-US" w:eastAsia="zh-CN"/>
                    </w:rPr>
                    <w:t>省级（含）以上</w:t>
                  </w:r>
                  <w:r>
                    <w:rPr>
                      <w:rFonts w:hint="eastAsia" w:ascii="宋体" w:hAnsi="宋体" w:cs="宋体"/>
                      <w:color w:val="auto"/>
                      <w:kern w:val="0"/>
                      <w:sz w:val="18"/>
                      <w:szCs w:val="18"/>
                    </w:rPr>
                    <w:t>检验检测机构出具的检验（检测）报告</w:t>
                  </w:r>
                  <w:r>
                    <w:rPr>
                      <w:rFonts w:hint="eastAsia" w:ascii="宋体" w:hAnsi="宋体" w:cs="宋体"/>
                      <w:color w:val="auto"/>
                      <w:kern w:val="0"/>
                      <w:sz w:val="18"/>
                      <w:szCs w:val="18"/>
                      <w:lang w:val="en-US" w:eastAsia="zh-CN"/>
                    </w:rPr>
                    <w:t>复制件</w:t>
                  </w:r>
                  <w:r>
                    <w:rPr>
                      <w:rFonts w:hint="eastAsia" w:ascii="宋体" w:hAnsi="宋体" w:cs="宋体"/>
                      <w:color w:val="auto"/>
                      <w:kern w:val="0"/>
                      <w:sz w:val="18"/>
                      <w:szCs w:val="18"/>
                      <w:lang w:val="en-US"/>
                    </w:rPr>
                    <w:t>和消防产品认证证书</w:t>
                  </w:r>
                  <w:r>
                    <w:rPr>
                      <w:rFonts w:hint="eastAsia" w:ascii="宋体" w:hAnsi="宋体" w:cs="宋体"/>
                      <w:color w:val="auto"/>
                      <w:kern w:val="0"/>
                      <w:sz w:val="18"/>
                      <w:szCs w:val="18"/>
                      <w:lang w:val="en-US" w:eastAsia="zh-CN"/>
                    </w:rPr>
                    <w:t>复制件</w:t>
                  </w:r>
                  <w:r>
                    <w:rPr>
                      <w:rFonts w:hint="eastAsia" w:ascii="宋体" w:hAnsi="宋体" w:cs="宋体"/>
                      <w:color w:val="auto"/>
                      <w:kern w:val="0"/>
                      <w:sz w:val="18"/>
                      <w:szCs w:val="18"/>
                      <w:lang w:val="en-US"/>
                    </w:rPr>
                    <w:t>；</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13、万向单滑轮：高效救援万向滑轮，无需将滑轮从锁扣中取出即可直接打开侧板快速拆装绳索，绳索范围</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val="en-US"/>
                    </w:rPr>
                    <w:t>13mm，滑轮直径≥35mm，最大工作负荷≥4</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 xml:space="preserve"> x 2 = 8 </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，断裂负荷≥26</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，重量≤200g；</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14、连接带（60</w:t>
                  </w:r>
                  <w:r>
                    <w:rPr>
                      <w:rFonts w:hint="eastAsia" w:ascii="宋体" w:hAnsi="宋体" w:cs="宋体"/>
                      <w:color w:val="auto"/>
                      <w:kern w:val="0"/>
                      <w:sz w:val="18"/>
                      <w:szCs w:val="18"/>
                      <w:lang w:val="en-US" w:eastAsia="zh-CN"/>
                    </w:rPr>
                    <w:t>cm及以上</w:t>
                  </w:r>
                  <w:r>
                    <w:rPr>
                      <w:rFonts w:hint="eastAsia" w:ascii="宋体" w:hAnsi="宋体" w:cs="宋体"/>
                      <w:color w:val="auto"/>
                      <w:kern w:val="0"/>
                      <w:sz w:val="18"/>
                      <w:szCs w:val="18"/>
                      <w:lang w:val="en-US"/>
                    </w:rPr>
                    <w:t>扁带2条，120</w:t>
                  </w:r>
                  <w:r>
                    <w:rPr>
                      <w:rFonts w:hint="eastAsia" w:ascii="宋体" w:hAnsi="宋体" w:cs="宋体"/>
                      <w:color w:val="auto"/>
                      <w:kern w:val="0"/>
                      <w:sz w:val="18"/>
                      <w:szCs w:val="18"/>
                      <w:lang w:val="en-US" w:eastAsia="zh-CN"/>
                    </w:rPr>
                    <w:t>cm及以上</w:t>
                  </w:r>
                  <w:r>
                    <w:rPr>
                      <w:rFonts w:hint="eastAsia" w:ascii="宋体" w:hAnsi="宋体" w:cs="宋体"/>
                      <w:color w:val="auto"/>
                      <w:kern w:val="0"/>
                      <w:sz w:val="18"/>
                      <w:szCs w:val="18"/>
                      <w:lang w:val="en-US"/>
                    </w:rPr>
                    <w:t>扁带2条）：尼龙材质，宽度：</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val="en-US"/>
                    </w:rPr>
                    <w:t>16mm ，断裂负荷≥22</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15、70</w:t>
                  </w:r>
                  <w:r>
                    <w:rPr>
                      <w:rFonts w:hint="eastAsia" w:ascii="宋体" w:hAnsi="宋体" w:cs="宋体"/>
                      <w:color w:val="auto"/>
                      <w:kern w:val="0"/>
                      <w:sz w:val="18"/>
                      <w:szCs w:val="18"/>
                      <w:lang w:val="en-US" w:eastAsia="zh-CN"/>
                    </w:rPr>
                    <w:t>cm及以上</w:t>
                  </w:r>
                  <w:r>
                    <w:rPr>
                      <w:rFonts w:hint="eastAsia" w:ascii="宋体" w:hAnsi="宋体" w:cs="宋体"/>
                      <w:color w:val="auto"/>
                      <w:kern w:val="0"/>
                      <w:sz w:val="18"/>
                      <w:szCs w:val="18"/>
                      <w:lang w:val="en-US"/>
                    </w:rPr>
                    <w:t>绳索保护套：PVC夹网材料，双层结构设计，魔术贴封口和固定夹设计，操作方便快捷；</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16、止坠器：铝合金双向移动止坠器，杠杆挤压制动设计，制动时不会对绳索造成损伤，绳索范围10-12mm，重量≤200g；</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17、脚踏带：采用高强迪尼玛纤维编织成，绳索直径≥6mm，长度：90-150</w:t>
                  </w:r>
                  <w:r>
                    <w:rPr>
                      <w:rFonts w:hint="eastAsia" w:ascii="宋体" w:hAnsi="宋体" w:cs="宋体"/>
                      <w:color w:val="auto"/>
                      <w:kern w:val="0"/>
                      <w:sz w:val="18"/>
                      <w:szCs w:val="18"/>
                      <w:lang w:val="en-US" w:eastAsia="zh-CN"/>
                    </w:rPr>
                    <w:t>cm</w:t>
                  </w:r>
                  <w:r>
                    <w:rPr>
                      <w:rFonts w:hint="eastAsia" w:ascii="宋体" w:hAnsi="宋体" w:cs="宋体"/>
                      <w:color w:val="auto"/>
                      <w:kern w:val="0"/>
                      <w:sz w:val="18"/>
                      <w:szCs w:val="18"/>
                      <w:lang w:val="en-US"/>
                    </w:rPr>
                    <w:t>，工作负荷≥200</w:t>
                  </w:r>
                  <w:r>
                    <w:rPr>
                      <w:rFonts w:hint="eastAsia" w:ascii="宋体" w:hAnsi="宋体" w:cs="宋体"/>
                      <w:color w:val="auto"/>
                      <w:kern w:val="0"/>
                      <w:sz w:val="18"/>
                      <w:szCs w:val="18"/>
                      <w:lang w:val="en-US" w:eastAsia="zh-CN"/>
                    </w:rPr>
                    <w:t>kg</w:t>
                  </w:r>
                  <w:r>
                    <w:rPr>
                      <w:rFonts w:hint="eastAsia" w:ascii="宋体" w:hAnsi="宋体" w:cs="宋体"/>
                      <w:color w:val="auto"/>
                      <w:kern w:val="0"/>
                      <w:sz w:val="18"/>
                      <w:szCs w:val="18"/>
                      <w:lang w:val="en-US"/>
                    </w:rPr>
                    <w:t>，重量≤59g</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18、8孔分力板：采用高强度铝合金材质，断裂负荷≥50</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，重量≤239g</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19、挂绳：有一个≥65厘米长的手臂和一个≥35厘米短的手臂直径≥10.5mm ，静力绳断裂强度≥28</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，断裂强度≥22</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，重量≤120g</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color w:val="auto"/>
                    </w:rPr>
                    <w:t>★</w:t>
                  </w:r>
                  <w:r>
                    <w:rPr>
                      <w:rFonts w:hint="eastAsia" w:ascii="宋体" w:hAnsi="宋体" w:cs="宋体"/>
                      <w:color w:val="auto"/>
                      <w:kern w:val="0"/>
                      <w:sz w:val="18"/>
                      <w:szCs w:val="18"/>
                      <w:lang w:val="en-US"/>
                    </w:rPr>
                    <w:t>20、O型钩：三段式铝合金O型锁扣，开口尺寸≥19mm，纵向拉力≥30</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，横向拉力≥8</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，开口拉力≥7</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，重量≤93g</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21、垫布 ：100%纯棉材质，6个</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304不锈钢≥17mm铆钉，可直接挂主锁固定，实现快速多个垫拼接，尺⼨≥144×83cm，重量≤1180g</w:t>
                  </w:r>
                </w:p>
                <w:p>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22、防水背包：PVC网布（≥1000D），包身和包底部一体成形结构提高了强度，侧面和顶部手柄设计，挂点≥5个，容量≥45L，重量≤1550g</w:t>
                  </w:r>
                </w:p>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18"/>
                      <w:szCs w:val="18"/>
                      <w:lang w:val="en-US"/>
                    </w:rPr>
                    <w:t>23、</w:t>
                  </w:r>
                  <w:r>
                    <w:rPr>
                      <w:rFonts w:hint="eastAsia" w:ascii="宋体" w:hAnsi="宋体" w:cs="宋体"/>
                      <w:color w:val="auto"/>
                      <w:kern w:val="0"/>
                      <w:sz w:val="18"/>
                      <w:szCs w:val="18"/>
                      <w:lang w:val="en-US" w:eastAsia="zh-CN"/>
                    </w:rPr>
                    <w:t>全身式安全吊带、静力绳、O 型钩  符合《消防用防坠落装备》，并提供省级（含）以上检验检测机构出具的检验（检测）报告复制件</w:t>
                  </w:r>
                  <w:r>
                    <w:rPr>
                      <w:rFonts w:hint="eastAsia" w:ascii="宋体" w:hAnsi="宋体" w:cs="宋体"/>
                      <w:color w:val="auto"/>
                      <w:kern w:val="0"/>
                      <w:sz w:val="18"/>
                      <w:szCs w:val="18"/>
                      <w:lang w:val="en-US"/>
                    </w:rPr>
                    <w:t>。</w:t>
                  </w:r>
                </w:p>
              </w:tc>
              <w:tc>
                <w:tcPr>
                  <w:tcW w:w="700" w:type="dxa"/>
                  <w:noWrap w:val="0"/>
                  <w:vAlign w:val="center"/>
                </w:tcPr>
                <w:p>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830"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套</w:t>
                  </w:r>
                </w:p>
              </w:tc>
              <w:tc>
                <w:tcPr>
                  <w:tcW w:w="123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bl>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color w:val="auto"/>
              </w:rPr>
            </w:pPr>
          </w:p>
        </w:tc>
      </w:tr>
    </w:tbl>
    <w:p>
      <w:pPr>
        <w:rPr>
          <w:rFonts w:hint="eastAsia"/>
          <w:b/>
          <w:bCs/>
          <w:color w:val="auto"/>
          <w:sz w:val="24"/>
          <w:szCs w:val="32"/>
        </w:rPr>
      </w:pPr>
    </w:p>
    <w:p>
      <w:pPr>
        <w:rPr>
          <w:rFonts w:hint="eastAsia" w:ascii="宋体" w:hAnsi="宋体" w:cs="仿宋_GB2312"/>
          <w:b/>
          <w:bCs/>
          <w:color w:val="auto"/>
          <w:kern w:val="2"/>
          <w:sz w:val="22"/>
          <w:szCs w:val="22"/>
          <w:highlight w:val="none"/>
          <w:lang w:val="en-US" w:eastAsia="zh-CN"/>
        </w:rPr>
      </w:pPr>
      <w:r>
        <w:rPr>
          <w:rFonts w:hint="eastAsia"/>
          <w:b/>
          <w:bCs/>
          <w:color w:val="auto"/>
          <w:sz w:val="28"/>
          <w:szCs w:val="36"/>
          <w:lang w:val="en-US" w:eastAsia="zh-CN"/>
        </w:rPr>
        <w:t>2、</w:t>
      </w:r>
      <w:r>
        <w:rPr>
          <w:rFonts w:hint="eastAsia" w:ascii="宋体" w:hAnsi="宋体" w:cs="仿宋_GB2312"/>
          <w:b/>
          <w:bCs/>
          <w:color w:val="auto"/>
          <w:kern w:val="2"/>
          <w:sz w:val="24"/>
          <w:szCs w:val="24"/>
          <w:highlight w:val="none"/>
          <w:lang w:val="en-US" w:eastAsia="zh-CN"/>
        </w:rPr>
        <w:t>中小型水罐消防车，瓯海区，2辆（预算95万元）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瓯海区</w:t>
            </w:r>
          </w:p>
        </w:tc>
        <w:tc>
          <w:tcPr>
            <w:tcW w:w="1523"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中小型水罐消防车</w:t>
            </w:r>
          </w:p>
        </w:tc>
        <w:tc>
          <w:tcPr>
            <w:tcW w:w="1477"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auto" w:sz="4" w:space="0"/>
            </w:tcBorders>
            <w:vAlign w:val="center"/>
          </w:tcPr>
          <w:p>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eastAsia="zh-CN" w:bidi="ar"/>
              </w:rPr>
              <w:t>（一）</w:t>
            </w:r>
            <w:r>
              <w:rPr>
                <w:rFonts w:hint="eastAsia" w:ascii="宋体" w:hAnsi="宋体"/>
                <w:color w:val="auto"/>
                <w:kern w:val="0"/>
                <w:sz w:val="20"/>
                <w:szCs w:val="20"/>
                <w:lang w:bidi="ar"/>
              </w:rPr>
              <w:t>整车</w:t>
            </w:r>
          </w:p>
          <w:p>
            <w:pPr>
              <w:widowControl/>
              <w:numPr>
                <w:ilvl w:val="0"/>
                <w:numId w:val="0"/>
              </w:numPr>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★1、外廓尺寸： ≤7000×2300×3000mm；</w:t>
            </w:r>
          </w:p>
          <w:p>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val="en-US" w:eastAsia="zh-CN" w:bidi="ar"/>
              </w:rPr>
              <w:t>2、</w:t>
            </w:r>
            <w:r>
              <w:rPr>
                <w:rFonts w:hint="eastAsia" w:ascii="宋体" w:hAnsi="宋体"/>
                <w:color w:val="auto"/>
                <w:kern w:val="0"/>
                <w:sz w:val="20"/>
                <w:szCs w:val="20"/>
                <w:lang w:bidi="ar"/>
              </w:rPr>
              <w:t>最大总质量：≤11000kg</w:t>
            </w:r>
          </w:p>
          <w:p>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 xml:space="preserve">3、座  位：驾乘员总人数≥6人，后排加装≥3具空气呼吸器（6.8L）支架；座椅均配备安全带。 </w:t>
            </w:r>
          </w:p>
          <w:p>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4、罐体容积：≥3.5m³；</w:t>
            </w:r>
          </w:p>
          <w:p>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▲5、水泵流量：≥40L/s ≤ 1.0MPa；</w:t>
            </w:r>
          </w:p>
          <w:p>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★6、水炮流量：≥30L／s</w:t>
            </w:r>
            <w:r>
              <w:rPr>
                <w:rFonts w:hint="eastAsia" w:ascii="宋体" w:hAnsi="宋体"/>
                <w:color w:val="auto"/>
                <w:kern w:val="0"/>
                <w:sz w:val="20"/>
                <w:szCs w:val="20"/>
                <w:lang w:val="en-US" w:eastAsia="zh-CN" w:bidi="ar"/>
              </w:rPr>
              <w:t xml:space="preserve"> </w:t>
            </w:r>
            <w:r>
              <w:rPr>
                <w:rFonts w:hint="eastAsia" w:ascii="宋体" w:hAnsi="宋体"/>
                <w:color w:val="auto"/>
                <w:kern w:val="0"/>
                <w:sz w:val="20"/>
                <w:szCs w:val="20"/>
                <w:lang w:bidi="ar"/>
              </w:rPr>
              <w:t>≤1.0Mpa。</w:t>
            </w:r>
          </w:p>
          <w:p>
            <w:pPr>
              <w:widowControl/>
              <w:numPr>
                <w:ilvl w:val="0"/>
                <w:numId w:val="0"/>
              </w:numPr>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7、水炮射程：≥55m（水）。</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（二）底盘</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1、含控制开关、前指示灯开关、空调、警灯、警报器、标志灯、示廓灯。做特殊防锈处理；</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2、驱动型式：≥4×2；</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2"/>
                <w:szCs w:val="22"/>
                <w:lang w:bidi="ar"/>
              </w:rPr>
              <w:t>★</w:t>
            </w:r>
            <w:r>
              <w:rPr>
                <w:rFonts w:hint="eastAsia" w:ascii="宋体" w:hAnsi="宋体"/>
                <w:color w:val="auto"/>
                <w:kern w:val="0"/>
                <w:sz w:val="20"/>
                <w:szCs w:val="20"/>
                <w:lang w:bidi="ar"/>
              </w:rPr>
              <w:t>3、轴距：≤3900mm；</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4、发动机型式：水冷、增压中冷、电控柴油发动机；</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★5、发动机功率：≥150kW；</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6、发动机排量：≥5100ml；</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▲6、尾气排放标准：国Ⅵ；</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7、空调：冷暖空调；</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8、转向系统：左置，液压助力转向，方向盘高度和角度可调；</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9、最高车速：≥90km/h；</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10、取力器：全功率夹心式取力器，电磁阀控制，飞溅润滑，强制式循环水冷；</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（三）架乘室</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1、结构：整体钢骨架焊接平头驾驶室，四门，双排；</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2、布局：双排四门，乘员室与驾驶室连通；</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3、设备：除原车设备外，驾驶室内加装有取力器控制开关及指示灯100W警报器、警灯、标志灯、示廓灯开关等；</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4、驾驶室内设取力器控制开关、前指示灯开关、空调、警灯、警报器开关、标志灯、示廓灯开关。</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5、消防控制系统</w:t>
            </w:r>
          </w:p>
          <w:p>
            <w:pPr>
              <w:widowControl/>
              <w:spacing w:before="0" w:beforeAutospacing="0" w:after="0" w:afterAutospacing="0"/>
              <w:ind w:left="0" w:right="0" w:firstLine="200" w:firstLineChars="100"/>
              <w:jc w:val="left"/>
              <w:rPr>
                <w:rFonts w:hint="eastAsia" w:ascii="宋体" w:hAnsi="宋体"/>
                <w:color w:val="auto"/>
                <w:kern w:val="0"/>
                <w:sz w:val="20"/>
                <w:szCs w:val="20"/>
                <w:lang w:bidi="ar"/>
              </w:rPr>
            </w:pPr>
            <w:r>
              <w:rPr>
                <w:rFonts w:hint="eastAsia" w:ascii="宋体" w:hAnsi="宋体"/>
                <w:color w:val="auto"/>
                <w:kern w:val="0"/>
                <w:sz w:val="20"/>
                <w:szCs w:val="20"/>
                <w:lang w:bidi="ar"/>
              </w:rPr>
              <w:t>5.1消防控制系统依托CAN总线方式实现数字化显示；</w:t>
            </w:r>
          </w:p>
          <w:p>
            <w:pPr>
              <w:widowControl/>
              <w:spacing w:before="0" w:beforeAutospacing="0" w:after="0" w:afterAutospacing="0"/>
              <w:ind w:left="0" w:right="0" w:firstLine="200" w:firstLineChars="100"/>
              <w:jc w:val="left"/>
              <w:rPr>
                <w:rFonts w:hint="eastAsia" w:ascii="宋体" w:hAnsi="宋体"/>
                <w:color w:val="auto"/>
                <w:kern w:val="0"/>
                <w:sz w:val="20"/>
                <w:szCs w:val="20"/>
                <w:lang w:bidi="ar"/>
              </w:rPr>
            </w:pPr>
            <w:r>
              <w:rPr>
                <w:rFonts w:hint="eastAsia" w:ascii="宋体" w:hAnsi="宋体"/>
                <w:color w:val="auto"/>
                <w:kern w:val="0"/>
                <w:sz w:val="20"/>
                <w:szCs w:val="20"/>
                <w:lang w:bidi="ar"/>
              </w:rPr>
              <w:t>5.2显示屏幕采用彩色液晶显示，支持CAN总线通讯，内存≥200MB，集成实时时钟，带有低液位报警，通讯异常，故障报警等信息，屏幕面板集成≥9个硅胶按钮，配备指示灯、背光灯，采用M12插件出线，正面防护等级≥IP65；可方便人员进行消防控制系统的参数设置、车辆控制、信息查询功能；</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 xml:space="preserve">    5.3显示：上装数据显示采用指针式+数字双重液晶显示，显示直观，精准可靠。</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（四）控制系统</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控制系统设置在泵房位置，泵房要求结构紧凑、排布科学合理，各种仪表、指示灯、操控开关均设置在方便消防员操作的位置，并附有明确的中文标识，所有显示值采用中国的计量标准和国际通用图标。</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（五）罐体</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2"/>
                <w:szCs w:val="22"/>
                <w:lang w:bidi="ar"/>
              </w:rPr>
              <w:t>★</w:t>
            </w:r>
            <w:r>
              <w:rPr>
                <w:rFonts w:hint="eastAsia" w:ascii="宋体" w:hAnsi="宋体"/>
                <w:color w:val="auto"/>
                <w:kern w:val="0"/>
                <w:sz w:val="20"/>
                <w:szCs w:val="20"/>
                <w:lang w:bidi="ar"/>
              </w:rPr>
              <w:t>1、水罐容积：≥3.5m³；</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2、结构：</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（1）异型罐结构，内设防荡隔板和防浪孔；</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（2）设直径≥450mm人孔1个，带有快速锁定/开启装置溢流管1个，通径为DN65；人口孔（450mm带快速锁止机构×1）、液位传感器×1、溢流管、排污阀（50mm×1），带球阀、设DN65溢流口1个，（DN80mm×1）</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（4）注水口位于左右各1个，通径为DN80；</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（5）设1个水罐到水泵进水管，DN125阀门，手动或气动控制，设1个水泵至水罐充水管，DN65阀门，手动或气动控制</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（6）放余水口1个，配球阀，位于罐体底部，通径为DN50；</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3、材质：采用优质不锈钢材料或高强度PP耐腐蚀复合材质焊接而成，侧板厚度≥3mm，底板厚度≥4mm。内壁全部做防腐处理，经久耐用；</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4、设备：</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（1）人孔盖：带快速锁紧及开启装置，开启快捷、安全；</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（2）排污阀：手动控制</w:t>
            </w:r>
            <w:r>
              <w:rPr>
                <w:rFonts w:hint="eastAsia" w:ascii="宋体" w:hAnsi="宋体"/>
                <w:color w:val="auto"/>
                <w:kern w:val="0"/>
                <w:sz w:val="20"/>
                <w:szCs w:val="20"/>
                <w:lang w:eastAsia="zh-CN" w:bidi="ar"/>
              </w:rPr>
              <w:t>。</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（六）器材箱</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1、结构：</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（1）骨架与外蒙皮为焊接结构或高强度PP耐腐蚀复合板焊接而成；</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（2）内蒙皮为轻合金花纹铝板或高强度PP板；</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（3）根据器材固定需要，配置可以上下调整的由铝合金型材搭接起来的器材固定架；</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2、材质：骨架及外蒙皮为优质碳钢材料或为高强度PP板；</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3、卷帘门：</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（1）材质为轻合金卷帘门，质量轻，防腐性能好；</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（2）卷帘门的特殊结构确保了外部雨水很难渗入，密封性能良好；</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（3）每个器材箱内装有照明灯，在控制面板上统一控制；</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4、顶部：采用具有防滑作用的生产工艺，确保人员安全。</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（七）泵室</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1、位置：位于车辆尾部；</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2、结构及材质：与器材箱焊接成一体，结构与材质与器材箱相同；</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3、尾部：配备可供消防人员上下的防滑爬梯和不锈钢扶手，爬梯采用铝合金两节翻转爬梯，使用时离地不超过450mm，上车拉手采用表面带凹槽防滑钢材或铝合金材质，表面喷塑处理；</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4、顶部：采用具有防滑作用的生产工艺，确保人员安全。</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（八）消防泵</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1、形式：消防泵；</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2、安装位置：后置；</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▲3、流量及压力：</w:t>
            </w:r>
            <w:r>
              <w:rPr>
                <w:rFonts w:hint="eastAsia" w:ascii="宋体" w:hAnsi="宋体"/>
                <w:color w:val="auto"/>
                <w:sz w:val="24"/>
              </w:rPr>
              <w:t>≥</w:t>
            </w:r>
            <w:r>
              <w:rPr>
                <w:rFonts w:hint="eastAsia" w:ascii="宋体" w:hAnsi="宋体"/>
                <w:color w:val="auto"/>
                <w:kern w:val="0"/>
                <w:sz w:val="20"/>
                <w:szCs w:val="20"/>
                <w:lang w:bidi="ar"/>
              </w:rPr>
              <w:t>40L/s  1.0MPa；</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4、引水时间：≤40秒（7米吸深时）；</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5、引水装置：自带活塞泵。</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（九）消防炮</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1、安装位置：泵室顶部；</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2、流量及压力：≥30L/S(≤1.0Mpa)；</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3、射程：≥55m（水）；</w:t>
            </w:r>
          </w:p>
          <w:p>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4、回转角度：360°水平回转；</w:t>
            </w:r>
          </w:p>
          <w:p>
            <w:pPr>
              <w:spacing w:before="0" w:beforeAutospacing="0" w:after="0" w:afterAutospacing="0" w:line="25" w:lineRule="atLeast"/>
              <w:ind w:left="0" w:right="0"/>
              <w:rPr>
                <w:rFonts w:hint="eastAsia" w:ascii="宋体" w:hAnsi="宋体"/>
                <w:color w:val="auto"/>
                <w:kern w:val="0"/>
                <w:sz w:val="20"/>
                <w:szCs w:val="20"/>
                <w:lang w:bidi="ar"/>
              </w:rPr>
            </w:pPr>
            <w:r>
              <w:rPr>
                <w:rFonts w:hint="eastAsia" w:ascii="宋体" w:hAnsi="宋体"/>
                <w:color w:val="auto"/>
                <w:kern w:val="0"/>
                <w:sz w:val="20"/>
                <w:szCs w:val="20"/>
                <w:lang w:bidi="ar"/>
              </w:rPr>
              <w:t>5、俯/仰角度</w:t>
            </w:r>
            <w:r>
              <w:rPr>
                <w:rFonts w:hint="eastAsia" w:ascii="宋体" w:hAnsi="宋体"/>
                <w:color w:val="auto"/>
                <w:kern w:val="0"/>
                <w:sz w:val="20"/>
                <w:szCs w:val="20"/>
                <w:lang w:eastAsia="zh-CN" w:bidi="ar"/>
              </w:rPr>
              <w:t>：</w:t>
            </w:r>
            <w:r>
              <w:rPr>
                <w:rFonts w:hint="eastAsia" w:ascii="宋体" w:hAnsi="宋体"/>
                <w:color w:val="auto"/>
                <w:kern w:val="0"/>
                <w:sz w:val="20"/>
                <w:szCs w:val="20"/>
                <w:lang w:bidi="ar"/>
              </w:rPr>
              <w:t xml:space="preserve"> 俯角≤-20°；仰角≥+75°。</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（十）消防管路</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1、管道材质：优质无缝钢管；</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2、吸水管路：泵房后部设1个DN125吸水口，并配有闷盖</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3、注水管路：水罐左右两侧各设1个DN80注水口；</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4、出水管路：泵房左右两侧各设2个DN80出水口，带截止阀；</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5、冷却水管路：采用循环水对取力器进行不间断的强制冷却，确保取力器能够长时间，不间断的开展工作；</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6、放余水管路：位于泵、罐体及管路的最低处，具有专用余水排除装置，以防泵、罐及管路等在低温状态下冻裂。</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（十一）电气系统</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1、附加电气：设独立电路；</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2、驾驶室顶部装有功率为100W的红色长排频闪警灯和警报器，控制面板位于驾驶室内；</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3、车辆两侧装有2个红色的频闪警灯、2个5W的侧照明灯和符合国家标准的侧标志灯；</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4、每个器材箱和泵室均装有5W的照明灯；</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5、尾部装有符合国家标准的视廓灯、组合尾灯和牌照灯；</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操纵系统：各种仪表和开关集中布置在泵室尾部的仪表板上，包括仪表电源、转速表、压力表、真空表、液位指示器电子显示仪表、器材箱照明开关、泵室照明开关、水泵引水开关，并在仪表板上附有消防水路系统工作原理和操作说明；</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7、火场照明：上装后部安装35W消防探照灯1个。</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（十二）器材配备及布置</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1、有补充要求时，按照补充要求执行；</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2、没有补充要求时，按照国家标准或行业标准配备；</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3、合理布置，确保器材箱的空间利用率达到80%以上；</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4、按使用的先后顺序和频率开展器材布置，确保取放快捷；</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5、按重量的大小开展器材布置，确保左右受载均衡；</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6、按功能的分类开展器材布置，确保取放方便；</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7、使用防锈、防振、防脱落、防划伤的专用夹具对器材进行固定；</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8、照消防实战需要，根据消防操作程序，就近取放；</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9、用防锈蚀、防振动、防脱落、防划伤的专用夹具固定；</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10、示醒目，多人操作，互不干涉。</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（十三）整车涂装</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1、消防车的外表主体喷涂R03大红色，局部喷涂其它颜色，符合消防车喷涂标准；</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2、消防泵出水管路喷涂R03大红色；</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3、消防泵进水管路、水罐至消防泵的输水管路及水罐人孔盖喷涂G05深绿色；</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4、后翼子板、后保险杠喷涂合适颜色。</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(十四)总体技术要求</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1、所有操作开关、仪表、器材及车辆均有符合规范的名牌标志；</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2、整车性能符合XF 39－2016《消防车消防性能要求及试验方法》的规定；</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3、水罐质量符合XF 39－2016的规定；</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4、整车外形美观大方，平整度符合XF 39－2016的规定；</w:t>
            </w:r>
          </w:p>
          <w:p>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5、所有铆接间距均匀、适中；</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6、所有焊接牢固、焊后打磨光整。</w:t>
            </w:r>
          </w:p>
          <w:p>
            <w:pPr>
              <w:spacing w:before="0" w:beforeAutospacing="0" w:after="0" w:afterAutospacing="0"/>
              <w:ind w:left="0" w:right="0"/>
              <w:rPr>
                <w:rFonts w:hint="eastAsia" w:ascii="宋体" w:hAnsi="宋体"/>
                <w:color w:val="auto"/>
                <w:kern w:val="0"/>
                <w:sz w:val="20"/>
                <w:szCs w:val="20"/>
                <w:lang w:bidi="ar"/>
              </w:rPr>
            </w:pPr>
            <w:r>
              <w:rPr>
                <w:rFonts w:hint="eastAsia" w:ascii="宋体" w:hAnsi="宋体"/>
                <w:color w:val="auto"/>
                <w:kern w:val="0"/>
                <w:sz w:val="20"/>
                <w:szCs w:val="20"/>
                <w:lang w:bidi="ar"/>
              </w:rPr>
              <w:t>(十五)其他要求</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1、驾驶室配备集 360°全景行车记录仪和（内存不小于32G）、倒车雷达等多功能一体的智能终端，屏幕尺寸不小于 7 英寸；</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2"/>
                <w:szCs w:val="22"/>
                <w:lang w:bidi="ar"/>
              </w:rPr>
              <w:t>★</w:t>
            </w:r>
            <w:r>
              <w:rPr>
                <w:rFonts w:hint="eastAsia" w:ascii="宋体" w:hAnsi="宋体"/>
                <w:color w:val="auto"/>
                <w:kern w:val="0"/>
                <w:sz w:val="20"/>
                <w:szCs w:val="20"/>
                <w:lang w:bidi="ar"/>
              </w:rPr>
              <w:t>2、供应商需具备所投车辆工信部消防车公告及其有效证明文件；同时须提供国家级评定中心颁布的消防产品认证证书复印件，及中国消防产品信息网查询页打印件； 投标的车辆型号必须为工信部发布的《道路机动车辆生产企业及产品》目录中的产品，且由公告中对应的汽车企业生产（改装），应符合现行国家专用汽车的相关要求，并能合法上专用汽车牌照。（文件内需提供投标车辆合格证复印件</w:t>
            </w:r>
            <w:r>
              <w:rPr>
                <w:rFonts w:hint="eastAsia" w:ascii="宋体" w:hAnsi="宋体"/>
                <w:color w:val="auto"/>
                <w:kern w:val="0"/>
                <w:sz w:val="20"/>
                <w:szCs w:val="20"/>
                <w:lang w:eastAsia="zh-CN" w:bidi="ar"/>
              </w:rPr>
              <w:t>，</w:t>
            </w:r>
            <w:r>
              <w:rPr>
                <w:rFonts w:hint="eastAsia" w:ascii="宋体" w:hAnsi="宋体"/>
                <w:color w:val="auto"/>
                <w:kern w:val="0"/>
                <w:sz w:val="20"/>
                <w:szCs w:val="20"/>
                <w:lang w:bidi="ar"/>
              </w:rPr>
              <w:t>国家相关部门出具的车辆检验报告。）</w:t>
            </w:r>
          </w:p>
          <w:p>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3、车身颜色：车辆标识、字样按照业主需求定制。</w:t>
            </w:r>
          </w:p>
          <w:p>
            <w:pPr>
              <w:widowControl/>
              <w:spacing w:before="0" w:beforeAutospacing="0" w:after="0" w:afterAutospacing="0"/>
              <w:ind w:left="0" w:right="0"/>
              <w:jc w:val="left"/>
              <w:textAlignment w:val="center"/>
              <w:rPr>
                <w:rFonts w:hint="eastAsia" w:ascii="宋体" w:hAnsi="宋体" w:eastAsia="宋体" w:cs="宋体"/>
                <w:color w:val="auto"/>
                <w:kern w:val="0"/>
                <w:sz w:val="20"/>
                <w:szCs w:val="20"/>
                <w:lang w:val="en-US" w:eastAsia="zh-CN" w:bidi="ar"/>
              </w:rPr>
            </w:pPr>
            <w:r>
              <w:rPr>
                <w:rFonts w:hint="eastAsia" w:ascii="宋体" w:hAnsi="宋体"/>
                <w:color w:val="auto"/>
                <w:kern w:val="0"/>
                <w:sz w:val="22"/>
                <w:szCs w:val="22"/>
                <w:lang w:bidi="ar"/>
              </w:rPr>
              <w:t>★</w:t>
            </w:r>
            <w:r>
              <w:rPr>
                <w:rFonts w:hint="eastAsia" w:ascii="宋体" w:hAnsi="宋体"/>
                <w:color w:val="auto"/>
                <w:kern w:val="0"/>
                <w:sz w:val="20"/>
                <w:szCs w:val="20"/>
                <w:lang w:bidi="ar"/>
              </w:rPr>
              <w:t>4、投标人为代理商（销售商）必须出具生产厂家针对本次招标项目的授权书及售后服务承诺</w:t>
            </w:r>
            <w:r>
              <w:rPr>
                <w:rFonts w:hint="eastAsia" w:ascii="宋体" w:hAnsi="宋体"/>
                <w:color w:val="auto"/>
                <w:kern w:val="0"/>
                <w:sz w:val="20"/>
                <w:szCs w:val="20"/>
                <w:lang w:eastAsia="zh-CN" w:bidi="ar"/>
              </w:rPr>
              <w:t>复制件</w:t>
            </w:r>
            <w:r>
              <w:rPr>
                <w:rFonts w:hint="eastAsia" w:ascii="宋体" w:hAnsi="宋体"/>
                <w:color w:val="auto"/>
                <w:kern w:val="0"/>
                <w:sz w:val="20"/>
                <w:szCs w:val="20"/>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left w:val="single" w:color="auto" w:sz="4" w:space="0"/>
              <w:right w:val="single" w:color="auto" w:sz="4" w:space="0"/>
            </w:tcBorders>
            <w:vAlign w:val="center"/>
          </w:tcPr>
          <w:p>
            <w:pPr>
              <w:spacing w:before="0" w:beforeAutospacing="0" w:after="0" w:afterAutospacing="0"/>
              <w:ind w:left="0" w:right="0"/>
              <w:rPr>
                <w:rFonts w:hint="eastAsia" w:ascii="宋体" w:hAnsi="宋体" w:cs="宋体"/>
                <w:color w:val="auto"/>
                <w:kern w:val="0"/>
                <w:sz w:val="20"/>
                <w:szCs w:val="20"/>
              </w:rPr>
            </w:pPr>
            <w:r>
              <w:rPr>
                <w:rFonts w:hint="eastAsia" w:ascii="宋体" w:hAnsi="宋体" w:cs="宋体"/>
                <w:color w:val="auto"/>
                <w:kern w:val="0"/>
                <w:sz w:val="20"/>
                <w:szCs w:val="20"/>
                <w:lang w:bidi="ar"/>
              </w:rPr>
              <w:t>(十五)</w:t>
            </w:r>
            <w:r>
              <w:rPr>
                <w:rFonts w:hint="eastAsia" w:ascii="宋体" w:hAnsi="宋体" w:cs="宋体"/>
                <w:color w:val="auto"/>
                <w:kern w:val="0"/>
                <w:sz w:val="20"/>
                <w:szCs w:val="20"/>
              </w:rPr>
              <w:t>器材配备（最低配置）</w:t>
            </w:r>
          </w:p>
          <w:tbl>
            <w:tblPr>
              <w:tblStyle w:val="4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19"/>
              <w:gridCol w:w="4287"/>
              <w:gridCol w:w="657"/>
              <w:gridCol w:w="534"/>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物品名称</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规格</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数量</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单位</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吸水管</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100×</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米</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4</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根</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螺纹式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滤水器</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FLF100</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螺纹式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3</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分水器</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FII80/65×3-1.6</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内扣式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集水器</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JII100/65×2-1.0</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内扣式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5</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13-80-20</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534" w:type="dxa"/>
                  <w:tcBorders>
                    <w:top w:val="nil"/>
                  </w:tcBorders>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盘</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低压；内扣式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6</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13-65-20</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盘</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低压；内扣式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7</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异径接口</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KJ65/80</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tcBorders>
                    <w:top w:val="nil"/>
                  </w:tcBorders>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内扣式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8</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水带包布</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DT-SB</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9</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水带挂钩</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10</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地上消火栓扳手</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QT-DS1；长400</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11</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地下消火栓扳手</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长860</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12</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吸水管扳手</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FS100</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13</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直流开关水枪</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QZG3.5/7.5；65</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支</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低压；内扣式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14</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直流开花水枪</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QZK3.5/7.5；65</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支</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低压；内扣式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15</w:t>
                  </w:r>
                </w:p>
              </w:tc>
              <w:tc>
                <w:tcPr>
                  <w:tcW w:w="1719" w:type="dxa"/>
                  <w:noWrap w:val="0"/>
                  <w:vAlign w:val="top"/>
                </w:tcPr>
                <w:p>
                  <w:pPr>
                    <w:widowControl/>
                    <w:spacing w:before="0" w:beforeAutospacing="0" w:after="0" w:afterAutospacing="0"/>
                    <w:ind w:left="0" w:right="0"/>
                    <w:jc w:val="center"/>
                    <w:textAlignment w:val="center"/>
                    <w:rPr>
                      <w:rFonts w:hint="default" w:ascii="宋体" w:hAnsi="宋体" w:cs="宋体"/>
                      <w:color w:val="auto"/>
                      <w:kern w:val="0"/>
                      <w:sz w:val="20"/>
                      <w:szCs w:val="20"/>
                    </w:rPr>
                  </w:pPr>
                  <w:r>
                    <w:rPr>
                      <w:rFonts w:hint="eastAsia" w:ascii="宋体" w:hAnsi="宋体" w:cs="宋体"/>
                      <w:color w:val="auto"/>
                      <w:kern w:val="0"/>
                      <w:sz w:val="20"/>
                      <w:szCs w:val="20"/>
                    </w:rPr>
                    <w:t>消防桶</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个</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16</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灭火器</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3kg</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具</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17</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消防腰斧</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长390 ；GF-285</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18</w:t>
                  </w:r>
                </w:p>
              </w:tc>
              <w:tc>
                <w:tcPr>
                  <w:tcW w:w="1719"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橡皮锤</w:t>
                  </w:r>
                </w:p>
              </w:tc>
              <w:tc>
                <w:tcPr>
                  <w:tcW w:w="428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19</w:t>
                  </w:r>
                </w:p>
              </w:tc>
              <w:tc>
                <w:tcPr>
                  <w:tcW w:w="1719"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可充电式手提照明灯</w:t>
                  </w:r>
                </w:p>
              </w:tc>
              <w:tc>
                <w:tcPr>
                  <w:tcW w:w="4287" w:type="dxa"/>
                  <w:noWrap w:val="0"/>
                  <w:vAlign w:val="top"/>
                </w:tcPr>
                <w:p>
                  <w:pPr>
                    <w:widowControl/>
                    <w:spacing w:before="0" w:beforeAutospacing="0" w:after="0" w:afterAutospacing="0"/>
                    <w:ind w:left="0" w:right="0"/>
                    <w:jc w:val="both"/>
                    <w:textAlignment w:val="center"/>
                    <w:rPr>
                      <w:rFonts w:hint="default" w:ascii="宋体" w:hAnsi="宋体" w:cs="宋体"/>
                      <w:color w:val="auto"/>
                      <w:kern w:val="0"/>
                      <w:sz w:val="20"/>
                      <w:szCs w:val="20"/>
                    </w:rPr>
                  </w:pPr>
                  <w:r>
                    <w:rPr>
                      <w:rFonts w:hint="default" w:ascii="宋体" w:hAnsi="宋体" w:cs="宋体"/>
                      <w:color w:val="auto"/>
                      <w:kern w:val="0"/>
                      <w:sz w:val="20"/>
                      <w:szCs w:val="20"/>
                    </w:rPr>
                    <w:t>1、符合GB 30734―2014《消防员照明灯具》国家标准的技术要求。</w:t>
                  </w:r>
                </w:p>
                <w:p>
                  <w:pPr>
                    <w:widowControl/>
                    <w:spacing w:before="0" w:beforeAutospacing="0" w:after="0" w:afterAutospacing="0"/>
                    <w:ind w:left="0" w:right="0"/>
                    <w:jc w:val="both"/>
                    <w:textAlignment w:val="center"/>
                    <w:rPr>
                      <w:rFonts w:hint="default" w:ascii="宋体" w:hAnsi="宋体" w:cs="宋体"/>
                      <w:color w:val="auto"/>
                      <w:kern w:val="0"/>
                      <w:sz w:val="20"/>
                      <w:szCs w:val="20"/>
                    </w:rPr>
                  </w:pPr>
                  <w:r>
                    <w:rPr>
                      <w:rFonts w:hint="default" w:ascii="宋体" w:hAnsi="宋体" w:cs="宋体"/>
                      <w:color w:val="auto"/>
                      <w:kern w:val="0"/>
                      <w:sz w:val="20"/>
                      <w:szCs w:val="20"/>
                    </w:rPr>
                    <w:t>2.防爆等级</w:t>
                  </w:r>
                  <w:r>
                    <w:rPr>
                      <w:rFonts w:hint="eastAsia" w:ascii="宋体" w:hAnsi="宋体" w:cs="宋体"/>
                      <w:color w:val="auto"/>
                      <w:kern w:val="0"/>
                      <w:sz w:val="20"/>
                      <w:szCs w:val="20"/>
                      <w:lang w:eastAsia="zh-CN"/>
                    </w:rPr>
                    <w:t>：</w:t>
                  </w:r>
                  <w:r>
                    <w:rPr>
                      <w:rFonts w:hint="default" w:ascii="宋体" w:hAnsi="宋体" w:cs="宋体"/>
                      <w:color w:val="auto"/>
                      <w:kern w:val="0"/>
                      <w:sz w:val="20"/>
                      <w:szCs w:val="20"/>
                    </w:rPr>
                    <w:t>ExibIICT4Gb</w:t>
                  </w:r>
                  <w:r>
                    <w:rPr>
                      <w:rFonts w:hint="eastAsia" w:ascii="宋体" w:hAnsi="宋体" w:cs="宋体"/>
                      <w:color w:val="auto"/>
                      <w:kern w:val="0"/>
                      <w:sz w:val="20"/>
                      <w:szCs w:val="20"/>
                    </w:rPr>
                    <w:t>；</w:t>
                  </w:r>
                  <w:r>
                    <w:rPr>
                      <w:rFonts w:hint="default" w:ascii="宋体" w:hAnsi="宋体" w:cs="宋体"/>
                      <w:color w:val="auto"/>
                      <w:kern w:val="0"/>
                      <w:sz w:val="20"/>
                      <w:szCs w:val="20"/>
                    </w:rPr>
                    <w:t>防护等</w:t>
                  </w:r>
                  <w:r>
                    <w:rPr>
                      <w:rFonts w:hint="eastAsia" w:ascii="宋体" w:hAnsi="宋体" w:cs="宋体"/>
                      <w:color w:val="auto"/>
                      <w:kern w:val="0"/>
                      <w:sz w:val="20"/>
                      <w:szCs w:val="20"/>
                    </w:rPr>
                    <w:t>级IP66/</w:t>
                  </w:r>
                  <w:r>
                    <w:rPr>
                      <w:rFonts w:hint="default" w:ascii="宋体" w:hAnsi="宋体" w:cs="宋体"/>
                      <w:color w:val="auto"/>
                      <w:kern w:val="0"/>
                      <w:sz w:val="20"/>
                      <w:szCs w:val="20"/>
                    </w:rPr>
                    <w:t>IP68</w:t>
                  </w:r>
                </w:p>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3</w:t>
                  </w:r>
                  <w:r>
                    <w:rPr>
                      <w:rFonts w:hint="default" w:ascii="宋体" w:hAnsi="宋体" w:cs="宋体"/>
                      <w:color w:val="auto"/>
                      <w:kern w:val="0"/>
                      <w:sz w:val="20"/>
                      <w:szCs w:val="20"/>
                    </w:rPr>
                    <w:t>.低压状态下连续工作时间</w:t>
                  </w:r>
                  <w:r>
                    <w:rPr>
                      <w:rFonts w:hint="eastAsia" w:ascii="宋体" w:hAnsi="宋体" w:cs="宋体"/>
                      <w:color w:val="auto"/>
                      <w:kern w:val="0"/>
                      <w:sz w:val="20"/>
                      <w:szCs w:val="20"/>
                      <w:lang w:eastAsia="zh-CN"/>
                    </w:rPr>
                    <w:t>：</w:t>
                  </w:r>
                  <w:r>
                    <w:rPr>
                      <w:rFonts w:hint="default" w:ascii="宋体" w:hAnsi="宋体" w:cs="宋体"/>
                      <w:color w:val="auto"/>
                      <w:kern w:val="0"/>
                      <w:sz w:val="20"/>
                      <w:szCs w:val="20"/>
                    </w:rPr>
                    <w:t>强光&gt;15min</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弱</w:t>
                  </w:r>
                  <w:r>
                    <w:rPr>
                      <w:rFonts w:hint="default" w:ascii="宋体" w:hAnsi="宋体" w:cs="宋体"/>
                      <w:color w:val="auto"/>
                      <w:kern w:val="0"/>
                      <w:sz w:val="20"/>
                      <w:szCs w:val="20"/>
                    </w:rPr>
                    <w:t>光&gt;30m</w:t>
                  </w:r>
                  <w:r>
                    <w:rPr>
                      <w:rFonts w:hint="eastAsia" w:ascii="宋体" w:hAnsi="宋体" w:cs="宋体"/>
                      <w:color w:val="auto"/>
                      <w:kern w:val="0"/>
                      <w:sz w:val="20"/>
                      <w:szCs w:val="20"/>
                    </w:rPr>
                    <w:t>in</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防爆防水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default" w:ascii="宋体" w:hAnsi="宋体" w:cs="宋体"/>
                      <w:color w:val="auto"/>
                      <w:kern w:val="0"/>
                      <w:sz w:val="20"/>
                      <w:szCs w:val="20"/>
                    </w:rPr>
                  </w:pPr>
                  <w:r>
                    <w:rPr>
                      <w:rFonts w:hint="eastAsia" w:ascii="宋体" w:hAnsi="宋体" w:cs="宋体"/>
                      <w:color w:val="auto"/>
                      <w:kern w:val="0"/>
                      <w:sz w:val="20"/>
                      <w:szCs w:val="20"/>
                    </w:rPr>
                    <w:t>20</w:t>
                  </w:r>
                </w:p>
              </w:tc>
              <w:tc>
                <w:tcPr>
                  <w:tcW w:w="1719"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防爆工作灯</w:t>
                  </w:r>
                </w:p>
              </w:tc>
              <w:tc>
                <w:tcPr>
                  <w:tcW w:w="4287" w:type="dxa"/>
                  <w:noWrap w:val="0"/>
                  <w:vAlign w:val="top"/>
                </w:tcPr>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1.产品符合GB26755-2011（消防移动照明装置）</w:t>
                  </w:r>
                </w:p>
                <w:p>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2.功率：</w:t>
                  </w:r>
                  <w:r>
                    <w:rPr>
                      <w:rFonts w:hint="eastAsia" w:ascii="宋体" w:hAnsi="宋体" w:cs="宋体"/>
                      <w:color w:val="auto"/>
                      <w:kern w:val="0"/>
                      <w:sz w:val="20"/>
                      <w:szCs w:val="20"/>
                      <w:lang w:bidi="ar"/>
                    </w:rPr>
                    <w:t>≥</w:t>
                  </w:r>
                  <w:r>
                    <w:rPr>
                      <w:rFonts w:hint="eastAsia" w:ascii="宋体" w:hAnsi="宋体" w:cs="宋体"/>
                      <w:color w:val="auto"/>
                      <w:kern w:val="0"/>
                      <w:sz w:val="20"/>
                      <w:szCs w:val="20"/>
                    </w:rPr>
                    <w:t>30W电池组</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能量</w:t>
                  </w:r>
                  <w:r>
                    <w:rPr>
                      <w:rFonts w:hint="eastAsia" w:ascii="宋体" w:hAnsi="宋体" w:cs="宋体"/>
                      <w:color w:val="auto"/>
                      <w:kern w:val="0"/>
                      <w:sz w:val="20"/>
                      <w:szCs w:val="20"/>
                      <w:lang w:bidi="ar"/>
                    </w:rPr>
                    <w:t>≥</w:t>
                  </w:r>
                  <w:r>
                    <w:rPr>
                      <w:rFonts w:hint="eastAsia" w:ascii="宋体" w:hAnsi="宋体" w:cs="宋体"/>
                      <w:color w:val="auto"/>
                      <w:kern w:val="0"/>
                      <w:sz w:val="20"/>
                      <w:szCs w:val="20"/>
                    </w:rPr>
                    <w:t>180Wh；平均使用寿命</w:t>
                  </w:r>
                  <w:r>
                    <w:rPr>
                      <w:rFonts w:hint="eastAsia" w:ascii="宋体" w:hAnsi="宋体" w:cs="宋体"/>
                      <w:color w:val="auto"/>
                      <w:kern w:val="0"/>
                      <w:sz w:val="20"/>
                      <w:szCs w:val="20"/>
                      <w:lang w:bidi="ar"/>
                    </w:rPr>
                    <w:t>≥</w:t>
                  </w:r>
                  <w:r>
                    <w:rPr>
                      <w:rFonts w:hint="eastAsia" w:ascii="宋体" w:hAnsi="宋体" w:cs="宋体"/>
                      <w:color w:val="auto"/>
                      <w:kern w:val="0"/>
                      <w:sz w:val="20"/>
                      <w:szCs w:val="20"/>
                    </w:rPr>
                    <w:t>100000h防护等级IP66；充电时间</w:t>
                  </w:r>
                  <w:r>
                    <w:rPr>
                      <w:rFonts w:hint="eastAsia" w:ascii="宋体" w:hAnsi="宋体" w:cs="宋体"/>
                      <w:color w:val="auto"/>
                      <w:kern w:val="0"/>
                      <w:sz w:val="20"/>
                      <w:szCs w:val="20"/>
                      <w:lang w:bidi="ar"/>
                    </w:rPr>
                    <w:t>≤</w:t>
                  </w:r>
                  <w:r>
                    <w:rPr>
                      <w:rFonts w:hint="eastAsia" w:ascii="宋体" w:hAnsi="宋体" w:cs="宋体"/>
                      <w:color w:val="auto"/>
                      <w:kern w:val="0"/>
                      <w:sz w:val="20"/>
                      <w:szCs w:val="20"/>
                    </w:rPr>
                    <w:t>8h</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widowControl/>
                    <w:spacing w:before="0" w:beforeAutospacing="0" w:after="0" w:afterAutospacing="0"/>
                    <w:ind w:left="0" w:right="0"/>
                    <w:jc w:val="center"/>
                    <w:textAlignment w:val="center"/>
                    <w:rPr>
                      <w:rFonts w:hint="default" w:ascii="宋体" w:hAnsi="宋体" w:cs="宋体"/>
                      <w:color w:val="auto"/>
                      <w:kern w:val="0"/>
                      <w:sz w:val="20"/>
                      <w:szCs w:val="20"/>
                    </w:rPr>
                  </w:pPr>
                  <w:r>
                    <w:rPr>
                      <w:rFonts w:hint="eastAsia" w:ascii="宋体" w:hAnsi="宋体" w:cs="宋体"/>
                      <w:color w:val="auto"/>
                      <w:kern w:val="0"/>
                      <w:sz w:val="20"/>
                      <w:szCs w:val="20"/>
                    </w:rPr>
                    <w:t>21</w:t>
                  </w:r>
                </w:p>
              </w:tc>
              <w:tc>
                <w:tcPr>
                  <w:tcW w:w="1719" w:type="dxa"/>
                  <w:noWrap w:val="0"/>
                  <w:vAlign w:val="center"/>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防蜂服（带风扇）</w:t>
                  </w:r>
                </w:p>
              </w:tc>
              <w:tc>
                <w:tcPr>
                  <w:tcW w:w="4287" w:type="dxa"/>
                  <w:noWrap w:val="0"/>
                  <w:vAlign w:val="top"/>
                </w:tcPr>
                <w:p>
                  <w:pPr>
                    <w:widowControl/>
                    <w:spacing w:before="0" w:beforeAutospacing="0" w:after="0" w:afterAutospacing="0"/>
                    <w:ind w:left="0" w:right="0"/>
                    <w:jc w:val="left"/>
                    <w:rPr>
                      <w:rFonts w:hint="eastAsia"/>
                      <w:color w:val="auto"/>
                      <w:lang w:val="zh-CN"/>
                    </w:rPr>
                  </w:pPr>
                  <w:r>
                    <w:rPr>
                      <w:rFonts w:hint="eastAsia"/>
                      <w:color w:val="auto"/>
                      <w:lang w:val="zh-CN"/>
                    </w:rPr>
                    <w:t>整</w:t>
                  </w:r>
                  <w:r>
                    <w:rPr>
                      <w:rFonts w:hint="eastAsia" w:ascii="宋体" w:hAnsi="宋体"/>
                      <w:color w:val="auto"/>
                      <w:kern w:val="0"/>
                      <w:sz w:val="20"/>
                      <w:szCs w:val="20"/>
                    </w:rPr>
                    <w:t>体要求</w:t>
                  </w:r>
                </w:p>
                <w:p>
                  <w:pPr>
                    <w:widowControl/>
                    <w:spacing w:before="0" w:beforeAutospacing="0" w:after="0" w:afterAutospacing="0"/>
                    <w:ind w:left="0" w:right="0"/>
                    <w:jc w:val="left"/>
                    <w:rPr>
                      <w:rFonts w:hint="eastAsia" w:ascii="宋体" w:hAnsi="宋体"/>
                      <w:color w:val="auto"/>
                      <w:kern w:val="0"/>
                      <w:sz w:val="20"/>
                      <w:szCs w:val="20"/>
                    </w:rPr>
                  </w:pPr>
                  <w:r>
                    <w:rPr>
                      <w:rFonts w:hint="eastAsia" w:ascii="宋体" w:hAnsi="宋体"/>
                      <w:color w:val="auto"/>
                      <w:kern w:val="0"/>
                      <w:sz w:val="20"/>
                      <w:szCs w:val="20"/>
                    </w:rPr>
                    <w:t>1.1符合《消防员防蜂服试验大纲》标准要求，需提供应急管理部授权单位出具的检验报告复印件。</w:t>
                  </w:r>
                </w:p>
                <w:p>
                  <w:pPr>
                    <w:widowControl/>
                    <w:spacing w:before="0" w:beforeAutospacing="0" w:after="0" w:afterAutospacing="0"/>
                    <w:ind w:left="0" w:right="0"/>
                    <w:jc w:val="left"/>
                    <w:rPr>
                      <w:rFonts w:hint="eastAsia" w:ascii="宋体" w:hAnsi="宋体"/>
                      <w:color w:val="auto"/>
                      <w:kern w:val="0"/>
                      <w:sz w:val="20"/>
                      <w:szCs w:val="20"/>
                    </w:rPr>
                  </w:pPr>
                  <w:r>
                    <w:rPr>
                      <w:rFonts w:hint="eastAsia" w:ascii="宋体" w:hAnsi="宋体"/>
                      <w:color w:val="auto"/>
                      <w:kern w:val="0"/>
                      <w:sz w:val="20"/>
                      <w:szCs w:val="20"/>
                    </w:rPr>
                    <w:t>1.2本产品是施救人员在有蜂群的场合进行救援、除险时为保护自身安全而穿着的防护服装。</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0"/>
                      <w:szCs w:val="20"/>
                    </w:rPr>
                    <w:t>2.</w:t>
                  </w:r>
                  <w:r>
                    <w:rPr>
                      <w:rFonts w:hint="default" w:ascii="宋体" w:hAnsi="宋体"/>
                      <w:color w:val="auto"/>
                      <w:kern w:val="0"/>
                      <w:sz w:val="20"/>
                      <w:szCs w:val="20"/>
                    </w:rPr>
                    <w:t>技术</w:t>
                  </w:r>
                  <w:r>
                    <w:rPr>
                      <w:rFonts w:hint="eastAsia" w:ascii="宋体" w:hAnsi="宋体"/>
                      <w:color w:val="auto"/>
                      <w:kern w:val="0"/>
                      <w:sz w:val="20"/>
                      <w:szCs w:val="20"/>
                    </w:rPr>
                    <w:t xml:space="preserve">要求 </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0"/>
                      <w:szCs w:val="20"/>
                    </w:rPr>
                    <w:t>2.1 面料阻燃性能：经向续然时间0S</w:t>
                  </w:r>
                  <w:r>
                    <w:rPr>
                      <w:rFonts w:hint="eastAsia" w:ascii="宋体" w:hAnsi="宋体"/>
                      <w:color w:val="auto"/>
                      <w:kern w:val="0"/>
                      <w:sz w:val="20"/>
                      <w:szCs w:val="20"/>
                      <w:lang w:eastAsia="zh-CN"/>
                    </w:rPr>
                    <w:t>，</w:t>
                  </w:r>
                  <w:r>
                    <w:rPr>
                      <w:rFonts w:hint="eastAsia" w:ascii="宋体" w:hAnsi="宋体"/>
                      <w:color w:val="auto"/>
                      <w:kern w:val="0"/>
                      <w:sz w:val="20"/>
                      <w:szCs w:val="20"/>
                    </w:rPr>
                    <w:t>损毁长度≤100mm</w:t>
                  </w:r>
                  <w:r>
                    <w:rPr>
                      <w:rFonts w:hint="eastAsia" w:ascii="宋体" w:hAnsi="宋体"/>
                      <w:color w:val="auto"/>
                      <w:kern w:val="0"/>
                      <w:sz w:val="20"/>
                      <w:szCs w:val="20"/>
                      <w:lang w:eastAsia="zh-CN"/>
                    </w:rPr>
                    <w:t>，</w:t>
                  </w:r>
                  <w:r>
                    <w:rPr>
                      <w:rFonts w:hint="eastAsia" w:ascii="宋体" w:hAnsi="宋体"/>
                      <w:color w:val="auto"/>
                      <w:kern w:val="0"/>
                      <w:sz w:val="20"/>
                      <w:szCs w:val="20"/>
                    </w:rPr>
                    <w:t>纬向续然时间0S</w:t>
                  </w:r>
                  <w:r>
                    <w:rPr>
                      <w:rFonts w:hint="eastAsia" w:ascii="宋体" w:hAnsi="宋体"/>
                      <w:color w:val="auto"/>
                      <w:kern w:val="0"/>
                      <w:sz w:val="20"/>
                      <w:szCs w:val="20"/>
                      <w:lang w:eastAsia="zh-CN"/>
                    </w:rPr>
                    <w:t>，</w:t>
                  </w:r>
                  <w:r>
                    <w:rPr>
                      <w:rFonts w:hint="eastAsia" w:ascii="宋体" w:hAnsi="宋体"/>
                      <w:color w:val="auto"/>
                      <w:kern w:val="0"/>
                      <w:sz w:val="20"/>
                      <w:szCs w:val="20"/>
                    </w:rPr>
                    <w:t>损毁长度≤100mm。</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0"/>
                      <w:szCs w:val="20"/>
                    </w:rPr>
                    <w:t>2.2抗蛰刺性能：抗蛰刺力≥0.4N。</w:t>
                  </w:r>
                </w:p>
                <w:p>
                  <w:pPr>
                    <w:spacing w:before="0" w:beforeAutospacing="0" w:after="0" w:afterAutospacing="0"/>
                    <w:ind w:left="0" w:right="0"/>
                    <w:rPr>
                      <w:rFonts w:hint="eastAsia" w:ascii="宋体" w:hAnsi="宋体"/>
                      <w:color w:val="auto"/>
                    </w:rPr>
                  </w:pPr>
                  <w:r>
                    <w:rPr>
                      <w:rFonts w:hint="eastAsia" w:ascii="宋体" w:hAnsi="宋体"/>
                      <w:color w:val="auto"/>
                      <w:kern w:val="0"/>
                      <w:sz w:val="22"/>
                      <w:szCs w:val="22"/>
                      <w:lang w:bidi="ar"/>
                    </w:rPr>
                    <w:t>★</w:t>
                  </w:r>
                  <w:r>
                    <w:rPr>
                      <w:rFonts w:hint="eastAsia" w:ascii="宋体" w:hAnsi="宋体"/>
                      <w:color w:val="auto"/>
                      <w:kern w:val="0"/>
                      <w:sz w:val="20"/>
                      <w:szCs w:val="20"/>
                    </w:rPr>
                    <w:t>2.3外层面料撕破强力</w:t>
                  </w:r>
                  <w:r>
                    <w:rPr>
                      <w:rFonts w:hint="eastAsia" w:ascii="宋体" w:hAnsi="宋体"/>
                      <w:color w:val="auto"/>
                      <w:kern w:val="0"/>
                      <w:sz w:val="20"/>
                      <w:szCs w:val="20"/>
                      <w:lang w:eastAsia="zh-CN"/>
                    </w:rPr>
                    <w:t>：</w:t>
                  </w:r>
                  <w:r>
                    <w:rPr>
                      <w:rFonts w:hint="eastAsia" w:ascii="宋体" w:hAnsi="宋体"/>
                      <w:color w:val="auto"/>
                      <w:kern w:val="0"/>
                      <w:sz w:val="20"/>
                      <w:szCs w:val="20"/>
                    </w:rPr>
                    <w:t>经向≥160N，纬向≥75N。</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2"/>
                      <w:szCs w:val="22"/>
                      <w:lang w:bidi="ar"/>
                    </w:rPr>
                    <w:t>★</w:t>
                  </w:r>
                  <w:r>
                    <w:rPr>
                      <w:rFonts w:hint="eastAsia" w:ascii="宋体" w:hAnsi="宋体"/>
                      <w:color w:val="auto"/>
                      <w:kern w:val="0"/>
                      <w:sz w:val="20"/>
                      <w:szCs w:val="20"/>
                    </w:rPr>
                    <w:t>2.4外层面料断裂强力经向≥1</w:t>
                  </w:r>
                  <w:r>
                    <w:rPr>
                      <w:rFonts w:hint="eastAsia" w:ascii="宋体" w:hAnsi="宋体"/>
                      <w:color w:val="auto"/>
                      <w:kern w:val="0"/>
                      <w:sz w:val="20"/>
                      <w:szCs w:val="20"/>
                      <w:lang w:val="en-US" w:eastAsia="zh-CN"/>
                    </w:rPr>
                    <w:t>20</w:t>
                  </w:r>
                  <w:r>
                    <w:rPr>
                      <w:rFonts w:hint="eastAsia" w:ascii="宋体" w:hAnsi="宋体"/>
                      <w:color w:val="auto"/>
                      <w:kern w:val="0"/>
                      <w:sz w:val="20"/>
                      <w:szCs w:val="20"/>
                    </w:rPr>
                    <w:t>0N，纬向≥770N。</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0"/>
                      <w:szCs w:val="20"/>
                    </w:rPr>
                    <w:t>2.5表面抗湿性能、沾水等级≥4级，拒油性能≥4级。</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2"/>
                      <w:szCs w:val="22"/>
                      <w:lang w:bidi="ar"/>
                    </w:rPr>
                    <w:t>★</w:t>
                  </w:r>
                  <w:r>
                    <w:rPr>
                      <w:rFonts w:hint="eastAsia" w:ascii="宋体" w:hAnsi="宋体"/>
                      <w:color w:val="auto"/>
                      <w:kern w:val="0"/>
                      <w:sz w:val="20"/>
                      <w:szCs w:val="20"/>
                    </w:rPr>
                    <w:t>2.6接缝断裂强力：≥650N。</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0"/>
                      <w:szCs w:val="20"/>
                    </w:rPr>
                    <w:t>2.7甲醛含量：符合GB18401-2010  B类标准。</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0"/>
                      <w:szCs w:val="20"/>
                    </w:rPr>
                    <w:t>2.8手套耐切割性能：割破力掌心、掌背＞2.0。</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0"/>
                      <w:szCs w:val="20"/>
                    </w:rPr>
                    <w:t>手套撕破强力：经向≥1</w:t>
                  </w:r>
                  <w:r>
                    <w:rPr>
                      <w:rFonts w:hint="eastAsia" w:ascii="宋体" w:hAnsi="宋体"/>
                      <w:color w:val="auto"/>
                      <w:kern w:val="0"/>
                      <w:sz w:val="20"/>
                      <w:szCs w:val="20"/>
                      <w:lang w:val="en-US" w:eastAsia="zh-CN"/>
                    </w:rPr>
                    <w:t>00</w:t>
                  </w:r>
                  <w:r>
                    <w:rPr>
                      <w:rFonts w:hint="eastAsia" w:ascii="宋体" w:hAnsi="宋体"/>
                      <w:color w:val="auto"/>
                      <w:kern w:val="0"/>
                      <w:sz w:val="20"/>
                      <w:szCs w:val="20"/>
                    </w:rPr>
                    <w:t>N，纬向≥1</w:t>
                  </w:r>
                  <w:r>
                    <w:rPr>
                      <w:rFonts w:hint="eastAsia" w:ascii="宋体" w:hAnsi="宋体"/>
                      <w:color w:val="auto"/>
                      <w:kern w:val="0"/>
                      <w:sz w:val="20"/>
                      <w:szCs w:val="20"/>
                      <w:lang w:val="en-US" w:eastAsia="zh-CN"/>
                    </w:rPr>
                    <w:t>2</w:t>
                  </w:r>
                  <w:r>
                    <w:rPr>
                      <w:rFonts w:hint="eastAsia" w:ascii="宋体" w:hAnsi="宋体"/>
                      <w:color w:val="auto"/>
                      <w:kern w:val="0"/>
                      <w:sz w:val="20"/>
                      <w:szCs w:val="20"/>
                    </w:rPr>
                    <w:t xml:space="preserve">0N，抗蛰刺性能：抗蛰刺力≥0.7N。 </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0"/>
                      <w:szCs w:val="20"/>
                    </w:rPr>
                    <w:t>2.9靴子：靴帮抗穿刺性能最大抗穿刺力≥</w:t>
                  </w:r>
                  <w:r>
                    <w:rPr>
                      <w:rFonts w:hint="eastAsia" w:ascii="宋体" w:hAnsi="宋体"/>
                      <w:color w:val="auto"/>
                      <w:kern w:val="0"/>
                      <w:sz w:val="20"/>
                      <w:szCs w:val="20"/>
                      <w:lang w:val="en-US" w:eastAsia="zh-CN"/>
                    </w:rPr>
                    <w:t>60</w:t>
                  </w:r>
                  <w:r>
                    <w:rPr>
                      <w:rFonts w:hint="eastAsia" w:ascii="宋体" w:hAnsi="宋体"/>
                      <w:color w:val="auto"/>
                      <w:kern w:val="0"/>
                      <w:sz w:val="20"/>
                      <w:szCs w:val="20"/>
                    </w:rPr>
                    <w:t xml:space="preserve">N，电绝缘性能 ：泄漏电流≤1.5mA 。       </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0"/>
                      <w:szCs w:val="20"/>
                    </w:rPr>
                    <w:t>3.整套防蜂服重量≤4.2kg。</w:t>
                  </w:r>
                </w:p>
                <w:p>
                  <w:pPr>
                    <w:spacing w:before="0" w:beforeAutospacing="0" w:after="0" w:afterAutospacing="0"/>
                    <w:ind w:left="0" w:right="0"/>
                    <w:rPr>
                      <w:rFonts w:hint="eastAsia" w:ascii="宋体" w:hAnsi="宋体"/>
                      <w:color w:val="auto"/>
                      <w:kern w:val="0"/>
                      <w:sz w:val="20"/>
                      <w:szCs w:val="20"/>
                    </w:rPr>
                  </w:pPr>
                  <w:r>
                    <w:rPr>
                      <w:rFonts w:hint="eastAsia" w:ascii="宋体" w:hAnsi="宋体"/>
                      <w:color w:val="auto"/>
                      <w:kern w:val="0"/>
                      <w:sz w:val="20"/>
                      <w:szCs w:val="20"/>
                    </w:rPr>
                    <w:t>4.其他</w:t>
                  </w:r>
                </w:p>
                <w:p>
                  <w:pPr>
                    <w:widowControl/>
                    <w:spacing w:before="0" w:beforeAutospacing="0" w:after="0" w:afterAutospacing="0"/>
                    <w:ind w:left="0" w:right="0"/>
                    <w:jc w:val="left"/>
                    <w:textAlignment w:val="center"/>
                    <w:rPr>
                      <w:rFonts w:hint="eastAsia" w:ascii="宋体" w:hAnsi="宋体"/>
                      <w:color w:val="auto"/>
                      <w:kern w:val="0"/>
                      <w:sz w:val="20"/>
                      <w:szCs w:val="20"/>
                    </w:rPr>
                  </w:pPr>
                  <w:r>
                    <w:rPr>
                      <w:rFonts w:hint="eastAsia" w:ascii="宋体" w:hAnsi="宋体"/>
                      <w:color w:val="auto"/>
                      <w:kern w:val="0"/>
                      <w:sz w:val="20"/>
                      <w:szCs w:val="20"/>
                    </w:rPr>
                    <w:t>4.1整套服装需配备一个拉杆箱，集背、提、拉功能为一体设计。</w:t>
                  </w:r>
                </w:p>
              </w:tc>
              <w:tc>
                <w:tcPr>
                  <w:tcW w:w="65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534"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507" w:type="dxa"/>
                  <w:noWrap w:val="0"/>
                  <w:vAlign w:val="top"/>
                </w:tcPr>
                <w:p>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bl>
          <w:p>
            <w:pPr>
              <w:spacing w:before="0" w:beforeAutospacing="0" w:after="0" w:afterAutospacing="0"/>
              <w:ind w:left="0" w:right="0"/>
              <w:rPr>
                <w:rFonts w:hint="eastAsia" w:ascii="宋体" w:hAnsi="宋体" w:eastAsia="宋体" w:cs="宋体"/>
                <w:color w:val="auto"/>
                <w:kern w:val="0"/>
                <w:sz w:val="20"/>
                <w:szCs w:val="20"/>
                <w:lang w:val="en-US" w:eastAsia="zh-CN" w:bidi="ar-SA"/>
              </w:rPr>
            </w:pPr>
          </w:p>
        </w:tc>
      </w:tr>
    </w:tbl>
    <w:p>
      <w:pPr>
        <w:rPr>
          <w:rFonts w:hint="eastAsia"/>
          <w:b/>
          <w:bCs/>
          <w:color w:val="auto"/>
          <w:sz w:val="24"/>
          <w:szCs w:val="32"/>
          <w:lang w:val="en-US" w:eastAsia="zh-CN"/>
        </w:rPr>
      </w:pPr>
    </w:p>
    <w:p>
      <w:pPr>
        <w:rPr>
          <w:rFonts w:hint="eastAsia"/>
          <w:b/>
          <w:bCs/>
          <w:color w:val="auto"/>
          <w:sz w:val="24"/>
          <w:szCs w:val="32"/>
          <w:lang w:val="en-US" w:eastAsia="zh-CN"/>
        </w:rPr>
      </w:pPr>
    </w:p>
    <w:p>
      <w:pPr>
        <w:rPr>
          <w:rFonts w:hint="eastAsia" w:ascii="宋体" w:hAnsi="宋体" w:cs="仿宋_GB2312"/>
          <w:b/>
          <w:bCs/>
          <w:color w:val="auto"/>
          <w:kern w:val="2"/>
          <w:sz w:val="22"/>
          <w:szCs w:val="22"/>
          <w:highlight w:val="none"/>
          <w:lang w:val="en-US" w:eastAsia="zh-CN"/>
        </w:rPr>
      </w:pPr>
      <w:r>
        <w:rPr>
          <w:rFonts w:hint="eastAsia"/>
          <w:b/>
          <w:bCs/>
          <w:color w:val="auto"/>
          <w:sz w:val="24"/>
          <w:szCs w:val="32"/>
          <w:lang w:val="en-US" w:eastAsia="zh-CN"/>
        </w:rPr>
        <w:t>3、</w:t>
      </w:r>
      <w:r>
        <w:rPr>
          <w:rFonts w:hint="eastAsia" w:ascii="宋体" w:hAnsi="宋体" w:cs="仿宋_GB2312"/>
          <w:b/>
          <w:bCs/>
          <w:color w:val="auto"/>
          <w:kern w:val="2"/>
          <w:sz w:val="22"/>
          <w:szCs w:val="22"/>
          <w:highlight w:val="none"/>
          <w:lang w:val="en-US" w:eastAsia="zh-CN"/>
        </w:rPr>
        <w:t>中小型水罐消防车，龙港市，2辆（预算64万元）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龙港市</w:t>
            </w:r>
          </w:p>
        </w:tc>
        <w:tc>
          <w:tcPr>
            <w:tcW w:w="1523"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中小型水罐消防车</w:t>
            </w:r>
          </w:p>
        </w:tc>
        <w:tc>
          <w:tcPr>
            <w:tcW w:w="1477"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▲1.外形尺寸（mm）：长≥6950</w:t>
            </w:r>
            <w:r>
              <w:rPr>
                <w:rFonts w:hint="eastAsia"/>
                <w:color w:val="auto"/>
                <w:lang w:val="en-US" w:eastAsia="zh-CN"/>
              </w:rPr>
              <w:t>，</w:t>
            </w:r>
            <w:r>
              <w:rPr>
                <w:rFonts w:hint="eastAsia"/>
                <w:color w:val="auto"/>
              </w:rPr>
              <w:t>宽≥2200</w:t>
            </w:r>
            <w:r>
              <w:rPr>
                <w:rFonts w:hint="eastAsia"/>
                <w:color w:val="auto"/>
                <w:lang w:eastAsia="zh-CN"/>
              </w:rPr>
              <w:t>，</w:t>
            </w:r>
            <w:r>
              <w:rPr>
                <w:rFonts w:hint="eastAsia"/>
                <w:color w:val="auto"/>
              </w:rPr>
              <w:t>高≥2800；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ascii="宋体" w:hAnsi="宋体"/>
                <w:color w:val="auto"/>
                <w:kern w:val="0"/>
                <w:sz w:val="22"/>
                <w:szCs w:val="22"/>
                <w:lang w:bidi="ar"/>
              </w:rPr>
              <w:t>★</w:t>
            </w:r>
            <w:r>
              <w:rPr>
                <w:rFonts w:hint="eastAsia"/>
                <w:color w:val="auto"/>
              </w:rPr>
              <w:t>2.总质量（kg）：≥11300；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ascii="宋体" w:hAnsi="宋体"/>
                <w:color w:val="auto"/>
                <w:kern w:val="0"/>
                <w:sz w:val="22"/>
                <w:szCs w:val="22"/>
                <w:lang w:bidi="ar"/>
              </w:rPr>
              <w:t>★</w:t>
            </w:r>
            <w:r>
              <w:rPr>
                <w:rFonts w:hint="eastAsia"/>
                <w:color w:val="auto"/>
              </w:rPr>
              <w:t>3.额定质量：（kg）≥4800；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ascii="宋体" w:hAnsi="宋体"/>
                <w:color w:val="auto"/>
                <w:kern w:val="0"/>
                <w:sz w:val="22"/>
                <w:szCs w:val="22"/>
                <w:lang w:bidi="ar"/>
              </w:rPr>
              <w:t>★</w:t>
            </w:r>
            <w:r>
              <w:rPr>
                <w:rFonts w:hint="eastAsia"/>
                <w:color w:val="auto"/>
              </w:rPr>
              <w:t>4.整备质量（kg）：≤6100；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5.轴距（mm）</w:t>
            </w:r>
            <w:r>
              <w:rPr>
                <w:rFonts w:hint="eastAsia"/>
                <w:color w:val="auto"/>
                <w:lang w:eastAsia="zh-CN"/>
              </w:rPr>
              <w:t>：</w:t>
            </w:r>
            <w:r>
              <w:rPr>
                <w:rFonts w:hint="eastAsia"/>
                <w:color w:val="auto"/>
              </w:rPr>
              <w:t>≥3800</w:t>
            </w:r>
            <w:r>
              <w:rPr>
                <w:rFonts w:hint="eastAsia"/>
                <w:color w:val="auto"/>
                <w:lang w:eastAsia="zh-CN"/>
              </w:rPr>
              <w:t>；</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6.燃油：柴油；</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7.发动机功率（kw）：≥120；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▲8.排放标准：国Ⅵ；</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9.乘坐人数：≥6；</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10.时速（km/h）：≥90；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11.接近角/离去角(°)：≥21/11</w:t>
            </w:r>
            <w:r>
              <w:rPr>
                <w:rFonts w:hint="eastAsia"/>
                <w:color w:val="auto"/>
                <w:lang w:eastAsia="zh-CN"/>
              </w:rPr>
              <w:t>；</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12.轴荷（kg）：≥3500/7800；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13.前悬/后悬（mm）</w:t>
            </w:r>
            <w:r>
              <w:rPr>
                <w:rFonts w:hint="eastAsia"/>
                <w:color w:val="auto"/>
                <w:lang w:eastAsia="zh-CN"/>
              </w:rPr>
              <w:t>：</w:t>
            </w:r>
            <w:r>
              <w:rPr>
                <w:rFonts w:hint="eastAsia"/>
                <w:color w:val="auto"/>
              </w:rPr>
              <w:t>≥1130/2030；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二、容罐</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1.容量：水：≥</w:t>
            </w:r>
            <w:r>
              <w:rPr>
                <w:rFonts w:hint="default" w:ascii="宋体" w:hAnsi="宋体" w:eastAsia="宋体" w:cs="宋体"/>
                <w:i w:val="0"/>
                <w:iCs w:val="0"/>
                <w:color w:val="auto"/>
                <w:kern w:val="2"/>
                <w:sz w:val="20"/>
                <w:szCs w:val="20"/>
                <w:u w:val="none"/>
                <w:lang w:val="en-US" w:eastAsia="zh-CN" w:bidi="ar-SA"/>
              </w:rPr>
              <w:t>5m³</w:t>
            </w:r>
            <w:r>
              <w:rPr>
                <w:rFonts w:hint="eastAsia"/>
                <w:color w:val="auto"/>
              </w:rPr>
              <w:t xml:space="preserve">；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2.材质：水罐：优质碳钢；</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3.结构： 框架焊接，内设防荡板</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4.设备：不低于1个人口孔，带有快速锁紧及开启装置。不低于1个液位指示器。不低于1个排污口，带不锈钢球阀。不低于2个注水口（左右各一）。</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三、消防泵及管路系统</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1.流量：≥30L/s ；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2.压力：≥1.0 ；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3.安装型式：后置式；</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4.吸水管路：水泵设有不低于Φ100mm进水口，可从天然水源吸水或从液罐吸水。</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出水管路：两侧各不低于1个出水口；</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5.通过罐到罐顶部有不低于1个直径≥89mm的水炮管路；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6.放余水管路：为保护水泵及各球阀，在管路中加装了放余水管路，并分别配有球阀。</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7.冷却水管路：为使取力器在工作中应付各种复杂情况，管路中配有一套冷却水管路进出水管路中配有铜制球阀。</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四、消防炮</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1.流量：≥30（L/s）；</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2.射程：水≥45m ；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3.压力：≥1.0MPa；</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五、取力器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1.型式：全功率夹心取力器；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2.冷却方式：强制式水冷；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3.润滑方式：飞溅式油润滑；</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器材配备表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文件</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color w:val="auto"/>
              </w:rPr>
            </w:pPr>
            <w:r>
              <w:rPr>
                <w:rFonts w:hint="eastAsia"/>
                <w:color w:val="auto"/>
              </w:rPr>
              <w:t xml:space="preserve">1.消防车使用说明书 1 本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2.消防车器材配置表 1 单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3.汽车底盘使用说明书 1 本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4.汽车底盘合格证 1 单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5.消防泵使用说明书 1 本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6</w:t>
            </w:r>
            <w:r>
              <w:rPr>
                <w:rFonts w:hint="eastAsia"/>
                <w:color w:val="auto"/>
                <w:lang w:val="en-US" w:eastAsia="zh-CN"/>
              </w:rPr>
              <w:t>.</w:t>
            </w:r>
            <w:r>
              <w:rPr>
                <w:rFonts w:hint="eastAsia"/>
                <w:color w:val="auto"/>
              </w:rPr>
              <w:t>随车附件（工具） 1 套 原底盘随车附件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工具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1</w:t>
            </w:r>
            <w:r>
              <w:rPr>
                <w:rFonts w:hint="eastAsia"/>
                <w:color w:val="auto"/>
              </w:rPr>
              <w:t>.灭火器材 1 消防吸水管 2 根  4000mm×2</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2.滤水器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3.分水器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4.集水器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5.16-65×20m水带 4 盘    常压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6.16-80×20m水带 2 盘  </w:t>
            </w:r>
            <w:r>
              <w:rPr>
                <w:rFonts w:hint="eastAsia"/>
                <w:color w:val="auto"/>
                <w:lang w:val="en-US" w:eastAsia="zh-CN"/>
              </w:rPr>
              <w:t xml:space="preserve"> </w:t>
            </w:r>
            <w:r>
              <w:rPr>
                <w:rFonts w:hint="eastAsia"/>
                <w:color w:val="auto"/>
              </w:rPr>
              <w:t xml:space="preserve"> 常压</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7.异径接口 2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8.异型接口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9.消防大斧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10.水带包布 4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11.护带桥 1 副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12.水带挂钩 4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13.地上消火栓扳手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14.地下消火栓扳手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15.吸水管扳手 2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16.消防水枪 2 支  直流开关开花各一支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17.消防桶 1 个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破拆救生工具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1.</w:t>
            </w:r>
            <w:r>
              <w:rPr>
                <w:rFonts w:hint="eastAsia"/>
                <w:color w:val="auto"/>
              </w:rPr>
              <w:t xml:space="preserve">灭火器 1 具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2.铁锹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3.消防腰斧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4.丁字镐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5.铁铤 1 件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六、电器系统</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1.车顶前面采用长排警灯（位于驾驶室前顶端）；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2.车顶后配有不低于50W照明灯≥1只；</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3.车辆两侧上方配有爆闪灯；下方安装侧标志灯；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4.警报器功率为不低于100W；警报器、警灯、爆闪灯电路为独立式附加电路，控制器件安装在驾驶室内。</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七、随车文件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1.底盘使用说明书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2.底盘质量保修卡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3.底盘维修手册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4.底盘合格证</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5.消防车使用说明书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6.消防车消防器材清单                    </w:t>
            </w:r>
          </w:p>
          <w:p>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cs="Times New Roman"/>
                <w:color w:val="auto"/>
                <w:sz w:val="20"/>
                <w:szCs w:val="20"/>
                <w:lang w:val="en-US" w:eastAsia="zh-CN"/>
              </w:rPr>
            </w:pPr>
            <w:r>
              <w:rPr>
                <w:rFonts w:hint="eastAsia"/>
                <w:color w:val="auto"/>
              </w:rPr>
              <w:t>7.消防车合格证</w:t>
            </w:r>
          </w:p>
        </w:tc>
      </w:tr>
    </w:tbl>
    <w:p>
      <w:pPr>
        <w:rPr>
          <w:rFonts w:hint="eastAsia"/>
          <w:b/>
          <w:bCs/>
          <w:color w:val="auto"/>
          <w:sz w:val="24"/>
          <w:szCs w:val="32"/>
          <w:lang w:val="en-US" w:eastAsia="zh-CN"/>
        </w:rPr>
      </w:pPr>
    </w:p>
    <w:p>
      <w:pPr>
        <w:rPr>
          <w:rFonts w:hint="eastAsia" w:ascii="宋体" w:hAnsi="宋体" w:cs="仿宋_GB2312"/>
          <w:b/>
          <w:bCs/>
          <w:color w:val="auto"/>
          <w:kern w:val="2"/>
          <w:sz w:val="24"/>
          <w:szCs w:val="24"/>
          <w:highlight w:val="none"/>
          <w:lang w:val="en-US" w:eastAsia="zh-CN"/>
        </w:rPr>
      </w:pPr>
      <w:r>
        <w:rPr>
          <w:rFonts w:hint="eastAsia" w:ascii="宋体" w:hAnsi="宋体" w:cs="仿宋_GB2312"/>
          <w:b/>
          <w:bCs/>
          <w:color w:val="auto"/>
          <w:kern w:val="2"/>
          <w:sz w:val="24"/>
          <w:szCs w:val="24"/>
          <w:highlight w:val="none"/>
          <w:lang w:val="en-US" w:eastAsia="zh-CN"/>
        </w:rPr>
        <w:t>4</w:t>
      </w:r>
      <w:r>
        <w:rPr>
          <w:rFonts w:hint="eastAsia" w:ascii="宋体" w:hAnsi="宋体" w:eastAsia="宋体" w:cs="仿宋_GB2312"/>
          <w:b/>
          <w:bCs/>
          <w:color w:val="auto"/>
          <w:kern w:val="2"/>
          <w:sz w:val="24"/>
          <w:szCs w:val="24"/>
          <w:highlight w:val="none"/>
          <w:lang w:val="en-US" w:eastAsia="zh-CN"/>
        </w:rPr>
        <w:t>、消防水罐车，瓯海</w:t>
      </w:r>
      <w:r>
        <w:rPr>
          <w:rFonts w:hint="eastAsia" w:ascii="宋体" w:hAnsi="宋体" w:cs="仿宋_GB2312"/>
          <w:b/>
          <w:bCs/>
          <w:color w:val="auto"/>
          <w:kern w:val="2"/>
          <w:sz w:val="24"/>
          <w:szCs w:val="24"/>
          <w:highlight w:val="none"/>
          <w:lang w:val="en-US" w:eastAsia="zh-CN"/>
        </w:rPr>
        <w:t>区，1辆（预算20万元）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瓯海区</w:t>
            </w:r>
          </w:p>
        </w:tc>
        <w:tc>
          <w:tcPr>
            <w:tcW w:w="1523"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水罐消防车</w:t>
            </w:r>
          </w:p>
        </w:tc>
        <w:tc>
          <w:tcPr>
            <w:tcW w:w="1477"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一、外形尺寸：</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★1、长×宽× 高（mm）≥7040*2200*2800</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★2、总质量（kg）：≥1</w:t>
            </w:r>
            <w:r>
              <w:rPr>
                <w:rFonts w:hint="eastAsia" w:ascii="宋体" w:hAnsi="宋体" w:cs="宋体"/>
                <w:color w:val="auto"/>
                <w:kern w:val="0"/>
                <w:sz w:val="21"/>
                <w:szCs w:val="21"/>
                <w:lang w:val="en-US" w:eastAsia="zh-CN" w:bidi="ar"/>
              </w:rPr>
              <w:t>195</w:t>
            </w:r>
            <w:r>
              <w:rPr>
                <w:rFonts w:hint="eastAsia" w:ascii="宋体" w:hAnsi="宋体" w:eastAsia="宋体" w:cs="宋体"/>
                <w:color w:val="auto"/>
                <w:kern w:val="0"/>
                <w:sz w:val="21"/>
                <w:szCs w:val="21"/>
                <w:lang w:val="en-US" w:eastAsia="zh-CN" w:bidi="ar"/>
              </w:rPr>
              <w:t>0；</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★3、额载质量(kg)：≥</w:t>
            </w:r>
            <w:r>
              <w:rPr>
                <w:rFonts w:hint="eastAsia" w:ascii="宋体" w:hAnsi="宋体" w:cs="宋体"/>
                <w:color w:val="auto"/>
                <w:kern w:val="0"/>
                <w:sz w:val="21"/>
                <w:szCs w:val="21"/>
                <w:lang w:val="en-US" w:eastAsia="zh-CN" w:bidi="ar"/>
              </w:rPr>
              <w:t>69</w:t>
            </w:r>
            <w:r>
              <w:rPr>
                <w:rFonts w:hint="eastAsia" w:ascii="宋体" w:hAnsi="宋体" w:eastAsia="宋体" w:cs="宋体"/>
                <w:color w:val="auto"/>
                <w:kern w:val="0"/>
                <w:sz w:val="21"/>
                <w:szCs w:val="21"/>
                <w:lang w:val="en-US" w:eastAsia="zh-CN" w:bidi="ar"/>
              </w:rPr>
              <w:t>00</w:t>
            </w:r>
            <w:r>
              <w:rPr>
                <w:rFonts w:hint="eastAsia" w:ascii="宋体" w:hAnsi="宋体" w:cs="宋体"/>
                <w:color w:val="auto"/>
                <w:kern w:val="0"/>
                <w:sz w:val="21"/>
                <w:szCs w:val="21"/>
                <w:lang w:val="en-US" w:eastAsia="zh-CN" w:bidi="ar"/>
              </w:rPr>
              <w:t>；</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★4、整备质量(Kg)：≥</w:t>
            </w:r>
            <w:r>
              <w:rPr>
                <w:rFonts w:hint="eastAsia" w:ascii="宋体" w:hAnsi="宋体" w:cs="宋体"/>
                <w:color w:val="auto"/>
                <w:kern w:val="0"/>
                <w:sz w:val="21"/>
                <w:szCs w:val="21"/>
                <w:lang w:val="en-US" w:eastAsia="zh-CN" w:bidi="ar"/>
              </w:rPr>
              <w:t>500</w:t>
            </w:r>
            <w:r>
              <w:rPr>
                <w:rFonts w:hint="eastAsia" w:ascii="宋体" w:hAnsi="宋体" w:eastAsia="宋体" w:cs="宋体"/>
                <w:color w:val="auto"/>
                <w:kern w:val="0"/>
                <w:sz w:val="21"/>
                <w:szCs w:val="21"/>
                <w:lang w:val="en-US" w:eastAsia="zh-CN" w:bidi="ar"/>
              </w:rPr>
              <w:t>0；</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★5、轴距mm：≥3</w:t>
            </w:r>
            <w:r>
              <w:rPr>
                <w:rFonts w:hint="eastAsia" w:ascii="宋体" w:hAnsi="宋体" w:cs="宋体"/>
                <w:color w:val="auto"/>
                <w:kern w:val="0"/>
                <w:sz w:val="21"/>
                <w:szCs w:val="21"/>
                <w:lang w:val="en-US" w:eastAsia="zh-CN" w:bidi="ar"/>
              </w:rPr>
              <w:t>80</w:t>
            </w:r>
            <w:r>
              <w:rPr>
                <w:rFonts w:hint="eastAsia" w:ascii="宋体" w:hAnsi="宋体" w:eastAsia="宋体" w:cs="宋体"/>
                <w:color w:val="auto"/>
                <w:kern w:val="0"/>
                <w:sz w:val="21"/>
                <w:szCs w:val="21"/>
                <w:lang w:val="en-US" w:eastAsia="zh-CN" w:bidi="ar"/>
              </w:rPr>
              <w:t>0；</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6、燃料种类：柴油；</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7、轮胎数：≥6个；  </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8、驾驶室准乘人数：≥2人；                                                                             </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10、发动机功率Kw：≥120；</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11、最高车速Km/h：≥100；</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、前悬/后悬(mm) ：≥1260/2450；</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color w:val="auto"/>
              </w:rPr>
              <w:t>▲</w:t>
            </w: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、排放标准：国Ⅵ；</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储水</w:t>
            </w:r>
            <w:r>
              <w:rPr>
                <w:rFonts w:hint="eastAsia" w:ascii="宋体" w:hAnsi="宋体" w:eastAsia="宋体" w:cs="宋体"/>
                <w:color w:val="auto"/>
                <w:kern w:val="0"/>
                <w:sz w:val="21"/>
                <w:szCs w:val="21"/>
                <w:lang w:val="en-US" w:eastAsia="zh-CN" w:bidi="ar"/>
              </w:rPr>
              <w:t>容量≥</w:t>
            </w:r>
            <w:r>
              <w:rPr>
                <w:rFonts w:hint="eastAsia" w:ascii="宋体" w:hAnsi="宋体" w:cs="宋体"/>
                <w:color w:val="auto"/>
                <w:kern w:val="0"/>
                <w:sz w:val="21"/>
                <w:szCs w:val="21"/>
                <w:lang w:val="en-US" w:eastAsia="zh-CN" w:bidi="ar"/>
              </w:rPr>
              <w:t>6.9</w:t>
            </w:r>
            <w:r>
              <w:rPr>
                <w:rFonts w:hint="eastAsia" w:ascii="宋体" w:hAnsi="宋体" w:eastAsia="宋体" w:cs="宋体"/>
                <w:color w:val="auto"/>
                <w:kern w:val="0"/>
                <w:sz w:val="21"/>
                <w:szCs w:val="21"/>
                <w:lang w:val="en-US" w:eastAsia="zh-CN" w:bidi="ar"/>
              </w:rPr>
              <w:t>m³；</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一、其他配置：法士特小八档变速箱（4 缸机）或者</w:t>
            </w:r>
            <w:r>
              <w:rPr>
                <w:rFonts w:hint="eastAsia" w:ascii="宋体" w:hAnsi="宋体" w:cs="宋体"/>
                <w:color w:val="auto"/>
                <w:kern w:val="0"/>
                <w:sz w:val="21"/>
                <w:szCs w:val="21"/>
                <w:lang w:val="en-US" w:eastAsia="zh-CN" w:bidi="ar"/>
              </w:rPr>
              <w:t>同等及以上</w:t>
            </w:r>
            <w:r>
              <w:rPr>
                <w:rFonts w:hint="eastAsia" w:ascii="宋体" w:hAnsi="宋体" w:eastAsia="宋体" w:cs="宋体"/>
                <w:color w:val="auto"/>
                <w:kern w:val="0"/>
                <w:sz w:val="21"/>
                <w:szCs w:val="21"/>
                <w:lang w:val="en-US" w:eastAsia="zh-CN" w:bidi="ar"/>
              </w:rPr>
              <w:t>，应配置行车记录仪，电动门窗，原装空调，中控（无远程遥控钥匙），ABS</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 方向助力，断气刹。</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二、上装配置：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罐体实际容积：≥</w:t>
            </w:r>
            <w:r>
              <w:rPr>
                <w:rFonts w:hint="eastAsia" w:ascii="宋体" w:hAnsi="宋体" w:cs="宋体"/>
                <w:color w:val="auto"/>
                <w:kern w:val="0"/>
                <w:sz w:val="21"/>
                <w:szCs w:val="21"/>
                <w:lang w:val="en-US" w:eastAsia="zh-CN" w:bidi="ar"/>
              </w:rPr>
              <w:t>9</w:t>
            </w:r>
            <w:r>
              <w:rPr>
                <w:rFonts w:hint="eastAsia" w:ascii="宋体" w:hAnsi="宋体" w:eastAsia="宋体" w:cs="宋体"/>
                <w:color w:val="auto"/>
                <w:kern w:val="0"/>
                <w:sz w:val="21"/>
                <w:szCs w:val="21"/>
                <w:lang w:val="en-US" w:eastAsia="zh-CN" w:bidi="ar"/>
              </w:rPr>
              <w:t>m³；</w:t>
            </w:r>
          </w:p>
          <w:p>
            <w:pPr>
              <w:keepNext w:val="0"/>
              <w:keepLines w:val="0"/>
              <w:widowControl/>
              <w:suppressLineNumbers w:val="0"/>
              <w:spacing w:before="0" w:beforeAutospacing="0" w:after="0" w:afterAutospacing="0"/>
              <w:ind w:left="0" w:right="0"/>
              <w:jc w:val="both"/>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r>
              <w:rPr>
                <w:rFonts w:hint="eastAsia" w:ascii="宋体" w:hAnsi="宋体" w:cs="宋体"/>
                <w:color w:val="auto"/>
                <w:kern w:val="0"/>
                <w:sz w:val="21"/>
                <w:szCs w:val="21"/>
                <w:lang w:val="en-US" w:eastAsia="zh-CN" w:bidi="ar"/>
              </w:rPr>
              <w:t>、后平台洒水高炮：扬尘30-35M，高炮可360度调节；</w:t>
            </w:r>
          </w:p>
          <w:p>
            <w:pPr>
              <w:keepNext w:val="0"/>
              <w:keepLines w:val="0"/>
              <w:widowControl/>
              <w:suppressLineNumbers w:val="0"/>
              <w:spacing w:before="0" w:beforeAutospacing="0" w:after="0" w:afterAutospacing="0"/>
              <w:ind w:left="0" w:right="0"/>
              <w:jc w:val="both"/>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3、专用洒水泵：大功率水泵，垂直吸程6M；</w:t>
            </w:r>
          </w:p>
          <w:p>
            <w:pPr>
              <w:pStyle w:val="60"/>
              <w:spacing w:before="0" w:beforeAutospacing="0" w:after="0" w:afterAutospacing="0"/>
              <w:ind w:left="0" w:right="0"/>
              <w:rPr>
                <w:rFonts w:hint="default" w:eastAsia="宋体"/>
                <w:lang w:val="en-US" w:eastAsia="zh-CN"/>
              </w:rPr>
            </w:pPr>
            <w:r>
              <w:rPr>
                <w:rFonts w:hint="eastAsia"/>
                <w:lang w:val="en-US" w:eastAsia="zh-CN"/>
              </w:rPr>
              <w:t>4、轮胎型号：8.25R20同等及以上；</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材质:罐体采用碳钢，隔板厚度≥3mm</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罐体碳钢厚度≥4mm，封头厚度≥5mm.大口径直通球阀。</w:t>
            </w:r>
          </w:p>
        </w:tc>
      </w:tr>
    </w:tbl>
    <w:p>
      <w:pPr>
        <w:rPr>
          <w:rFonts w:hint="eastAsia"/>
          <w:b/>
          <w:bCs/>
          <w:color w:val="auto"/>
          <w:sz w:val="24"/>
          <w:szCs w:val="32"/>
          <w:lang w:val="en-US" w:eastAsia="zh-CN"/>
        </w:rPr>
      </w:pPr>
    </w:p>
    <w:p>
      <w:pPr>
        <w:rPr>
          <w:rFonts w:hint="eastAsia" w:ascii="宋体" w:hAnsi="宋体" w:cs="仿宋_GB2312"/>
          <w:b/>
          <w:bCs/>
          <w:color w:val="auto"/>
          <w:kern w:val="2"/>
          <w:sz w:val="22"/>
          <w:szCs w:val="22"/>
          <w:highlight w:val="none"/>
          <w:lang w:val="en-US" w:eastAsia="zh-CN"/>
        </w:rPr>
      </w:pPr>
      <w:r>
        <w:rPr>
          <w:rFonts w:hint="eastAsia"/>
          <w:b/>
          <w:bCs/>
          <w:color w:val="auto"/>
          <w:sz w:val="24"/>
          <w:szCs w:val="32"/>
          <w:lang w:val="en-US" w:eastAsia="zh-CN"/>
        </w:rPr>
        <w:t>5、应急电</w:t>
      </w:r>
      <w:r>
        <w:rPr>
          <w:rFonts w:hint="eastAsia" w:eastAsia="宋体"/>
          <w:b/>
          <w:bCs/>
          <w:color w:val="auto"/>
          <w:sz w:val="24"/>
          <w:szCs w:val="32"/>
          <w:lang w:val="en-US" w:eastAsia="zh-CN"/>
        </w:rPr>
        <w:t>源车，文成县，1辆（预算50万元）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文成县</w:t>
            </w:r>
          </w:p>
        </w:tc>
        <w:tc>
          <w:tcPr>
            <w:tcW w:w="1523"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应急电源车</w:t>
            </w:r>
          </w:p>
        </w:tc>
        <w:tc>
          <w:tcPr>
            <w:tcW w:w="1477"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pPr>
              <w:numPr>
                <w:ilvl w:val="0"/>
                <w:numId w:val="0"/>
              </w:numPr>
              <w:spacing w:before="0" w:beforeAutospacing="0" w:after="0" w:afterAutospacing="0"/>
              <w:ind w:left="0" w:right="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一、整车技术参数</w:t>
            </w:r>
          </w:p>
          <w:p>
            <w:pPr>
              <w:numPr>
                <w:ilvl w:val="0"/>
                <w:numId w:val="0"/>
              </w:numPr>
              <w:spacing w:before="0" w:beforeAutospacing="0" w:after="0" w:afterAutospacing="0"/>
              <w:ind w:left="0" w:right="0" w:firstLine="210" w:firstLineChars="100"/>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1、驱动形式：4×2；</w:t>
            </w:r>
          </w:p>
          <w:p>
            <w:pPr>
              <w:numPr>
                <w:ilvl w:val="0"/>
                <w:numId w:val="0"/>
              </w:numPr>
              <w:spacing w:before="0" w:beforeAutospacing="0" w:after="0" w:afterAutospacing="0"/>
              <w:ind w:left="0" w:right="0" w:firstLine="210" w:firstLineChars="100"/>
              <w:rPr>
                <w:rFonts w:hint="eastAsia" w:eastAsia="宋体" w:cs="Times New Roman"/>
                <w:b w:val="0"/>
                <w:bCs w:val="0"/>
                <w:color w:val="auto"/>
                <w:sz w:val="21"/>
                <w:szCs w:val="21"/>
                <w:lang w:val="en-US" w:eastAsia="zh-CN"/>
              </w:rPr>
            </w:pPr>
            <w:r>
              <w:rPr>
                <w:rFonts w:hint="default" w:eastAsia="宋体" w:cs="Times New Roman"/>
                <w:b w:val="0"/>
                <w:bCs w:val="0"/>
                <w:color w:val="auto"/>
                <w:sz w:val="21"/>
                <w:szCs w:val="21"/>
                <w:lang w:val="en-US" w:eastAsia="zh-CN"/>
              </w:rPr>
              <w:t>2、</w:t>
            </w:r>
            <w:r>
              <w:rPr>
                <w:rFonts w:hint="eastAsia" w:eastAsia="宋体" w:cs="Times New Roman"/>
                <w:b w:val="0"/>
                <w:bCs w:val="0"/>
                <w:color w:val="auto"/>
                <w:sz w:val="21"/>
                <w:szCs w:val="21"/>
                <w:lang w:val="en-US" w:eastAsia="zh-CN"/>
              </w:rPr>
              <w:t>外形尺寸（mm）：≤5995×2070×3120</w:t>
            </w:r>
          </w:p>
          <w:p>
            <w:pPr>
              <w:numPr>
                <w:ilvl w:val="0"/>
                <w:numId w:val="0"/>
              </w:numPr>
              <w:spacing w:before="0" w:beforeAutospacing="0" w:after="0" w:afterAutospacing="0"/>
              <w:ind w:left="0" w:right="0" w:firstLine="210" w:firstLineChars="100"/>
              <w:rPr>
                <w:rFonts w:hint="eastAsia"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3、额定载客人数（人）：≥2</w:t>
            </w:r>
          </w:p>
          <w:p>
            <w:pPr>
              <w:numPr>
                <w:ilvl w:val="0"/>
                <w:numId w:val="0"/>
              </w:numPr>
              <w:spacing w:before="0" w:beforeAutospacing="0" w:after="0" w:afterAutospacing="0"/>
              <w:ind w:left="0" w:right="0" w:firstLine="210" w:firstLineChars="100"/>
              <w:rPr>
                <w:rFonts w:hint="eastAsia"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4、轴数：2</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Style w:val="170"/>
                <w:b w:val="0"/>
                <w:bCs w:val="0"/>
                <w:color w:val="auto"/>
                <w:sz w:val="21"/>
                <w:szCs w:val="21"/>
                <w:lang w:val="en-US" w:eastAsia="zh-CN" w:bidi="ar"/>
              </w:rPr>
            </w:pPr>
            <w:r>
              <w:rPr>
                <w:rStyle w:val="170"/>
                <w:b w:val="0"/>
                <w:bCs w:val="0"/>
                <w:color w:val="auto"/>
                <w:sz w:val="21"/>
                <w:szCs w:val="21"/>
                <w:lang w:val="en-US" w:eastAsia="zh-CN" w:bidi="ar"/>
              </w:rPr>
              <w:t>5、轴距：</w:t>
            </w:r>
            <w:r>
              <w:rPr>
                <w:rFonts w:hint="eastAsia" w:eastAsia="宋体" w:cs="Times New Roman"/>
                <w:b w:val="0"/>
                <w:bCs w:val="0"/>
                <w:color w:val="auto"/>
                <w:sz w:val="21"/>
                <w:szCs w:val="21"/>
                <w:lang w:val="en-US" w:eastAsia="zh-CN"/>
              </w:rPr>
              <w:t>3300～3800</w:t>
            </w:r>
            <w:r>
              <w:rPr>
                <w:rStyle w:val="170"/>
                <w:b w:val="0"/>
                <w:bCs w:val="0"/>
                <w:color w:val="auto"/>
                <w:sz w:val="21"/>
                <w:szCs w:val="21"/>
                <w:lang w:val="en-US" w:eastAsia="zh-CN" w:bidi="ar"/>
              </w:rPr>
              <w:t>mm</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eastAsia="宋体" w:cs="Times New Roman"/>
                <w:b w:val="0"/>
                <w:bCs w:val="0"/>
                <w:color w:val="auto"/>
                <w:sz w:val="21"/>
                <w:szCs w:val="21"/>
                <w:lang w:val="en-US" w:eastAsia="zh-CN"/>
              </w:rPr>
            </w:pPr>
            <w:r>
              <w:rPr>
                <w:rStyle w:val="170"/>
                <w:rFonts w:hint="eastAsia"/>
                <w:b w:val="0"/>
                <w:bCs w:val="0"/>
                <w:color w:val="auto"/>
                <w:sz w:val="21"/>
                <w:szCs w:val="21"/>
                <w:lang w:val="en-US" w:eastAsia="zh-CN" w:bidi="ar"/>
              </w:rPr>
              <w:t xml:space="preserve">  </w:t>
            </w:r>
            <w:r>
              <w:rPr>
                <w:rStyle w:val="170"/>
                <w:b w:val="0"/>
                <w:bCs w:val="0"/>
                <w:color w:val="auto"/>
                <w:sz w:val="21"/>
                <w:szCs w:val="21"/>
                <w:lang w:val="en-US" w:eastAsia="zh-CN" w:bidi="ar"/>
              </w:rPr>
              <w:t>6、接近</w:t>
            </w:r>
            <w:r>
              <w:rPr>
                <w:rStyle w:val="170"/>
                <w:b w:val="0"/>
                <w:bCs w:val="0"/>
                <w:i w:val="0"/>
                <w:iCs w:val="0"/>
                <w:color w:val="auto"/>
                <w:sz w:val="21"/>
                <w:szCs w:val="21"/>
                <w:lang w:val="en-US" w:eastAsia="zh-CN" w:bidi="ar"/>
              </w:rPr>
              <w:t>角</w:t>
            </w:r>
            <w:r>
              <w:rPr>
                <w:rStyle w:val="170"/>
                <w:b w:val="0"/>
                <w:bCs w:val="0"/>
                <w:color w:val="auto"/>
                <w:sz w:val="21"/>
                <w:szCs w:val="21"/>
                <w:lang w:val="en-US" w:eastAsia="zh-CN" w:bidi="ar"/>
              </w:rPr>
              <w:t>/离</w:t>
            </w:r>
            <w:r>
              <w:rPr>
                <w:rStyle w:val="170"/>
                <w:b w:val="0"/>
                <w:bCs w:val="0"/>
                <w:i w:val="0"/>
                <w:iCs w:val="0"/>
                <w:color w:val="auto"/>
                <w:sz w:val="21"/>
                <w:szCs w:val="21"/>
                <w:lang w:val="en-US" w:eastAsia="zh-CN" w:bidi="ar"/>
              </w:rPr>
              <w:t>去角：≥</w:t>
            </w:r>
            <w:r>
              <w:rPr>
                <w:rFonts w:hint="eastAsia" w:eastAsia="宋体" w:cs="Times New Roman"/>
                <w:b w:val="0"/>
                <w:bCs w:val="0"/>
                <w:color w:val="auto"/>
                <w:sz w:val="21"/>
                <w:szCs w:val="21"/>
                <w:lang w:val="en-US" w:eastAsia="zh-CN"/>
              </w:rPr>
              <w:t>16°/10°</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Style w:val="170"/>
                <w:b w:val="0"/>
                <w:bCs w:val="0"/>
                <w:color w:val="auto"/>
                <w:sz w:val="21"/>
                <w:szCs w:val="21"/>
                <w:lang w:val="en-US" w:eastAsia="zh-CN" w:bidi="ar"/>
              </w:rPr>
            </w:pPr>
            <w:r>
              <w:rPr>
                <w:rStyle w:val="170"/>
                <w:rFonts w:hint="eastAsia"/>
                <w:b w:val="0"/>
                <w:bCs w:val="0"/>
                <w:i w:val="0"/>
                <w:iCs w:val="0"/>
                <w:color w:val="auto"/>
                <w:sz w:val="21"/>
                <w:szCs w:val="21"/>
                <w:lang w:val="en-US" w:eastAsia="zh-CN" w:bidi="ar"/>
              </w:rPr>
              <w:t xml:space="preserve">  </w:t>
            </w:r>
            <w:r>
              <w:rPr>
                <w:rStyle w:val="170"/>
                <w:b w:val="0"/>
                <w:bCs w:val="0"/>
                <w:color w:val="auto"/>
                <w:sz w:val="21"/>
                <w:szCs w:val="21"/>
                <w:lang w:val="en-US" w:eastAsia="zh-CN" w:bidi="ar"/>
              </w:rPr>
              <w:t>7、离地间隙：≥380mm</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Style w:val="170"/>
                <w:b w:val="0"/>
                <w:bCs w:val="0"/>
                <w:color w:val="auto"/>
                <w:sz w:val="21"/>
                <w:szCs w:val="21"/>
                <w:lang w:val="en-US" w:eastAsia="zh-CN" w:bidi="ar"/>
              </w:rPr>
            </w:pPr>
            <w:r>
              <w:rPr>
                <w:rStyle w:val="170"/>
                <w:rFonts w:hint="eastAsia"/>
                <w:b w:val="0"/>
                <w:bCs w:val="0"/>
                <w:color w:val="auto"/>
                <w:sz w:val="21"/>
                <w:szCs w:val="21"/>
                <w:lang w:val="en-US" w:eastAsia="zh-CN" w:bidi="ar"/>
              </w:rPr>
              <w:t xml:space="preserve"> </w:t>
            </w:r>
            <w:r>
              <w:rPr>
                <w:rFonts w:hint="default" w:eastAsia="宋体" w:cs="Times New Roman"/>
                <w:b w:val="0"/>
                <w:bCs w:val="0"/>
                <w:color w:val="auto"/>
                <w:sz w:val="21"/>
                <w:szCs w:val="21"/>
                <w:lang w:val="en-US" w:eastAsia="zh-CN"/>
              </w:rPr>
              <w:t>★</w:t>
            </w:r>
            <w:r>
              <w:rPr>
                <w:rStyle w:val="170"/>
                <w:b w:val="0"/>
                <w:bCs w:val="0"/>
                <w:color w:val="auto"/>
                <w:sz w:val="21"/>
                <w:szCs w:val="21"/>
                <w:lang w:val="en-US" w:eastAsia="zh-CN" w:bidi="ar"/>
              </w:rPr>
              <w:t>8、发动机功率：≥</w:t>
            </w:r>
            <w:r>
              <w:rPr>
                <w:rStyle w:val="170"/>
                <w:rFonts w:hint="eastAsia"/>
                <w:b w:val="0"/>
                <w:bCs w:val="0"/>
                <w:color w:val="auto"/>
                <w:sz w:val="21"/>
                <w:szCs w:val="21"/>
                <w:lang w:val="en-US" w:eastAsia="zh-CN" w:bidi="ar"/>
              </w:rPr>
              <w:t>95</w:t>
            </w:r>
            <w:r>
              <w:rPr>
                <w:rStyle w:val="170"/>
                <w:b w:val="0"/>
                <w:bCs w:val="0"/>
                <w:color w:val="auto"/>
                <w:sz w:val="21"/>
                <w:szCs w:val="21"/>
                <w:lang w:val="en-US" w:eastAsia="zh-CN" w:bidi="ar"/>
              </w:rPr>
              <w:t>KW</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Style w:val="170"/>
                <w:b w:val="0"/>
                <w:bCs w:val="0"/>
                <w:color w:val="auto"/>
                <w:sz w:val="21"/>
                <w:szCs w:val="21"/>
                <w:lang w:val="en-US" w:eastAsia="zh-CN" w:bidi="ar"/>
              </w:rPr>
            </w:pPr>
            <w:r>
              <w:rPr>
                <w:rStyle w:val="170"/>
                <w:rFonts w:hint="eastAsia"/>
                <w:b w:val="0"/>
                <w:bCs w:val="0"/>
                <w:color w:val="auto"/>
                <w:sz w:val="21"/>
                <w:szCs w:val="21"/>
                <w:lang w:val="en-US" w:eastAsia="zh-CN" w:bidi="ar"/>
              </w:rPr>
              <w:t xml:space="preserve">  9</w:t>
            </w:r>
            <w:r>
              <w:rPr>
                <w:rStyle w:val="170"/>
                <w:b w:val="0"/>
                <w:bCs w:val="0"/>
                <w:color w:val="auto"/>
                <w:sz w:val="21"/>
                <w:szCs w:val="21"/>
                <w:lang w:val="en-US" w:eastAsia="zh-CN" w:bidi="ar"/>
              </w:rPr>
              <w:t>、燃油种类：柴油</w:t>
            </w:r>
          </w:p>
          <w:p>
            <w:pPr>
              <w:keepNext w:val="0"/>
              <w:keepLines w:val="0"/>
              <w:widowControl/>
              <w:numPr>
                <w:ilvl w:val="0"/>
                <w:numId w:val="0"/>
              </w:numPr>
              <w:suppressLineNumbers w:val="0"/>
              <w:spacing w:before="0" w:beforeAutospacing="0" w:after="0" w:afterAutospacing="0"/>
              <w:ind w:left="0" w:right="0"/>
              <w:jc w:val="left"/>
              <w:textAlignment w:val="center"/>
              <w:rPr>
                <w:rStyle w:val="170"/>
                <w:color w:val="auto"/>
                <w:sz w:val="21"/>
                <w:szCs w:val="21"/>
                <w:lang w:val="en-US" w:eastAsia="zh-CN" w:bidi="ar"/>
              </w:rPr>
            </w:pPr>
            <w:r>
              <w:rPr>
                <w:rFonts w:hint="eastAsia" w:eastAsia="宋体" w:cs="Times New Roman"/>
                <w:b w:val="0"/>
                <w:bCs w:val="0"/>
                <w:color w:val="auto"/>
                <w:sz w:val="21"/>
                <w:szCs w:val="21"/>
                <w:lang w:val="en-US" w:eastAsia="zh-CN"/>
              </w:rPr>
              <w:t>▲</w:t>
            </w:r>
            <w:r>
              <w:rPr>
                <w:rStyle w:val="170"/>
                <w:color w:val="auto"/>
                <w:sz w:val="21"/>
                <w:szCs w:val="21"/>
                <w:lang w:val="en-US" w:eastAsia="zh-CN" w:bidi="ar"/>
              </w:rPr>
              <w:t>1</w:t>
            </w:r>
            <w:r>
              <w:rPr>
                <w:rStyle w:val="170"/>
                <w:rFonts w:hint="eastAsia"/>
                <w:color w:val="auto"/>
                <w:sz w:val="21"/>
                <w:szCs w:val="21"/>
                <w:lang w:val="en-US" w:eastAsia="zh-CN" w:bidi="ar"/>
              </w:rPr>
              <w:t>0</w:t>
            </w:r>
            <w:r>
              <w:rPr>
                <w:rStyle w:val="170"/>
                <w:color w:val="auto"/>
                <w:sz w:val="21"/>
                <w:szCs w:val="21"/>
                <w:lang w:val="en-US" w:eastAsia="zh-CN" w:bidi="ar"/>
              </w:rPr>
              <w:t>、排放标准：国Ⅵ，上蓝牌</w:t>
            </w:r>
          </w:p>
          <w:p>
            <w:pPr>
              <w:keepNext w:val="0"/>
              <w:keepLines w:val="0"/>
              <w:widowControl/>
              <w:numPr>
                <w:ilvl w:val="0"/>
                <w:numId w:val="0"/>
              </w:numPr>
              <w:suppressLineNumbers w:val="0"/>
              <w:spacing w:before="0" w:beforeAutospacing="0" w:after="0" w:afterAutospacing="0"/>
              <w:ind w:left="0" w:right="0"/>
              <w:jc w:val="left"/>
              <w:textAlignment w:val="center"/>
              <w:rPr>
                <w:rStyle w:val="170"/>
                <w:b w:val="0"/>
                <w:bCs/>
                <w:color w:val="auto"/>
                <w:sz w:val="21"/>
                <w:szCs w:val="21"/>
                <w:lang w:val="en-US" w:eastAsia="zh-CN" w:bidi="ar"/>
              </w:rPr>
            </w:pPr>
            <w:r>
              <w:rPr>
                <w:rStyle w:val="170"/>
                <w:rFonts w:hint="eastAsia"/>
                <w:color w:val="auto"/>
                <w:sz w:val="21"/>
                <w:szCs w:val="21"/>
                <w:lang w:val="en-US" w:eastAsia="zh-CN" w:bidi="ar"/>
              </w:rPr>
              <w:t xml:space="preserve">  </w:t>
            </w:r>
            <w:r>
              <w:rPr>
                <w:rStyle w:val="170"/>
                <w:b w:val="0"/>
                <w:bCs/>
                <w:color w:val="auto"/>
                <w:sz w:val="21"/>
                <w:szCs w:val="21"/>
                <w:lang w:val="en-US" w:eastAsia="zh-CN" w:bidi="ar"/>
              </w:rPr>
              <w:t>1</w:t>
            </w:r>
            <w:r>
              <w:rPr>
                <w:rStyle w:val="170"/>
                <w:rFonts w:hint="eastAsia"/>
                <w:b w:val="0"/>
                <w:bCs/>
                <w:color w:val="auto"/>
                <w:sz w:val="21"/>
                <w:szCs w:val="21"/>
                <w:lang w:val="en-US" w:eastAsia="zh-CN" w:bidi="ar"/>
              </w:rPr>
              <w:t>1</w:t>
            </w:r>
            <w:r>
              <w:rPr>
                <w:rStyle w:val="170"/>
                <w:b w:val="0"/>
                <w:bCs/>
                <w:color w:val="auto"/>
                <w:sz w:val="21"/>
                <w:szCs w:val="21"/>
                <w:lang w:val="en-US" w:eastAsia="zh-CN" w:bidi="ar"/>
              </w:rPr>
              <w:t>、最高车速：≥</w:t>
            </w:r>
            <w:r>
              <w:rPr>
                <w:rStyle w:val="170"/>
                <w:rFonts w:hint="eastAsia"/>
                <w:b w:val="0"/>
                <w:bCs/>
                <w:color w:val="auto"/>
                <w:sz w:val="21"/>
                <w:szCs w:val="21"/>
                <w:lang w:val="en-US" w:eastAsia="zh-CN" w:bidi="ar"/>
              </w:rPr>
              <w:t>10</w:t>
            </w:r>
            <w:r>
              <w:rPr>
                <w:rStyle w:val="170"/>
                <w:b w:val="0"/>
                <w:bCs/>
                <w:color w:val="auto"/>
                <w:sz w:val="21"/>
                <w:szCs w:val="21"/>
                <w:lang w:val="en-US" w:eastAsia="zh-CN" w:bidi="ar"/>
              </w:rPr>
              <w:t>0km/h</w:t>
            </w:r>
          </w:p>
          <w:p>
            <w:pPr>
              <w:keepNext w:val="0"/>
              <w:keepLines w:val="0"/>
              <w:widowControl/>
              <w:numPr>
                <w:ilvl w:val="0"/>
                <w:numId w:val="0"/>
              </w:numPr>
              <w:suppressLineNumbers w:val="0"/>
              <w:spacing w:before="0" w:beforeAutospacing="0" w:after="0" w:afterAutospacing="0"/>
              <w:ind w:left="218" w:leftChars="104"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Style w:val="170"/>
                <w:color w:val="auto"/>
                <w:sz w:val="21"/>
                <w:szCs w:val="21"/>
                <w:lang w:val="en-US" w:eastAsia="zh-CN" w:bidi="ar"/>
              </w:rPr>
              <w:t>1</w:t>
            </w:r>
            <w:r>
              <w:rPr>
                <w:rStyle w:val="170"/>
                <w:rFonts w:hint="eastAsia"/>
                <w:color w:val="auto"/>
                <w:sz w:val="21"/>
                <w:szCs w:val="21"/>
                <w:lang w:val="en-US" w:eastAsia="zh-CN" w:bidi="ar"/>
              </w:rPr>
              <w:t>2</w:t>
            </w:r>
            <w:r>
              <w:rPr>
                <w:rStyle w:val="170"/>
                <w:color w:val="auto"/>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总质量</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≤4495kg</w:t>
            </w:r>
          </w:p>
          <w:p>
            <w:pPr>
              <w:keepNext w:val="0"/>
              <w:keepLines w:val="0"/>
              <w:widowControl/>
              <w:numPr>
                <w:ilvl w:val="0"/>
                <w:numId w:val="0"/>
              </w:numPr>
              <w:suppressLineNumbers w:val="0"/>
              <w:spacing w:before="0" w:beforeAutospacing="0" w:after="0" w:afterAutospacing="0"/>
              <w:ind w:left="218" w:leftChars="104" w:right="0" w:firstLine="0" w:firstLine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eastAsia="宋体" w:cs="Times New Roman"/>
                <w:b w:val="0"/>
                <w:bCs w:val="0"/>
                <w:color w:val="auto"/>
                <w:sz w:val="21"/>
                <w:szCs w:val="21"/>
                <w:lang w:val="en-US" w:eastAsia="zh-CN"/>
              </w:rPr>
              <w:t>13、变速箱：六档手动变速</w:t>
            </w:r>
          </w:p>
          <w:p>
            <w:pPr>
              <w:numPr>
                <w:ilvl w:val="0"/>
                <w:numId w:val="0"/>
              </w:numPr>
              <w:spacing w:before="0" w:beforeAutospacing="0" w:after="0" w:afterAutospacing="0"/>
              <w:ind w:left="0" w:right="0" w:firstLine="210" w:firstLineChars="100"/>
              <w:rPr>
                <w:rFonts w:hint="eastAsia"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14、发动机型式：直喷、直列四冲程、增压水冷</w:t>
            </w:r>
          </w:p>
          <w:p>
            <w:pPr>
              <w:numPr>
                <w:ilvl w:val="0"/>
                <w:numId w:val="0"/>
              </w:numPr>
              <w:spacing w:before="0" w:beforeAutospacing="0" w:after="0" w:afterAutospacing="0"/>
              <w:ind w:left="0" w:right="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二、发电机</w:t>
            </w:r>
          </w:p>
          <w:p>
            <w:pPr>
              <w:keepNext w:val="0"/>
              <w:keepLines w:val="0"/>
              <w:widowControl/>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1、配备柴油发电机组，支持向其他用电设备输出220V/380V电压，50KW；</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柴油发电机组采用三相四线制，额定电压应满足线电压 380V，两相电压 220V；</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采用封闭式水循环冷却，冷却风扇为分体式悬挂安装，发动机进风口应安装在车厢两侧，排风口配备防雨百叶窗；</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4、功率因数，≥0.8（滞后）</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5、相数和接线，三相四线 Y-形</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6、调压方式，AVR 自动调压</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7、绝缘等级，H 级</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8、防护等级</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≥IP22</w:t>
            </w:r>
          </w:p>
          <w:p>
            <w:pPr>
              <w:pStyle w:val="18"/>
              <w:spacing w:before="0" w:beforeAutospacing="0" w:afterAutospacing="0"/>
              <w:ind w:left="0" w:right="0" w:firstLine="210" w:firstLineChars="100"/>
              <w:rPr>
                <w:rFonts w:hint="default"/>
                <w:color w:val="auto"/>
                <w:sz w:val="21"/>
                <w:szCs w:val="21"/>
                <w:lang w:val="en-US" w:eastAsia="zh-CN"/>
              </w:rPr>
            </w:pPr>
            <w:r>
              <w:rPr>
                <w:rFonts w:hint="eastAsia"/>
                <w:color w:val="auto"/>
                <w:sz w:val="21"/>
                <w:szCs w:val="21"/>
                <w:lang w:val="en-US" w:eastAsia="zh-CN"/>
              </w:rPr>
              <w:t>9</w:t>
            </w:r>
            <w:r>
              <w:rPr>
                <w:rFonts w:hint="default"/>
                <w:color w:val="auto"/>
                <w:sz w:val="21"/>
                <w:szCs w:val="21"/>
                <w:lang w:val="en-US" w:eastAsia="zh-CN"/>
              </w:rPr>
              <w:t>、输出过载</w:t>
            </w:r>
            <w:r>
              <w:rPr>
                <w:rFonts w:hint="eastAsia"/>
                <w:color w:val="auto"/>
                <w:sz w:val="21"/>
                <w:szCs w:val="21"/>
                <w:lang w:val="en-US" w:eastAsia="zh-CN"/>
              </w:rPr>
              <w:t>：</w:t>
            </w:r>
            <w:r>
              <w:rPr>
                <w:rFonts w:hint="default"/>
                <w:color w:val="auto"/>
                <w:sz w:val="21"/>
                <w:szCs w:val="21"/>
                <w:lang w:val="en-US" w:eastAsia="zh-CN"/>
              </w:rPr>
              <w:t>110%</w:t>
            </w:r>
            <w:r>
              <w:rPr>
                <w:rFonts w:hint="eastAsia"/>
                <w:color w:val="auto"/>
                <w:sz w:val="21"/>
                <w:szCs w:val="21"/>
                <w:lang w:val="en-US" w:eastAsia="zh-CN"/>
              </w:rPr>
              <w:t>，</w:t>
            </w:r>
            <w:r>
              <w:rPr>
                <w:rFonts w:hint="default"/>
                <w:color w:val="auto"/>
                <w:sz w:val="21"/>
                <w:szCs w:val="21"/>
                <w:lang w:val="en-US" w:eastAsia="zh-CN"/>
              </w:rPr>
              <w:t>60min；125%</w:t>
            </w:r>
            <w:r>
              <w:rPr>
                <w:rFonts w:hint="eastAsia"/>
                <w:color w:val="auto"/>
                <w:sz w:val="21"/>
                <w:szCs w:val="21"/>
                <w:lang w:val="en-US" w:eastAsia="zh-CN"/>
              </w:rPr>
              <w:t>，</w:t>
            </w:r>
            <w:r>
              <w:rPr>
                <w:rFonts w:hint="default"/>
                <w:color w:val="auto"/>
                <w:sz w:val="21"/>
                <w:szCs w:val="21"/>
                <w:lang w:val="en-US" w:eastAsia="zh-CN"/>
              </w:rPr>
              <w:t>10min；150%</w:t>
            </w:r>
            <w:r>
              <w:rPr>
                <w:rFonts w:hint="eastAsia"/>
                <w:color w:val="auto"/>
                <w:sz w:val="21"/>
                <w:szCs w:val="21"/>
                <w:lang w:val="en-US" w:eastAsia="zh-CN"/>
              </w:rPr>
              <w:t>，</w:t>
            </w:r>
            <w:r>
              <w:rPr>
                <w:rFonts w:hint="default"/>
                <w:color w:val="auto"/>
                <w:sz w:val="21"/>
                <w:szCs w:val="21"/>
                <w:lang w:val="en-US" w:eastAsia="zh-CN"/>
              </w:rPr>
              <w:t xml:space="preserve">1min；＞150% </w:t>
            </w:r>
            <w:r>
              <w:rPr>
                <w:rFonts w:hint="eastAsia"/>
                <w:color w:val="auto"/>
                <w:sz w:val="21"/>
                <w:szCs w:val="21"/>
                <w:lang w:val="en-US" w:eastAsia="zh-CN"/>
              </w:rPr>
              <w:t>，</w:t>
            </w:r>
            <w:r>
              <w:rPr>
                <w:rFonts w:hint="default"/>
                <w:color w:val="auto"/>
                <w:sz w:val="21"/>
                <w:szCs w:val="21"/>
                <w:lang w:val="en-US" w:eastAsia="zh-CN"/>
              </w:rPr>
              <w:t>400 ms</w:t>
            </w:r>
          </w:p>
          <w:p>
            <w:pPr>
              <w:pStyle w:val="18"/>
              <w:spacing w:before="0" w:beforeAutospacing="0" w:afterAutospacing="0"/>
              <w:ind w:left="0" w:right="0" w:firstLine="211" w:firstLineChars="10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三、柴油机</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1、柴油机，型式：直喷、直列四冲程、增压水冷；</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2、功率，≥64KW</w:t>
            </w:r>
          </w:p>
          <w:p>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3、启动方式，24V电启动</w:t>
            </w:r>
          </w:p>
          <w:p>
            <w:pPr>
              <w:numPr>
                <w:ilvl w:val="0"/>
                <w:numId w:val="0"/>
              </w:numPr>
              <w:spacing w:before="0" w:beforeAutospacing="0" w:after="0" w:afterAutospacing="0"/>
              <w:ind w:left="0" w:right="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四、控制系统</w:t>
            </w:r>
          </w:p>
          <w:p>
            <w:pPr>
              <w:spacing w:before="0" w:beforeAutospacing="0" w:after="0" w:afterAutospacing="0"/>
              <w:ind w:left="0" w:right="0" w:firstLine="210" w:firstLineChars="10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备转速、电压、缸温、油压实时监测；液晶屏尺寸≥3.5英寸，控制面板具备急停开关、报警蜂鸣装置、调速装置等，具备故障报警、自动停机等功能，有效保护发动机的安全运行及使用寿命；控制器箱体采用防风雨结构设计</w:t>
            </w:r>
            <w:r>
              <w:rPr>
                <w:rFonts w:hint="eastAsia" w:ascii="宋体" w:hAnsi="宋体" w:cs="宋体"/>
                <w:i w:val="0"/>
                <w:iCs w:val="0"/>
                <w:color w:val="auto"/>
                <w:kern w:val="0"/>
                <w:sz w:val="21"/>
                <w:szCs w:val="21"/>
                <w:u w:val="none"/>
                <w:lang w:val="en-US" w:eastAsia="zh-CN" w:bidi="ar"/>
              </w:rPr>
              <w:t>。</w:t>
            </w:r>
          </w:p>
          <w:p>
            <w:pPr>
              <w:numPr>
                <w:ilvl w:val="0"/>
                <w:numId w:val="0"/>
              </w:numPr>
              <w:spacing w:before="0" w:beforeAutospacing="0" w:after="0" w:afterAutospacing="0"/>
              <w:ind w:left="0" w:right="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五、防雨降噪音箱</w:t>
            </w:r>
          </w:p>
          <w:p>
            <w:pPr>
              <w:spacing w:before="0" w:beforeAutospacing="0" w:after="0" w:afterAutospacing="0"/>
              <w:ind w:left="0" w:right="0" w:firstLine="210" w:firstLineChars="10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静音箱尺寸：2800X1400X1600mm 仅供参考以实际尺寸为准，工作时噪音≤85 分贝；静音箱造型美观、拆装简单，机组操作方便；多层屏蔽阻抗错配式隔声罩；高效降噪型多路进排气，进排风通道，保证机组充足的动力性能。良好的通风系统及防止热辐射措施确保机组始终工作于适宜的环境温度；专用降噪消声材料的采用，极大程度地抑制机械噪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numPr>
                <w:ilvl w:val="0"/>
                <w:numId w:val="0"/>
              </w:numPr>
              <w:spacing w:before="0" w:beforeAutospacing="0" w:after="0" w:afterAutospacing="0"/>
              <w:ind w:left="0" w:right="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六、应急电源车电池能量UPS</w:t>
            </w:r>
          </w:p>
          <w:p>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▲1、UPS容量≥</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0KVA</w:t>
            </w:r>
            <w:r>
              <w:rPr>
                <w:rFonts w:hint="eastAsia" w:ascii="宋体" w:hAnsi="宋体" w:cs="宋体"/>
                <w:i w:val="0"/>
                <w:iCs w:val="0"/>
                <w:color w:val="auto"/>
                <w:kern w:val="0"/>
                <w:sz w:val="21"/>
                <w:szCs w:val="21"/>
                <w:highlight w:val="none"/>
                <w:u w:val="none"/>
                <w:lang w:val="en-US" w:eastAsia="zh-CN" w:bidi="ar"/>
              </w:rPr>
              <w:t>；</w:t>
            </w:r>
          </w:p>
          <w:p>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2、负载功率≥20KW</w:t>
            </w:r>
          </w:p>
          <w:p>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3、单电池容量≥120AH</w:t>
            </w:r>
          </w:p>
          <w:p>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4、最大电池电流≥50A</w:t>
            </w:r>
          </w:p>
          <w:p>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5、放电速率≤1.2</w:t>
            </w:r>
          </w:p>
          <w:p>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6、放电时间≥30min</w:t>
            </w:r>
          </w:p>
          <w:p>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7、UPS特性：三进三出，DSP数字化控制，超宽输入电压范围，可适应恶劣电网环境。智能充电管理，支持4台并联和并机共用电池组。</w:t>
            </w:r>
          </w:p>
          <w:p>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8、电池电压：±180至±300VDC</w:t>
            </w:r>
          </w:p>
          <w:p>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9、通讯控制：232、485、USB、并机接口、远程 EPO 接口、干接点、SNMP</w:t>
            </w:r>
          </w:p>
          <w:p>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p>
          <w:p>
            <w:pPr>
              <w:numPr>
                <w:ilvl w:val="0"/>
                <w:numId w:val="0"/>
              </w:numPr>
              <w:shd w:val="clear" w:color="auto" w:fill="FFFFFF"/>
              <w:spacing w:before="0" w:beforeAutospacing="0" w:after="0" w:afterAutospacing="0" w:line="360" w:lineRule="exact"/>
              <w:ind w:left="241" w:right="0" w:hanging="211" w:hangingChars="100"/>
              <w:rPr>
                <w:rStyle w:val="170"/>
                <w:b/>
                <w:bCs/>
                <w:color w:val="auto"/>
                <w:sz w:val="21"/>
                <w:szCs w:val="21"/>
                <w:lang w:val="en-US" w:eastAsia="zh-CN" w:bidi="ar"/>
              </w:rPr>
            </w:pPr>
            <w:r>
              <w:rPr>
                <w:rFonts w:hint="eastAsia" w:ascii="宋体" w:hAnsi="宋体"/>
                <w:b/>
                <w:bCs/>
                <w:color w:val="auto"/>
                <w:sz w:val="21"/>
                <w:szCs w:val="21"/>
                <w:lang w:val="en-US" w:eastAsia="zh-CN"/>
              </w:rPr>
              <w:t>七、</w:t>
            </w:r>
            <w:r>
              <w:rPr>
                <w:rFonts w:hint="eastAsia" w:ascii="宋体" w:hAnsi="宋体" w:eastAsia="宋体" w:cs="宋体"/>
                <w:b/>
                <w:color w:val="auto"/>
                <w:sz w:val="21"/>
                <w:szCs w:val="21"/>
                <w:lang w:val="zh-CN"/>
              </w:rPr>
              <w:t>随车器材</w:t>
            </w:r>
          </w:p>
          <w:p>
            <w:pPr>
              <w:numPr>
                <w:ilvl w:val="0"/>
                <w:numId w:val="0"/>
              </w:numPr>
              <w:shd w:val="clear" w:color="auto" w:fill="FFFFFF"/>
              <w:spacing w:before="0" w:beforeAutospacing="0" w:after="0" w:afterAutospacing="0" w:line="360" w:lineRule="exact"/>
              <w:ind w:left="218" w:leftChars="104" w:right="0" w:firstLine="0" w:firstLineChars="0"/>
              <w:rPr>
                <w:rStyle w:val="170"/>
                <w:rFonts w:hint="default" w:ascii="宋体" w:hAnsi="宋体" w:eastAsia="宋体" w:cs="宋体"/>
                <w:b w:val="0"/>
                <w:bCs w:val="0"/>
                <w:color w:val="auto"/>
                <w:sz w:val="21"/>
                <w:szCs w:val="21"/>
                <w:lang w:val="en-US" w:eastAsia="zh-CN" w:bidi="ar"/>
              </w:rPr>
            </w:pPr>
            <w:r>
              <w:rPr>
                <w:rStyle w:val="170"/>
                <w:rFonts w:hint="eastAsia"/>
                <w:b w:val="0"/>
                <w:bCs w:val="0"/>
                <w:color w:val="auto"/>
                <w:sz w:val="21"/>
                <w:szCs w:val="21"/>
                <w:lang w:val="en-US" w:eastAsia="zh-CN" w:bidi="ar"/>
              </w:rPr>
              <w:t>1、停车三</w:t>
            </w:r>
            <w:r>
              <w:rPr>
                <w:rStyle w:val="170"/>
                <w:rFonts w:hint="eastAsia" w:ascii="宋体" w:hAnsi="宋体" w:eastAsia="宋体" w:cs="宋体"/>
                <w:b w:val="0"/>
                <w:bCs w:val="0"/>
                <w:color w:val="auto"/>
                <w:sz w:val="21"/>
                <w:szCs w:val="21"/>
                <w:lang w:val="en-US" w:eastAsia="zh-CN" w:bidi="ar"/>
              </w:rPr>
              <w:t>角警告牌，1套；</w:t>
            </w:r>
          </w:p>
          <w:p>
            <w:pPr>
              <w:numPr>
                <w:ilvl w:val="0"/>
                <w:numId w:val="0"/>
              </w:numPr>
              <w:shd w:val="clear" w:color="auto" w:fill="FFFFFF"/>
              <w:spacing w:before="0" w:beforeAutospacing="0" w:after="0" w:afterAutospacing="0" w:line="360" w:lineRule="exact"/>
              <w:ind w:left="218" w:leftChars="104" w:right="0" w:firstLine="0" w:firstLineChars="0"/>
              <w:rPr>
                <w:rStyle w:val="170"/>
                <w:rFonts w:hint="eastAsia" w:ascii="宋体" w:hAnsi="宋体" w:eastAsia="宋体" w:cs="宋体"/>
                <w:b w:val="0"/>
                <w:bCs w:val="0"/>
                <w:color w:val="auto"/>
                <w:sz w:val="21"/>
                <w:szCs w:val="21"/>
                <w:lang w:val="en-US" w:eastAsia="zh-CN" w:bidi="ar"/>
              </w:rPr>
            </w:pPr>
            <w:r>
              <w:rPr>
                <w:rStyle w:val="170"/>
                <w:rFonts w:hint="eastAsia" w:ascii="宋体" w:hAnsi="宋体" w:eastAsia="宋体" w:cs="宋体"/>
                <w:b w:val="0"/>
                <w:bCs w:val="0"/>
                <w:color w:val="auto"/>
                <w:sz w:val="21"/>
                <w:szCs w:val="21"/>
                <w:lang w:val="en-US" w:eastAsia="zh-CN" w:bidi="ar"/>
              </w:rPr>
              <w:t>2、随车工具，1套；</w:t>
            </w:r>
          </w:p>
          <w:p>
            <w:pPr>
              <w:numPr>
                <w:ilvl w:val="0"/>
                <w:numId w:val="0"/>
              </w:numPr>
              <w:shd w:val="clear" w:color="auto" w:fill="FFFFFF"/>
              <w:spacing w:before="0" w:beforeAutospacing="0" w:after="0" w:afterAutospacing="0" w:line="360" w:lineRule="exact"/>
              <w:ind w:left="218" w:leftChars="104" w:right="0" w:firstLine="0" w:firstLineChars="0"/>
              <w:rPr>
                <w:rStyle w:val="170"/>
                <w:rFonts w:hint="default" w:ascii="宋体" w:hAnsi="宋体" w:eastAsia="宋体" w:cs="宋体"/>
                <w:b w:val="0"/>
                <w:bCs w:val="0"/>
                <w:color w:val="auto"/>
                <w:sz w:val="21"/>
                <w:szCs w:val="21"/>
                <w:lang w:val="en-US" w:eastAsia="zh-CN" w:bidi="ar"/>
              </w:rPr>
            </w:pPr>
            <w:r>
              <w:rPr>
                <w:rStyle w:val="170"/>
                <w:rFonts w:hint="eastAsia" w:ascii="宋体" w:hAnsi="宋体" w:eastAsia="宋体" w:cs="宋体"/>
                <w:b w:val="0"/>
                <w:bCs w:val="0"/>
                <w:color w:val="auto"/>
                <w:sz w:val="21"/>
                <w:szCs w:val="21"/>
                <w:lang w:val="en-US" w:eastAsia="zh-CN" w:bidi="ar"/>
              </w:rPr>
              <w:t>3、2kg灭火器，</w:t>
            </w:r>
            <w:r>
              <w:rPr>
                <w:rStyle w:val="170"/>
                <w:rFonts w:hint="eastAsia" w:ascii="宋体" w:hAnsi="宋体" w:cs="宋体"/>
                <w:b w:val="0"/>
                <w:bCs w:val="0"/>
                <w:color w:val="auto"/>
                <w:sz w:val="21"/>
                <w:szCs w:val="21"/>
                <w:lang w:val="en-US" w:eastAsia="zh-CN" w:bidi="ar"/>
              </w:rPr>
              <w:t>3</w:t>
            </w:r>
            <w:r>
              <w:rPr>
                <w:rStyle w:val="170"/>
                <w:rFonts w:hint="eastAsia" w:ascii="宋体" w:hAnsi="宋体" w:eastAsia="宋体" w:cs="宋体"/>
                <w:b w:val="0"/>
                <w:bCs w:val="0"/>
                <w:color w:val="auto"/>
                <w:sz w:val="21"/>
                <w:szCs w:val="21"/>
                <w:lang w:val="en-US" w:eastAsia="zh-CN" w:bidi="ar"/>
              </w:rPr>
              <w:t>套；</w:t>
            </w:r>
          </w:p>
          <w:p>
            <w:pPr>
              <w:shd w:val="clear" w:color="auto" w:fill="FFFFFF"/>
              <w:spacing w:before="0" w:beforeAutospacing="0" w:after="0" w:afterAutospacing="0" w:line="360" w:lineRule="exact"/>
              <w:ind w:left="0" w:right="0" w:firstLine="210" w:firstLineChars="100"/>
              <w:rPr>
                <w:rStyle w:val="170"/>
                <w:rFonts w:hint="eastAsia" w:ascii="宋体" w:hAnsi="宋体" w:eastAsia="宋体" w:cs="宋体"/>
                <w:b w:val="0"/>
                <w:bCs w:val="0"/>
                <w:color w:val="auto"/>
                <w:sz w:val="21"/>
                <w:szCs w:val="21"/>
                <w:lang w:val="en-US" w:eastAsia="zh-CN" w:bidi="ar"/>
              </w:rPr>
            </w:pPr>
            <w:r>
              <w:rPr>
                <w:rStyle w:val="170"/>
                <w:rFonts w:hint="eastAsia" w:ascii="宋体" w:hAnsi="宋体" w:eastAsia="宋体" w:cs="宋体"/>
                <w:b w:val="0"/>
                <w:bCs w:val="0"/>
                <w:color w:val="auto"/>
                <w:sz w:val="21"/>
                <w:szCs w:val="21"/>
                <w:lang w:val="en-US" w:eastAsia="zh-CN" w:bidi="ar"/>
              </w:rPr>
              <w:t>4、备胎，1个；</w:t>
            </w:r>
          </w:p>
          <w:p>
            <w:pPr>
              <w:shd w:val="clear" w:color="auto" w:fill="FFFFFF"/>
              <w:spacing w:before="0" w:beforeAutospacing="0" w:after="0" w:afterAutospacing="0" w:line="360" w:lineRule="exact"/>
              <w:ind w:left="0" w:right="0" w:firstLine="210" w:firstLineChars="100"/>
              <w:rPr>
                <w:rStyle w:val="170"/>
                <w:b/>
                <w:bCs/>
                <w:color w:val="auto"/>
                <w:sz w:val="21"/>
                <w:szCs w:val="21"/>
                <w:lang w:val="en-US" w:eastAsia="zh-CN" w:bidi="ar"/>
              </w:rPr>
            </w:pPr>
            <w:r>
              <w:rPr>
                <w:rStyle w:val="170"/>
                <w:rFonts w:hint="eastAsia" w:ascii="宋体" w:hAnsi="宋体" w:eastAsia="宋体" w:cs="宋体"/>
                <w:b w:val="0"/>
                <w:bCs w:val="0"/>
                <w:color w:val="auto"/>
                <w:sz w:val="21"/>
                <w:szCs w:val="21"/>
                <w:lang w:val="en-US" w:eastAsia="zh-CN" w:bidi="ar"/>
              </w:rPr>
              <w:t>5、</w:t>
            </w:r>
            <w:r>
              <w:rPr>
                <w:rFonts w:hint="eastAsia" w:ascii="宋体" w:hAnsi="宋体" w:eastAsia="宋体" w:cs="宋体"/>
                <w:i w:val="0"/>
                <w:iCs w:val="0"/>
                <w:color w:val="auto"/>
                <w:kern w:val="0"/>
                <w:sz w:val="21"/>
                <w:szCs w:val="21"/>
                <w:u w:val="none"/>
                <w:lang w:val="en-US" w:eastAsia="zh-CN" w:bidi="ar"/>
              </w:rPr>
              <w:t>车内配备应急手电、爆闪灯、隔离护栏</w:t>
            </w:r>
            <w:r>
              <w:rPr>
                <w:rFonts w:hint="eastAsia" w:ascii="宋体" w:hAnsi="宋体" w:cs="宋体"/>
                <w:i w:val="0"/>
                <w:iCs w:val="0"/>
                <w:color w:val="auto"/>
                <w:kern w:val="0"/>
                <w:sz w:val="21"/>
                <w:szCs w:val="21"/>
                <w:u w:val="none"/>
                <w:lang w:val="en-US" w:eastAsia="zh-CN" w:bidi="ar"/>
              </w:rPr>
              <w:t>。</w:t>
            </w:r>
          </w:p>
          <w:p>
            <w:pPr>
              <w:shd w:val="clear" w:color="auto" w:fill="FFFFFF"/>
              <w:spacing w:before="0" w:beforeAutospacing="0" w:after="0" w:afterAutospacing="0" w:line="360" w:lineRule="exact"/>
              <w:ind w:left="0" w:right="0"/>
              <w:rPr>
                <w:rStyle w:val="170"/>
                <w:b/>
                <w:bCs/>
                <w:color w:val="auto"/>
                <w:sz w:val="21"/>
                <w:szCs w:val="21"/>
                <w:lang w:val="en-US" w:eastAsia="zh-CN" w:bidi="ar"/>
              </w:rPr>
            </w:pPr>
            <w:r>
              <w:rPr>
                <w:rStyle w:val="170"/>
                <w:b/>
                <w:bCs/>
                <w:color w:val="auto"/>
                <w:sz w:val="21"/>
                <w:szCs w:val="21"/>
                <w:lang w:val="en-US" w:eastAsia="zh-CN" w:bidi="ar"/>
              </w:rPr>
              <w:t>八、其他</w:t>
            </w:r>
          </w:p>
          <w:p>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w:t>
            </w:r>
            <w:r>
              <w:rPr>
                <w:rStyle w:val="170"/>
                <w:rFonts w:hint="eastAsia"/>
                <w:b w:val="0"/>
                <w:bCs w:val="0"/>
                <w:color w:val="auto"/>
                <w:sz w:val="21"/>
                <w:szCs w:val="21"/>
                <w:lang w:val="en-US" w:eastAsia="zh-CN" w:bidi="ar"/>
              </w:rPr>
              <w:t xml:space="preserve">1、专用夜间照明灯2个： </w:t>
            </w:r>
          </w:p>
          <w:p>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（1）额定电压：7.4V</w:t>
            </w:r>
            <w:r>
              <w:rPr>
                <w:rFonts w:hint="eastAsia" w:ascii="宋体" w:hAnsi="宋体" w:cs="宋体"/>
                <w:color w:val="auto"/>
                <w:kern w:val="0"/>
                <w:sz w:val="21"/>
                <w:szCs w:val="21"/>
                <w:lang w:bidi="ar"/>
              </w:rPr>
              <w:t>（±</w:t>
            </w:r>
            <w:r>
              <w:rPr>
                <w:rFonts w:hint="eastAsia" w:ascii="宋体" w:hAnsi="宋体" w:cs="宋体"/>
                <w:color w:val="auto"/>
                <w:kern w:val="0"/>
                <w:sz w:val="21"/>
                <w:szCs w:val="21"/>
                <w:lang w:val="en-US" w:eastAsia="zh-CN" w:bidi="ar"/>
              </w:rPr>
              <w:t>0.5</w:t>
            </w:r>
            <w:r>
              <w:rPr>
                <w:rStyle w:val="170"/>
                <w:rFonts w:hint="eastAsia"/>
                <w:b w:val="0"/>
                <w:bCs w:val="0"/>
                <w:color w:val="auto"/>
                <w:sz w:val="21"/>
                <w:szCs w:val="21"/>
                <w:lang w:val="en-US" w:eastAsia="zh-CN" w:bidi="ar"/>
              </w:rPr>
              <w:t>V</w:t>
            </w:r>
            <w:r>
              <w:rPr>
                <w:rFonts w:hint="eastAsia" w:ascii="宋体" w:hAnsi="宋体" w:cs="宋体"/>
                <w:color w:val="auto"/>
                <w:kern w:val="0"/>
                <w:sz w:val="21"/>
                <w:szCs w:val="21"/>
                <w:lang w:bidi="ar"/>
              </w:rPr>
              <w:t>）</w:t>
            </w:r>
          </w:p>
          <w:p>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 xml:space="preserve">（2）电池额定容量：≥6.6Ah </w:t>
            </w:r>
          </w:p>
          <w:p>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（3）额定功率≥3×3W ，外形尺寸</w:t>
            </w:r>
            <w:r>
              <w:rPr>
                <w:rFonts w:hint="eastAsia" w:ascii="宋体" w:hAnsi="宋体" w:eastAsia="宋体" w:cs="宋体"/>
                <w:i w:val="0"/>
                <w:iCs w:val="0"/>
                <w:color w:val="auto"/>
                <w:kern w:val="0"/>
                <w:sz w:val="21"/>
                <w:szCs w:val="21"/>
                <w:highlight w:val="none"/>
                <w:u w:val="none"/>
                <w:lang w:val="en-US" w:eastAsia="zh-CN" w:bidi="ar"/>
              </w:rPr>
              <w:t>≤</w:t>
            </w:r>
            <w:r>
              <w:rPr>
                <w:rStyle w:val="170"/>
                <w:rFonts w:hint="eastAsia"/>
                <w:b w:val="0"/>
                <w:bCs w:val="0"/>
                <w:color w:val="auto"/>
                <w:sz w:val="21"/>
                <w:szCs w:val="21"/>
                <w:lang w:val="en-US" w:eastAsia="zh-CN" w:bidi="ar"/>
              </w:rPr>
              <w:t>210mm×75mm×100mm</w:t>
            </w:r>
          </w:p>
          <w:p>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（4）产品可手动上下转动灯头调节光束照射方向，调节角度不低于153度</w:t>
            </w:r>
          </w:p>
          <w:p>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（5）强光模式下连续工作时间≥10h</w:t>
            </w:r>
          </w:p>
          <w:p>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（6）强光工作模式、距灯头中心1m 处光斑中心的照度值≥12010Lx；距灯头中心2m处光斑中心的照度值≥2517Lx</w:t>
            </w:r>
          </w:p>
          <w:p>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★以上需提供（国家安全防范报警产品质量监督检验中心）出具的检测报告证明，报告编号官网可查并截图。</w:t>
            </w:r>
          </w:p>
          <w:p>
            <w:pPr>
              <w:shd w:val="clear" w:color="auto" w:fill="FFFFFF"/>
              <w:spacing w:before="0" w:beforeAutospacing="0" w:after="0" w:afterAutospacing="0" w:line="360" w:lineRule="exact"/>
              <w:ind w:left="0" w:right="0" w:firstLine="210" w:firstLineChars="10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2、具备隐藏式登车梯。安装长排警灯、爆闪灯。</w:t>
            </w:r>
          </w:p>
          <w:p>
            <w:pPr>
              <w:shd w:val="clear" w:color="auto" w:fill="FFFFFF"/>
              <w:spacing w:before="0" w:beforeAutospacing="0" w:after="0" w:afterAutospacing="0" w:line="360" w:lineRule="exact"/>
              <w:ind w:left="0" w:right="0" w:firstLine="210" w:firstLineChars="100"/>
              <w:rPr>
                <w:rFonts w:hint="default" w:eastAsia="宋体" w:cs="Times New Roman"/>
                <w:b w:val="0"/>
                <w:bCs w:val="0"/>
                <w:color w:val="auto"/>
                <w:sz w:val="21"/>
                <w:szCs w:val="21"/>
                <w:lang w:val="en-US" w:eastAsia="zh-CN"/>
              </w:rPr>
            </w:pPr>
            <w:r>
              <w:rPr>
                <w:rStyle w:val="170"/>
                <w:rFonts w:hint="eastAsia"/>
                <w:b w:val="0"/>
                <w:bCs w:val="0"/>
                <w:color w:val="auto"/>
                <w:sz w:val="21"/>
                <w:szCs w:val="21"/>
                <w:lang w:val="en-US" w:eastAsia="zh-CN" w:bidi="ar"/>
              </w:rPr>
              <w:t>3</w:t>
            </w:r>
            <w:r>
              <w:rPr>
                <w:rStyle w:val="170"/>
                <w:rFonts w:hint="default"/>
                <w:b w:val="0"/>
                <w:bCs w:val="0"/>
                <w:color w:val="auto"/>
                <w:sz w:val="21"/>
                <w:szCs w:val="21"/>
                <w:lang w:val="en-US" w:eastAsia="zh-CN" w:bidi="ar"/>
              </w:rPr>
              <w:t>、</w:t>
            </w:r>
            <w:r>
              <w:rPr>
                <w:rFonts w:hint="eastAsia"/>
                <w:color w:val="auto"/>
                <w:sz w:val="21"/>
                <w:szCs w:val="21"/>
              </w:rPr>
              <w:t>随车配备移动灯架，用于电源车自身照明 （升降工作灯：光源由 4*</w:t>
            </w:r>
            <w:r>
              <w:rPr>
                <w:rFonts w:hint="eastAsia"/>
                <w:color w:val="auto"/>
                <w:sz w:val="21"/>
                <w:szCs w:val="21"/>
                <w:lang w:val="en-US" w:eastAsia="zh-CN"/>
              </w:rPr>
              <w:t>10</w:t>
            </w:r>
            <w:r>
              <w:rPr>
                <w:rFonts w:hint="eastAsia"/>
                <w:color w:val="auto"/>
                <w:sz w:val="21"/>
                <w:szCs w:val="21"/>
              </w:rPr>
              <w:t>0W LED 组成，旋转灯杆可 0-360 度调节光束照射角度</w:t>
            </w:r>
            <w:r>
              <w:rPr>
                <w:rFonts w:hint="eastAsia"/>
                <w:color w:val="auto"/>
                <w:sz w:val="21"/>
                <w:szCs w:val="21"/>
                <w:lang w:eastAsia="zh-CN"/>
              </w:rPr>
              <w:t>，</w:t>
            </w:r>
            <w:r>
              <w:rPr>
                <w:rFonts w:hint="eastAsia"/>
                <w:color w:val="auto"/>
                <w:sz w:val="21"/>
                <w:szCs w:val="21"/>
              </w:rPr>
              <w:t>可根据现场需要开启其中任意一组光源进行组合照明，也可将灯头 0-90 度范围内调节旋转，实现多角度，大范围照明。最大升起高度：≥4.8m；升降时间：≤30s；无线遥控：60 米范围内可用；光源在 10m 处光照强度≥385Lx</w:t>
            </w:r>
            <w:r>
              <w:rPr>
                <w:rFonts w:hint="eastAsia"/>
                <w:color w:val="auto"/>
                <w:sz w:val="21"/>
                <w:szCs w:val="21"/>
                <w:lang w:eastAsia="zh-CN"/>
              </w:rPr>
              <w:t>，</w:t>
            </w:r>
            <w:r>
              <w:rPr>
                <w:rFonts w:hint="eastAsia"/>
                <w:color w:val="auto"/>
                <w:sz w:val="21"/>
                <w:szCs w:val="21"/>
              </w:rPr>
              <w:t>5m 处光照强度≥1000Lx）。</w:t>
            </w:r>
          </w:p>
          <w:p>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cs="Times New Roman"/>
                <w:color w:val="auto"/>
                <w:sz w:val="21"/>
                <w:szCs w:val="21"/>
                <w:lang w:val="en-US" w:eastAsia="zh-CN"/>
              </w:rPr>
            </w:pPr>
            <w:r>
              <w:rPr>
                <w:rStyle w:val="170"/>
                <w:rFonts w:hint="eastAsia"/>
                <w:b w:val="0"/>
                <w:bCs w:val="0"/>
                <w:color w:val="auto"/>
                <w:sz w:val="21"/>
                <w:szCs w:val="21"/>
                <w:lang w:val="en-US" w:eastAsia="zh-CN" w:bidi="ar"/>
              </w:rPr>
              <w:t>★</w:t>
            </w:r>
            <w:r>
              <w:rPr>
                <w:rFonts w:hint="eastAsia" w:cs="Times New Roman"/>
                <w:b w:val="0"/>
                <w:bCs w:val="0"/>
                <w:color w:val="auto"/>
                <w:sz w:val="21"/>
                <w:szCs w:val="21"/>
                <w:lang w:val="en-US" w:eastAsia="zh-CN"/>
              </w:rPr>
              <w:t>4</w:t>
            </w:r>
            <w:r>
              <w:rPr>
                <w:rFonts w:hint="eastAsia" w:eastAsia="宋体" w:cs="Times New Roman"/>
                <w:b w:val="0"/>
                <w:bCs w:val="0"/>
                <w:color w:val="auto"/>
                <w:sz w:val="21"/>
                <w:szCs w:val="21"/>
                <w:lang w:val="en-US" w:eastAsia="zh-CN"/>
              </w:rPr>
              <w:t>、投标车辆应已获免征购置税公告，提供免征公告证明文件。</w:t>
            </w:r>
          </w:p>
        </w:tc>
      </w:tr>
    </w:tbl>
    <w:p>
      <w:pPr>
        <w:rPr>
          <w:rFonts w:hint="eastAsia"/>
          <w:b/>
          <w:bCs/>
          <w:color w:val="auto"/>
          <w:sz w:val="21"/>
          <w:szCs w:val="21"/>
          <w:lang w:val="en-US" w:eastAsia="zh-CN"/>
        </w:rPr>
      </w:pPr>
    </w:p>
    <w:p>
      <w:pPr>
        <w:rPr>
          <w:rFonts w:hint="eastAsia" w:eastAsia="宋体"/>
          <w:b/>
          <w:bCs/>
          <w:color w:val="auto"/>
          <w:sz w:val="21"/>
          <w:szCs w:val="21"/>
          <w:lang w:val="en-US" w:eastAsia="zh-CN"/>
        </w:rPr>
      </w:pPr>
      <w:r>
        <w:rPr>
          <w:rFonts w:hint="eastAsia"/>
          <w:b/>
          <w:bCs/>
          <w:color w:val="auto"/>
          <w:sz w:val="21"/>
          <w:szCs w:val="21"/>
          <w:lang w:val="en-US" w:eastAsia="zh-CN"/>
        </w:rPr>
        <w:t>6、后勤保障车辆</w:t>
      </w:r>
      <w:r>
        <w:rPr>
          <w:rFonts w:hint="eastAsia" w:eastAsia="宋体"/>
          <w:b/>
          <w:bCs/>
          <w:color w:val="auto"/>
          <w:sz w:val="21"/>
          <w:szCs w:val="21"/>
          <w:lang w:val="en-US" w:eastAsia="zh-CN"/>
        </w:rPr>
        <w:t>（救援运兵车），文成县，1辆（预算40万元）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1"/>
                <w:szCs w:val="21"/>
                <w:highlight w:val="none"/>
                <w:u w:val="none"/>
                <w:lang w:val="en-US" w:eastAsia="zh-CN" w:bidi="ar-SA"/>
              </w:rPr>
            </w:pPr>
            <w:r>
              <w:rPr>
                <w:rStyle w:val="170"/>
                <w:rFonts w:hint="eastAsia"/>
                <w:color w:val="auto"/>
                <w:sz w:val="21"/>
                <w:szCs w:val="21"/>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文成县</w:t>
            </w:r>
          </w:p>
        </w:tc>
        <w:tc>
          <w:tcPr>
            <w:tcW w:w="1523"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color w:val="auto"/>
                <w:kern w:val="2"/>
                <w:sz w:val="21"/>
                <w:szCs w:val="21"/>
                <w:highlight w:val="none"/>
                <w:lang w:val="en-US" w:eastAsia="zh-CN"/>
              </w:rPr>
              <w:t>招标</w:t>
            </w:r>
            <w:r>
              <w:rPr>
                <w:rFonts w:hint="eastAsia" w:ascii="宋体" w:hAnsi="宋体" w:eastAsia="宋体" w:cs="仿宋_GB2312"/>
                <w:color w:val="auto"/>
                <w:kern w:val="2"/>
                <w:sz w:val="21"/>
                <w:szCs w:val="21"/>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救援运兵车</w:t>
            </w:r>
          </w:p>
        </w:tc>
        <w:tc>
          <w:tcPr>
            <w:tcW w:w="1477"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color w:val="auto"/>
                <w:kern w:val="2"/>
                <w:sz w:val="21"/>
                <w:szCs w:val="21"/>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1.外形尺寸：≥5000×2000×2310(mm)</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2.总质量：≥3500(Kg)</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3.整备质量：≥2550(Kg)</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▲4.额定载客：≥9人，上蓝牌</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★5.驱动方式：四驱</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6.轴距：≥2900(mm)</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7.轴数：2</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★8.最高车速：≥120(km/h)</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9.最大涉水深度(mm) ≥600</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10.最小离地间隙(mm)≥180</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12.排量(ml)：≥2000</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★13.功率(kw)：≥100</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14.燃料种类：汽油或柴油；</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▲15.排放标准：国Ⅵ；</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16.配备转向助力、空调、车顶行李架、后爬梯、车身尾部配备牵引钩；</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17.配备 LED 全红警灯、警报、宣传扩音器；</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18.配备独立座椅安全带、仪表台、USB 插孔收录机、车身两侧护杠、行车记录仪、中控屏尺寸≥7 英寸、倒车影像、倒车雷达、一键启动、无钥匙进入系统；</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19.配备前电动绞盘；</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20.宇通底盘或同档次及以上；</w:t>
            </w:r>
          </w:p>
          <w:p>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21.1套数字车载台（海能达或同档次及以上），采用370频道应急指挥窄带无线通信网；</w:t>
            </w:r>
          </w:p>
          <w:p>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cs="Times New Roman"/>
                <w:color w:val="auto"/>
                <w:sz w:val="21"/>
                <w:szCs w:val="21"/>
                <w:lang w:val="en-US" w:eastAsia="zh-CN"/>
              </w:rPr>
            </w:pPr>
            <w:r>
              <w:rPr>
                <w:rFonts w:hint="eastAsia"/>
                <w:b w:val="0"/>
                <w:bCs w:val="0"/>
                <w:color w:val="auto"/>
                <w:sz w:val="21"/>
                <w:szCs w:val="21"/>
                <w:lang w:eastAsia="zh-CN"/>
              </w:rPr>
              <w:t>车顶加装可折叠升降照明，升降高度≥4.0m(距离地面)，灯具功率≥2*75W，防护等级≥IP65。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both"/>
              <w:rPr>
                <w:rFonts w:hint="eastAsia" w:ascii="宋体" w:hAnsi="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（一）</w:t>
            </w:r>
            <w:r>
              <w:rPr>
                <w:rFonts w:hint="eastAsia" w:ascii="宋体" w:hAnsi="宋体" w:eastAsia="宋体" w:cs="宋体"/>
                <w:color w:val="auto"/>
                <w:sz w:val="21"/>
                <w:szCs w:val="21"/>
              </w:rPr>
              <w:t>无人机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一套</w:t>
            </w:r>
            <w:r>
              <w:rPr>
                <w:rFonts w:hint="eastAsia" w:ascii="宋体" w:hAnsi="宋体" w:eastAsia="宋体" w:cs="宋体"/>
                <w:color w:val="auto"/>
                <w:sz w:val="21"/>
                <w:szCs w:val="21"/>
                <w:lang w:eastAsia="zh-CN"/>
              </w:rPr>
              <w:t>）</w:t>
            </w:r>
          </w:p>
          <w:p>
            <w:pPr>
              <w:spacing w:before="0" w:beforeAutospacing="0" w:after="0" w:afterAutospacing="0"/>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1.起飞重量（无配件）≤950g；</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2.折叠后尺寸（长×宽×高）≤225×100×100mm；</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3.对角线轴距≥380 mm；</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4.最大信号有效距离（无干扰、无遮挡）≥15km；</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5.最长飞行时间≥45分钟；</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6.最大可抗风速≥12m/s；</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7.最大上升速度≥6m/s；</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8.最大下降速度≥6m/s；</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9.最大水平飞行速度≥15m/s；</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10.最大飞行海拔高度≥6000 米；</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11.飞行器的前、后、左、右、上、下均具备视觉或红外</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12.避障传感器，能够在探测到障碍物时在App上进行提醒，并自动减速刹车；</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13.支持一键全景功能；</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14.GNSS支持GPS+GLONASS+BEIDOU，支持单北斗模式；</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15.工作温度范围覆盖-10℃至40℃；</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16.GNSS定位悬停精度垂直≤0.5 m，水平≤0.5m</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17.视觉定位悬停精度垂直≤0.1 m，水平≤0.1 m；</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18.从携行状态到起飞状态的展开时间≤30s；</w:t>
            </w:r>
          </w:p>
          <w:p>
            <w:pPr>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19.图传链路需通过AES-256技术进行加密</w:t>
            </w:r>
            <w:r>
              <w:rPr>
                <w:rFonts w:hint="eastAsia" w:ascii="宋体" w:hAnsi="宋体" w:cs="宋体"/>
                <w:color w:val="auto"/>
                <w:sz w:val="21"/>
                <w:szCs w:val="21"/>
                <w:lang w:eastAsia="zh-CN"/>
              </w:rPr>
              <w:t>；</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20.在自主降落过程中，飞行器能够检测下方地形</w:t>
            </w:r>
            <w:r>
              <w:rPr>
                <w:rFonts w:hint="eastAsia" w:ascii="宋体" w:hAnsi="宋体" w:cs="宋体"/>
                <w:color w:val="auto"/>
                <w:sz w:val="21"/>
                <w:szCs w:val="21"/>
                <w:lang w:eastAsia="zh-CN"/>
              </w:rPr>
              <w:t>，</w:t>
            </w:r>
            <w:r>
              <w:rPr>
                <w:rFonts w:hint="eastAsia" w:ascii="宋体" w:hAnsi="宋体" w:eastAsia="宋体" w:cs="宋体"/>
                <w:color w:val="auto"/>
                <w:sz w:val="21"/>
                <w:szCs w:val="21"/>
              </w:rPr>
              <w:t>当下方地形为不平整地面或水面，飞行器保持悬停，同时通过App向用户发出警示信息；</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21.具备飞行器自检功能；</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22.具备低电量自动返航功能；</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23.具备信号丢失自动返航功能；</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云台相机：</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1.具有长焦可见光、广角可见光和红外热成像相机</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2.广角相机有效像素不低于4800万；长焦相机有效像素不低于1200万</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3.红外传感器分辨率≥640*512</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4.具备三轴机械增稳云台（俯仰、横滚、平移）</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遥控器：</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1.支持2.4G、5.8G图传</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2.具备遥控器和显示屏一体化设计</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电池：</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1.容量≥5000mAh</w:t>
            </w:r>
          </w:p>
          <w:p>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2.能量≥75Wh</w:t>
            </w:r>
          </w:p>
          <w:p>
            <w:pPr>
              <w:spacing w:before="0" w:beforeAutospacing="0" w:after="0" w:afterAutospacing="0"/>
              <w:ind w:left="0" w:right="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3.每台飞行器配备电池数量应不少4块；具备电池管家，电池管家可对3块电池轮充。</w:t>
            </w:r>
            <w:r>
              <w:rPr>
                <w:rFonts w:hint="eastAsia" w:ascii="宋体" w:hAnsi="宋体" w:eastAsia="宋体" w:cs="宋体"/>
                <w:b/>
                <w:bCs/>
                <w:color w:val="auto"/>
                <w:sz w:val="21"/>
                <w:szCs w:val="21"/>
                <w:lang w:val="en-US" w:eastAsia="zh-CN"/>
              </w:rPr>
              <w:t>每台飞行器额外配备三组电池。</w:t>
            </w:r>
          </w:p>
          <w:p>
            <w:pPr>
              <w:spacing w:before="0" w:beforeAutospacing="0" w:after="0" w:afterAutospacing="0"/>
              <w:ind w:left="0" w:right="0"/>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保险：</w:t>
            </w:r>
          </w:p>
          <w:p>
            <w:pPr>
              <w:widowControl/>
              <w:numPr>
                <w:ilvl w:val="0"/>
                <w:numId w:val="0"/>
              </w:numPr>
              <w:wordWrap/>
              <w:adjustRightInd/>
              <w:snapToGrid/>
              <w:spacing w:before="0" w:beforeAutospacing="0" w:after="0" w:afterAutospacing="0" w:line="240" w:lineRule="auto"/>
              <w:ind w:left="0" w:right="0"/>
              <w:jc w:val="left"/>
              <w:textAlignment w:val="center"/>
              <w:rPr>
                <w:rFonts w:hint="eastAsia"/>
                <w:b w:val="0"/>
                <w:bCs w:val="0"/>
                <w:color w:val="auto"/>
                <w:sz w:val="21"/>
                <w:szCs w:val="21"/>
                <w:lang w:eastAsia="zh-CN"/>
              </w:rPr>
            </w:pPr>
            <w:r>
              <w:rPr>
                <w:rFonts w:hint="eastAsia" w:ascii="宋体" w:hAnsi="宋体" w:eastAsia="宋体" w:cs="宋体"/>
                <w:b/>
                <w:bCs/>
                <w:i w:val="0"/>
                <w:iCs w:val="0"/>
                <w:color w:val="auto"/>
                <w:sz w:val="21"/>
                <w:szCs w:val="21"/>
                <w:highlight w:val="none"/>
                <w:u w:val="none"/>
                <w:lang w:val="en-US" w:eastAsia="zh-CN"/>
              </w:rPr>
              <w:t>1.提供一年的飞行保险服务（包括机身损失险、第三方责任险、飞手意外险）。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pPr>
              <w:numPr>
                <w:ilvl w:val="0"/>
                <w:numId w:val="0"/>
              </w:numPr>
              <w:spacing w:before="0" w:beforeAutospacing="0" w:after="0" w:afterAutospacing="0"/>
              <w:ind w:left="0" w:leftChars="0" w:right="0"/>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（二）通信指挥装备（单兵图传）</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套</w:t>
            </w:r>
            <w:r>
              <w:rPr>
                <w:rFonts w:hint="eastAsia" w:ascii="宋体" w:hAnsi="宋体" w:eastAsia="宋体" w:cs="宋体"/>
                <w:color w:val="auto"/>
                <w:sz w:val="21"/>
                <w:szCs w:val="21"/>
                <w:lang w:eastAsia="zh-CN"/>
              </w:rPr>
              <w:t>）</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系统：5G 执法视音频记录仪</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K-PMOS 自主自研系统或同等及以上类似系统</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网络：5G NR n1/n41/n77/n78/n79/n28</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存储：4GB RAM+64GB ROM</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eastAsia="zh-CN"/>
              </w:rPr>
              <w:t xml:space="preserve"> 支持 TF 卡存储扩展</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屏幕：2.4 英寸彩色触摸屏</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主摄像头：800W</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4000万像素，角度水平视场角 121°；副摄像头：500W 固焦</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eastAsia="zh-CN"/>
              </w:rPr>
              <w:t>电池容量：3040mAH，可更换，更换电池不断电，支持快充</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eastAsia="zh-CN"/>
              </w:rPr>
              <w:t>定位：支持独立北斗定位</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lang w:eastAsia="zh-CN"/>
              </w:rPr>
              <w:t>蓝牙：支持，蓝牙 5.1</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lang w:eastAsia="zh-CN"/>
              </w:rPr>
              <w:t>WiFi：支持，802.11 a/b/g/n/ac 2.4G+5G</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lang w:eastAsia="zh-CN"/>
              </w:rPr>
              <w:t>SIM 卡插槽：1×Nano SIM 卡插槽</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lang w:eastAsia="zh-CN"/>
              </w:rPr>
              <w:t>人脸识别：支持，（含戴口罩人脸识别）</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12.数据接口</w:t>
            </w:r>
            <w:r>
              <w:rPr>
                <w:rFonts w:hint="eastAsia" w:ascii="宋体" w:hAnsi="宋体" w:eastAsia="宋体" w:cs="宋体"/>
                <w:b w:val="0"/>
                <w:bCs w:val="0"/>
                <w:color w:val="auto"/>
                <w:sz w:val="21"/>
                <w:szCs w:val="21"/>
                <w:lang w:eastAsia="zh-CN"/>
              </w:rPr>
              <w:t>：WiFi支持，802.11 a/b/g/n/ac 2.4G+5G；USB：USB3.0</w:t>
            </w:r>
          </w:p>
          <w:p>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13.</w:t>
            </w:r>
            <w:r>
              <w:rPr>
                <w:rFonts w:hint="eastAsia" w:ascii="宋体" w:hAnsi="宋体" w:eastAsia="宋体" w:cs="宋体"/>
                <w:b w:val="0"/>
                <w:bCs w:val="0"/>
                <w:color w:val="auto"/>
                <w:sz w:val="21"/>
                <w:szCs w:val="21"/>
                <w:lang w:eastAsia="zh-CN"/>
              </w:rPr>
              <w:t>SIM：1×Nano SIM 卡插槽</w:t>
            </w:r>
          </w:p>
          <w:p>
            <w:pPr>
              <w:numPr>
                <w:ilvl w:val="0"/>
                <w:numId w:val="0"/>
              </w:numPr>
              <w:spacing w:before="0" w:beforeAutospacing="0" w:after="0" w:afterAutospacing="0"/>
              <w:ind w:left="0" w:leftChars="0" w:right="0"/>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14.快捷键：PTT 键、开 / 关机键、录像键、录音键、拍照键、重点文件标记键、自定义功能按键</w:t>
            </w:r>
          </w:p>
          <w:p>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lang w:eastAsia="zh-CN"/>
              </w:rPr>
              <w:t>尺寸：89.4×58.8×31.3mm ( 不含夹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（三）通信指挥装备（布控球）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一套</w:t>
            </w:r>
            <w:r>
              <w:rPr>
                <w:rFonts w:hint="eastAsia" w:ascii="宋体" w:hAnsi="宋体" w:eastAsia="宋体" w:cs="宋体"/>
                <w:color w:val="auto"/>
                <w:sz w:val="21"/>
                <w:szCs w:val="21"/>
                <w:lang w:eastAsia="zh-CN"/>
              </w:rPr>
              <w:t>）</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摄像机图像传感器：1/1.8"800万像素逐行扫描</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最低照度：彩色：0.001 Lux @（F1.6，AGC ON）</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黑白：0.0001Lux @（F1.6，AGC ON）</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宽动态：支持（不小于120dB）</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 xml:space="preserve">信噪比：&gt;59.6dB </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白平衡：自动/手动</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增益控制：自动/手动</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红外距离：200米</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 xml:space="preserve">镜头变倍：30倍光学变倍 </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rPr>
              <w:t>焦距：5.0mm-150mm</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rPr>
              <w:t xml:space="preserve">水平旋转角度：360°连续旋转 </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rPr>
              <w:t>垂直范围：-15°~90°</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12.</w:t>
            </w:r>
            <w:r>
              <w:rPr>
                <w:rFonts w:hint="eastAsia" w:ascii="宋体" w:hAnsi="宋体" w:eastAsia="宋体" w:cs="宋体"/>
                <w:b w:val="0"/>
                <w:bCs w:val="0"/>
                <w:color w:val="auto"/>
                <w:sz w:val="21"/>
                <w:szCs w:val="21"/>
              </w:rPr>
              <w:t>视频编码格式：H.265/H.264</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13.</w:t>
            </w:r>
            <w:r>
              <w:rPr>
                <w:rFonts w:hint="eastAsia" w:ascii="宋体" w:hAnsi="宋体" w:eastAsia="宋体" w:cs="宋体"/>
                <w:b w:val="0"/>
                <w:bCs w:val="0"/>
                <w:color w:val="auto"/>
                <w:sz w:val="21"/>
                <w:szCs w:val="21"/>
              </w:rPr>
              <w:t>最大分辨率：3840*2160</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14.</w:t>
            </w:r>
            <w:r>
              <w:rPr>
                <w:rFonts w:hint="eastAsia" w:ascii="宋体" w:hAnsi="宋体" w:eastAsia="宋体" w:cs="宋体"/>
                <w:b w:val="0"/>
                <w:bCs w:val="0"/>
                <w:color w:val="auto"/>
                <w:sz w:val="21"/>
                <w:szCs w:val="21"/>
              </w:rPr>
              <w:t xml:space="preserve">视频帧率：1～60帧 </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视频码率：256kbps~32Mbps</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16.</w:t>
            </w:r>
            <w:r>
              <w:rPr>
                <w:rFonts w:hint="eastAsia" w:ascii="宋体" w:hAnsi="宋体" w:eastAsia="宋体" w:cs="宋体"/>
                <w:b w:val="0"/>
                <w:bCs w:val="0"/>
                <w:color w:val="auto"/>
                <w:sz w:val="21"/>
                <w:szCs w:val="21"/>
              </w:rPr>
              <w:t>音频编码格式：PCMA(默认)</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PCMU</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G.722.1.C</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ADPCM</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G.722</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AAC_LC，G.726</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17.</w:t>
            </w:r>
            <w:r>
              <w:rPr>
                <w:rFonts w:hint="eastAsia" w:ascii="宋体" w:hAnsi="宋体" w:eastAsia="宋体" w:cs="宋体"/>
                <w:b w:val="0"/>
                <w:bCs w:val="0"/>
                <w:color w:val="auto"/>
                <w:sz w:val="21"/>
                <w:szCs w:val="21"/>
              </w:rPr>
              <w:t>音频采样率：8 KHz -48KHz</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18.</w:t>
            </w:r>
            <w:r>
              <w:rPr>
                <w:rFonts w:hint="eastAsia" w:ascii="宋体" w:hAnsi="宋体" w:eastAsia="宋体" w:cs="宋体"/>
                <w:b w:val="0"/>
                <w:bCs w:val="0"/>
                <w:color w:val="auto"/>
                <w:sz w:val="21"/>
                <w:szCs w:val="21"/>
              </w:rPr>
              <w:t>音频功能：语音对讲、混音、回音抵消</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19.</w:t>
            </w:r>
            <w:r>
              <w:rPr>
                <w:rFonts w:hint="eastAsia" w:ascii="宋体" w:hAnsi="宋体" w:eastAsia="宋体" w:cs="宋体"/>
                <w:b w:val="0"/>
                <w:bCs w:val="0"/>
                <w:color w:val="auto"/>
                <w:sz w:val="21"/>
                <w:szCs w:val="21"/>
              </w:rPr>
              <w:t>网络协议：HTTP、HTTPS、TCP/IP、 RTP、RTCP、RTSP、SIP、UDP、DHCP、FTP、RTMP、DDNS、802.1X、UpnP、SNMP、SMTP、IPV6</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sz w:val="21"/>
                <w:szCs w:val="21"/>
              </w:rPr>
              <w:t>基础智能：移动侦测、故障告警、遮挡告警、警戒线、区域进入/离开、物品遗留/拿取，区域入侵等</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21.</w:t>
            </w:r>
            <w:r>
              <w:rPr>
                <w:rFonts w:hint="eastAsia" w:ascii="宋体" w:hAnsi="宋体" w:eastAsia="宋体" w:cs="宋体"/>
                <w:b w:val="0"/>
                <w:bCs w:val="0"/>
                <w:color w:val="auto"/>
                <w:sz w:val="21"/>
                <w:szCs w:val="21"/>
              </w:rPr>
              <w:t>专业智能：人脸识别，车牌识别、离线布控、违法违章抓拍、人员戴口罩检测、安全帽检测</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sz w:val="21"/>
                <w:szCs w:val="21"/>
              </w:rPr>
              <w:t>网络接口：1×RJ45</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10/100M以太网接口</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23.</w:t>
            </w:r>
            <w:r>
              <w:rPr>
                <w:rFonts w:hint="eastAsia" w:ascii="宋体" w:hAnsi="宋体" w:eastAsia="宋体" w:cs="宋体"/>
                <w:b w:val="0"/>
                <w:bCs w:val="0"/>
                <w:color w:val="auto"/>
                <w:sz w:val="21"/>
                <w:szCs w:val="21"/>
              </w:rPr>
              <w:t>5G/4G/wifi/蓝牙/有线，数据传输便捷</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24.</w:t>
            </w:r>
            <w:r>
              <w:rPr>
                <w:rFonts w:hint="eastAsia" w:ascii="宋体" w:hAnsi="宋体" w:eastAsia="宋体" w:cs="宋体"/>
                <w:b w:val="0"/>
                <w:bCs w:val="0"/>
                <w:color w:val="auto"/>
                <w:sz w:val="21"/>
                <w:szCs w:val="21"/>
              </w:rPr>
              <w:t>音频接口：3.5mm音频接口*2（1路line in输入和1路音频输出）</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rPr>
              <w:t>北斗定位</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26.</w:t>
            </w:r>
            <w:r>
              <w:rPr>
                <w:rFonts w:hint="eastAsia" w:ascii="宋体" w:hAnsi="宋体" w:eastAsia="宋体" w:cs="宋体"/>
                <w:b w:val="0"/>
                <w:bCs w:val="0"/>
                <w:color w:val="auto"/>
                <w:sz w:val="21"/>
                <w:szCs w:val="21"/>
              </w:rPr>
              <w:t>存储接口：支持2*TF卡接口，标配一张128G TF卡</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27.</w:t>
            </w:r>
            <w:r>
              <w:rPr>
                <w:rFonts w:hint="eastAsia" w:ascii="宋体" w:hAnsi="宋体" w:eastAsia="宋体" w:cs="宋体"/>
                <w:b w:val="0"/>
                <w:bCs w:val="0"/>
                <w:color w:val="auto"/>
                <w:sz w:val="21"/>
                <w:szCs w:val="21"/>
              </w:rPr>
              <w:t>电源接口：DC 12V ±10%支持电源适配器供电/充电，内置13600mAH锂电池组</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28.</w:t>
            </w:r>
            <w:r>
              <w:rPr>
                <w:rFonts w:hint="eastAsia" w:ascii="宋体" w:hAnsi="宋体" w:eastAsia="宋体" w:cs="宋体"/>
                <w:b w:val="0"/>
                <w:bCs w:val="0"/>
                <w:color w:val="auto"/>
                <w:sz w:val="21"/>
                <w:szCs w:val="21"/>
              </w:rPr>
              <w:t>电池续航时间：10小时（同时开启录像、图传、注册平台）</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29.</w:t>
            </w:r>
            <w:r>
              <w:rPr>
                <w:rFonts w:hint="eastAsia" w:ascii="宋体" w:hAnsi="宋体" w:eastAsia="宋体" w:cs="宋体"/>
                <w:b w:val="0"/>
                <w:bCs w:val="0"/>
                <w:color w:val="auto"/>
                <w:sz w:val="21"/>
                <w:szCs w:val="21"/>
              </w:rPr>
              <w:t>防护等级：IP67</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30.</w:t>
            </w:r>
            <w:r>
              <w:rPr>
                <w:rFonts w:hint="eastAsia" w:ascii="宋体" w:hAnsi="宋体" w:eastAsia="宋体" w:cs="宋体"/>
                <w:b w:val="0"/>
                <w:bCs w:val="0"/>
                <w:color w:val="auto"/>
                <w:sz w:val="21"/>
                <w:szCs w:val="21"/>
              </w:rPr>
              <w:t>单球尺寸：221.5mm×153mm</w:t>
            </w:r>
          </w:p>
          <w:p>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31.</w:t>
            </w:r>
            <w:r>
              <w:rPr>
                <w:rFonts w:hint="eastAsia" w:ascii="宋体" w:hAnsi="宋体" w:eastAsia="宋体" w:cs="宋体"/>
                <w:b w:val="0"/>
                <w:bCs w:val="0"/>
                <w:color w:val="auto"/>
                <w:sz w:val="21"/>
                <w:szCs w:val="21"/>
              </w:rPr>
              <w:t>支持1.3英寸的显示屏，可显示电池电量、定位、网络信号、蓝牙状态、视图库连接状态、存储卡容量信息</w:t>
            </w:r>
          </w:p>
          <w:p>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32.</w:t>
            </w:r>
            <w:r>
              <w:rPr>
                <w:rFonts w:hint="eastAsia" w:ascii="宋体" w:hAnsi="宋体" w:eastAsia="宋体" w:cs="宋体"/>
                <w:b w:val="0"/>
                <w:bCs w:val="0"/>
                <w:color w:val="auto"/>
                <w:sz w:val="21"/>
                <w:szCs w:val="21"/>
              </w:rPr>
              <w:t>套包标配：DC 12V电源适配器、蓝牙耳机、平板、三脚架、安保箱、转接盘、配套航空延长线、航空转接线、电源线</w:t>
            </w:r>
            <w:r>
              <w:rPr>
                <w:rFonts w:hint="eastAsia" w:ascii="宋体" w:hAnsi="宋体" w:cs="宋体"/>
                <w:b w:val="0"/>
                <w:bCs w:val="0"/>
                <w:color w:val="auto"/>
                <w:sz w:val="21"/>
                <w:szCs w:val="21"/>
                <w:lang w:eastAsia="zh-CN"/>
              </w:rPr>
              <w:t>。</w:t>
            </w:r>
          </w:p>
        </w:tc>
      </w:tr>
    </w:tbl>
    <w:p>
      <w:pPr>
        <w:rPr>
          <w:rFonts w:hint="eastAsia"/>
          <w:b/>
          <w:bCs/>
          <w:color w:val="auto"/>
          <w:sz w:val="24"/>
          <w:szCs w:val="32"/>
          <w:lang w:val="en-US" w:eastAsia="zh-CN"/>
        </w:rPr>
      </w:pPr>
    </w:p>
    <w:p>
      <w:pPr>
        <w:rPr>
          <w:rFonts w:hint="eastAsia" w:ascii="宋体" w:hAnsi="宋体" w:cs="仿宋_GB2312"/>
          <w:b/>
          <w:bCs/>
          <w:color w:val="auto"/>
          <w:kern w:val="2"/>
          <w:sz w:val="22"/>
          <w:szCs w:val="22"/>
          <w:highlight w:val="none"/>
          <w:lang w:val="en-US" w:eastAsia="zh-CN"/>
        </w:rPr>
      </w:pPr>
      <w:r>
        <w:rPr>
          <w:rFonts w:hint="eastAsia"/>
          <w:b/>
          <w:bCs/>
          <w:color w:val="auto"/>
          <w:sz w:val="24"/>
          <w:szCs w:val="32"/>
          <w:lang w:val="en-US" w:eastAsia="zh-CN"/>
        </w:rPr>
        <w:t>7、后勤保障车辆（装备</w:t>
      </w:r>
      <w:r>
        <w:rPr>
          <w:rFonts w:hint="eastAsia" w:eastAsia="宋体"/>
          <w:b/>
          <w:bCs/>
          <w:color w:val="auto"/>
          <w:sz w:val="24"/>
          <w:szCs w:val="32"/>
          <w:lang w:val="en-US" w:eastAsia="zh-CN"/>
        </w:rPr>
        <w:t>运输车），文成县，2辆（预算80万元）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宋体"/>
                <w:b w:val="0"/>
                <w:bCs w:val="0"/>
                <w:i w:val="0"/>
                <w:iCs w:val="0"/>
                <w:color w:val="auto"/>
                <w:kern w:val="0"/>
                <w:sz w:val="21"/>
                <w:szCs w:val="21"/>
                <w:u w:val="none"/>
                <w:lang w:val="en-US" w:eastAsia="zh-CN"/>
              </w:rPr>
              <w:t>文成县</w:t>
            </w:r>
          </w:p>
        </w:tc>
        <w:tc>
          <w:tcPr>
            <w:tcW w:w="1523"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装备运输车</w:t>
            </w:r>
          </w:p>
        </w:tc>
        <w:tc>
          <w:tcPr>
            <w:tcW w:w="1477"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color w:val="auto"/>
              </w:rPr>
            </w:pPr>
            <w:r>
              <w:rPr>
                <w:rFonts w:hint="eastAsia"/>
                <w:color w:val="auto"/>
              </w:rPr>
              <w:t xml:space="preserve">一、主要技术参数： </w:t>
            </w:r>
          </w:p>
          <w:p>
            <w:pPr>
              <w:spacing w:before="0" w:beforeAutospacing="0" w:after="0" w:afterAutospacing="0"/>
              <w:ind w:left="0" w:right="0"/>
              <w:rPr>
                <w:rFonts w:hint="eastAsia"/>
                <w:color w:val="auto"/>
              </w:rPr>
            </w:pPr>
            <w:r>
              <w:rPr>
                <w:rFonts w:hint="eastAsia"/>
                <w:color w:val="auto"/>
              </w:rPr>
              <w:t xml:space="preserve">★1、 燃油种类：柴油 </w:t>
            </w:r>
          </w:p>
          <w:p>
            <w:pPr>
              <w:spacing w:before="0" w:beforeAutospacing="0" w:after="0" w:afterAutospacing="0"/>
              <w:ind w:left="0" w:right="0"/>
              <w:rPr>
                <w:rFonts w:hint="eastAsia"/>
                <w:color w:val="auto"/>
              </w:rPr>
            </w:pPr>
            <w:r>
              <w:rPr>
                <w:rFonts w:hint="eastAsia"/>
                <w:color w:val="auto"/>
              </w:rPr>
              <w:t>▲2、 排放标准：国Ⅵ</w:t>
            </w:r>
            <w:r>
              <w:rPr>
                <w:rFonts w:hint="eastAsia"/>
                <w:b w:val="0"/>
                <w:bCs w:val="0"/>
                <w:color w:val="auto"/>
                <w:sz w:val="21"/>
                <w:szCs w:val="32"/>
                <w:lang w:eastAsia="zh-CN"/>
              </w:rPr>
              <w:t>，上蓝牌</w:t>
            </w:r>
          </w:p>
          <w:p>
            <w:pPr>
              <w:spacing w:before="0" w:beforeAutospacing="0" w:after="0" w:afterAutospacing="0"/>
              <w:ind w:left="0" w:right="0"/>
              <w:rPr>
                <w:rFonts w:hint="eastAsia"/>
                <w:color w:val="auto"/>
              </w:rPr>
            </w:pPr>
            <w:r>
              <w:rPr>
                <w:rFonts w:hint="eastAsia"/>
                <w:color w:val="auto"/>
              </w:rPr>
              <w:t>★3、排量(ml)</w:t>
            </w:r>
            <w:r>
              <w:rPr>
                <w:rFonts w:hint="eastAsia"/>
                <w:color w:val="auto"/>
                <w:lang w:eastAsia="zh-CN"/>
              </w:rPr>
              <w:t>：</w:t>
            </w:r>
            <w:r>
              <w:rPr>
                <w:rFonts w:hint="eastAsia"/>
                <w:color w:val="auto"/>
              </w:rPr>
              <w:t xml:space="preserve">≥2300 </w:t>
            </w:r>
          </w:p>
          <w:p>
            <w:pPr>
              <w:spacing w:before="0" w:beforeAutospacing="0" w:after="0" w:afterAutospacing="0"/>
              <w:ind w:left="0" w:right="0"/>
              <w:rPr>
                <w:rFonts w:hint="eastAsia"/>
                <w:color w:val="auto"/>
              </w:rPr>
            </w:pPr>
            <w:r>
              <w:rPr>
                <w:rFonts w:hint="eastAsia"/>
                <w:color w:val="auto"/>
              </w:rPr>
              <w:t>4、功率（kw)</w:t>
            </w:r>
            <w:r>
              <w:rPr>
                <w:rFonts w:hint="eastAsia"/>
                <w:color w:val="auto"/>
                <w:lang w:eastAsia="zh-CN"/>
              </w:rPr>
              <w:t>：</w:t>
            </w:r>
            <w:r>
              <w:rPr>
                <w:rFonts w:hint="eastAsia"/>
                <w:color w:val="auto"/>
              </w:rPr>
              <w:t>≥130</w:t>
            </w:r>
          </w:p>
          <w:p>
            <w:pPr>
              <w:spacing w:before="0" w:beforeAutospacing="0" w:after="0" w:afterAutospacing="0"/>
              <w:ind w:left="0" w:right="0"/>
              <w:rPr>
                <w:rFonts w:hint="eastAsia"/>
                <w:color w:val="auto"/>
              </w:rPr>
            </w:pPr>
            <w:r>
              <w:rPr>
                <w:rFonts w:hint="eastAsia"/>
                <w:color w:val="auto"/>
              </w:rPr>
              <w:t>5、变速箱：≥9AT</w:t>
            </w:r>
          </w:p>
          <w:p>
            <w:pPr>
              <w:spacing w:before="0" w:beforeAutospacing="0" w:after="0" w:afterAutospacing="0"/>
              <w:ind w:left="0" w:right="0"/>
              <w:rPr>
                <w:rFonts w:hint="eastAsia"/>
                <w:color w:val="auto"/>
              </w:rPr>
            </w:pPr>
            <w:r>
              <w:rPr>
                <w:rFonts w:hint="eastAsia"/>
                <w:color w:val="auto"/>
              </w:rPr>
              <w:t>★6、车身尺寸：长</w:t>
            </w:r>
            <w:r>
              <w:rPr>
                <w:rFonts w:hint="eastAsia"/>
                <w:color w:val="auto"/>
                <w:lang w:eastAsia="zh-CN"/>
              </w:rPr>
              <w:t>：</w:t>
            </w:r>
            <w:r>
              <w:rPr>
                <w:rFonts w:hint="eastAsia"/>
                <w:color w:val="auto"/>
              </w:rPr>
              <w:t>5200mm～5650mm  宽：1860mm～1990mm 高</w:t>
            </w:r>
            <w:r>
              <w:rPr>
                <w:rFonts w:hint="eastAsia"/>
                <w:color w:val="auto"/>
                <w:lang w:eastAsia="zh-CN"/>
              </w:rPr>
              <w:t>：</w:t>
            </w:r>
            <w:r>
              <w:rPr>
                <w:rFonts w:hint="eastAsia"/>
                <w:color w:val="auto"/>
              </w:rPr>
              <w:t>1750mm～1990mm；货厢尺寸：长</w:t>
            </w:r>
            <w:r>
              <w:rPr>
                <w:rFonts w:hint="eastAsia"/>
                <w:color w:val="auto"/>
                <w:lang w:eastAsia="zh-CN"/>
              </w:rPr>
              <w:t>：</w:t>
            </w:r>
            <w:r>
              <w:rPr>
                <w:rFonts w:hint="eastAsia"/>
                <w:color w:val="auto"/>
              </w:rPr>
              <w:t>1490mm～1850mm  宽：1450mm～1580mm 高</w:t>
            </w:r>
            <w:r>
              <w:rPr>
                <w:rFonts w:hint="eastAsia"/>
                <w:color w:val="auto"/>
                <w:lang w:eastAsia="zh-CN"/>
              </w:rPr>
              <w:t>：</w:t>
            </w:r>
            <w:r>
              <w:rPr>
                <w:rFonts w:hint="eastAsia"/>
                <w:color w:val="auto"/>
              </w:rPr>
              <w:t>490mm～550mm</w:t>
            </w:r>
          </w:p>
          <w:p>
            <w:pPr>
              <w:spacing w:before="0" w:beforeAutospacing="0" w:after="0" w:afterAutospacing="0"/>
              <w:ind w:left="0" w:right="0"/>
              <w:rPr>
                <w:rFonts w:hint="eastAsia"/>
                <w:color w:val="auto"/>
              </w:rPr>
            </w:pPr>
            <w:r>
              <w:rPr>
                <w:rFonts w:hint="eastAsia"/>
                <w:color w:val="auto"/>
              </w:rPr>
              <w:t xml:space="preserve">7、 轴数：2 </w:t>
            </w:r>
          </w:p>
          <w:p>
            <w:pPr>
              <w:spacing w:before="0" w:beforeAutospacing="0" w:after="0" w:afterAutospacing="0"/>
              <w:ind w:left="0" w:right="0"/>
              <w:rPr>
                <w:rFonts w:hint="eastAsia"/>
                <w:color w:val="auto"/>
              </w:rPr>
            </w:pPr>
            <w:r>
              <w:rPr>
                <w:rFonts w:hint="eastAsia"/>
                <w:color w:val="auto"/>
              </w:rPr>
              <w:t>8、 轮胎规格：≥265/65R18</w:t>
            </w:r>
          </w:p>
          <w:p>
            <w:pPr>
              <w:spacing w:before="0" w:beforeAutospacing="0" w:after="0" w:afterAutospacing="0"/>
              <w:ind w:left="0" w:right="0"/>
              <w:rPr>
                <w:rFonts w:hint="eastAsia"/>
                <w:color w:val="auto"/>
              </w:rPr>
            </w:pPr>
            <w:r>
              <w:rPr>
                <w:rFonts w:hint="eastAsia"/>
                <w:color w:val="auto"/>
              </w:rPr>
              <w:t>★9、 整备质量（kg）：1850～2400</w:t>
            </w:r>
          </w:p>
          <w:p>
            <w:pPr>
              <w:spacing w:before="0" w:beforeAutospacing="0" w:after="0" w:afterAutospacing="0"/>
              <w:ind w:left="0" w:right="0"/>
              <w:rPr>
                <w:rFonts w:hint="eastAsia"/>
                <w:color w:val="auto"/>
              </w:rPr>
            </w:pPr>
            <w:r>
              <w:rPr>
                <w:rFonts w:hint="eastAsia"/>
                <w:color w:val="auto"/>
              </w:rPr>
              <w:t>10、总质量（kg）：2850～3150</w:t>
            </w:r>
          </w:p>
          <w:p>
            <w:pPr>
              <w:spacing w:before="0" w:beforeAutospacing="0" w:after="0" w:afterAutospacing="0"/>
              <w:ind w:left="0" w:right="0"/>
              <w:rPr>
                <w:rFonts w:hint="eastAsia"/>
                <w:color w:val="auto"/>
              </w:rPr>
            </w:pPr>
            <w:r>
              <w:rPr>
                <w:rFonts w:hint="eastAsia"/>
                <w:color w:val="auto"/>
              </w:rPr>
              <w:t>11、轴距（mm）：≥3200</w:t>
            </w:r>
          </w:p>
          <w:p>
            <w:pPr>
              <w:spacing w:before="0" w:beforeAutospacing="0" w:after="0" w:afterAutospacing="0"/>
              <w:ind w:left="0" w:right="0"/>
              <w:rPr>
                <w:rFonts w:hint="eastAsia"/>
                <w:color w:val="auto"/>
              </w:rPr>
            </w:pPr>
            <w:r>
              <w:rPr>
                <w:rFonts w:hint="eastAsia"/>
                <w:color w:val="auto"/>
              </w:rPr>
              <w:t>12、接近角/离去角（º）：≥28°/20°</w:t>
            </w:r>
          </w:p>
          <w:p>
            <w:pPr>
              <w:spacing w:before="0" w:beforeAutospacing="0" w:after="0" w:afterAutospacing="0"/>
              <w:ind w:left="0" w:right="0"/>
              <w:rPr>
                <w:rFonts w:hint="eastAsia"/>
                <w:color w:val="auto"/>
              </w:rPr>
            </w:pPr>
            <w:r>
              <w:rPr>
                <w:rFonts w:hint="eastAsia"/>
                <w:color w:val="auto"/>
              </w:rPr>
              <w:t>13、驾驶室准乘人数（人）：2+3</w:t>
            </w:r>
          </w:p>
          <w:p>
            <w:pPr>
              <w:spacing w:before="0" w:beforeAutospacing="0" w:after="0" w:afterAutospacing="0"/>
              <w:ind w:left="0" w:right="0"/>
              <w:rPr>
                <w:rFonts w:hint="eastAsia"/>
                <w:color w:val="auto"/>
              </w:rPr>
            </w:pPr>
            <w:r>
              <w:rPr>
                <w:rFonts w:hint="eastAsia"/>
                <w:color w:val="auto"/>
              </w:rPr>
              <w:t>14、最小离地间隙(mm)：≥225</w:t>
            </w:r>
          </w:p>
          <w:p>
            <w:pPr>
              <w:spacing w:before="0" w:beforeAutospacing="0" w:after="0" w:afterAutospacing="0"/>
              <w:ind w:left="0" w:right="0"/>
              <w:rPr>
                <w:rFonts w:hint="eastAsia"/>
                <w:color w:val="auto"/>
              </w:rPr>
            </w:pPr>
            <w:r>
              <w:rPr>
                <w:rFonts w:hint="eastAsia"/>
                <w:color w:val="auto"/>
              </w:rPr>
              <w:t>15、最高时速（km/h）</w:t>
            </w:r>
            <w:r>
              <w:rPr>
                <w:rFonts w:hint="eastAsia"/>
                <w:color w:val="auto"/>
                <w:lang w:eastAsia="zh-CN"/>
              </w:rPr>
              <w:t>：</w:t>
            </w:r>
            <w:r>
              <w:rPr>
                <w:rFonts w:hint="eastAsia"/>
                <w:color w:val="auto"/>
              </w:rPr>
              <w:t xml:space="preserve"> ≥140</w:t>
            </w:r>
          </w:p>
          <w:p>
            <w:pPr>
              <w:spacing w:before="0" w:beforeAutospacing="0" w:after="0" w:afterAutospacing="0"/>
              <w:ind w:left="0" w:right="0"/>
              <w:rPr>
                <w:rFonts w:hint="eastAsia"/>
                <w:color w:val="auto"/>
              </w:rPr>
            </w:pPr>
            <w:r>
              <w:rPr>
                <w:rFonts w:hint="eastAsia"/>
                <w:color w:val="auto"/>
              </w:rPr>
              <w:t>16、具有拖车接口和拖车取电接口</w:t>
            </w:r>
          </w:p>
          <w:p>
            <w:pPr>
              <w:spacing w:before="0" w:beforeAutospacing="0" w:after="0" w:afterAutospacing="0"/>
              <w:ind w:left="0" w:right="0"/>
              <w:rPr>
                <w:rFonts w:hint="eastAsia"/>
                <w:color w:val="auto"/>
              </w:rPr>
            </w:pPr>
            <w:r>
              <w:rPr>
                <w:rFonts w:hint="eastAsia"/>
                <w:color w:val="auto"/>
              </w:rPr>
              <w:t>二、基本配置：</w:t>
            </w:r>
          </w:p>
          <w:p>
            <w:pPr>
              <w:spacing w:before="0" w:beforeAutospacing="0" w:after="0" w:afterAutospacing="0"/>
              <w:ind w:left="0" w:right="0"/>
              <w:rPr>
                <w:rFonts w:hint="eastAsia"/>
                <w:color w:val="auto"/>
              </w:rPr>
            </w:pPr>
            <w:r>
              <w:rPr>
                <w:rFonts w:hint="eastAsia"/>
                <w:color w:val="auto"/>
              </w:rPr>
              <w:t>★1、采用4×4四轮驱动；</w:t>
            </w:r>
          </w:p>
          <w:p>
            <w:pPr>
              <w:spacing w:before="0" w:beforeAutospacing="0" w:after="0" w:afterAutospacing="0"/>
              <w:ind w:left="0" w:right="0"/>
              <w:rPr>
                <w:rFonts w:hint="eastAsia"/>
                <w:color w:val="auto"/>
              </w:rPr>
            </w:pPr>
            <w:r>
              <w:rPr>
                <w:rFonts w:hint="eastAsia"/>
                <w:color w:val="auto"/>
              </w:rPr>
              <w:t>2、蓝牌、五座、主驾驶座椅可调节、整车皮质座椅、主副驾驶双安全气囊、四门一键升降+防夹+自动闭窗、电子稳定控制系统(ESP)、倒车雷达、倒车影像、电动门窗、自动空调、胎压监测、上坡辅助、车顶行李架、车载导航、铝合金轮毂、昼间行车灯、无钥匙进入及一键启动、后窗电动热除霜；</w:t>
            </w:r>
          </w:p>
          <w:p>
            <w:pPr>
              <w:spacing w:before="0" w:beforeAutospacing="0" w:after="0" w:afterAutospacing="0"/>
              <w:ind w:left="0" w:right="0"/>
              <w:rPr>
                <w:rFonts w:hint="eastAsia"/>
                <w:color w:val="auto"/>
              </w:rPr>
            </w:pPr>
            <w:r>
              <w:rPr>
                <w:rFonts w:hint="eastAsia"/>
                <w:color w:val="auto"/>
                <w:lang w:val="en-US" w:eastAsia="zh-CN"/>
              </w:rPr>
              <w:t>3</w:t>
            </w:r>
            <w:r>
              <w:rPr>
                <w:rFonts w:hint="eastAsia"/>
                <w:color w:val="auto"/>
              </w:rPr>
              <w:t>、整车符合国家工信部要求，文件内需提供投标车辆 3C认证证书及国家相关部门出具的车辆检验报告。</w:t>
            </w:r>
          </w:p>
          <w:p>
            <w:pPr>
              <w:spacing w:before="0" w:beforeAutospacing="0" w:after="0" w:afterAutospacing="0"/>
              <w:ind w:left="0" w:right="0"/>
              <w:rPr>
                <w:rFonts w:hint="eastAsia"/>
                <w:color w:val="auto"/>
              </w:rPr>
            </w:pPr>
            <w:r>
              <w:rPr>
                <w:rFonts w:hint="eastAsia"/>
                <w:color w:val="auto"/>
              </w:rPr>
              <w:t>三、专用配置</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每个车辆最低配置</w:t>
            </w:r>
            <w:r>
              <w:rPr>
                <w:rFonts w:hint="eastAsia" w:ascii="宋体" w:hAnsi="宋体" w:cs="宋体"/>
                <w:color w:val="auto"/>
                <w:kern w:val="0"/>
                <w:sz w:val="20"/>
                <w:szCs w:val="20"/>
              </w:rPr>
              <w:t>）</w:t>
            </w:r>
            <w:r>
              <w:rPr>
                <w:rFonts w:hint="eastAsia"/>
                <w:color w:val="auto"/>
              </w:rPr>
              <w:t>：</w:t>
            </w:r>
          </w:p>
          <w:p>
            <w:pPr>
              <w:spacing w:before="0" w:beforeAutospacing="0" w:after="0" w:afterAutospacing="0"/>
              <w:ind w:left="0" w:right="0"/>
              <w:rPr>
                <w:rFonts w:hint="eastAsia"/>
                <w:color w:val="auto"/>
              </w:rPr>
            </w:pPr>
            <w:r>
              <w:rPr>
                <w:rFonts w:hint="eastAsia"/>
                <w:color w:val="auto"/>
              </w:rPr>
              <w:t>1、驾驶室顶部前端装配森林消防专用警灯，实现喊话警示作用，能够连接U盘，实现自动播放宣传语音等功能。</w:t>
            </w:r>
          </w:p>
          <w:p>
            <w:pPr>
              <w:spacing w:before="0" w:beforeAutospacing="0" w:after="0" w:afterAutospacing="0"/>
              <w:ind w:left="0" w:right="0"/>
              <w:rPr>
                <w:rFonts w:hint="eastAsia"/>
                <w:color w:val="auto"/>
              </w:rPr>
            </w:pPr>
            <w:r>
              <w:rPr>
                <w:rFonts w:hint="eastAsia"/>
                <w:color w:val="auto"/>
              </w:rPr>
              <w:t>★2、无人机一套：</w:t>
            </w:r>
          </w:p>
          <w:p>
            <w:pPr>
              <w:spacing w:before="0" w:beforeAutospacing="0" w:after="0" w:afterAutospacing="0"/>
              <w:ind w:left="0" w:right="0"/>
              <w:rPr>
                <w:rFonts w:hint="eastAsia"/>
                <w:color w:val="auto"/>
              </w:rPr>
            </w:pPr>
            <w:r>
              <w:rPr>
                <w:rFonts w:hint="eastAsia"/>
                <w:color w:val="auto"/>
              </w:rPr>
              <w:t>1）起飞重量（无配件）≤950g；</w:t>
            </w:r>
          </w:p>
          <w:p>
            <w:pPr>
              <w:spacing w:before="0" w:beforeAutospacing="0" w:after="0" w:afterAutospacing="0"/>
              <w:ind w:left="0" w:right="0"/>
              <w:rPr>
                <w:rFonts w:hint="eastAsia"/>
                <w:color w:val="auto"/>
              </w:rPr>
            </w:pPr>
            <w:r>
              <w:rPr>
                <w:rFonts w:hint="eastAsia"/>
                <w:color w:val="auto"/>
              </w:rPr>
              <w:t>2）折叠后尺寸（长×宽×高）≤225×100×100mm；</w:t>
            </w:r>
          </w:p>
          <w:p>
            <w:pPr>
              <w:spacing w:before="0" w:beforeAutospacing="0" w:after="0" w:afterAutospacing="0"/>
              <w:ind w:left="0" w:right="0"/>
              <w:rPr>
                <w:rFonts w:hint="eastAsia"/>
                <w:color w:val="auto"/>
              </w:rPr>
            </w:pPr>
            <w:r>
              <w:rPr>
                <w:rFonts w:hint="eastAsia"/>
                <w:color w:val="auto"/>
              </w:rPr>
              <w:t>3）对角线轴距≥380 mm；</w:t>
            </w:r>
          </w:p>
          <w:p>
            <w:pPr>
              <w:spacing w:before="0" w:beforeAutospacing="0" w:after="0" w:afterAutospacing="0"/>
              <w:ind w:left="0" w:right="0"/>
              <w:rPr>
                <w:rFonts w:hint="eastAsia"/>
                <w:color w:val="auto"/>
              </w:rPr>
            </w:pPr>
            <w:r>
              <w:rPr>
                <w:rFonts w:hint="eastAsia"/>
                <w:color w:val="auto"/>
              </w:rPr>
              <w:t>4）最大信号有效距离（无干扰、无遮挡）≥15km；</w:t>
            </w:r>
          </w:p>
          <w:p>
            <w:pPr>
              <w:spacing w:before="0" w:beforeAutospacing="0" w:after="0" w:afterAutospacing="0"/>
              <w:ind w:left="0" w:right="0"/>
              <w:rPr>
                <w:rFonts w:hint="eastAsia"/>
                <w:color w:val="auto"/>
              </w:rPr>
            </w:pPr>
            <w:r>
              <w:rPr>
                <w:rFonts w:hint="eastAsia"/>
                <w:color w:val="auto"/>
              </w:rPr>
              <w:t>5）最长飞行时间≥45分钟；</w:t>
            </w:r>
          </w:p>
          <w:p>
            <w:pPr>
              <w:spacing w:before="0" w:beforeAutospacing="0" w:after="0" w:afterAutospacing="0"/>
              <w:ind w:left="0" w:right="0"/>
              <w:rPr>
                <w:rFonts w:hint="eastAsia"/>
                <w:color w:val="auto"/>
              </w:rPr>
            </w:pPr>
            <w:r>
              <w:rPr>
                <w:rFonts w:hint="eastAsia"/>
                <w:color w:val="auto"/>
              </w:rPr>
              <w:t>6）最大可抗风速≥12m/s；</w:t>
            </w:r>
          </w:p>
          <w:p>
            <w:pPr>
              <w:spacing w:before="0" w:beforeAutospacing="0" w:after="0" w:afterAutospacing="0"/>
              <w:ind w:left="0" w:right="0"/>
              <w:rPr>
                <w:rFonts w:hint="eastAsia"/>
                <w:color w:val="auto"/>
              </w:rPr>
            </w:pPr>
            <w:r>
              <w:rPr>
                <w:rFonts w:hint="eastAsia"/>
                <w:color w:val="auto"/>
              </w:rPr>
              <w:t>7）最大上升速度≥6m/s；</w:t>
            </w:r>
          </w:p>
          <w:p>
            <w:pPr>
              <w:spacing w:before="0" w:beforeAutospacing="0" w:after="0" w:afterAutospacing="0"/>
              <w:ind w:left="0" w:right="0"/>
              <w:rPr>
                <w:rFonts w:hint="eastAsia"/>
                <w:color w:val="auto"/>
              </w:rPr>
            </w:pPr>
            <w:r>
              <w:rPr>
                <w:rFonts w:hint="eastAsia"/>
                <w:color w:val="auto"/>
              </w:rPr>
              <w:t>8）最大下降速度≥6m/s；</w:t>
            </w:r>
          </w:p>
          <w:p>
            <w:pPr>
              <w:spacing w:before="0" w:beforeAutospacing="0" w:after="0" w:afterAutospacing="0"/>
              <w:ind w:left="0" w:right="0"/>
              <w:rPr>
                <w:rFonts w:hint="eastAsia"/>
                <w:color w:val="auto"/>
              </w:rPr>
            </w:pPr>
            <w:r>
              <w:rPr>
                <w:rFonts w:hint="eastAsia"/>
                <w:color w:val="auto"/>
              </w:rPr>
              <w:t>9）最大水平飞行速度≥15m/s；</w:t>
            </w:r>
          </w:p>
          <w:p>
            <w:pPr>
              <w:spacing w:before="0" w:beforeAutospacing="0" w:after="0" w:afterAutospacing="0"/>
              <w:ind w:left="0" w:right="0"/>
              <w:rPr>
                <w:rFonts w:hint="eastAsia"/>
                <w:color w:val="auto"/>
              </w:rPr>
            </w:pPr>
            <w:r>
              <w:rPr>
                <w:rFonts w:hint="eastAsia"/>
                <w:color w:val="auto"/>
              </w:rPr>
              <w:t>10）最大飞行海拔高度≥6000 米；</w:t>
            </w:r>
          </w:p>
          <w:p>
            <w:pPr>
              <w:spacing w:before="0" w:beforeAutospacing="0" w:after="0" w:afterAutospacing="0"/>
              <w:ind w:left="0" w:right="0"/>
              <w:rPr>
                <w:rFonts w:hint="eastAsia"/>
                <w:color w:val="auto"/>
              </w:rPr>
            </w:pPr>
            <w:r>
              <w:rPr>
                <w:rFonts w:hint="eastAsia"/>
                <w:color w:val="auto"/>
              </w:rPr>
              <w:t>11）飞行器的前、后、左、右、上、下均具备视觉或红外</w:t>
            </w:r>
          </w:p>
          <w:p>
            <w:pPr>
              <w:spacing w:before="0" w:beforeAutospacing="0" w:after="0" w:afterAutospacing="0"/>
              <w:ind w:left="0" w:right="0"/>
              <w:rPr>
                <w:rFonts w:hint="eastAsia"/>
                <w:color w:val="auto"/>
              </w:rPr>
            </w:pPr>
            <w:r>
              <w:rPr>
                <w:rFonts w:hint="eastAsia"/>
                <w:color w:val="auto"/>
              </w:rPr>
              <w:t>12）避障传感器，能够在探测到障碍物时在App上进行提醒，并自动减速刹车；</w:t>
            </w:r>
          </w:p>
          <w:p>
            <w:pPr>
              <w:spacing w:before="0" w:beforeAutospacing="0" w:after="0" w:afterAutospacing="0"/>
              <w:ind w:left="0" w:right="0"/>
              <w:rPr>
                <w:rFonts w:hint="eastAsia"/>
                <w:color w:val="auto"/>
              </w:rPr>
            </w:pPr>
            <w:r>
              <w:rPr>
                <w:rFonts w:hint="eastAsia"/>
                <w:color w:val="auto"/>
              </w:rPr>
              <w:t>13）支持一键全景功能；</w:t>
            </w:r>
          </w:p>
          <w:p>
            <w:pPr>
              <w:spacing w:before="0" w:beforeAutospacing="0" w:after="0" w:afterAutospacing="0"/>
              <w:ind w:left="0" w:right="0"/>
              <w:rPr>
                <w:rFonts w:hint="eastAsia"/>
                <w:color w:val="auto"/>
              </w:rPr>
            </w:pPr>
            <w:r>
              <w:rPr>
                <w:rFonts w:hint="eastAsia"/>
                <w:color w:val="auto"/>
              </w:rPr>
              <w:t>14）GNSS支持GPS+GLONASS+BEIDOU，支持单北斗模式；</w:t>
            </w:r>
          </w:p>
          <w:p>
            <w:pPr>
              <w:spacing w:before="0" w:beforeAutospacing="0" w:after="0" w:afterAutospacing="0"/>
              <w:ind w:left="0" w:right="0"/>
              <w:rPr>
                <w:rFonts w:hint="eastAsia"/>
                <w:color w:val="auto"/>
              </w:rPr>
            </w:pPr>
            <w:r>
              <w:rPr>
                <w:rFonts w:hint="eastAsia"/>
                <w:color w:val="auto"/>
              </w:rPr>
              <w:t>15）工作温度范围覆盖-10℃至40℃；</w:t>
            </w:r>
          </w:p>
          <w:p>
            <w:pPr>
              <w:spacing w:before="0" w:beforeAutospacing="0" w:after="0" w:afterAutospacing="0"/>
              <w:ind w:left="0" w:right="0"/>
              <w:rPr>
                <w:rFonts w:hint="eastAsia"/>
                <w:color w:val="auto"/>
              </w:rPr>
            </w:pPr>
            <w:r>
              <w:rPr>
                <w:rFonts w:hint="eastAsia"/>
                <w:color w:val="auto"/>
              </w:rPr>
              <w:t>16）GNSS定位悬停精度垂直≤0.5 m，水平≤0.5m</w:t>
            </w:r>
          </w:p>
          <w:p>
            <w:pPr>
              <w:spacing w:before="0" w:beforeAutospacing="0" w:after="0" w:afterAutospacing="0"/>
              <w:ind w:left="0" w:right="0"/>
              <w:rPr>
                <w:rFonts w:hint="eastAsia"/>
                <w:color w:val="auto"/>
              </w:rPr>
            </w:pPr>
            <w:r>
              <w:rPr>
                <w:rFonts w:hint="eastAsia"/>
                <w:color w:val="auto"/>
              </w:rPr>
              <w:t>17）视觉定位悬停精度垂直≤0.1 m，水平≤0.1 m；</w:t>
            </w:r>
          </w:p>
          <w:p>
            <w:pPr>
              <w:spacing w:before="0" w:beforeAutospacing="0" w:after="0" w:afterAutospacing="0"/>
              <w:ind w:left="0" w:right="0"/>
              <w:rPr>
                <w:rFonts w:hint="eastAsia"/>
                <w:color w:val="auto"/>
              </w:rPr>
            </w:pPr>
            <w:r>
              <w:rPr>
                <w:rFonts w:hint="eastAsia"/>
                <w:color w:val="auto"/>
              </w:rPr>
              <w:t>18）从携行状态到起飞状态的展开时间≤30s；</w:t>
            </w:r>
          </w:p>
          <w:p>
            <w:pPr>
              <w:spacing w:before="0" w:beforeAutospacing="0" w:after="0" w:afterAutospacing="0"/>
              <w:ind w:left="0" w:right="0"/>
              <w:rPr>
                <w:rFonts w:hint="eastAsia"/>
                <w:color w:val="auto"/>
              </w:rPr>
            </w:pPr>
            <w:r>
              <w:rPr>
                <w:rFonts w:hint="eastAsia"/>
                <w:color w:val="auto"/>
              </w:rPr>
              <w:t>19）图传链路需通过AES-256技术进行加密</w:t>
            </w:r>
          </w:p>
          <w:p>
            <w:pPr>
              <w:spacing w:before="0" w:beforeAutospacing="0" w:after="0" w:afterAutospacing="0"/>
              <w:ind w:left="0" w:right="0"/>
              <w:rPr>
                <w:rFonts w:hint="eastAsia"/>
                <w:color w:val="auto"/>
              </w:rPr>
            </w:pPr>
            <w:r>
              <w:rPr>
                <w:rFonts w:hint="eastAsia"/>
                <w:color w:val="auto"/>
              </w:rPr>
              <w:t>20）在自主降落过程中，飞行器能够检测下方地形。当下方地形为不平整地面或水面，飞行器保持悬停，同时通过App向用户发出警示信息；</w:t>
            </w:r>
          </w:p>
          <w:p>
            <w:pPr>
              <w:spacing w:before="0" w:beforeAutospacing="0" w:after="0" w:afterAutospacing="0"/>
              <w:ind w:left="0" w:right="0"/>
              <w:rPr>
                <w:rFonts w:hint="eastAsia"/>
                <w:color w:val="auto"/>
              </w:rPr>
            </w:pPr>
            <w:r>
              <w:rPr>
                <w:rFonts w:hint="eastAsia"/>
                <w:color w:val="auto"/>
              </w:rPr>
              <w:t>21）具备飞行器自检功能；</w:t>
            </w:r>
          </w:p>
          <w:p>
            <w:pPr>
              <w:spacing w:before="0" w:beforeAutospacing="0" w:after="0" w:afterAutospacing="0"/>
              <w:ind w:left="0" w:right="0"/>
              <w:rPr>
                <w:rFonts w:hint="eastAsia"/>
                <w:color w:val="auto"/>
              </w:rPr>
            </w:pPr>
            <w:r>
              <w:rPr>
                <w:rFonts w:hint="eastAsia"/>
                <w:color w:val="auto"/>
              </w:rPr>
              <w:t>22）具备低电量自动返航功能；</w:t>
            </w:r>
          </w:p>
          <w:p>
            <w:pPr>
              <w:spacing w:before="0" w:beforeAutospacing="0" w:after="0" w:afterAutospacing="0"/>
              <w:ind w:left="0" w:right="0"/>
              <w:rPr>
                <w:rFonts w:hint="eastAsia"/>
                <w:color w:val="auto"/>
              </w:rPr>
            </w:pPr>
            <w:r>
              <w:rPr>
                <w:rFonts w:hint="eastAsia"/>
                <w:color w:val="auto"/>
              </w:rPr>
              <w:t>23）具备信号丢失自动返航功能。</w:t>
            </w:r>
          </w:p>
          <w:p>
            <w:pPr>
              <w:spacing w:before="0" w:beforeAutospacing="0" w:after="0" w:afterAutospacing="0"/>
              <w:ind w:left="0" w:right="0"/>
              <w:rPr>
                <w:rFonts w:hint="eastAsia"/>
                <w:color w:val="auto"/>
              </w:rPr>
            </w:pPr>
            <w:r>
              <w:rPr>
                <w:rFonts w:hint="eastAsia"/>
                <w:color w:val="auto"/>
              </w:rPr>
              <w:t>云台相机：</w:t>
            </w:r>
          </w:p>
          <w:p>
            <w:pPr>
              <w:spacing w:before="0" w:beforeAutospacing="0" w:after="0" w:afterAutospacing="0"/>
              <w:ind w:left="0" w:right="0"/>
              <w:rPr>
                <w:rFonts w:hint="eastAsia"/>
                <w:color w:val="auto"/>
              </w:rPr>
            </w:pPr>
            <w:r>
              <w:rPr>
                <w:rFonts w:hint="eastAsia"/>
                <w:color w:val="auto"/>
              </w:rPr>
              <w:t>1）具有长焦可见光、广角可见光和红外热成像相机</w:t>
            </w:r>
          </w:p>
          <w:p>
            <w:pPr>
              <w:spacing w:before="0" w:beforeAutospacing="0" w:after="0" w:afterAutospacing="0"/>
              <w:ind w:left="0" w:right="0"/>
              <w:rPr>
                <w:rFonts w:hint="eastAsia"/>
                <w:color w:val="auto"/>
              </w:rPr>
            </w:pPr>
            <w:r>
              <w:rPr>
                <w:rFonts w:hint="eastAsia"/>
                <w:color w:val="auto"/>
              </w:rPr>
              <w:t>2）广角相机有效像素不低于4800万；长焦相机有效像素不低于1200万</w:t>
            </w:r>
          </w:p>
          <w:p>
            <w:pPr>
              <w:spacing w:before="0" w:beforeAutospacing="0" w:after="0" w:afterAutospacing="0"/>
              <w:ind w:left="0" w:right="0"/>
              <w:rPr>
                <w:rFonts w:hint="eastAsia"/>
                <w:color w:val="auto"/>
              </w:rPr>
            </w:pPr>
            <w:r>
              <w:rPr>
                <w:rFonts w:hint="eastAsia"/>
                <w:color w:val="auto"/>
              </w:rPr>
              <w:t>3）红外传感器分辨率≥640*512</w:t>
            </w:r>
          </w:p>
          <w:p>
            <w:pPr>
              <w:spacing w:before="0" w:beforeAutospacing="0" w:after="0" w:afterAutospacing="0"/>
              <w:ind w:left="0" w:right="0"/>
              <w:rPr>
                <w:rFonts w:hint="eastAsia"/>
                <w:color w:val="auto"/>
              </w:rPr>
            </w:pPr>
            <w:r>
              <w:rPr>
                <w:rFonts w:hint="eastAsia"/>
                <w:color w:val="auto"/>
              </w:rPr>
              <w:t>4）具备三轴机械增稳云台（俯仰、横滚、平移）</w:t>
            </w:r>
          </w:p>
          <w:p>
            <w:pPr>
              <w:spacing w:before="0" w:beforeAutospacing="0" w:after="0" w:afterAutospacing="0"/>
              <w:ind w:left="0" w:right="0"/>
              <w:rPr>
                <w:rFonts w:hint="eastAsia"/>
                <w:color w:val="auto"/>
              </w:rPr>
            </w:pPr>
            <w:r>
              <w:rPr>
                <w:rFonts w:hint="eastAsia"/>
                <w:color w:val="auto"/>
              </w:rPr>
              <w:t>遥控器：</w:t>
            </w:r>
          </w:p>
          <w:p>
            <w:pPr>
              <w:spacing w:before="0" w:beforeAutospacing="0" w:after="0" w:afterAutospacing="0"/>
              <w:ind w:left="0" w:right="0"/>
              <w:rPr>
                <w:rFonts w:hint="eastAsia"/>
                <w:color w:val="auto"/>
              </w:rPr>
            </w:pPr>
            <w:r>
              <w:rPr>
                <w:rFonts w:hint="eastAsia"/>
                <w:color w:val="auto"/>
              </w:rPr>
              <w:t>1）支持2.4G、5.8G图传</w:t>
            </w:r>
          </w:p>
          <w:p>
            <w:pPr>
              <w:spacing w:before="0" w:beforeAutospacing="0" w:after="0" w:afterAutospacing="0"/>
              <w:ind w:left="0" w:right="0"/>
              <w:rPr>
                <w:rFonts w:hint="eastAsia"/>
                <w:color w:val="auto"/>
              </w:rPr>
            </w:pPr>
            <w:r>
              <w:rPr>
                <w:rFonts w:hint="eastAsia"/>
                <w:color w:val="auto"/>
              </w:rPr>
              <w:t>2）具备遥控器和显示屏一体化设计</w:t>
            </w:r>
          </w:p>
          <w:p>
            <w:pPr>
              <w:spacing w:before="0" w:beforeAutospacing="0" w:after="0" w:afterAutospacing="0"/>
              <w:ind w:left="0" w:right="0"/>
              <w:rPr>
                <w:rFonts w:hint="eastAsia"/>
                <w:color w:val="auto"/>
              </w:rPr>
            </w:pPr>
            <w:r>
              <w:rPr>
                <w:rFonts w:hint="eastAsia"/>
                <w:color w:val="auto"/>
              </w:rPr>
              <w:t>电池：</w:t>
            </w:r>
          </w:p>
          <w:p>
            <w:pPr>
              <w:spacing w:before="0" w:beforeAutospacing="0" w:after="0" w:afterAutospacing="0"/>
              <w:ind w:left="0" w:right="0"/>
              <w:rPr>
                <w:rFonts w:hint="eastAsia"/>
                <w:color w:val="auto"/>
              </w:rPr>
            </w:pPr>
            <w:r>
              <w:rPr>
                <w:rFonts w:hint="eastAsia"/>
                <w:color w:val="auto"/>
              </w:rPr>
              <w:t>1）容量≥5000mAh</w:t>
            </w:r>
          </w:p>
          <w:p>
            <w:pPr>
              <w:spacing w:before="0" w:beforeAutospacing="0" w:after="0" w:afterAutospacing="0"/>
              <w:ind w:left="0" w:right="0"/>
              <w:rPr>
                <w:rFonts w:hint="eastAsia"/>
                <w:color w:val="auto"/>
              </w:rPr>
            </w:pPr>
            <w:r>
              <w:rPr>
                <w:rFonts w:hint="eastAsia"/>
                <w:color w:val="auto"/>
              </w:rPr>
              <w:t>2）能量≥75Wh</w:t>
            </w:r>
          </w:p>
          <w:p>
            <w:pPr>
              <w:spacing w:before="0" w:beforeAutospacing="0" w:after="0" w:afterAutospacing="0"/>
              <w:ind w:left="0" w:right="0"/>
              <w:rPr>
                <w:rFonts w:hint="eastAsia"/>
                <w:color w:val="auto"/>
              </w:rPr>
            </w:pPr>
            <w:r>
              <w:rPr>
                <w:rFonts w:hint="eastAsia"/>
                <w:color w:val="auto"/>
              </w:rPr>
              <w:t>3）每台飞行器配备电池数量应不少4块；具备电池管家，电池管家可对3块电池轮充。</w:t>
            </w:r>
          </w:p>
          <w:p>
            <w:pPr>
              <w:spacing w:before="0" w:beforeAutospacing="0" w:after="0" w:afterAutospacing="0"/>
              <w:ind w:left="0" w:right="0"/>
              <w:rPr>
                <w:rFonts w:hint="eastAsia"/>
                <w:color w:val="auto"/>
              </w:rPr>
            </w:pPr>
            <w:r>
              <w:rPr>
                <w:rFonts w:hint="eastAsia"/>
                <w:color w:val="auto"/>
              </w:rPr>
              <w:t>保险：</w:t>
            </w:r>
          </w:p>
          <w:p>
            <w:pPr>
              <w:spacing w:before="0" w:beforeAutospacing="0" w:after="0" w:afterAutospacing="0"/>
              <w:ind w:left="0" w:right="0"/>
              <w:rPr>
                <w:rFonts w:hint="eastAsia"/>
                <w:color w:val="auto"/>
              </w:rPr>
            </w:pPr>
            <w:r>
              <w:rPr>
                <w:rFonts w:hint="eastAsia"/>
                <w:color w:val="auto"/>
              </w:rPr>
              <w:t>1）提供一年的飞行保险服务（包括机身损失险、第三方责任险、飞手意外险）。</w:t>
            </w:r>
          </w:p>
          <w:p>
            <w:pPr>
              <w:spacing w:before="0" w:beforeAutospacing="0" w:after="0" w:afterAutospacing="0"/>
              <w:ind w:left="0" w:right="0"/>
              <w:rPr>
                <w:rFonts w:hint="eastAsia"/>
                <w:color w:val="auto"/>
              </w:rPr>
            </w:pPr>
            <w:r>
              <w:rPr>
                <w:rFonts w:hint="eastAsia"/>
                <w:color w:val="auto"/>
              </w:rPr>
              <w:t xml:space="preserve">★3、笔记本电脑一台（提供说明书）： </w:t>
            </w:r>
          </w:p>
          <w:p>
            <w:pPr>
              <w:spacing w:before="0" w:beforeAutospacing="0" w:after="0" w:afterAutospacing="0"/>
              <w:ind w:left="0" w:right="0"/>
              <w:rPr>
                <w:rFonts w:hint="eastAsia"/>
                <w:color w:val="auto"/>
              </w:rPr>
            </w:pPr>
            <w:r>
              <w:rPr>
                <w:rFonts w:hint="eastAsia"/>
                <w:color w:val="auto"/>
              </w:rPr>
              <w:t>1）显示屏：14寸</w:t>
            </w:r>
          </w:p>
          <w:p>
            <w:pPr>
              <w:spacing w:before="0" w:beforeAutospacing="0" w:after="0" w:afterAutospacing="0"/>
              <w:ind w:left="0" w:right="0"/>
              <w:rPr>
                <w:rFonts w:hint="eastAsia"/>
                <w:color w:val="auto"/>
              </w:rPr>
            </w:pPr>
            <w:r>
              <w:rPr>
                <w:rFonts w:hint="eastAsia"/>
                <w:color w:val="auto"/>
              </w:rPr>
              <w:t>2）CPU： Intel第13代酷睿i7-13620H</w:t>
            </w:r>
          </w:p>
          <w:p>
            <w:pPr>
              <w:spacing w:before="0" w:beforeAutospacing="0" w:after="0" w:afterAutospacing="0"/>
              <w:ind w:left="0" w:right="0"/>
              <w:rPr>
                <w:rFonts w:hint="eastAsia"/>
                <w:color w:val="auto"/>
              </w:rPr>
            </w:pPr>
            <w:r>
              <w:rPr>
                <w:rFonts w:hint="eastAsia"/>
                <w:color w:val="auto"/>
              </w:rPr>
              <w:t>3）内存：16G</w:t>
            </w:r>
          </w:p>
          <w:p>
            <w:pPr>
              <w:spacing w:before="0" w:beforeAutospacing="0" w:after="0" w:afterAutospacing="0"/>
              <w:ind w:left="0" w:right="0"/>
              <w:rPr>
                <w:rFonts w:hint="eastAsia"/>
                <w:color w:val="auto"/>
              </w:rPr>
            </w:pPr>
            <w:r>
              <w:rPr>
                <w:rFonts w:hint="eastAsia"/>
                <w:color w:val="auto"/>
              </w:rPr>
              <w:t>4）硬盘： 1TB HDD</w:t>
            </w:r>
          </w:p>
          <w:p>
            <w:pPr>
              <w:spacing w:before="0" w:beforeAutospacing="0" w:after="0" w:afterAutospacing="0"/>
              <w:ind w:left="0" w:right="0"/>
              <w:rPr>
                <w:rFonts w:hint="eastAsia"/>
                <w:color w:val="auto"/>
              </w:rPr>
            </w:pPr>
            <w:r>
              <w:rPr>
                <w:rFonts w:hint="eastAsia"/>
                <w:color w:val="auto"/>
              </w:rPr>
              <w:t>5）防泼溅键盘、防窥摄像头</w:t>
            </w:r>
          </w:p>
          <w:p>
            <w:pPr>
              <w:spacing w:before="0" w:beforeAutospacing="0" w:after="0" w:afterAutospacing="0"/>
              <w:ind w:left="0" w:right="0"/>
              <w:rPr>
                <w:rFonts w:hint="eastAsia"/>
                <w:color w:val="auto"/>
              </w:rPr>
            </w:pPr>
            <w:r>
              <w:rPr>
                <w:rFonts w:hint="eastAsia"/>
                <w:color w:val="auto"/>
              </w:rPr>
              <w:t>6）电源功率65W</w:t>
            </w:r>
          </w:p>
          <w:p>
            <w:pPr>
              <w:spacing w:before="0" w:beforeAutospacing="0" w:after="0" w:afterAutospacing="0"/>
              <w:ind w:left="0" w:right="0"/>
              <w:rPr>
                <w:rFonts w:hint="eastAsia"/>
                <w:color w:val="auto"/>
              </w:rPr>
            </w:pPr>
            <w:r>
              <w:rPr>
                <w:rFonts w:hint="eastAsia"/>
                <w:color w:val="auto"/>
              </w:rPr>
              <w:t>7）材质PC-ABS</w:t>
            </w:r>
          </w:p>
          <w:p>
            <w:pPr>
              <w:spacing w:before="0" w:beforeAutospacing="0" w:after="0" w:afterAutospacing="0"/>
              <w:ind w:left="0" w:right="0"/>
              <w:rPr>
                <w:rFonts w:hint="eastAsia"/>
                <w:color w:val="auto"/>
              </w:rPr>
            </w:pPr>
            <w:r>
              <w:rPr>
                <w:rFonts w:hint="eastAsia"/>
                <w:color w:val="auto"/>
              </w:rPr>
              <w:t>8）主机尺寸 宽*高*深：324mm*215mm*19.9mm</w:t>
            </w:r>
          </w:p>
          <w:p>
            <w:pPr>
              <w:spacing w:before="0" w:beforeAutospacing="0" w:after="0" w:afterAutospacing="0"/>
              <w:ind w:left="0" w:right="0"/>
              <w:rPr>
                <w:rFonts w:hint="eastAsia"/>
                <w:color w:val="auto"/>
              </w:rPr>
            </w:pPr>
            <w:r>
              <w:rPr>
                <w:rFonts w:hint="eastAsia"/>
                <w:color w:val="auto"/>
              </w:rPr>
              <w:t xml:space="preserve">9）主机重量：1.43KG                                                                                                                                                                                                                          </w:t>
            </w:r>
          </w:p>
          <w:p>
            <w:pPr>
              <w:spacing w:before="0" w:beforeAutospacing="0" w:after="0" w:afterAutospacing="0"/>
              <w:ind w:left="0" w:right="0"/>
              <w:rPr>
                <w:rFonts w:hint="eastAsia"/>
                <w:color w:val="auto"/>
              </w:rPr>
            </w:pPr>
          </w:p>
          <w:p>
            <w:pPr>
              <w:spacing w:before="0" w:beforeAutospacing="0" w:after="0" w:afterAutospacing="0"/>
              <w:ind w:left="0" w:right="0"/>
              <w:rPr>
                <w:rFonts w:hint="eastAsia"/>
                <w:color w:val="auto"/>
              </w:rPr>
            </w:pPr>
            <w:r>
              <w:rPr>
                <w:rFonts w:hint="eastAsia"/>
                <w:color w:val="auto"/>
              </w:rPr>
              <w:t>四、装备拖车(平板拖车)</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每个车辆最低配置</w:t>
            </w:r>
            <w:r>
              <w:rPr>
                <w:rFonts w:hint="eastAsia" w:ascii="宋体" w:hAnsi="宋体" w:cs="宋体"/>
                <w:color w:val="auto"/>
                <w:kern w:val="0"/>
                <w:sz w:val="20"/>
                <w:szCs w:val="20"/>
              </w:rPr>
              <w:t>）</w:t>
            </w:r>
          </w:p>
          <w:p>
            <w:pPr>
              <w:keepNext w:val="0"/>
              <w:keepLines w:val="0"/>
              <w:widowControl/>
              <w:numPr>
                <w:ilvl w:val="0"/>
                <w:numId w:val="0"/>
              </w:numPr>
              <w:suppressLineNumbers w:val="0"/>
              <w:spacing w:before="0" w:beforeAutospacing="0" w:after="0" w:afterAutospacing="0"/>
              <w:ind w:left="0" w:right="0"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1、基本要求：可以在采购地区合法上牌，材质：普通钢Q235，车厢长宽mm：≥3500mm*1800mm（不含车头的尺寸）；整机尺寸长宽高≥5900*1800*900mm；整备质量kg：≤1200；额载质量kg：≥1500；轴距mm</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≥800。</w:t>
            </w:r>
          </w:p>
          <w:p>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cs="Times New Roman"/>
                <w:color w:val="auto"/>
                <w:sz w:val="20"/>
                <w:szCs w:val="20"/>
                <w:lang w:val="en-US" w:eastAsia="zh-CN"/>
              </w:rPr>
            </w:pPr>
            <w:r>
              <w:rPr>
                <w:rFonts w:hint="eastAsia" w:ascii="宋体" w:hAnsi="宋体" w:eastAsia="宋体" w:cs="宋体"/>
                <w:b/>
                <w:bCs/>
                <w:i w:val="0"/>
                <w:iCs w:val="0"/>
                <w:color w:val="auto"/>
                <w:kern w:val="0"/>
                <w:sz w:val="22"/>
                <w:szCs w:val="22"/>
                <w:u w:val="none"/>
                <w:lang w:val="en-US" w:eastAsia="zh-CN" w:bidi="ar"/>
              </w:rPr>
              <w:t xml:space="preserve">    2、每个车辆培训C6驾照2人，培训费用由中标供应商负担。</w:t>
            </w:r>
          </w:p>
        </w:tc>
      </w:tr>
    </w:tbl>
    <w:p>
      <w:pPr>
        <w:rPr>
          <w:rFonts w:hint="eastAsia"/>
          <w:b/>
          <w:color w:val="auto"/>
          <w:sz w:val="22"/>
          <w:highlight w:val="none"/>
        </w:rPr>
      </w:pPr>
    </w:p>
    <w:p>
      <w:pPr>
        <w:rPr>
          <w:rFonts w:hint="eastAsia" w:cs="Arial"/>
          <w:b/>
          <w:color w:val="auto"/>
          <w:sz w:val="22"/>
          <w:szCs w:val="22"/>
          <w:highlight w:val="none"/>
        </w:rPr>
      </w:pPr>
      <w:r>
        <w:rPr>
          <w:rFonts w:hint="eastAsia"/>
          <w:b/>
          <w:color w:val="auto"/>
          <w:sz w:val="22"/>
          <w:highlight w:val="none"/>
        </w:rPr>
        <w:t>四、</w:t>
      </w:r>
      <w:r>
        <w:rPr>
          <w:rFonts w:hint="eastAsia" w:cs="Arial"/>
          <w:b/>
          <w:color w:val="auto"/>
          <w:sz w:val="22"/>
          <w:szCs w:val="22"/>
          <w:highlight w:val="none"/>
        </w:rPr>
        <w:t>其他说明：</w:t>
      </w:r>
    </w:p>
    <w:p>
      <w:pPr>
        <w:adjustRightInd w:val="0"/>
        <w:snapToGrid w:val="0"/>
        <w:spacing w:line="460" w:lineRule="exact"/>
        <w:ind w:firstLine="440" w:firstLineChars="200"/>
        <w:outlineLvl w:val="0"/>
        <w:rPr>
          <w:rFonts w:hint="eastAsia" w:ascii="宋体" w:hAnsi="宋体" w:eastAsia="宋体" w:cs="宋体"/>
          <w:b w:val="0"/>
          <w:bCs/>
          <w:color w:val="auto"/>
          <w:sz w:val="22"/>
          <w:szCs w:val="22"/>
          <w:highlight w:val="none"/>
        </w:rPr>
      </w:pPr>
      <w:bookmarkStart w:id="109" w:name="_Toc947"/>
      <w:r>
        <w:rPr>
          <w:rFonts w:hint="eastAsia" w:ascii="宋体" w:hAnsi="宋体" w:eastAsia="宋体" w:cs="宋体"/>
          <w:b w:val="0"/>
          <w:bCs/>
          <w:color w:val="auto"/>
          <w:sz w:val="22"/>
          <w:szCs w:val="22"/>
          <w:highlight w:val="none"/>
        </w:rPr>
        <w:t>1、本项目</w:t>
      </w:r>
      <w:r>
        <w:rPr>
          <w:rFonts w:hint="eastAsia" w:ascii="宋体" w:hAnsi="宋体" w:cs="宋体"/>
          <w:b w:val="0"/>
          <w:bCs/>
          <w:color w:val="auto"/>
          <w:sz w:val="22"/>
          <w:szCs w:val="22"/>
          <w:highlight w:val="none"/>
          <w:lang w:eastAsia="zh-CN"/>
        </w:rPr>
        <w:t>费用为总价</w:t>
      </w:r>
      <w:r>
        <w:rPr>
          <w:rFonts w:hint="eastAsia" w:ascii="宋体" w:hAnsi="宋体" w:eastAsia="宋体" w:cs="宋体"/>
          <w:b w:val="0"/>
          <w:bCs/>
          <w:color w:val="auto"/>
          <w:sz w:val="22"/>
          <w:szCs w:val="22"/>
          <w:highlight w:val="none"/>
        </w:rPr>
        <w:t>包干（包含本项目的供货、运输、上牌等所有内容）。招标文件的配置要求仅是本项目的</w:t>
      </w:r>
      <w:r>
        <w:rPr>
          <w:rFonts w:hint="eastAsia" w:ascii="宋体" w:hAnsi="宋体" w:cs="宋体"/>
          <w:b w:val="0"/>
          <w:bCs/>
          <w:color w:val="auto"/>
          <w:sz w:val="22"/>
          <w:szCs w:val="22"/>
          <w:highlight w:val="none"/>
          <w:lang w:eastAsia="zh-CN"/>
        </w:rPr>
        <w:t>基本</w:t>
      </w:r>
      <w:r>
        <w:rPr>
          <w:rFonts w:hint="eastAsia" w:ascii="宋体" w:hAnsi="宋体" w:eastAsia="宋体" w:cs="宋体"/>
          <w:b w:val="0"/>
          <w:bCs/>
          <w:color w:val="auto"/>
          <w:sz w:val="22"/>
          <w:szCs w:val="22"/>
          <w:highlight w:val="none"/>
        </w:rPr>
        <w:t>技术要求，如在质保期内出现无法实施或者缺少相关设备和配件的情况，供应商应免费予以更换或补充同档次或更高档次的相关设备和配件。本项目</w:t>
      </w:r>
      <w:r>
        <w:rPr>
          <w:rFonts w:hint="eastAsia" w:ascii="宋体" w:hAnsi="宋体" w:cs="宋体"/>
          <w:b w:val="0"/>
          <w:bCs/>
          <w:color w:val="auto"/>
          <w:sz w:val="22"/>
          <w:szCs w:val="22"/>
          <w:highlight w:val="none"/>
          <w:lang w:eastAsia="zh-CN"/>
        </w:rPr>
        <w:t>费用为总价</w:t>
      </w:r>
      <w:r>
        <w:rPr>
          <w:rFonts w:hint="eastAsia" w:ascii="宋体" w:hAnsi="宋体" w:eastAsia="宋体" w:cs="宋体"/>
          <w:b w:val="0"/>
          <w:bCs/>
          <w:color w:val="auto"/>
          <w:sz w:val="22"/>
          <w:szCs w:val="22"/>
          <w:highlight w:val="none"/>
        </w:rPr>
        <w:t>包干，所需辅材、配件均需计入投标价</w:t>
      </w:r>
      <w:r>
        <w:rPr>
          <w:rFonts w:hint="eastAsia" w:ascii="宋体" w:hAnsi="宋体" w:cs="宋体"/>
          <w:b w:val="0"/>
          <w:bCs/>
          <w:color w:val="auto"/>
          <w:sz w:val="22"/>
          <w:szCs w:val="22"/>
          <w:highlight w:val="none"/>
          <w:lang w:eastAsia="zh-CN"/>
        </w:rPr>
        <w:t>中</w:t>
      </w:r>
      <w:r>
        <w:rPr>
          <w:rFonts w:hint="eastAsia" w:ascii="宋体" w:hAnsi="宋体" w:eastAsia="宋体" w:cs="宋体"/>
          <w:b w:val="0"/>
          <w:bCs/>
          <w:color w:val="auto"/>
          <w:sz w:val="22"/>
          <w:szCs w:val="22"/>
          <w:highlight w:val="none"/>
        </w:rPr>
        <w:t>。</w:t>
      </w:r>
      <w:bookmarkEnd w:id="109"/>
    </w:p>
    <w:p>
      <w:pPr>
        <w:adjustRightIn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highlight w:val="none"/>
        </w:rPr>
        <w:t>、</w:t>
      </w:r>
      <w:r>
        <w:rPr>
          <w:rFonts w:hint="eastAsia" w:ascii="宋体" w:hAnsi="宋体" w:eastAsia="宋体" w:cs="宋体"/>
          <w:b w:val="0"/>
          <w:bCs/>
          <w:color w:val="auto"/>
          <w:sz w:val="22"/>
          <w:highlight w:val="none"/>
          <w:u w:val="single"/>
        </w:rPr>
        <w:t>投标供应商需保证投标资料的真实性，供货时，采购人将进行如实核对，如查实投标产品技术参数有弄虚作假行为，将上报采购主管部门，废除其中标人资格并有保留追究责任的权利。</w:t>
      </w:r>
    </w:p>
    <w:p>
      <w:pPr>
        <w:adjustRightIn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highlight w:val="none"/>
          <w:u w:val="single"/>
        </w:rPr>
        <w:t>3、本项目采购人将对到货设备进行严格验收，供应商投标文件偏离表中未注明偏离</w:t>
      </w:r>
      <w:r>
        <w:rPr>
          <w:rFonts w:hint="eastAsia" w:ascii="宋体" w:hAnsi="宋体" w:cs="宋体"/>
          <w:b w:val="0"/>
          <w:bCs/>
          <w:color w:val="auto"/>
          <w:sz w:val="22"/>
          <w:highlight w:val="none"/>
          <w:u w:val="single"/>
          <w:lang w:eastAsia="zh-CN"/>
        </w:rPr>
        <w:t>的</w:t>
      </w:r>
      <w:r>
        <w:rPr>
          <w:rFonts w:hint="eastAsia" w:ascii="宋体" w:hAnsi="宋体" w:eastAsia="宋体" w:cs="宋体"/>
          <w:b w:val="0"/>
          <w:bCs/>
          <w:color w:val="auto"/>
          <w:sz w:val="22"/>
          <w:highlight w:val="none"/>
          <w:u w:val="single"/>
        </w:rPr>
        <w:t>，但实际到货设备达不到招标文件技术要求的，</w:t>
      </w:r>
      <w:r>
        <w:rPr>
          <w:rFonts w:hint="eastAsia" w:ascii="宋体" w:hAnsi="宋体" w:eastAsia="宋体" w:cs="宋体"/>
          <w:b w:val="0"/>
          <w:bCs/>
          <w:color w:val="auto"/>
          <w:sz w:val="22"/>
          <w:highlight w:val="none"/>
          <w:u w:val="single"/>
          <w:lang w:eastAsia="zh-CN"/>
        </w:rPr>
        <w:t>作</w:t>
      </w:r>
      <w:r>
        <w:rPr>
          <w:rFonts w:hint="eastAsia" w:ascii="宋体" w:hAnsi="宋体" w:eastAsia="宋体" w:cs="宋体"/>
          <w:b w:val="0"/>
          <w:bCs/>
          <w:color w:val="auto"/>
          <w:sz w:val="22"/>
          <w:highlight w:val="none"/>
          <w:u w:val="single"/>
        </w:rPr>
        <w:t>验收不通过处理，对此采购人有权无条件取消合同并给予相应处罚</w:t>
      </w:r>
      <w:r>
        <w:rPr>
          <w:rFonts w:hint="eastAsia" w:ascii="宋体" w:hAnsi="宋体" w:cs="宋体"/>
          <w:b w:val="0"/>
          <w:bCs/>
          <w:color w:val="auto"/>
          <w:sz w:val="22"/>
          <w:highlight w:val="none"/>
          <w:u w:val="single"/>
          <w:lang w:eastAsia="zh-CN"/>
        </w:rPr>
        <w:t>；</w:t>
      </w:r>
      <w:r>
        <w:rPr>
          <w:rFonts w:hint="eastAsia" w:ascii="宋体" w:hAnsi="宋体" w:eastAsia="宋体" w:cs="宋体"/>
          <w:b w:val="0"/>
          <w:bCs/>
          <w:color w:val="auto"/>
          <w:sz w:val="22"/>
          <w:highlight w:val="none"/>
          <w:u w:val="single"/>
        </w:rPr>
        <w:t>供应商到货及安装、退货等所造成的损失自行承担，供应商须慎重投标。</w:t>
      </w:r>
    </w:p>
    <w:p>
      <w:pPr>
        <w:tabs>
          <w:tab w:val="left" w:pos="400"/>
        </w:tabs>
        <w:adjustRightInd w:val="0"/>
        <w:snapToGri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highlight w:val="none"/>
          <w:u w:val="single"/>
        </w:rPr>
        <w:t>4、供应商投标文件中须提供</w:t>
      </w:r>
      <w:r>
        <w:rPr>
          <w:rFonts w:hint="eastAsia" w:ascii="宋体" w:hAnsi="宋体" w:cs="宋体"/>
          <w:b w:val="0"/>
          <w:bCs/>
          <w:color w:val="auto"/>
          <w:sz w:val="22"/>
          <w:highlight w:val="none"/>
          <w:u w:val="single"/>
          <w:lang w:eastAsia="zh-CN"/>
        </w:rPr>
        <w:t>拟投标品牌及型号货物的</w:t>
      </w:r>
      <w:r>
        <w:rPr>
          <w:rFonts w:hint="eastAsia" w:ascii="宋体" w:hAnsi="宋体" w:eastAsia="宋体" w:cs="宋体"/>
          <w:b w:val="0"/>
          <w:bCs/>
          <w:color w:val="auto"/>
          <w:sz w:val="22"/>
          <w:highlight w:val="none"/>
          <w:u w:val="single"/>
        </w:rPr>
        <w:t>检测报告、产品合格证、产品说明等相关证明资料给予佐证。</w:t>
      </w:r>
    </w:p>
    <w:p>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5、供应商投标文件中须提供</w:t>
      </w:r>
      <w:r>
        <w:rPr>
          <w:rFonts w:hint="eastAsia" w:ascii="宋体" w:hAnsi="宋体" w:cs="宋体"/>
          <w:b/>
          <w:color w:val="auto"/>
          <w:sz w:val="22"/>
          <w:highlight w:val="none"/>
          <w:u w:val="single"/>
          <w:lang w:eastAsia="zh-CN"/>
        </w:rPr>
        <w:t>招标</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eastAsia="zh-CN"/>
        </w:rPr>
        <w:t>及要求</w:t>
      </w:r>
      <w:r>
        <w:rPr>
          <w:rFonts w:hint="eastAsia" w:ascii="宋体" w:hAnsi="宋体" w:eastAsia="宋体" w:cs="宋体"/>
          <w:b/>
          <w:color w:val="auto"/>
          <w:sz w:val="22"/>
          <w:highlight w:val="none"/>
          <w:u w:val="single"/>
        </w:rPr>
        <w:t>中带“</w:t>
      </w:r>
      <w:r>
        <w:rPr>
          <w:rFonts w:hint="eastAsia" w:ascii="宋体" w:hAnsi="宋体" w:eastAsia="宋体" w:cs="宋体"/>
          <w:b/>
          <w:color w:val="auto"/>
          <w:sz w:val="22"/>
          <w:highlight w:val="none"/>
          <w:u w:val="single"/>
          <w:lang w:val="en-US" w:eastAsia="zh-CN"/>
        </w:rPr>
        <w:t>▲、</w:t>
      </w:r>
      <w:r>
        <w:rPr>
          <w:rFonts w:hint="default" w:ascii="宋体" w:hAnsi="宋体" w:eastAsia="宋体" w:cs="宋体"/>
          <w:i w:val="0"/>
          <w:iCs w:val="0"/>
          <w:color w:val="auto"/>
          <w:kern w:val="0"/>
          <w:sz w:val="22"/>
          <w:szCs w:val="22"/>
          <w:highlight w:val="none"/>
          <w:u w:val="single"/>
          <w:lang w:val="en-US" w:eastAsia="zh-CN"/>
        </w:rPr>
        <w:t>★</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▲项负偏离为实质性偏离投标无效，</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项负偏离则</w:t>
      </w:r>
      <w:r>
        <w:rPr>
          <w:rFonts w:hint="eastAsia" w:ascii="宋体" w:hAnsi="宋体" w:cs="宋体"/>
          <w:b/>
          <w:color w:val="auto"/>
          <w:sz w:val="22"/>
          <w:highlight w:val="none"/>
          <w:u w:val="single"/>
          <w:lang w:val="en-US" w:eastAsia="zh-CN"/>
        </w:rPr>
        <w:t>为</w:t>
      </w:r>
      <w:r>
        <w:rPr>
          <w:rFonts w:hint="eastAsia" w:ascii="宋体" w:hAnsi="宋体" w:eastAsia="宋体" w:cs="宋体"/>
          <w:b/>
          <w:color w:val="auto"/>
          <w:sz w:val="22"/>
          <w:highlight w:val="none"/>
          <w:u w:val="single"/>
          <w:lang w:val="en-US" w:eastAsia="zh-CN"/>
        </w:rPr>
        <w:t>扣分</w:t>
      </w:r>
      <w:r>
        <w:rPr>
          <w:rFonts w:hint="eastAsia" w:ascii="宋体" w:hAnsi="宋体" w:cs="宋体"/>
          <w:b/>
          <w:color w:val="auto"/>
          <w:sz w:val="22"/>
          <w:highlight w:val="none"/>
          <w:u w:val="single"/>
          <w:lang w:val="en-US" w:eastAsia="zh-CN"/>
        </w:rPr>
        <w:t>内容</w:t>
      </w:r>
      <w:r>
        <w:rPr>
          <w:rFonts w:hint="eastAsia" w:ascii="宋体" w:hAnsi="宋体" w:eastAsia="宋体" w:cs="宋体"/>
          <w:b/>
          <w:color w:val="auto"/>
          <w:sz w:val="22"/>
          <w:highlight w:val="none"/>
          <w:u w:val="single"/>
          <w:lang w:val="en-US" w:eastAsia="zh-CN"/>
        </w:rPr>
        <w:t>，是否属于偏离指标由评审小组根据供应商提供的参数是否在CMA或CNAS标志的第三方检验机构出具的检测/检验报告或工信部公告中的具体内容情况进行判定。其他未标“▲、</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”的参数指标，是否属于偏离指标以供应商提供的响应材料（证明资料须提供列有相应技术参数检测检验报告</w:t>
      </w:r>
      <w:r>
        <w:rPr>
          <w:rFonts w:hint="eastAsia" w:ascii="宋体" w:hAnsi="宋体" w:cs="宋体"/>
          <w:b/>
          <w:color w:val="auto"/>
          <w:sz w:val="22"/>
          <w:highlight w:val="none"/>
          <w:u w:val="single"/>
          <w:lang w:val="en-US" w:eastAsia="zh-CN"/>
        </w:rPr>
        <w:t>复制件</w:t>
      </w:r>
      <w:r>
        <w:rPr>
          <w:rFonts w:hint="eastAsia" w:ascii="宋体" w:hAnsi="宋体" w:eastAsia="宋体" w:cs="宋体"/>
          <w:b/>
          <w:color w:val="auto"/>
          <w:sz w:val="22"/>
          <w:highlight w:val="none"/>
          <w:u w:val="single"/>
          <w:lang w:val="en-US" w:eastAsia="zh-CN"/>
        </w:rPr>
        <w:t>或厂家产品彩页或厂家官方网站公布的截图或厂家产品说明书或技术方案说明等能够证明其所投产品能满足或达到招标要求）内容为准</w:t>
      </w:r>
      <w:r>
        <w:rPr>
          <w:rFonts w:hint="eastAsia" w:ascii="宋体" w:hAnsi="宋体" w:eastAsia="宋体" w:cs="宋体"/>
          <w:b/>
          <w:color w:val="auto"/>
          <w:sz w:val="22"/>
          <w:highlight w:val="none"/>
          <w:u w:val="single"/>
        </w:rPr>
        <w:t>。</w:t>
      </w:r>
    </w:p>
    <w:p>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6、如需上牌的车辆均由供应商完成上牌手续，所有车辆均须提供完整的车辆所具有的所有备品备件，上牌期间</w:t>
      </w:r>
      <w:r>
        <w:rPr>
          <w:rFonts w:hint="eastAsia" w:ascii="宋体" w:hAnsi="宋体" w:cs="宋体"/>
          <w:b/>
          <w:color w:val="auto"/>
          <w:sz w:val="22"/>
          <w:highlight w:val="none"/>
          <w:u w:val="single"/>
          <w:lang w:eastAsia="zh-CN"/>
        </w:rPr>
        <w:t>（</w:t>
      </w:r>
      <w:r>
        <w:rPr>
          <w:rFonts w:hint="eastAsia" w:ascii="宋体" w:hAnsi="宋体" w:cs="宋体"/>
          <w:b/>
          <w:color w:val="auto"/>
          <w:sz w:val="22"/>
          <w:highlight w:val="none"/>
          <w:u w:val="single"/>
          <w:lang w:val="en-US" w:eastAsia="zh-CN"/>
        </w:rPr>
        <w:t>如有区县应急局过户给乡镇街道时，</w:t>
      </w:r>
      <w:r>
        <w:rPr>
          <w:rFonts w:hint="eastAsia" w:ascii="宋体" w:hAnsi="宋体" w:cs="宋体"/>
          <w:b/>
          <w:color w:val="auto"/>
          <w:sz w:val="22"/>
          <w:highlight w:val="none"/>
          <w:u w:val="single"/>
          <w:lang w:eastAsia="zh-CN"/>
        </w:rPr>
        <w:t>包括</w:t>
      </w:r>
      <w:r>
        <w:rPr>
          <w:rFonts w:hint="eastAsia" w:ascii="宋体" w:hAnsi="宋体" w:cs="宋体"/>
          <w:b/>
          <w:color w:val="auto"/>
          <w:sz w:val="22"/>
          <w:highlight w:val="none"/>
          <w:u w:val="single"/>
          <w:lang w:val="en-US" w:eastAsia="zh-CN"/>
        </w:rPr>
        <w:t>1次过户费用</w:t>
      </w:r>
      <w:r>
        <w:rPr>
          <w:rFonts w:hint="eastAsia" w:ascii="宋体" w:hAnsi="宋体" w:cs="宋体"/>
          <w:b/>
          <w:color w:val="auto"/>
          <w:sz w:val="22"/>
          <w:highlight w:val="none"/>
          <w:u w:val="single"/>
          <w:lang w:eastAsia="zh-CN"/>
        </w:rPr>
        <w:t>）</w:t>
      </w:r>
      <w:r>
        <w:rPr>
          <w:rFonts w:hint="eastAsia" w:ascii="宋体" w:hAnsi="宋体" w:eastAsia="宋体" w:cs="宋体"/>
          <w:b/>
          <w:color w:val="auto"/>
          <w:sz w:val="22"/>
          <w:highlight w:val="none"/>
          <w:u w:val="single"/>
        </w:rPr>
        <w:t>所产生的费用均由供应商自行承担。</w:t>
      </w:r>
    </w:p>
    <w:p>
      <w:pPr>
        <w:adjustRightInd w:val="0"/>
        <w:spacing w:line="460" w:lineRule="exact"/>
        <w:ind w:firstLine="442" w:firstLineChars="200"/>
        <w:rPr>
          <w:rFonts w:hint="eastAsia" w:ascii="宋体" w:hAnsi="宋体" w:eastAsia="宋体" w:cs="宋体"/>
          <w:b/>
          <w:color w:val="auto"/>
          <w:sz w:val="22"/>
          <w:highlight w:val="none"/>
          <w:u w:val="single"/>
          <w:lang w:val="en-US" w:eastAsia="zh-CN"/>
        </w:rPr>
      </w:pPr>
      <w:r>
        <w:rPr>
          <w:rFonts w:hint="eastAsia" w:ascii="宋体" w:hAnsi="宋体" w:eastAsia="宋体" w:cs="宋体"/>
          <w:b/>
          <w:color w:val="auto"/>
          <w:sz w:val="22"/>
          <w:highlight w:val="none"/>
          <w:u w:val="single"/>
          <w:lang w:val="en-US" w:eastAsia="zh-CN"/>
        </w:rPr>
        <w:t xml:space="preserve"> 关于排放标准，重型汽车采用GB17691-2018标准，轻型汽车采用GB18352.6-2016，原招标文件中的排放标准与此有不同的以本条为准。招标文件要求的所有标准规范如有不同时以最新标准规范为准。</w:t>
      </w:r>
    </w:p>
    <w:p>
      <w:pPr>
        <w:rPr>
          <w:rFonts w:hint="eastAsia"/>
          <w:bCs/>
          <w:color w:val="auto"/>
          <w:sz w:val="22"/>
          <w:szCs w:val="22"/>
          <w:highlight w:val="none"/>
        </w:rPr>
      </w:pPr>
    </w:p>
    <w:p>
      <w:pPr>
        <w:rPr>
          <w:rFonts w:hint="eastAsia"/>
          <w:bCs/>
          <w:color w:val="auto"/>
          <w:sz w:val="22"/>
          <w:szCs w:val="22"/>
          <w:highlight w:val="none"/>
        </w:rPr>
      </w:pPr>
      <w:r>
        <w:rPr>
          <w:rFonts w:hint="eastAsia"/>
          <w:bCs/>
          <w:color w:val="auto"/>
          <w:sz w:val="22"/>
          <w:szCs w:val="22"/>
          <w:highlight w:val="none"/>
        </w:rPr>
        <w:t>五、商务条款</w:t>
      </w:r>
    </w:p>
    <w:p>
      <w:pPr>
        <w:tabs>
          <w:tab w:val="left" w:pos="540"/>
        </w:tabs>
        <w:autoSpaceDE w:val="0"/>
        <w:autoSpaceDN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Style w:val="52"/>
          <w:rFonts w:hint="eastAsia" w:ascii="宋体" w:hAnsi="宋体" w:eastAsia="宋体" w:cs="宋体"/>
          <w:bCs/>
          <w:color w:val="auto"/>
          <w:sz w:val="22"/>
          <w:szCs w:val="22"/>
          <w:highlight w:val="none"/>
          <w:lang w:val="zh-CN"/>
        </w:rPr>
        <w:t>质保期</w:t>
      </w:r>
    </w:p>
    <w:p>
      <w:pPr>
        <w:autoSpaceDE w:val="0"/>
        <w:autoSpaceDN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1.1▲所有车辆</w:t>
      </w:r>
      <w:r>
        <w:rPr>
          <w:rFonts w:hint="eastAsia" w:ascii="宋体" w:hAnsi="宋体" w:eastAsia="宋体" w:cs="宋体"/>
          <w:color w:val="auto"/>
          <w:sz w:val="22"/>
          <w:szCs w:val="22"/>
          <w:highlight w:val="none"/>
          <w:lang w:val="zh-CN"/>
        </w:rPr>
        <w:t>质保期</w:t>
      </w:r>
      <w:r>
        <w:rPr>
          <w:rFonts w:hint="eastAsia" w:ascii="宋体" w:hAnsi="宋体" w:eastAsia="宋体" w:cs="宋体"/>
          <w:color w:val="auto"/>
          <w:sz w:val="22"/>
          <w:szCs w:val="22"/>
          <w:highlight w:val="none"/>
        </w:rPr>
        <w:t>2年（采购文件技术参数中有明确规定的除外）</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每年1-2次定期维修检测，</w:t>
      </w:r>
      <w:r>
        <w:rPr>
          <w:rFonts w:hint="eastAsia" w:ascii="宋体" w:hAnsi="宋体" w:eastAsia="宋体" w:cs="宋体"/>
          <w:b/>
          <w:color w:val="auto"/>
          <w:sz w:val="22"/>
          <w:szCs w:val="22"/>
          <w:highlight w:val="none"/>
        </w:rPr>
        <w:t>免费维护期</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zh-CN" w:eastAsia="zh-CN"/>
        </w:rPr>
        <w:t>质保期</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内如因质量问题由供应商免费更换或维修。</w:t>
      </w:r>
    </w:p>
    <w:p>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1.2▲</w:t>
      </w:r>
      <w:r>
        <w:rPr>
          <w:rStyle w:val="52"/>
          <w:rFonts w:hint="eastAsia" w:ascii="宋体" w:hAnsi="宋体" w:eastAsia="宋体" w:cs="宋体"/>
          <w:bCs/>
          <w:color w:val="auto"/>
          <w:sz w:val="22"/>
          <w:szCs w:val="22"/>
          <w:highlight w:val="none"/>
          <w:lang w:val="zh-CN"/>
        </w:rPr>
        <w:t>中标供应商提供的货物在质保期内因货物本身的质量问题发生故障，应负责免费更换或维修，中标供应商承担所发生的全部费用。</w:t>
      </w:r>
    </w:p>
    <w:p>
      <w:pPr>
        <w:tabs>
          <w:tab w:val="left" w:pos="540"/>
        </w:tabs>
        <w:autoSpaceDE w:val="0"/>
        <w:autoSpaceDN w:val="0"/>
        <w:snapToGrid w:val="0"/>
        <w:spacing w:line="460" w:lineRule="exact"/>
        <w:ind w:firstLine="440" w:firstLineChars="200"/>
        <w:rPr>
          <w:color w:val="auto"/>
          <w:sz w:val="22"/>
          <w:highlight w:val="none"/>
        </w:rPr>
      </w:pPr>
      <w:r>
        <w:rPr>
          <w:color w:val="auto"/>
          <w:sz w:val="22"/>
          <w:highlight w:val="none"/>
        </w:rPr>
        <w:t>2、</w:t>
      </w:r>
      <w:r>
        <w:rPr>
          <w:b/>
          <w:color w:val="auto"/>
          <w:sz w:val="22"/>
          <w:highlight w:val="none"/>
        </w:rPr>
        <w:t>付款方式</w:t>
      </w:r>
      <w:r>
        <w:rPr>
          <w:color w:val="auto"/>
          <w:sz w:val="22"/>
          <w:highlight w:val="none"/>
        </w:rPr>
        <w:t xml:space="preserve"> </w:t>
      </w:r>
    </w:p>
    <w:p>
      <w:pPr>
        <w:autoSpaceDE w:val="0"/>
        <w:autoSpaceDN w:val="0"/>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Style w:val="52"/>
          <w:rFonts w:hint="eastAsia" w:ascii="宋体" w:hAnsi="宋体" w:eastAsia="宋体" w:cs="宋体"/>
          <w:bCs/>
          <w:color w:val="auto"/>
          <w:sz w:val="22"/>
          <w:szCs w:val="22"/>
          <w:highlight w:val="none"/>
        </w:rPr>
        <w:t>详见合同条款。</w:t>
      </w:r>
    </w:p>
    <w:p>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3、送货地</w:t>
      </w:r>
      <w:r>
        <w:rPr>
          <w:rStyle w:val="52"/>
          <w:rFonts w:hint="eastAsia" w:ascii="宋体" w:hAnsi="宋体" w:eastAsia="宋体" w:cs="宋体"/>
          <w:bCs/>
          <w:color w:val="auto"/>
          <w:sz w:val="22"/>
          <w:szCs w:val="22"/>
          <w:highlight w:val="none"/>
        </w:rPr>
        <w:t>点：采购人指定地点。</w:t>
      </w:r>
    </w:p>
    <w:p>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4、交验上牌：本次采购的所有车辆的中标人须派专人交验车辆，并全程协同办理新车登记上牌手续。</w:t>
      </w:r>
    </w:p>
    <w:p>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5、安装调试与安装标准：提供现场的安装调试直至合格。提供的货物与安装应符合招标文件与我国国家有关技术规范要求和技术标准。</w:t>
      </w:r>
    </w:p>
    <w:p>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6</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Cs/>
          <w:color w:val="auto"/>
          <w:sz w:val="22"/>
          <w:szCs w:val="22"/>
          <w:highlight w:val="none"/>
        </w:rPr>
        <w:t>交货期</w:t>
      </w:r>
    </w:p>
    <w:p>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交货期：供应商提供</w:t>
      </w:r>
      <w:r>
        <w:rPr>
          <w:rStyle w:val="52"/>
          <w:rFonts w:hint="eastAsia" w:ascii="宋体" w:hAnsi="宋体" w:cs="宋体"/>
          <w:bCs/>
          <w:color w:val="auto"/>
          <w:sz w:val="22"/>
          <w:szCs w:val="22"/>
          <w:highlight w:val="none"/>
          <w:lang w:eastAsia="zh-CN"/>
        </w:rPr>
        <w:t>最短交货期</w:t>
      </w:r>
      <w:r>
        <w:rPr>
          <w:rStyle w:val="52"/>
          <w:rFonts w:hint="eastAsia" w:ascii="宋体" w:hAnsi="宋体" w:eastAsia="宋体" w:cs="宋体"/>
          <w:bCs/>
          <w:color w:val="auto"/>
          <w:sz w:val="22"/>
          <w:szCs w:val="22"/>
          <w:highlight w:val="none"/>
        </w:rPr>
        <w:t>（不得超过</w:t>
      </w:r>
      <w:r>
        <w:rPr>
          <w:rStyle w:val="52"/>
          <w:rFonts w:hint="eastAsia" w:ascii="宋体" w:hAnsi="宋体" w:cs="宋体"/>
          <w:bCs/>
          <w:color w:val="auto"/>
          <w:sz w:val="22"/>
          <w:szCs w:val="22"/>
          <w:highlight w:val="none"/>
          <w:lang w:val="en-US" w:eastAsia="zh-CN"/>
        </w:rPr>
        <w:t>30</w:t>
      </w:r>
      <w:r>
        <w:rPr>
          <w:rStyle w:val="52"/>
          <w:rFonts w:hint="eastAsia" w:ascii="宋体" w:hAnsi="宋体" w:eastAsia="宋体" w:cs="宋体"/>
          <w:bCs/>
          <w:color w:val="auto"/>
          <w:sz w:val="22"/>
          <w:szCs w:val="22"/>
          <w:highlight w:val="none"/>
        </w:rPr>
        <w:t>日历天）。</w:t>
      </w:r>
    </w:p>
    <w:p>
      <w:pPr>
        <w:autoSpaceDE w:val="0"/>
        <w:autoSpaceDN w:val="0"/>
        <w:snapToGrid w:val="0"/>
        <w:spacing w:line="460" w:lineRule="exact"/>
        <w:ind w:firstLine="440" w:firstLineChars="200"/>
        <w:rPr>
          <w:rStyle w:val="52"/>
          <w:rFonts w:hint="eastAsia" w:ascii="宋体" w:hAnsi="宋体" w:eastAsia="宋体" w:cs="宋体"/>
          <w:b/>
          <w:bCs w:val="0"/>
          <w:color w:val="auto"/>
          <w:sz w:val="22"/>
          <w:szCs w:val="22"/>
          <w:highlight w:val="none"/>
        </w:rPr>
      </w:pPr>
      <w:r>
        <w:rPr>
          <w:rStyle w:val="52"/>
          <w:rFonts w:hint="eastAsia" w:ascii="宋体" w:hAnsi="宋体" w:eastAsia="宋体" w:cs="宋体"/>
          <w:bCs/>
          <w:color w:val="auto"/>
          <w:sz w:val="22"/>
          <w:szCs w:val="22"/>
          <w:highlight w:val="none"/>
        </w:rPr>
        <w:t>7</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
          <w:bCs w:val="0"/>
          <w:color w:val="auto"/>
          <w:sz w:val="22"/>
          <w:szCs w:val="22"/>
          <w:highlight w:val="none"/>
          <w:lang w:eastAsia="zh-CN"/>
        </w:rPr>
        <w:t>总合同与市局签订，每个县市区分别签订各自采购数量的合同。</w:t>
      </w:r>
    </w:p>
    <w:p>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8</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Cs/>
          <w:color w:val="auto"/>
          <w:sz w:val="22"/>
          <w:szCs w:val="22"/>
          <w:highlight w:val="none"/>
        </w:rPr>
        <w:t>投标人请对本次采购所列技术指标和要求逐条进行响应并注明是否偏离，若中标后所交货产品的技术指标中有一条不满足投标响应</w:t>
      </w:r>
      <w:r>
        <w:rPr>
          <w:rStyle w:val="52"/>
          <w:rFonts w:hint="eastAsia" w:ascii="宋体" w:hAnsi="宋体" w:cs="宋体"/>
          <w:bCs/>
          <w:color w:val="auto"/>
          <w:sz w:val="22"/>
          <w:szCs w:val="22"/>
          <w:highlight w:val="none"/>
          <w:lang w:eastAsia="zh-CN"/>
        </w:rPr>
        <w:t>内容</w:t>
      </w:r>
      <w:r>
        <w:rPr>
          <w:rStyle w:val="52"/>
          <w:rFonts w:hint="eastAsia" w:ascii="宋体" w:hAnsi="宋体" w:eastAsia="宋体" w:cs="宋体"/>
          <w:bCs/>
          <w:color w:val="auto"/>
          <w:sz w:val="22"/>
          <w:szCs w:val="22"/>
          <w:highlight w:val="none"/>
        </w:rPr>
        <w:t>或者合同条款者均判定为验收不合格。</w:t>
      </w:r>
    </w:p>
    <w:p>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9</w:t>
      </w:r>
      <w:r>
        <w:rPr>
          <w:rStyle w:val="52"/>
          <w:rFonts w:hint="eastAsia" w:ascii="宋体" w:hAnsi="宋体" w:eastAsia="宋体" w:cs="宋体"/>
          <w:bCs/>
          <w:color w:val="auto"/>
          <w:sz w:val="22"/>
          <w:szCs w:val="22"/>
          <w:highlight w:val="none"/>
        </w:rPr>
        <w:t>、除采购文件明确的品牌外，欢迎其他能满足本项目技术需求且性能与所明确品牌相当的产品参加。</w:t>
      </w:r>
    </w:p>
    <w:p>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10</w:t>
      </w:r>
      <w:r>
        <w:rPr>
          <w:rStyle w:val="52"/>
          <w:rFonts w:hint="eastAsia" w:ascii="宋体" w:hAnsi="宋体" w:eastAsia="宋体" w:cs="宋体"/>
          <w:bCs/>
          <w:color w:val="auto"/>
          <w:sz w:val="22"/>
          <w:szCs w:val="22"/>
          <w:highlight w:val="none"/>
        </w:rPr>
        <w:t>、验收</w:t>
      </w:r>
    </w:p>
    <w:p>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中标供应商已按合同规定提供了符合采购文件规定的要求的货物，并经采购人组织检验合格，所有的技术资料和清单已向采购人提交并被接受，验收视为合格，若因中标供应商质量问题等导致验收不合格，中标供应商应及时予以处理，直至验收合格，期间发生的一切费用由中标供应商承担，采购人保留向中标供应商索赔的权利。</w:t>
      </w:r>
    </w:p>
    <w:p>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szCs w:val="22"/>
          <w:highlight w:val="none"/>
          <w:u w:val="single"/>
        </w:rPr>
        <w:t>以上工作内容的费用均包含在投标总价中。</w:t>
      </w:r>
    </w:p>
    <w:p>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lang w:val="en-US" w:eastAsia="zh-CN"/>
        </w:rPr>
      </w:pPr>
    </w:p>
    <w:p>
      <w:pPr>
        <w:widowControl/>
        <w:numPr>
          <w:ilvl w:val="0"/>
          <w:numId w:val="0"/>
        </w:numPr>
        <w:wordWrap/>
        <w:adjustRightInd/>
        <w:snapToGrid/>
        <w:spacing w:before="0" w:beforeAutospacing="0" w:after="0" w:afterAutospacing="0" w:line="240" w:lineRule="auto"/>
        <w:ind w:right="0"/>
        <w:jc w:val="left"/>
        <w:textAlignment w:val="center"/>
        <w:rPr>
          <w:rFonts w:hint="eastAsia" w:ascii="宋体" w:hAnsi="宋体" w:cs="仿宋_GB2312"/>
          <w:b/>
          <w:bCs/>
          <w:color w:val="auto"/>
          <w:kern w:val="2"/>
          <w:sz w:val="32"/>
          <w:szCs w:val="32"/>
          <w:highlight w:val="none"/>
          <w:lang w:val="en-US" w:eastAsia="zh-CN"/>
        </w:rPr>
      </w:pPr>
      <w:r>
        <w:rPr>
          <w:rFonts w:hint="eastAsia" w:ascii="宋体" w:hAnsi="宋体" w:eastAsia="宋体" w:cs="宋体"/>
          <w:b/>
          <w:bCs/>
          <w:i w:val="0"/>
          <w:iCs w:val="0"/>
          <w:color w:val="auto"/>
          <w:kern w:val="0"/>
          <w:sz w:val="32"/>
          <w:szCs w:val="32"/>
          <w:highlight w:val="none"/>
          <w:u w:val="none"/>
          <w:lang w:val="en-US" w:eastAsia="zh-CN"/>
        </w:rPr>
        <w:t>标项2：</w:t>
      </w:r>
    </w:p>
    <w:p>
      <w:pPr>
        <w:tabs>
          <w:tab w:val="left" w:pos="0"/>
        </w:tabs>
        <w:spacing w:line="360" w:lineRule="auto"/>
        <w:rPr>
          <w:rFonts w:hint="eastAsia" w:ascii="宋体" w:hAnsi="宋体" w:eastAsia="宋体" w:cs="仿宋"/>
          <w:b/>
          <w:bCs/>
          <w:color w:val="auto"/>
          <w:sz w:val="28"/>
          <w:szCs w:val="28"/>
          <w:lang w:eastAsia="zh-CN"/>
        </w:rPr>
      </w:pPr>
      <w:r>
        <w:rPr>
          <w:rFonts w:hint="eastAsia" w:ascii="宋体" w:hAnsi="宋体" w:cs="仿宋"/>
          <w:b/>
          <w:bCs/>
          <w:color w:val="auto"/>
          <w:sz w:val="28"/>
          <w:szCs w:val="28"/>
          <w:lang w:eastAsia="zh-CN"/>
        </w:rPr>
        <w:t>（一）采购内容</w:t>
      </w:r>
    </w:p>
    <w:p>
      <w:pPr>
        <w:tabs>
          <w:tab w:val="left" w:pos="0"/>
        </w:tabs>
        <w:spacing w:line="360" w:lineRule="auto"/>
        <w:rPr>
          <w:rFonts w:hint="default" w:ascii="宋体" w:hAnsi="宋体" w:eastAsia="宋体"/>
          <w:bCs/>
          <w:color w:val="auto"/>
          <w:sz w:val="22"/>
          <w:szCs w:val="22"/>
          <w:lang w:val="en-US" w:eastAsia="zh-CN"/>
        </w:rPr>
      </w:pPr>
      <w:r>
        <w:rPr>
          <w:rFonts w:hint="eastAsia" w:ascii="宋体" w:hAnsi="宋体" w:cs="仿宋"/>
          <w:color w:val="auto"/>
          <w:sz w:val="22"/>
          <w:szCs w:val="22"/>
        </w:rPr>
        <w:t xml:space="preserve">1. </w:t>
      </w:r>
      <w:r>
        <w:rPr>
          <w:rFonts w:hint="eastAsia" w:ascii="宋体" w:hAnsi="宋体" w:cs="仿宋"/>
          <w:color w:val="auto"/>
          <w:sz w:val="22"/>
          <w:szCs w:val="22"/>
          <w:lang w:eastAsia="zh-CN"/>
        </w:rPr>
        <w:t>采购清单</w:t>
      </w:r>
      <w:r>
        <w:rPr>
          <w:rFonts w:hint="eastAsia" w:ascii="宋体" w:hAnsi="宋体" w:cs="仿宋"/>
          <w:color w:val="auto"/>
          <w:sz w:val="22"/>
          <w:szCs w:val="22"/>
        </w:rPr>
        <w:t>，具体情况如下：</w:t>
      </w:r>
      <w:r>
        <w:rPr>
          <w:rFonts w:hint="eastAsia" w:ascii="宋体" w:hAnsi="宋体" w:cs="仿宋"/>
          <w:color w:val="auto"/>
          <w:sz w:val="22"/>
          <w:szCs w:val="22"/>
          <w:lang w:val="en-US" w:eastAsia="zh-CN"/>
        </w:rPr>
        <w:t xml:space="preserve">                               价格单位：万元</w:t>
      </w:r>
    </w:p>
    <w:tbl>
      <w:tblPr>
        <w:tblStyle w:val="44"/>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949"/>
        <w:gridCol w:w="780"/>
        <w:gridCol w:w="780"/>
        <w:gridCol w:w="1030"/>
        <w:gridCol w:w="980"/>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cs="仿宋"/>
                <w:color w:val="auto"/>
                <w:sz w:val="20"/>
                <w:szCs w:val="20"/>
              </w:rPr>
            </w:pPr>
            <w:r>
              <w:rPr>
                <w:rFonts w:hint="eastAsia" w:ascii="宋体" w:hAnsi="宋体" w:cs="仿宋"/>
                <w:color w:val="auto"/>
                <w:sz w:val="20"/>
                <w:szCs w:val="20"/>
              </w:rPr>
              <w:t>序号</w:t>
            </w:r>
          </w:p>
        </w:tc>
        <w:tc>
          <w:tcPr>
            <w:tcW w:w="1949" w:type="dxa"/>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cs="仿宋"/>
                <w:color w:val="auto"/>
                <w:sz w:val="20"/>
                <w:szCs w:val="20"/>
              </w:rPr>
            </w:pPr>
            <w:r>
              <w:rPr>
                <w:rFonts w:hint="eastAsia" w:ascii="宋体" w:hAnsi="宋体" w:cs="仿宋"/>
                <w:color w:val="auto"/>
                <w:sz w:val="20"/>
                <w:szCs w:val="20"/>
              </w:rPr>
              <w:t>品类名称</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仿宋"/>
                <w:color w:val="auto"/>
                <w:sz w:val="20"/>
                <w:szCs w:val="20"/>
                <w:lang w:eastAsia="zh-CN"/>
              </w:rPr>
            </w:pPr>
            <w:r>
              <w:rPr>
                <w:rFonts w:hint="eastAsia" w:ascii="宋体" w:hAnsi="宋体" w:cs="仿宋"/>
                <w:color w:val="auto"/>
                <w:sz w:val="20"/>
                <w:szCs w:val="20"/>
                <w:lang w:eastAsia="zh-CN"/>
              </w:rPr>
              <w:t>数量</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cs="仿宋"/>
                <w:color w:val="auto"/>
                <w:sz w:val="20"/>
                <w:szCs w:val="20"/>
              </w:rPr>
            </w:pPr>
            <w:r>
              <w:rPr>
                <w:rFonts w:hint="eastAsia" w:ascii="宋体" w:hAnsi="宋体" w:cs="仿宋"/>
                <w:color w:val="auto"/>
                <w:sz w:val="20"/>
                <w:szCs w:val="20"/>
                <w:lang w:eastAsia="zh-CN"/>
              </w:rPr>
              <w:t>单价</w:t>
            </w:r>
          </w:p>
        </w:tc>
        <w:tc>
          <w:tcPr>
            <w:tcW w:w="1030" w:type="dxa"/>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仿宋"/>
                <w:color w:val="auto"/>
                <w:sz w:val="20"/>
                <w:szCs w:val="20"/>
                <w:lang w:eastAsia="zh-CN"/>
              </w:rPr>
            </w:pPr>
            <w:r>
              <w:rPr>
                <w:rFonts w:hint="eastAsia" w:ascii="宋体" w:hAnsi="宋体" w:cs="仿宋"/>
                <w:color w:val="auto"/>
                <w:sz w:val="20"/>
                <w:szCs w:val="20"/>
                <w:lang w:eastAsia="zh-CN"/>
              </w:rPr>
              <w:t>合价</w:t>
            </w:r>
          </w:p>
        </w:tc>
        <w:tc>
          <w:tcPr>
            <w:tcW w:w="980" w:type="dxa"/>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cs="仿宋"/>
                <w:color w:val="auto"/>
                <w:sz w:val="20"/>
                <w:szCs w:val="20"/>
              </w:rPr>
            </w:pPr>
            <w:r>
              <w:rPr>
                <w:rFonts w:hint="eastAsia" w:ascii="宋体" w:hAnsi="宋体" w:cs="仿宋"/>
                <w:color w:val="auto"/>
                <w:sz w:val="20"/>
                <w:szCs w:val="20"/>
                <w:lang w:eastAsia="zh-CN"/>
              </w:rPr>
              <w:t>合价</w:t>
            </w:r>
            <w:r>
              <w:rPr>
                <w:rFonts w:hint="eastAsia" w:ascii="宋体" w:hAnsi="宋体" w:cs="仿宋"/>
                <w:color w:val="auto"/>
                <w:sz w:val="20"/>
                <w:szCs w:val="20"/>
              </w:rPr>
              <w:t>最高限价</w:t>
            </w:r>
          </w:p>
        </w:tc>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cs="仿宋"/>
                <w:color w:val="auto"/>
                <w:sz w:val="20"/>
                <w:szCs w:val="20"/>
                <w:lang w:eastAsia="zh-CN"/>
              </w:rPr>
            </w:pPr>
            <w:r>
              <w:rPr>
                <w:rFonts w:hint="eastAsia" w:ascii="宋体" w:hAnsi="宋体" w:cs="仿宋"/>
                <w:color w:val="auto"/>
                <w:sz w:val="20"/>
                <w:szCs w:val="20"/>
                <w:lang w:eastAsia="zh-CN"/>
              </w:rPr>
              <w:t>区域数量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7" w:type="dxa"/>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仿宋"/>
                <w:color w:val="auto"/>
                <w:sz w:val="18"/>
                <w:szCs w:val="18"/>
                <w:lang w:val="en-US" w:eastAsia="zh-CN"/>
              </w:rPr>
            </w:pPr>
            <w:r>
              <w:rPr>
                <w:rFonts w:hint="eastAsia" w:ascii="宋体" w:hAnsi="宋体" w:cs="仿宋"/>
                <w:color w:val="auto"/>
                <w:sz w:val="18"/>
                <w:szCs w:val="18"/>
                <w:lang w:val="en-US" w:eastAsia="zh-CN"/>
              </w:rPr>
              <w:t>1</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长臂挖掘机</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50</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50</w:t>
            </w:r>
          </w:p>
        </w:tc>
        <w:tc>
          <w:tcPr>
            <w:tcW w:w="9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50</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市本级1辆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57" w:type="dxa"/>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仿宋"/>
                <w:color w:val="auto"/>
                <w:sz w:val="18"/>
                <w:szCs w:val="18"/>
                <w:lang w:val="en-US" w:eastAsia="zh-CN"/>
              </w:rPr>
            </w:pPr>
            <w:r>
              <w:rPr>
                <w:rFonts w:hint="eastAsia" w:ascii="宋体" w:hAnsi="宋体" w:cs="仿宋"/>
                <w:color w:val="auto"/>
                <w:sz w:val="18"/>
                <w:szCs w:val="18"/>
                <w:lang w:val="en-US" w:eastAsia="zh-CN"/>
              </w:rPr>
              <w:t>2</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装载机</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50</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50</w:t>
            </w:r>
          </w:p>
        </w:tc>
        <w:tc>
          <w:tcPr>
            <w:tcW w:w="9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50</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市本级1辆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57" w:type="dxa"/>
            <w:vAlign w:val="center"/>
          </w:tcPr>
          <w:p>
            <w:pPr>
              <w:keepNext w:val="0"/>
              <w:keepLines w:val="0"/>
              <w:pageBreakBefore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仿宋"/>
                <w:color w:val="auto"/>
                <w:sz w:val="18"/>
                <w:szCs w:val="18"/>
                <w:lang w:val="en-US" w:eastAsia="zh-CN"/>
              </w:rPr>
            </w:pPr>
            <w:r>
              <w:rPr>
                <w:rFonts w:hint="eastAsia" w:ascii="宋体" w:hAnsi="宋体" w:cs="仿宋"/>
                <w:color w:val="auto"/>
                <w:sz w:val="18"/>
                <w:szCs w:val="18"/>
                <w:lang w:val="en-US" w:eastAsia="zh-CN"/>
              </w:rPr>
              <w:t>3</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液压破拆工具组</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18</w:t>
            </w:r>
          </w:p>
        </w:tc>
        <w:tc>
          <w:tcPr>
            <w:tcW w:w="7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7.5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135</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135</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鹿城区5套、乐清市5套、瑞安市4套、平阳县4套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仿宋"/>
                <w:color w:val="auto"/>
                <w:sz w:val="18"/>
                <w:szCs w:val="18"/>
                <w:lang w:val="en-US" w:eastAsia="zh-CN"/>
              </w:rPr>
            </w:pPr>
            <w:r>
              <w:rPr>
                <w:rFonts w:hint="eastAsia" w:ascii="宋体" w:hAnsi="宋体" w:cs="仿宋"/>
                <w:color w:val="auto"/>
                <w:sz w:val="18"/>
                <w:szCs w:val="18"/>
                <w:lang w:val="en-US" w:eastAsia="zh-CN"/>
              </w:rPr>
              <w:t>4</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汽(柴)油机泵</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10</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30</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30</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洞头区2套、乐清市5套、瑞安市3套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5</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链锯</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14</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0.15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2.1</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2.1</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洞头区10套、瑞安市4套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钢筋速断器</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4</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2</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7</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切割锯套装</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2.5</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2.5</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8</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激光测距仪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42</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21</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21</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洞头区2套、乐清市26套、瑞安市14套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9</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便携式担架</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11</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0.1</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1.1</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1.1</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软体水枪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40</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0.2</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8</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8</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洞头区6套、乐清市34套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11</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便携式防水防爆应急强光灯</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14</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0.7</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9.8</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9.8</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洞头区11套、苍南县3套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红外热成像仪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12</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0.2</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2.4</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2.4</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洞头区5套、乐清市5套、瑞安市2套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仿宋"/>
                <w:color w:val="auto"/>
                <w:sz w:val="18"/>
                <w:szCs w:val="18"/>
                <w:lang w:val="en-US" w:eastAsia="zh-CN"/>
              </w:rPr>
            </w:pPr>
            <w:r>
              <w:rPr>
                <w:rFonts w:hint="eastAsia" w:ascii="宋体" w:hAnsi="宋体" w:cs="仿宋"/>
                <w:color w:val="auto"/>
                <w:sz w:val="18"/>
                <w:szCs w:val="18"/>
                <w:lang w:val="en-US" w:eastAsia="zh-CN"/>
              </w:rPr>
              <w:t>13</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移动蓄水池</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12</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0.7</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8.4</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8.4</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鹿城区1套、洞头区11套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仿宋"/>
                <w:b/>
                <w:bCs/>
                <w:color w:val="auto"/>
                <w:sz w:val="18"/>
                <w:szCs w:val="18"/>
                <w:lang w:val="en-US" w:eastAsia="zh-CN"/>
              </w:rPr>
            </w:pPr>
            <w:r>
              <w:rPr>
                <w:rFonts w:hint="eastAsia" w:ascii="宋体" w:hAnsi="宋体" w:cs="仿宋"/>
                <w:b/>
                <w:bCs/>
                <w:color w:val="auto"/>
                <w:sz w:val="18"/>
                <w:szCs w:val="18"/>
                <w:lang w:val="en-US" w:eastAsia="zh-CN"/>
              </w:rPr>
              <w:t>14</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b/>
                <w:bCs/>
                <w:i w:val="0"/>
                <w:iCs w:val="0"/>
                <w:color w:val="auto"/>
                <w:kern w:val="0"/>
                <w:sz w:val="18"/>
                <w:szCs w:val="18"/>
                <w:u w:val="none"/>
                <w:lang w:val="en-US" w:eastAsia="zh-CN"/>
              </w:rPr>
            </w:pPr>
            <w:r>
              <w:rPr>
                <w:rFonts w:hint="default" w:ascii="仿宋_GB2312" w:hAnsi="宋体" w:eastAsia="仿宋_GB2312" w:cs="仿宋_GB2312"/>
                <w:b/>
                <w:bCs/>
                <w:i w:val="0"/>
                <w:iCs w:val="0"/>
                <w:color w:val="auto"/>
                <w:kern w:val="0"/>
                <w:sz w:val="18"/>
                <w:szCs w:val="18"/>
                <w:u w:val="none"/>
                <w:lang w:val="en-US" w:eastAsia="zh-CN"/>
              </w:rPr>
              <w:t>自救呼吸器</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b/>
                <w:bCs/>
                <w:i w:val="0"/>
                <w:iCs w:val="0"/>
                <w:color w:val="auto"/>
                <w:kern w:val="0"/>
                <w:sz w:val="18"/>
                <w:szCs w:val="18"/>
                <w:u w:val="none"/>
                <w:lang w:val="en-US" w:eastAsia="zh-CN"/>
              </w:rPr>
            </w:pPr>
            <w:r>
              <w:rPr>
                <w:rFonts w:hint="eastAsia" w:ascii="仿宋_GB2312" w:hAnsi="宋体" w:eastAsia="仿宋_GB2312" w:cs="仿宋_GB2312"/>
                <w:b/>
                <w:bCs/>
                <w:i w:val="0"/>
                <w:iCs w:val="0"/>
                <w:color w:val="auto"/>
                <w:kern w:val="0"/>
                <w:sz w:val="18"/>
                <w:szCs w:val="18"/>
                <w:u w:val="none"/>
                <w:lang w:val="en-US" w:eastAsia="zh-CN"/>
              </w:rPr>
              <w:t>239</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b/>
                <w:bCs/>
                <w:i w:val="0"/>
                <w:iCs w:val="0"/>
                <w:color w:val="auto"/>
                <w:kern w:val="0"/>
                <w:sz w:val="18"/>
                <w:szCs w:val="18"/>
                <w:u w:val="none"/>
                <w:lang w:val="en-US" w:eastAsia="zh-CN"/>
              </w:rPr>
            </w:pPr>
            <w:r>
              <w:rPr>
                <w:rFonts w:hint="eastAsia" w:ascii="仿宋_GB2312" w:hAnsi="宋体" w:eastAsia="仿宋_GB2312" w:cs="仿宋_GB2312"/>
                <w:b/>
                <w:bCs/>
                <w:i w:val="0"/>
                <w:iCs w:val="0"/>
                <w:color w:val="auto"/>
                <w:kern w:val="0"/>
                <w:sz w:val="18"/>
                <w:szCs w:val="18"/>
                <w:u w:val="none"/>
                <w:lang w:val="en-US" w:eastAsia="zh-CN"/>
              </w:rPr>
              <w:t>0.5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b/>
                <w:bCs/>
                <w:i w:val="0"/>
                <w:iCs w:val="0"/>
                <w:color w:val="auto"/>
                <w:kern w:val="0"/>
                <w:sz w:val="18"/>
                <w:szCs w:val="18"/>
                <w:u w:val="none"/>
                <w:lang w:val="en-US" w:eastAsia="zh-CN"/>
              </w:rPr>
            </w:pPr>
            <w:r>
              <w:rPr>
                <w:rFonts w:hint="eastAsia" w:ascii="仿宋_GB2312" w:hAnsi="宋体" w:eastAsia="仿宋_GB2312" w:cs="仿宋_GB2312"/>
                <w:b/>
                <w:bCs/>
                <w:i w:val="0"/>
                <w:iCs w:val="0"/>
                <w:color w:val="auto"/>
                <w:kern w:val="0"/>
                <w:sz w:val="18"/>
                <w:szCs w:val="18"/>
                <w:u w:val="none"/>
                <w:lang w:val="en-US" w:eastAsia="zh-CN"/>
              </w:rPr>
              <w:t>119.5</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b/>
                <w:bCs/>
                <w:i w:val="0"/>
                <w:iCs w:val="0"/>
                <w:color w:val="auto"/>
                <w:kern w:val="0"/>
                <w:sz w:val="18"/>
                <w:szCs w:val="18"/>
                <w:u w:val="none"/>
                <w:lang w:val="en-US" w:eastAsia="zh-CN" w:bidi="ar-SA"/>
              </w:rPr>
            </w:pPr>
            <w:r>
              <w:rPr>
                <w:rFonts w:hint="eastAsia" w:ascii="仿宋_GB2312" w:hAnsi="宋体" w:eastAsia="仿宋_GB2312" w:cs="仿宋_GB2312"/>
                <w:b/>
                <w:bCs/>
                <w:i w:val="0"/>
                <w:iCs w:val="0"/>
                <w:color w:val="auto"/>
                <w:kern w:val="0"/>
                <w:sz w:val="18"/>
                <w:szCs w:val="18"/>
                <w:u w:val="none"/>
                <w:lang w:val="en-US" w:eastAsia="zh-CN"/>
              </w:rPr>
              <w:t>119.5</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b/>
                <w:bCs/>
                <w:color w:val="auto"/>
                <w:sz w:val="18"/>
                <w:szCs w:val="18"/>
                <w:lang w:val="en-US" w:eastAsia="zh-CN" w:bidi="ar-SA"/>
              </w:rPr>
            </w:pPr>
            <w:r>
              <w:rPr>
                <w:rFonts w:hint="eastAsia" w:ascii="宋体" w:hAnsi="宋体" w:cs="宋体"/>
                <w:b/>
                <w:bCs/>
                <w:color w:val="auto"/>
                <w:sz w:val="18"/>
                <w:szCs w:val="18"/>
                <w:lang w:val="en-US" w:eastAsia="zh-CN" w:bidi="ar-SA"/>
              </w:rPr>
              <w:t>洞头区4套、乐清市235套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15</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有毒有害气体检测仪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7</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0.2</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1.4</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1.4</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洞头区3套、瑞安市4套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16</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高压细水雾灭火机</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70</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0.88</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61.6</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61.6</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洞头区6套、乐清市60套、瑞安市4套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17</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防水头灯</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185</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0.02</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3.7</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3.7</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宋体" w:hAnsi="宋体" w:cs="宋体"/>
                <w:color w:val="auto"/>
                <w:sz w:val="18"/>
                <w:szCs w:val="18"/>
                <w:lang w:val="en-US" w:eastAsia="zh-CN" w:bidi="ar-SA"/>
              </w:rPr>
              <w:t>洞头区18套、瑞安市20套、苍南县147套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18</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水深探测仪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4</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0.6</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2.4</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2.4</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宋体" w:hAnsi="宋体" w:cs="宋体"/>
                <w:color w:val="auto"/>
                <w:sz w:val="18"/>
                <w:szCs w:val="18"/>
                <w:lang w:val="en-US" w:eastAsia="zh-CN" w:bidi="ar-SA"/>
              </w:rPr>
              <w:t>洞头区1套、乐清市3套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19</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漏电检测仪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33</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16.5</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16.5</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宋体" w:hAnsi="宋体" w:cs="宋体"/>
                <w:color w:val="auto"/>
                <w:sz w:val="18"/>
                <w:szCs w:val="18"/>
                <w:lang w:val="en-US" w:eastAsia="zh-CN" w:bidi="ar-SA"/>
              </w:rPr>
              <w:t>洞头区1套、乐清市26套、瑞安市6套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20</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氧气呼吸器</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2.8</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5.6</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5.6</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_GB2312" w:hAnsi="宋体" w:eastAsia="仿宋_GB2312" w:cs="仿宋_GB2312"/>
                <w:i w:val="0"/>
                <w:iCs w:val="0"/>
                <w:color w:val="auto"/>
                <w:kern w:val="0"/>
                <w:sz w:val="18"/>
                <w:szCs w:val="18"/>
                <w:u w:val="none"/>
                <w:lang w:val="en-US" w:eastAsia="zh-CN"/>
              </w:rPr>
            </w:pPr>
            <w:r>
              <w:rPr>
                <w:rFonts w:hint="eastAsia" w:ascii="宋体" w:hAnsi="宋体" w:cs="宋体"/>
                <w:color w:val="auto"/>
                <w:sz w:val="18"/>
                <w:szCs w:val="18"/>
                <w:lang w:val="en-US" w:eastAsia="zh-CN" w:bidi="ar-SA"/>
              </w:rPr>
              <w:t>洞头区2套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21</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便携式气象仪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3</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宋体" w:hAnsi="宋体" w:cs="宋体"/>
                <w:color w:val="auto"/>
                <w:sz w:val="18"/>
                <w:szCs w:val="18"/>
                <w:lang w:val="en-US" w:eastAsia="zh-CN" w:bidi="ar-SA"/>
              </w:rPr>
              <w:t>洞头区1套、乐清市2套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22</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便携式除颤仪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49</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0.8</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39.2</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39.2</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宋体" w:hAnsi="宋体" w:cs="宋体"/>
                <w:color w:val="auto"/>
                <w:sz w:val="18"/>
                <w:szCs w:val="18"/>
                <w:lang w:val="en-US" w:eastAsia="zh-CN" w:bidi="ar-SA"/>
              </w:rPr>
              <w:t>洞头区2套、乐清市28套、平阳县17套、苍南县2套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23</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绝缘剪断钳</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67</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0.1</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6.7</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6.7</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宋体" w:hAnsi="宋体" w:cs="宋体"/>
                <w:color w:val="auto"/>
                <w:sz w:val="18"/>
                <w:szCs w:val="18"/>
                <w:lang w:val="en-US" w:eastAsia="zh-CN" w:bidi="ar-SA"/>
              </w:rPr>
              <w:t>洞头区2套、乐清市65套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24</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应急电源</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25</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12.5</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12.5</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乐清市25套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25</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高压接力消防水泵</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8</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16</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16</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乐清市8套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26</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割灌机</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99</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0.15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14.85</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14.85</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乐清市29套、苍南县70套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27</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油锯</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145</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0.215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31.175</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31.175</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乐清市30套、瑞安市5套、苍南县110套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28</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生命探测仪（音视频生命探测仪）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5.8</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5.8</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5.8</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乐清市1套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29</w:t>
            </w:r>
          </w:p>
        </w:tc>
        <w:tc>
          <w:tcPr>
            <w:tcW w:w="1949"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流速监测仪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9</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9</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乐清市3套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30</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凿岩机</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2</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乐清市1套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31</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便携式灭火水泵</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179</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0.6</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107.4</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107.4</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乐清市41套、瑞安市3套、苍南县135套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32</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复合气体探测仪</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9.09</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9.09</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9.09</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平阳县1套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33</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混凝土液压破拆工具组</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12.35</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24.7</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24.7</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平阳县2套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34</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风力灭火机</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116</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0.26</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30.16</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30.16</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苍南县116套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35</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个人护具</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248</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0.72</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178.56</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178.56</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苍南县248套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36</w:t>
            </w: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default" w:ascii="仿宋_GB2312" w:hAnsi="宋体" w:eastAsia="仿宋_GB2312" w:cs="仿宋_GB2312"/>
                <w:i w:val="0"/>
                <w:iCs w:val="0"/>
                <w:color w:val="auto"/>
                <w:kern w:val="0"/>
                <w:sz w:val="18"/>
                <w:szCs w:val="18"/>
                <w:u w:val="none"/>
                <w:lang w:val="en-US" w:eastAsia="zh-CN"/>
              </w:rPr>
              <w:t>通讯流量包（1年）</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1.044</w:t>
            </w: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1.044</w:t>
            </w:r>
          </w:p>
        </w:tc>
        <w:tc>
          <w:tcPr>
            <w:tcW w:w="98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_GB2312" w:hAnsi="宋体" w:eastAsia="仿宋_GB2312" w:cs="仿宋_GB2312"/>
                <w:i w:val="0"/>
                <w:iCs w:val="0"/>
                <w:color w:val="auto"/>
                <w:kern w:val="0"/>
                <w:sz w:val="18"/>
                <w:szCs w:val="18"/>
                <w:u w:val="none"/>
                <w:lang w:val="en-US" w:eastAsia="zh-CN" w:bidi="ar-SA"/>
              </w:rPr>
            </w:pPr>
            <w:r>
              <w:rPr>
                <w:rFonts w:hint="eastAsia" w:ascii="仿宋_GB2312" w:hAnsi="宋体" w:eastAsia="仿宋_GB2312" w:cs="仿宋_GB2312"/>
                <w:i w:val="0"/>
                <w:iCs w:val="0"/>
                <w:color w:val="auto"/>
                <w:kern w:val="0"/>
                <w:sz w:val="18"/>
                <w:szCs w:val="18"/>
                <w:u w:val="none"/>
                <w:lang w:val="en-US" w:eastAsia="zh-CN"/>
              </w:rPr>
              <w:t>1.044</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苍南县1项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_GB2312" w:hAnsi="宋体" w:eastAsia="仿宋_GB2312" w:cs="仿宋_GB2312"/>
                <w:i w:val="0"/>
                <w:iCs w:val="0"/>
                <w:color w:val="auto"/>
                <w:kern w:val="0"/>
                <w:sz w:val="18"/>
                <w:szCs w:val="18"/>
                <w:u w:val="none"/>
                <w:lang w:val="en-US" w:eastAsia="zh-CN"/>
              </w:rPr>
            </w:pP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p>
        </w:tc>
        <w:tc>
          <w:tcPr>
            <w:tcW w:w="103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p>
        </w:tc>
        <w:tc>
          <w:tcPr>
            <w:tcW w:w="9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_GB2312" w:hAnsi="宋体" w:eastAsia="仿宋_GB2312" w:cs="仿宋_GB2312"/>
                <w:i w:val="0"/>
                <w:iCs w:val="0"/>
                <w:color w:val="auto"/>
                <w:kern w:val="0"/>
                <w:sz w:val="18"/>
                <w:szCs w:val="18"/>
                <w:u w:val="none"/>
                <w:lang w:val="en-US" w:eastAsia="zh-CN"/>
              </w:rPr>
            </w:pP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_GB2312" w:hAnsi="宋体" w:eastAsia="仿宋_GB2312" w:cs="仿宋_GB2312"/>
                <w:i w:val="0"/>
                <w:iCs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57"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_GB2312" w:hAnsi="宋体" w:eastAsia="仿宋_GB2312" w:cs="仿宋_GB2312"/>
                <w:i w:val="0"/>
                <w:iCs w:val="0"/>
                <w:color w:val="auto"/>
                <w:kern w:val="0"/>
                <w:sz w:val="18"/>
                <w:szCs w:val="18"/>
                <w:u w:val="none"/>
                <w:lang w:val="en-US" w:eastAsia="zh-CN"/>
              </w:rPr>
            </w:pPr>
          </w:p>
        </w:tc>
        <w:tc>
          <w:tcPr>
            <w:tcW w:w="1949"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b/>
                <w:bCs/>
                <w:i w:val="0"/>
                <w:iCs w:val="0"/>
                <w:color w:val="auto"/>
                <w:kern w:val="0"/>
                <w:sz w:val="21"/>
                <w:szCs w:val="21"/>
                <w:u w:val="none"/>
                <w:lang w:val="en-US" w:eastAsia="zh-CN"/>
              </w:rPr>
              <w:t>合计</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1668</w:t>
            </w:r>
          </w:p>
        </w:tc>
        <w:tc>
          <w:tcPr>
            <w:tcW w:w="7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_GB2312" w:hAnsi="宋体" w:eastAsia="仿宋_GB2312" w:cs="仿宋_GB2312"/>
                <w:i w:val="0"/>
                <w:iCs w:val="0"/>
                <w:color w:val="auto"/>
                <w:kern w:val="0"/>
                <w:sz w:val="18"/>
                <w:szCs w:val="18"/>
                <w:u w:val="none"/>
                <w:lang w:val="en-US" w:eastAsia="zh-CN"/>
              </w:rPr>
            </w:pPr>
          </w:p>
        </w:tc>
        <w:tc>
          <w:tcPr>
            <w:tcW w:w="1030" w:type="dxa"/>
            <w:shd w:val="clear" w:color="auto" w:fill="auto"/>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both"/>
              <w:textAlignment w:val="center"/>
              <w:rPr>
                <w:rFonts w:hint="default"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1024.179</w:t>
            </w:r>
          </w:p>
        </w:tc>
        <w:tc>
          <w:tcPr>
            <w:tcW w:w="980"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_GB2312" w:hAnsi="宋体" w:eastAsia="仿宋_GB2312" w:cs="仿宋_GB2312"/>
                <w:i w:val="0"/>
                <w:iCs w:val="0"/>
                <w:color w:val="auto"/>
                <w:kern w:val="0"/>
                <w:sz w:val="18"/>
                <w:szCs w:val="18"/>
                <w:u w:val="none"/>
                <w:lang w:val="en-US" w:eastAsia="zh-CN"/>
              </w:rPr>
            </w:pPr>
            <w:r>
              <w:rPr>
                <w:rFonts w:hint="eastAsia" w:ascii="仿宋_GB2312" w:hAnsi="宋体" w:eastAsia="仿宋_GB2312" w:cs="仿宋_GB2312"/>
                <w:i w:val="0"/>
                <w:iCs w:val="0"/>
                <w:color w:val="auto"/>
                <w:kern w:val="0"/>
                <w:sz w:val="18"/>
                <w:szCs w:val="18"/>
                <w:u w:val="none"/>
                <w:lang w:val="en-US" w:eastAsia="zh-CN"/>
              </w:rPr>
              <w:t>1024.179</w:t>
            </w:r>
          </w:p>
        </w:tc>
        <w:tc>
          <w:tcPr>
            <w:tcW w:w="2422" w:type="dxa"/>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_GB2312" w:hAnsi="宋体" w:eastAsia="仿宋_GB2312" w:cs="仿宋_GB2312"/>
                <w:i w:val="0"/>
                <w:iCs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598" w:type="dxa"/>
            <w:gridSpan w:val="7"/>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_GB2312" w:hAnsi="宋体" w:eastAsia="仿宋_GB2312" w:cs="仿宋_GB2312"/>
                <w:i w:val="0"/>
                <w:iCs w:val="0"/>
                <w:color w:val="auto"/>
                <w:kern w:val="0"/>
                <w:sz w:val="18"/>
                <w:szCs w:val="18"/>
                <w:u w:val="none"/>
                <w:lang w:val="en-US" w:eastAsia="zh-CN"/>
              </w:rPr>
            </w:pPr>
            <w:r>
              <w:rPr>
                <w:rFonts w:hint="eastAsia" w:ascii="宋体" w:hAnsi="宋体" w:cs="宋体"/>
                <w:b/>
                <w:bCs/>
                <w:color w:val="auto"/>
                <w:sz w:val="22"/>
                <w:szCs w:val="22"/>
                <w:u w:val="single"/>
                <w:lang w:eastAsia="zh-CN"/>
              </w:rPr>
              <w:t>备注：</w:t>
            </w:r>
            <w:r>
              <w:rPr>
                <w:rFonts w:hint="eastAsia" w:ascii="宋体" w:hAnsi="宋体" w:cs="宋体"/>
                <w:b/>
                <w:bCs/>
                <w:color w:val="auto"/>
                <w:sz w:val="22"/>
                <w:szCs w:val="22"/>
                <w:u w:val="single"/>
              </w:rPr>
              <w:t>▲投标供应商的投标报价超过采购预算及各产品最高限价的，按无效标处理。</w:t>
            </w:r>
            <w:r>
              <w:rPr>
                <w:rFonts w:hint="eastAsia" w:ascii="Times New Roman" w:hAnsi="Times New Roman" w:cs="Times New Roman"/>
                <w:b/>
                <w:color w:val="auto"/>
                <w:sz w:val="22"/>
                <w:szCs w:val="20"/>
                <w:highlight w:val="none"/>
                <w:u w:val="none"/>
                <w:lang w:val="en-US" w:eastAsia="zh-CN"/>
              </w:rPr>
              <w:t>核心产品：自救呼吸器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598" w:type="dxa"/>
            <w:gridSpan w:val="7"/>
            <w:vAlign w:val="center"/>
          </w:tcPr>
          <w:p>
            <w:pPr>
              <w:keepNext w:val="0"/>
              <w:keepLines w:val="0"/>
              <w:pageBreakBefore w:val="0"/>
              <w:widowControl/>
              <w:kinsoku/>
              <w:wordWrap/>
              <w:overflowPunct/>
              <w:topLinePunct w:val="0"/>
              <w:autoSpaceDE/>
              <w:autoSpaceDN/>
              <w:bidi w:val="0"/>
              <w:spacing w:before="0" w:beforeAutospacing="0" w:after="0" w:afterAutospacing="0" w:line="240" w:lineRule="auto"/>
              <w:ind w:left="0" w:right="0"/>
              <w:jc w:val="both"/>
              <w:textAlignment w:val="center"/>
              <w:rPr>
                <w:rFonts w:hint="eastAsia" w:ascii="仿宋_GB2312" w:hAnsi="宋体" w:eastAsia="仿宋_GB2312" w:cs="仿宋_GB2312"/>
                <w:b/>
                <w:bCs/>
                <w:i w:val="0"/>
                <w:iCs w:val="0"/>
                <w:color w:val="auto"/>
                <w:kern w:val="0"/>
                <w:sz w:val="18"/>
                <w:szCs w:val="18"/>
                <w:u w:val="none"/>
                <w:lang w:val="en-US" w:eastAsia="zh-CN"/>
              </w:rPr>
            </w:pPr>
            <w:r>
              <w:rPr>
                <w:rFonts w:hint="eastAsia" w:ascii="仿宋_GB2312" w:hAnsi="宋体" w:eastAsia="仿宋_GB2312" w:cs="仿宋_GB2312"/>
                <w:b/>
                <w:bCs/>
                <w:i w:val="0"/>
                <w:iCs w:val="0"/>
                <w:color w:val="auto"/>
                <w:kern w:val="0"/>
                <w:sz w:val="18"/>
                <w:szCs w:val="18"/>
                <w:u w:val="none"/>
                <w:lang w:val="en-US" w:eastAsia="zh-CN"/>
              </w:rPr>
              <w:t>提供：1、14</w:t>
            </w:r>
            <w:r>
              <w:rPr>
                <w:rFonts w:hint="default" w:ascii="仿宋_GB2312" w:hAnsi="宋体" w:eastAsia="仿宋_GB2312" w:cs="仿宋_GB2312"/>
                <w:b/>
                <w:bCs/>
                <w:i w:val="0"/>
                <w:iCs w:val="0"/>
                <w:color w:val="auto"/>
                <w:kern w:val="0"/>
                <w:sz w:val="18"/>
                <w:szCs w:val="18"/>
                <w:u w:val="none"/>
                <w:lang w:val="en-US" w:eastAsia="zh-CN"/>
              </w:rPr>
              <w:t>自救呼吸器</w:t>
            </w:r>
            <w:r>
              <w:rPr>
                <w:rFonts w:hint="eastAsia" w:ascii="仿宋_GB2312" w:hAnsi="宋体" w:eastAsia="仿宋_GB2312" w:cs="仿宋_GB2312"/>
                <w:b/>
                <w:bCs/>
                <w:i w:val="0"/>
                <w:iCs w:val="0"/>
                <w:color w:val="auto"/>
                <w:kern w:val="0"/>
                <w:sz w:val="18"/>
                <w:szCs w:val="18"/>
                <w:u w:val="none"/>
                <w:lang w:val="en-US" w:eastAsia="zh-CN"/>
              </w:rPr>
              <w:t>、19漏电检测仪样品各1套；</w:t>
            </w: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240" w:lineRule="auto"/>
              <w:ind w:left="361" w:leftChars="0" w:right="0" w:rightChars="0"/>
              <w:jc w:val="both"/>
              <w:textAlignment w:val="center"/>
              <w:rPr>
                <w:rFonts w:hint="eastAsia" w:ascii="仿宋_GB2312" w:hAnsi="宋体" w:eastAsia="仿宋_GB2312" w:cs="仿宋_GB2312"/>
                <w:b/>
                <w:bCs/>
                <w:i w:val="0"/>
                <w:iCs w:val="0"/>
                <w:color w:val="auto"/>
                <w:kern w:val="0"/>
                <w:sz w:val="18"/>
                <w:szCs w:val="18"/>
                <w:u w:val="none"/>
                <w:lang w:val="en-US" w:eastAsia="zh-CN"/>
              </w:rPr>
            </w:pPr>
            <w:r>
              <w:rPr>
                <w:rFonts w:hint="eastAsia" w:ascii="仿宋_GB2312" w:hAnsi="宋体" w:eastAsia="仿宋_GB2312" w:cs="仿宋_GB2312"/>
                <w:b/>
                <w:bCs/>
                <w:i w:val="0"/>
                <w:iCs w:val="0"/>
                <w:color w:val="auto"/>
                <w:kern w:val="0"/>
                <w:sz w:val="18"/>
                <w:szCs w:val="18"/>
                <w:u w:val="none"/>
                <w:lang w:val="en-US" w:eastAsia="zh-CN"/>
              </w:rPr>
              <w:t>2、样品在投标截止日前一天17点前到达（可以邮寄）温州市市府路592号新益大厦A栋1302室；</w:t>
            </w: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240" w:lineRule="auto"/>
              <w:ind w:left="361" w:leftChars="0" w:right="0" w:rightChars="0"/>
              <w:jc w:val="both"/>
              <w:textAlignment w:val="center"/>
              <w:rPr>
                <w:rFonts w:hint="eastAsia" w:ascii="仿宋_GB2312" w:hAnsi="宋体" w:eastAsia="仿宋_GB2312" w:cs="仿宋_GB2312"/>
                <w:b/>
                <w:bCs/>
                <w:i w:val="0"/>
                <w:iCs w:val="0"/>
                <w:color w:val="auto"/>
                <w:kern w:val="0"/>
                <w:sz w:val="18"/>
                <w:szCs w:val="18"/>
                <w:u w:val="none"/>
                <w:lang w:val="en-US" w:eastAsia="zh-CN"/>
              </w:rPr>
            </w:pPr>
            <w:r>
              <w:rPr>
                <w:rFonts w:hint="eastAsia" w:ascii="仿宋_GB2312" w:hAnsi="宋体" w:eastAsia="仿宋_GB2312" w:cs="仿宋_GB2312"/>
                <w:b/>
                <w:bCs/>
                <w:i w:val="0"/>
                <w:iCs w:val="0"/>
                <w:color w:val="auto"/>
                <w:kern w:val="0"/>
                <w:sz w:val="18"/>
                <w:szCs w:val="18"/>
                <w:u w:val="none"/>
                <w:lang w:val="en-US" w:eastAsia="zh-CN"/>
              </w:rPr>
              <w:t>3、若样品不提供，样品分不得分；</w:t>
            </w: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240" w:lineRule="auto"/>
              <w:ind w:left="361" w:leftChars="0" w:right="0" w:rightChars="0"/>
              <w:jc w:val="both"/>
              <w:textAlignment w:val="center"/>
              <w:rPr>
                <w:rFonts w:hint="default" w:ascii="仿宋_GB2312" w:hAnsi="宋体" w:eastAsia="仿宋_GB2312" w:cs="仿宋_GB2312"/>
                <w:b/>
                <w:bCs/>
                <w:i w:val="0"/>
                <w:iCs w:val="0"/>
                <w:color w:val="auto"/>
                <w:kern w:val="0"/>
                <w:sz w:val="18"/>
                <w:szCs w:val="18"/>
                <w:u w:val="none"/>
                <w:lang w:val="en-US" w:eastAsia="zh-CN"/>
              </w:rPr>
            </w:pPr>
            <w:r>
              <w:rPr>
                <w:rFonts w:hint="eastAsia" w:ascii="仿宋_GB2312" w:hAnsi="宋体" w:eastAsia="仿宋_GB2312" w:cs="仿宋_GB2312"/>
                <w:b/>
                <w:bCs/>
                <w:i w:val="0"/>
                <w:iCs w:val="0"/>
                <w:color w:val="auto"/>
                <w:kern w:val="0"/>
                <w:sz w:val="18"/>
                <w:szCs w:val="18"/>
                <w:u w:val="none"/>
                <w:lang w:val="en-US" w:eastAsia="zh-CN"/>
              </w:rPr>
              <w:t>4、中标后，采购人按照所投样品进行验收，若其质量低于中标人在投标时提供的样品质量，采购人有权取消其供货资格，并要求赔偿由此原因对采购人造成的损失；</w:t>
            </w: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240" w:lineRule="auto"/>
              <w:ind w:left="361" w:leftChars="0" w:right="0" w:rightChars="0"/>
              <w:jc w:val="both"/>
              <w:textAlignment w:val="center"/>
              <w:rPr>
                <w:rFonts w:hint="default" w:ascii="仿宋_GB2312" w:hAnsi="宋体" w:eastAsia="仿宋_GB2312" w:cs="仿宋_GB2312"/>
                <w:b/>
                <w:bCs/>
                <w:i w:val="0"/>
                <w:iCs w:val="0"/>
                <w:color w:val="auto"/>
                <w:kern w:val="0"/>
                <w:sz w:val="18"/>
                <w:szCs w:val="18"/>
                <w:u w:val="none"/>
                <w:lang w:val="en-US" w:eastAsia="zh-CN"/>
              </w:rPr>
            </w:pPr>
            <w:r>
              <w:rPr>
                <w:rFonts w:hint="eastAsia" w:ascii="仿宋_GB2312" w:hAnsi="宋体" w:eastAsia="仿宋_GB2312" w:cs="仿宋_GB2312"/>
                <w:b/>
                <w:bCs/>
                <w:i w:val="0"/>
                <w:iCs w:val="0"/>
                <w:color w:val="auto"/>
                <w:kern w:val="0"/>
                <w:sz w:val="18"/>
                <w:szCs w:val="18"/>
                <w:u w:val="none"/>
                <w:lang w:val="en-US" w:eastAsia="zh-CN"/>
              </w:rPr>
              <w:t>5、未中标单位的样品在项目评审结束后两天内自行取回，或邮寄取回（费用自理），逾期未取回造成的遗失等一切损失由投标人自行承担，采购人、采购代理机构不负保管义务。</w:t>
            </w:r>
          </w:p>
        </w:tc>
      </w:tr>
    </w:tbl>
    <w:p>
      <w:pPr>
        <w:spacing w:line="336" w:lineRule="auto"/>
        <w:ind w:left="550" w:hanging="550" w:hangingChars="250"/>
        <w:rPr>
          <w:rFonts w:hint="eastAsia" w:ascii="宋体" w:hAnsi="宋体" w:cs="宋体"/>
          <w:color w:val="auto"/>
          <w:sz w:val="22"/>
          <w:szCs w:val="22"/>
        </w:rPr>
      </w:pPr>
      <w:r>
        <w:rPr>
          <w:rFonts w:hint="eastAsia" w:ascii="宋体" w:hAnsi="宋体" w:cs="宋体"/>
          <w:color w:val="auto"/>
          <w:sz w:val="22"/>
          <w:szCs w:val="22"/>
        </w:rPr>
        <w:t>2.   投标供应商所投产品及主要部件的名称、品牌、型号、技术参数、性能、数量、单价、合价、制造商、质保期等应对照采购内容及技术要求列表对应进行说明，在投标文件的相应部分明确，对采购文件的技术条款及其它要求应予以实质性响应，如有偏离须在偏离表中注明，否则会对投标供应商的投标做出不利评定。</w:t>
      </w:r>
    </w:p>
    <w:p>
      <w:pPr>
        <w:spacing w:line="336" w:lineRule="auto"/>
        <w:ind w:left="550" w:hanging="550" w:hangingChars="250"/>
        <w:rPr>
          <w:rFonts w:hint="eastAsia" w:ascii="宋体" w:hAnsi="宋体" w:cs="宋体"/>
          <w:color w:val="auto"/>
          <w:sz w:val="22"/>
          <w:szCs w:val="22"/>
        </w:rPr>
      </w:pPr>
      <w:r>
        <w:rPr>
          <w:rFonts w:hint="eastAsia" w:ascii="宋体" w:hAnsi="宋体" w:cs="宋体"/>
          <w:color w:val="auto"/>
          <w:sz w:val="22"/>
          <w:szCs w:val="22"/>
        </w:rPr>
        <w:t>3.   本项目为交钥匙工程，投标供应商须完成货物的生产、运输、安装、整合调试，直至验收合格交付使用前的所有工作。在此过程中发生的一切费用（包括辅助材料、零部件等配套设施）均由中标供应商提供，各投标供应商应对本采购文件未列出但完成本项目所必须的其他材料一一列出，并详细注明报价等情况，如未列出，则视为已包含在总价内，由投标供应商免费提供。</w:t>
      </w:r>
    </w:p>
    <w:p>
      <w:pPr>
        <w:spacing w:line="336" w:lineRule="auto"/>
        <w:ind w:left="550" w:hanging="550" w:hangingChars="250"/>
        <w:rPr>
          <w:rFonts w:hint="eastAsia" w:ascii="宋体" w:hAnsi="宋体" w:cs="宋体"/>
          <w:color w:val="auto"/>
          <w:sz w:val="22"/>
          <w:szCs w:val="22"/>
        </w:rPr>
      </w:pPr>
      <w:r>
        <w:rPr>
          <w:rFonts w:hint="eastAsia" w:ascii="宋体" w:hAnsi="宋体" w:cs="宋体"/>
          <w:color w:val="auto"/>
          <w:sz w:val="22"/>
          <w:szCs w:val="22"/>
        </w:rPr>
        <w:t>4.   投标供应商需针对本项目所提供的产品的技术性能、质量水平、具体实施方案、售后服务、培训计划等做详尽的描述。</w:t>
      </w:r>
    </w:p>
    <w:p>
      <w:pPr>
        <w:autoSpaceDE w:val="0"/>
        <w:autoSpaceDN w:val="0"/>
        <w:adjustRightInd w:val="0"/>
        <w:snapToGrid w:val="0"/>
        <w:spacing w:line="420" w:lineRule="exact"/>
        <w:ind w:firstLine="442" w:firstLineChars="200"/>
        <w:rPr>
          <w:rFonts w:hint="eastAsia" w:ascii="Times New Roman" w:hAnsi="Times New Roman" w:eastAsia="宋体" w:cs="Times New Roman"/>
          <w:b/>
          <w:color w:val="auto"/>
          <w:sz w:val="22"/>
          <w:highlight w:val="none"/>
          <w:u w:val="single"/>
        </w:rPr>
      </w:pPr>
      <w:r>
        <w:rPr>
          <w:rFonts w:hint="eastAsia" w:ascii="Times New Roman" w:hAnsi="Times New Roman" w:eastAsia="宋体" w:cs="Times New Roman"/>
          <w:b/>
          <w:color w:val="auto"/>
          <w:sz w:val="22"/>
          <w:highlight w:val="none"/>
          <w:u w:val="single"/>
        </w:rPr>
        <w:t>核心产品</w:t>
      </w:r>
      <w:r>
        <w:rPr>
          <w:rFonts w:hint="eastAsia" w:ascii="Times New Roman" w:hAnsi="Times New Roman" w:eastAsia="宋体" w:cs="Times New Roman"/>
          <w:b/>
          <w:color w:val="auto"/>
          <w:sz w:val="22"/>
          <w:highlight w:val="none"/>
          <w:u w:val="single"/>
          <w:lang w:val="en-US" w:eastAsia="zh-CN"/>
        </w:rPr>
        <w:t>说明：</w:t>
      </w:r>
      <w:r>
        <w:rPr>
          <w:rFonts w:hint="eastAsia" w:ascii="Times New Roman" w:hAnsi="Times New Roman" w:eastAsia="宋体" w:cs="Times New Roman"/>
          <w:b/>
          <w:color w:val="auto"/>
          <w:sz w:val="22"/>
          <w:highlight w:val="none"/>
          <w:u w:val="single"/>
        </w:rPr>
        <w:t>未明确核心产品的，则视为全部产品均为核心产品</w:t>
      </w:r>
      <w:r>
        <w:rPr>
          <w:rFonts w:hint="eastAsia" w:ascii="Times New Roman" w:hAnsi="Times New Roman" w:eastAsia="宋体"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任意一种核心产品为同一品牌时且通过资格审查、符合性审查的不同投标人参加同一合同项下投标的，评审后得分最高的同品牌投标人获得中标人推荐资格</w:t>
      </w:r>
      <w:r>
        <w:rPr>
          <w:rFonts w:hint="eastAsia"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评审得分相同的，由采购人委托评标委员会按照少数服从多数的原则以投票的方式确定一个参加评标的投标人，其他同品牌投标人不作为中标候选人。</w:t>
      </w:r>
    </w:p>
    <w:p>
      <w:pPr>
        <w:autoSpaceDE w:val="0"/>
        <w:autoSpaceDN w:val="0"/>
        <w:adjustRightInd w:val="0"/>
        <w:snapToGrid w:val="0"/>
        <w:spacing w:line="420" w:lineRule="exact"/>
        <w:ind w:firstLine="442" w:firstLineChars="200"/>
        <w:rPr>
          <w:rFonts w:hint="eastAsia"/>
          <w:b/>
          <w:color w:val="auto"/>
          <w:sz w:val="22"/>
          <w:highlight w:val="none"/>
        </w:rPr>
      </w:pPr>
      <w:r>
        <w:rPr>
          <w:rFonts w:hint="eastAsia"/>
          <w:b/>
          <w:color w:val="auto"/>
          <w:sz w:val="22"/>
          <w:highlight w:val="none"/>
        </w:rPr>
        <w:t>（</w:t>
      </w:r>
      <w:r>
        <w:rPr>
          <w:rFonts w:hint="eastAsia"/>
          <w:b/>
          <w:color w:val="auto"/>
          <w:sz w:val="22"/>
          <w:highlight w:val="none"/>
          <w:u w:val="single"/>
        </w:rPr>
        <w:t>以下所有参数是为了对拟投标的货物</w:t>
      </w:r>
      <w:r>
        <w:rPr>
          <w:rFonts w:hint="eastAsia"/>
          <w:b/>
          <w:color w:val="auto"/>
          <w:sz w:val="22"/>
          <w:highlight w:val="none"/>
          <w:u w:val="single"/>
          <w:lang w:eastAsia="zh-CN"/>
        </w:rPr>
        <w:t>（</w:t>
      </w:r>
      <w:r>
        <w:rPr>
          <w:rFonts w:hint="eastAsia"/>
          <w:b/>
          <w:color w:val="auto"/>
          <w:sz w:val="22"/>
          <w:highlight w:val="none"/>
          <w:u w:val="single"/>
        </w:rPr>
        <w:t>产品</w:t>
      </w:r>
      <w:r>
        <w:rPr>
          <w:rFonts w:hint="eastAsia"/>
          <w:b/>
          <w:color w:val="auto"/>
          <w:sz w:val="22"/>
          <w:highlight w:val="none"/>
          <w:u w:val="single"/>
          <w:lang w:eastAsia="zh-CN"/>
        </w:rPr>
        <w:t>）</w:t>
      </w:r>
      <w:r>
        <w:rPr>
          <w:rFonts w:hint="eastAsia"/>
          <w:b/>
          <w:color w:val="auto"/>
          <w:sz w:val="22"/>
          <w:highlight w:val="none"/>
          <w:u w:val="single"/>
        </w:rPr>
        <w:t>的技术指标和功能要求更好的说明，欢迎其他能满足本项目技术需求且性能相当的产品参加。产品性能是否相当由评标委员会按少数服从多数原则认定。</w:t>
      </w:r>
      <w:r>
        <w:rPr>
          <w:rFonts w:hint="eastAsia"/>
          <w:b/>
          <w:color w:val="auto"/>
          <w:sz w:val="22"/>
          <w:highlight w:val="none"/>
        </w:rPr>
        <w:t>）</w:t>
      </w:r>
    </w:p>
    <w:p>
      <w:pPr>
        <w:pStyle w:val="3"/>
        <w:spacing w:line="360" w:lineRule="auto"/>
        <w:jc w:val="both"/>
        <w:rPr>
          <w:rFonts w:hint="eastAsia" w:ascii="宋体" w:hAnsi="宋体" w:eastAsia="宋体" w:cs="宋体"/>
          <w:color w:val="auto"/>
          <w:sz w:val="28"/>
          <w:szCs w:val="28"/>
        </w:rPr>
      </w:pPr>
      <w:bookmarkStart w:id="110" w:name="_Toc32031"/>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采购</w:t>
      </w:r>
      <w:r>
        <w:rPr>
          <w:rFonts w:hint="eastAsia" w:ascii="宋体" w:hAnsi="宋体" w:eastAsia="宋体" w:cs="宋体"/>
          <w:color w:val="auto"/>
          <w:sz w:val="28"/>
          <w:szCs w:val="28"/>
          <w:lang w:eastAsia="zh-CN"/>
        </w:rPr>
        <w:t>技术参数</w:t>
      </w:r>
      <w:r>
        <w:rPr>
          <w:rFonts w:hint="eastAsia" w:ascii="宋体" w:hAnsi="宋体" w:eastAsia="宋体" w:cs="宋体"/>
          <w:color w:val="auto"/>
          <w:sz w:val="28"/>
          <w:szCs w:val="28"/>
        </w:rPr>
        <w:t>及要求</w:t>
      </w:r>
      <w:bookmarkEnd w:id="110"/>
    </w:p>
    <w:p>
      <w:pPr>
        <w:spacing w:line="360" w:lineRule="auto"/>
        <w:rPr>
          <w:rFonts w:hint="eastAsia" w:ascii="新宋体" w:hAnsi="新宋体" w:eastAsia="新宋体"/>
          <w:b/>
          <w:color w:val="auto"/>
          <w:sz w:val="22"/>
          <w:szCs w:val="22"/>
        </w:rPr>
      </w:pPr>
      <w:r>
        <w:rPr>
          <w:rFonts w:hint="eastAsia" w:ascii="新宋体" w:hAnsi="新宋体" w:eastAsia="新宋体"/>
          <w:b/>
          <w:color w:val="auto"/>
          <w:sz w:val="22"/>
          <w:szCs w:val="22"/>
        </w:rPr>
        <w:t>1、物品技术参数</w:t>
      </w:r>
    </w:p>
    <w:tbl>
      <w:tblPr>
        <w:tblStyle w:val="44"/>
        <w:tblW w:w="9345"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850"/>
        <w:gridCol w:w="7041"/>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45" w:type="dxa"/>
            <w:vAlign w:val="center"/>
          </w:tcPr>
          <w:p>
            <w:pPr>
              <w:spacing w:before="0" w:beforeAutospacing="0" w:after="0" w:afterAutospacing="0" w:line="288" w:lineRule="auto"/>
              <w:ind w:left="0" w:right="0"/>
              <w:jc w:val="center"/>
              <w:rPr>
                <w:rFonts w:hint="eastAsia" w:ascii="宋体" w:hAnsi="宋体" w:cs="宋体"/>
                <w:color w:val="auto"/>
                <w:sz w:val="18"/>
                <w:szCs w:val="18"/>
              </w:rPr>
            </w:pPr>
            <w:r>
              <w:rPr>
                <w:rFonts w:hint="eastAsia" w:ascii="宋体" w:hAnsi="宋体" w:cs="宋体"/>
                <w:color w:val="auto"/>
                <w:sz w:val="18"/>
                <w:szCs w:val="18"/>
              </w:rPr>
              <w:t>序号</w:t>
            </w:r>
          </w:p>
        </w:tc>
        <w:tc>
          <w:tcPr>
            <w:tcW w:w="850" w:type="dxa"/>
            <w:vAlign w:val="center"/>
          </w:tcPr>
          <w:p>
            <w:pPr>
              <w:spacing w:before="0" w:beforeAutospacing="0" w:after="0" w:afterAutospacing="0" w:line="288" w:lineRule="auto"/>
              <w:ind w:left="0" w:right="0"/>
              <w:jc w:val="center"/>
              <w:rPr>
                <w:rFonts w:hint="eastAsia" w:ascii="宋体" w:hAnsi="宋体" w:eastAsia="宋体" w:cs="宋体"/>
                <w:b/>
                <w:color w:val="auto"/>
                <w:sz w:val="18"/>
                <w:szCs w:val="18"/>
                <w:highlight w:val="cyan"/>
                <w:lang w:eastAsia="zh-CN"/>
              </w:rPr>
            </w:pPr>
            <w:r>
              <w:rPr>
                <w:rFonts w:hint="eastAsia" w:ascii="宋体" w:hAnsi="宋体" w:cs="宋体"/>
                <w:color w:val="auto"/>
                <w:sz w:val="18"/>
                <w:szCs w:val="18"/>
              </w:rPr>
              <w:t>产品名称</w:t>
            </w:r>
          </w:p>
        </w:tc>
        <w:tc>
          <w:tcPr>
            <w:tcW w:w="7041" w:type="dxa"/>
            <w:vAlign w:val="center"/>
          </w:tcPr>
          <w:p>
            <w:pPr>
              <w:spacing w:before="0" w:beforeAutospacing="0" w:after="0" w:afterAutospacing="0" w:line="288" w:lineRule="auto"/>
              <w:ind w:left="0" w:right="0"/>
              <w:jc w:val="center"/>
              <w:rPr>
                <w:rFonts w:hint="eastAsia" w:ascii="宋体" w:hAnsi="宋体" w:cs="宋体"/>
                <w:color w:val="auto"/>
                <w:sz w:val="18"/>
                <w:szCs w:val="18"/>
              </w:rPr>
            </w:pPr>
            <w:r>
              <w:rPr>
                <w:rFonts w:hint="eastAsia" w:ascii="宋体" w:hAnsi="宋体" w:cs="宋体"/>
                <w:color w:val="auto"/>
                <w:sz w:val="18"/>
                <w:szCs w:val="18"/>
              </w:rPr>
              <w:t>规格及参数</w:t>
            </w:r>
          </w:p>
        </w:tc>
        <w:tc>
          <w:tcPr>
            <w:tcW w:w="909" w:type="dxa"/>
            <w:vAlign w:val="center"/>
          </w:tcPr>
          <w:p>
            <w:pPr>
              <w:spacing w:before="0" w:beforeAutospacing="0" w:after="0" w:afterAutospacing="0" w:line="288" w:lineRule="auto"/>
              <w:ind w:left="0" w:right="0"/>
              <w:jc w:val="center"/>
              <w:rPr>
                <w:rFonts w:hint="eastAsia" w:ascii="宋体" w:hAnsi="宋体" w:cs="宋体"/>
                <w:color w:val="auto"/>
                <w:sz w:val="18"/>
                <w:szCs w:val="18"/>
              </w:rPr>
            </w:pPr>
            <w:r>
              <w:rPr>
                <w:rFonts w:hint="eastAsia" w:ascii="宋体" w:hAnsi="宋体" w:cs="宋体"/>
                <w:color w:val="auto"/>
                <w:sz w:val="16"/>
                <w:szCs w:val="16"/>
              </w:rPr>
              <w:t>数量（</w:t>
            </w:r>
            <w:r>
              <w:rPr>
                <w:rFonts w:hint="eastAsia" w:ascii="宋体" w:hAnsi="宋体" w:cs="宋体"/>
                <w:color w:val="auto"/>
                <w:sz w:val="16"/>
                <w:szCs w:val="16"/>
                <w:lang w:eastAsia="zh-CN"/>
              </w:rPr>
              <w:t>辆、套</w:t>
            </w:r>
            <w:r>
              <w:rPr>
                <w:rFonts w:hint="eastAsia" w:ascii="宋体" w:hAnsi="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45" w:type="dxa"/>
            <w:vAlign w:val="center"/>
          </w:tcPr>
          <w:p>
            <w:pPr>
              <w:spacing w:before="0" w:beforeAutospacing="0" w:after="0" w:afterAutospacing="0" w:line="288" w:lineRule="auto"/>
              <w:ind w:left="0" w:right="0"/>
              <w:jc w:val="center"/>
              <w:rPr>
                <w:rFonts w:hint="eastAsia" w:ascii="宋体" w:hAnsi="宋体" w:cs="宋体"/>
                <w:color w:val="auto"/>
                <w:sz w:val="18"/>
                <w:szCs w:val="18"/>
              </w:rPr>
            </w:pPr>
            <w:r>
              <w:rPr>
                <w:rFonts w:hint="eastAsia" w:ascii="宋体" w:hAnsi="宋体" w:cs="宋体"/>
                <w:color w:val="auto"/>
                <w:sz w:val="18"/>
                <w:szCs w:val="18"/>
              </w:rPr>
              <w:t>1</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长臂挖掘机</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★铲斗容量≥0.5m³；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2、★排放标准为国四；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3、★整机质量≥12.5T；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4、★发动机品牌：道依茨、三菱、康明斯、五十铃、铂金斯</w:t>
            </w:r>
            <w:r>
              <w:rPr>
                <w:rFonts w:hint="eastAsia" w:ascii="宋体" w:hAnsi="宋体" w:cs="宋体"/>
                <w:i w:val="0"/>
                <w:iCs w:val="0"/>
                <w:color w:val="000000"/>
                <w:kern w:val="0"/>
                <w:sz w:val="16"/>
                <w:szCs w:val="16"/>
                <w:u w:val="none"/>
                <w:lang w:val="en-US" w:eastAsia="zh-CN" w:bidi="ar"/>
              </w:rPr>
              <w:t>(同等及以上)</w:t>
            </w:r>
            <w:r>
              <w:rPr>
                <w:rFonts w:hint="eastAsia" w:ascii="宋体" w:hAnsi="宋体" w:eastAsia="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5、★发动机功率≥90kW/2200rpm；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、回转速度≥11rpm；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w:t>
            </w:r>
            <w:r>
              <w:rPr>
                <w:rFonts w:hint="eastAsia" w:ascii="宋体" w:hAnsi="宋体" w:eastAsia="宋体" w:cs="宋体"/>
                <w:i w:val="0"/>
                <w:iCs w:val="0"/>
                <w:color w:val="000000"/>
                <w:kern w:val="0"/>
                <w:sz w:val="16"/>
                <w:szCs w:val="16"/>
                <w:u w:val="none"/>
                <w:lang w:val="en-US" w:eastAsia="zh-CN" w:bidi="ar"/>
              </w:rPr>
              <w:t>、铲斗挖掘力≥100 kN；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w:t>
            </w:r>
            <w:r>
              <w:rPr>
                <w:rFonts w:hint="eastAsia" w:ascii="宋体" w:hAnsi="宋体" w:eastAsia="宋体" w:cs="宋体"/>
                <w:i w:val="0"/>
                <w:iCs w:val="0"/>
                <w:color w:val="000000"/>
                <w:kern w:val="0"/>
                <w:sz w:val="16"/>
                <w:szCs w:val="16"/>
                <w:u w:val="none"/>
                <w:lang w:val="en-US" w:eastAsia="zh-CN" w:bidi="ar"/>
              </w:rPr>
              <w:t>、斗杆挖掘力≥60 kN；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、履带板数(单侧）≥41 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0</w:t>
            </w:r>
            <w:r>
              <w:rPr>
                <w:rFonts w:hint="eastAsia" w:ascii="宋体" w:hAnsi="宋体" w:eastAsia="宋体" w:cs="宋体"/>
                <w:i w:val="0"/>
                <w:iCs w:val="0"/>
                <w:color w:val="000000"/>
                <w:kern w:val="0"/>
                <w:sz w:val="16"/>
                <w:szCs w:val="16"/>
                <w:u w:val="none"/>
                <w:lang w:val="en-US" w:eastAsia="zh-CN" w:bidi="ar"/>
              </w:rPr>
              <w:t>、托链轮数(单侧）1 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、支重轮数(单侧）≥6 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、履带宽度≥500mm；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、爬坡能力≥35°（70%）；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、驾驶室带有冷暖空调、后视摄像头；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、要求有厂端远程管理平台；</w:t>
            </w:r>
          </w:p>
          <w:p>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套数字车载台（海能达或同档次及以上），采用370频道应急指挥窄带无线通信网。</w:t>
            </w:r>
          </w:p>
        </w:tc>
        <w:tc>
          <w:tcPr>
            <w:tcW w:w="909" w:type="dxa"/>
            <w:vAlign w:val="center"/>
          </w:tcPr>
          <w:p>
            <w:pPr>
              <w:spacing w:before="0" w:beforeAutospacing="0" w:after="0" w:afterAutospacing="0" w:line="288" w:lineRule="auto"/>
              <w:ind w:left="0" w:right="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45" w:type="dxa"/>
            <w:vAlign w:val="center"/>
          </w:tcPr>
          <w:p>
            <w:pPr>
              <w:spacing w:before="0" w:beforeAutospacing="0" w:after="0" w:afterAutospacing="0" w:line="288" w:lineRule="auto"/>
              <w:ind w:left="0" w:right="0"/>
              <w:jc w:val="center"/>
              <w:rPr>
                <w:rFonts w:hint="eastAsia" w:ascii="宋体" w:hAnsi="宋体" w:cs="宋体"/>
                <w:color w:val="auto"/>
                <w:sz w:val="18"/>
                <w:szCs w:val="18"/>
              </w:rPr>
            </w:pPr>
            <w:r>
              <w:rPr>
                <w:rFonts w:hint="eastAsia" w:ascii="宋体" w:hAnsi="宋体" w:cs="宋体"/>
                <w:color w:val="auto"/>
                <w:sz w:val="18"/>
                <w:szCs w:val="18"/>
              </w:rPr>
              <w:t>2</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装载机</w:t>
            </w:r>
          </w:p>
        </w:tc>
        <w:tc>
          <w:tcPr>
            <w:tcW w:w="7041" w:type="dxa"/>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★排放标准为国四；</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、★整机质量≥16.8T；</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、★额定载荷≥5.5T（带推雪板）；</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、★铲斗容量≥3.0m³；</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、★发动机功率≥170kw；</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、★发动机品牌上柴、潍柴、道依茨、康明斯</w:t>
            </w:r>
            <w:r>
              <w:rPr>
                <w:rFonts w:hint="eastAsia" w:ascii="宋体" w:hAnsi="宋体" w:cs="宋体"/>
                <w:i w:val="0"/>
                <w:iCs w:val="0"/>
                <w:color w:val="000000"/>
                <w:kern w:val="0"/>
                <w:sz w:val="16"/>
                <w:szCs w:val="16"/>
                <w:u w:val="none"/>
                <w:lang w:val="en-US" w:eastAsia="zh-CN" w:bidi="ar"/>
              </w:rPr>
              <w:t>(同等及以上)</w:t>
            </w:r>
            <w:r>
              <w:rPr>
                <w:rFonts w:hint="eastAsia" w:ascii="宋体" w:hAnsi="宋体" w:eastAsia="宋体" w:cs="宋体"/>
                <w:i w:val="0"/>
                <w:iCs w:val="0"/>
                <w:color w:val="000000"/>
                <w:kern w:val="0"/>
                <w:sz w:val="16"/>
                <w:szCs w:val="16"/>
                <w:u w:val="none"/>
                <w:lang w:val="en-US" w:eastAsia="zh-CN" w:bidi="ar"/>
              </w:rPr>
              <w:t>；</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w:t>
            </w:r>
            <w:r>
              <w:rPr>
                <w:rFonts w:hint="eastAsia" w:ascii="宋体" w:hAnsi="宋体" w:eastAsia="宋体" w:cs="宋体"/>
                <w:i w:val="0"/>
                <w:iCs w:val="0"/>
                <w:color w:val="000000"/>
                <w:kern w:val="0"/>
                <w:sz w:val="16"/>
                <w:szCs w:val="16"/>
                <w:u w:val="none"/>
                <w:lang w:val="en-US" w:eastAsia="zh-CN" w:bidi="ar"/>
              </w:rPr>
              <w:t>、★变速箱行星式动力换挡或行星式液力换挡；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w:t>
            </w:r>
            <w:r>
              <w:rPr>
                <w:rFonts w:hint="eastAsia" w:ascii="宋体" w:hAnsi="宋体" w:eastAsia="宋体" w:cs="宋体"/>
                <w:i w:val="0"/>
                <w:iCs w:val="0"/>
                <w:color w:val="000000"/>
                <w:kern w:val="0"/>
                <w:sz w:val="16"/>
                <w:szCs w:val="16"/>
                <w:u w:val="none"/>
                <w:lang w:val="en-US" w:eastAsia="zh-CN" w:bidi="ar"/>
              </w:rPr>
              <w:t>、★轴距≥3300mm；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、轮距≥2200mm；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0</w:t>
            </w:r>
            <w:r>
              <w:rPr>
                <w:rFonts w:hint="eastAsia" w:ascii="宋体" w:hAnsi="宋体" w:eastAsia="宋体" w:cs="宋体"/>
                <w:i w:val="0"/>
                <w:iCs w:val="0"/>
                <w:color w:val="000000"/>
                <w:kern w:val="0"/>
                <w:sz w:val="16"/>
                <w:szCs w:val="16"/>
                <w:u w:val="none"/>
                <w:lang w:val="en-US" w:eastAsia="zh-CN" w:bidi="ar"/>
              </w:rPr>
              <w:t>、最小转弯半径≤6250mm；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、最大爬坡能力≥25°；</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、最大牵引力≥155kN；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、行车制动型式钳盘式制动；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、发动机转速≤2200rpm；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、驾驶室冷暖空调；</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、推雪板标配型式一字型宽度≥3000mm；推雪铲高度≥1000mm；最大越障高度≥200mm；铲板厚度≥16mm；整备质量≥1500kg；</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7</w:t>
            </w:r>
            <w:r>
              <w:rPr>
                <w:rFonts w:hint="eastAsia" w:ascii="宋体" w:hAnsi="宋体" w:eastAsia="宋体" w:cs="宋体"/>
                <w:i w:val="0"/>
                <w:iCs w:val="0"/>
                <w:color w:val="000000"/>
                <w:kern w:val="0"/>
                <w:sz w:val="16"/>
                <w:szCs w:val="16"/>
                <w:u w:val="none"/>
                <w:lang w:val="en-US" w:eastAsia="zh-CN" w:bidi="ar"/>
              </w:rPr>
              <w:t>、套数字车载台（海能达或同档次及以上），采用370频道应急指挥窄带无线通信网。</w:t>
            </w:r>
          </w:p>
        </w:tc>
        <w:tc>
          <w:tcPr>
            <w:tcW w:w="909" w:type="dxa"/>
            <w:vAlign w:val="center"/>
          </w:tcPr>
          <w:p>
            <w:pPr>
              <w:spacing w:before="0" w:beforeAutospacing="0" w:after="0" w:afterAutospacing="0" w:line="288" w:lineRule="auto"/>
              <w:ind w:left="0" w:right="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45" w:type="dxa"/>
            <w:vAlign w:val="center"/>
          </w:tcPr>
          <w:p>
            <w:pPr>
              <w:spacing w:before="0" w:beforeAutospacing="0" w:after="0" w:afterAutospacing="0" w:line="288" w:lineRule="auto"/>
              <w:ind w:left="0" w:right="0"/>
              <w:jc w:val="center"/>
              <w:rPr>
                <w:rFonts w:hint="eastAsia" w:ascii="宋体" w:hAnsi="宋体" w:cs="宋体"/>
                <w:color w:val="auto"/>
                <w:sz w:val="18"/>
                <w:szCs w:val="18"/>
              </w:rPr>
            </w:pPr>
            <w:r>
              <w:rPr>
                <w:rFonts w:hint="eastAsia" w:ascii="宋体" w:hAnsi="宋体" w:cs="宋体"/>
                <w:color w:val="auto"/>
                <w:sz w:val="18"/>
                <w:szCs w:val="18"/>
              </w:rPr>
              <w:t>3</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液压破拆工具组</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rPr>
              <w:t>符合GB32460-2015消防应急救援装备破拆机具通用技术条件、GB/T 17906-2021消防应急救援装备液压破拆工具通用技术条件、混凝土破拆工具组试验大纲</w:t>
            </w:r>
            <w:r>
              <w:rPr>
                <w:rFonts w:hint="eastAsia" w:ascii="宋体" w:hAnsi="宋体" w:cs="宋体"/>
                <w:color w:val="auto"/>
                <w:sz w:val="16"/>
                <w:szCs w:val="16"/>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rPr>
              <w:t>1</w:t>
            </w:r>
            <w:r>
              <w:rPr>
                <w:rFonts w:hint="eastAsia" w:ascii="宋体" w:hAnsi="宋体" w:cs="宋体"/>
                <w:color w:val="auto"/>
                <w:sz w:val="16"/>
                <w:szCs w:val="16"/>
                <w:lang w:eastAsia="zh-CN"/>
              </w:rPr>
              <w:t>、</w:t>
            </w:r>
            <w:r>
              <w:rPr>
                <w:rFonts w:hint="eastAsia" w:ascii="宋体" w:hAnsi="宋体" w:cs="宋体"/>
                <w:color w:val="auto"/>
                <w:sz w:val="16"/>
                <w:szCs w:val="16"/>
              </w:rPr>
              <w:t xml:space="preserve">液压动力站：工作流量≥30L/min，工作压力≥15.5Mpa，发动机马力≥13.5HP10KW；重量≤75kg；液压油箱容积≥13L，燃油箱容积≥10L；声压等级≤88DB </w:t>
            </w:r>
            <w:r>
              <w:rPr>
                <w:rFonts w:hint="eastAsia" w:ascii="宋体" w:hAnsi="宋体" w:cs="宋体"/>
                <w:color w:val="auto"/>
                <w:sz w:val="16"/>
                <w:szCs w:val="16"/>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rPr>
              <w:t xml:space="preserve">2、液压破碎镐：重量≤20kg。液压油流量≥26lpm，工作压力≥15.5Mpa，冲击频率≥ 2000bpm，破碎镐冲击能量≥100J，液压破碎镐V型减震手柄 </w:t>
            </w:r>
            <w:r>
              <w:rPr>
                <w:rFonts w:hint="eastAsia" w:ascii="宋体" w:hAnsi="宋体" w:cs="宋体"/>
                <w:color w:val="auto"/>
                <w:sz w:val="16"/>
                <w:szCs w:val="16"/>
                <w:lang w:eastAsia="zh-CN"/>
              </w:rPr>
              <w:t>；</w:t>
            </w:r>
            <w:r>
              <w:rPr>
                <w:rFonts w:hint="eastAsia" w:ascii="宋体" w:hAnsi="宋体" w:cs="宋体"/>
                <w:color w:val="auto"/>
                <w:sz w:val="16"/>
                <w:szCs w:val="16"/>
              </w:rPr>
              <w:t xml:space="preserve">                                                                                    3、液压圆盘锯：重量≤10kg，液压流量≥26lpm，工作压力≥14Mpa，切割深度≥130mm，锯片尺寸≥350mm，最大转数≥4500rpm </w:t>
            </w:r>
            <w:r>
              <w:rPr>
                <w:rFonts w:hint="eastAsia" w:ascii="宋体" w:hAnsi="宋体" w:cs="宋体"/>
                <w:color w:val="auto"/>
                <w:sz w:val="16"/>
                <w:szCs w:val="16"/>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rPr>
              <w:t>4、液压金刚石链锯：重量≤1</w:t>
            </w:r>
            <w:r>
              <w:rPr>
                <w:rFonts w:hint="eastAsia" w:ascii="宋体" w:hAnsi="宋体" w:cs="宋体"/>
                <w:color w:val="auto"/>
                <w:sz w:val="16"/>
                <w:szCs w:val="16"/>
                <w:lang w:val="en-US" w:eastAsia="zh-CN"/>
              </w:rPr>
              <w:t>0</w:t>
            </w:r>
            <w:r>
              <w:rPr>
                <w:rFonts w:hint="eastAsia" w:ascii="宋体" w:hAnsi="宋体" w:cs="宋体"/>
                <w:color w:val="auto"/>
                <w:sz w:val="16"/>
                <w:szCs w:val="16"/>
              </w:rPr>
              <w:t>kg，流量≥26lpm，工作压力≥15.5Mpa，切割深度≥380mm</w:t>
            </w:r>
            <w:r>
              <w:rPr>
                <w:rFonts w:hint="eastAsia" w:ascii="宋体" w:hAnsi="宋体" w:cs="宋体"/>
                <w:color w:val="auto"/>
                <w:sz w:val="16"/>
                <w:szCs w:val="16"/>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rPr>
              <w:t>5、液压原木链锯重量(kg):≤7 作业能力:切割φ30cm以上的树枝流量范围(lpm):≥26，工作压力(bar):≥70，连接方式:3/8in平口快速接头</w:t>
            </w:r>
            <w:r>
              <w:rPr>
                <w:rFonts w:hint="eastAsia" w:ascii="宋体" w:hAnsi="宋体" w:cs="宋体"/>
                <w:color w:val="auto"/>
                <w:sz w:val="16"/>
                <w:szCs w:val="16"/>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rPr>
              <w:t>6、液压岩心钻：重量≤8kg流量范围：≥15lpm工作压力≥14Mpa  标配：102mm钻头、含水箱</w:t>
            </w:r>
            <w:r>
              <w:rPr>
                <w:rFonts w:hint="eastAsia" w:ascii="宋体" w:hAnsi="宋体" w:cs="宋体"/>
                <w:color w:val="auto"/>
                <w:sz w:val="16"/>
                <w:szCs w:val="16"/>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rPr>
              <w:t>7、液压增压器：重量:≤13.75kg，流量范围:≥11lpm，转换流量:≥2lpm，工作压力:≥700bar，连接方式:3/8in.NPT接头到-8SAE接口</w:t>
            </w:r>
            <w:r>
              <w:rPr>
                <w:rFonts w:hint="eastAsia" w:ascii="宋体" w:hAnsi="宋体" w:cs="宋体"/>
                <w:color w:val="auto"/>
                <w:sz w:val="16"/>
                <w:szCs w:val="16"/>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rPr>
              <w:t>8、液压渣浆泵：排水量≥200立方米/小时，最大扬程≥16米，出水口直径≥100mm，流量范围≥40升/分钟重量≤30kg</w:t>
            </w:r>
            <w:r>
              <w:rPr>
                <w:rFonts w:hint="eastAsia" w:ascii="宋体" w:hAnsi="宋体" w:cs="宋体"/>
                <w:color w:val="auto"/>
                <w:sz w:val="16"/>
                <w:szCs w:val="16"/>
                <w:lang w:eastAsia="zh-CN"/>
              </w:rPr>
              <w:t>。</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45" w:type="dxa"/>
            <w:vAlign w:val="center"/>
          </w:tcPr>
          <w:p>
            <w:pPr>
              <w:spacing w:before="0" w:beforeAutospacing="0" w:after="0" w:afterAutospacing="0" w:line="288" w:lineRule="auto"/>
              <w:ind w:left="0" w:right="0"/>
              <w:jc w:val="center"/>
              <w:rPr>
                <w:rFonts w:hint="eastAsia" w:ascii="宋体" w:hAnsi="宋体" w:cs="宋体"/>
                <w:color w:val="auto"/>
                <w:sz w:val="18"/>
                <w:szCs w:val="18"/>
              </w:rPr>
            </w:pPr>
            <w:r>
              <w:rPr>
                <w:rFonts w:hint="eastAsia" w:ascii="宋体" w:hAnsi="宋体" w:cs="宋体"/>
                <w:color w:val="auto"/>
                <w:sz w:val="18"/>
                <w:szCs w:val="18"/>
              </w:rPr>
              <w:t>4</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汽(柴)油机泵</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1、发动机型式：双缸四冲程风冷汽（柴）油机；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2、采用集成面板集中控制；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3、启动方式：手启动和电启动；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2、★功率：≥15kw；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3、发动机排气量：≥600cc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4、★流量：≥100m³/h；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5、★扬程：≥35m；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6、★吸程：≥8m；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7、驱动方式：汽(柴)油驱动；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8、水泵重量：≤200kg；</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9、配置要求：水泵出口40软管≥300m（每段(卷)长度≥20m)，材料为柔性、耐磨防刺穿可折叠式圈起，配接合器和不锈钢快速卡箍；10、排水带≥50m，含配件包</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45" w:type="dxa"/>
            <w:vAlign w:val="center"/>
          </w:tcPr>
          <w:p>
            <w:pPr>
              <w:spacing w:before="0" w:beforeAutospacing="0" w:after="0" w:afterAutospacing="0" w:line="288" w:lineRule="auto"/>
              <w:ind w:left="0" w:right="0"/>
              <w:jc w:val="center"/>
              <w:rPr>
                <w:rFonts w:hint="eastAsia" w:ascii="宋体" w:hAnsi="宋体" w:cs="宋体"/>
                <w:color w:val="auto"/>
                <w:sz w:val="18"/>
                <w:szCs w:val="18"/>
              </w:rPr>
            </w:pPr>
            <w:r>
              <w:rPr>
                <w:rFonts w:hint="eastAsia" w:ascii="宋体" w:hAnsi="宋体" w:cs="宋体"/>
                <w:color w:val="auto"/>
                <w:sz w:val="18"/>
                <w:szCs w:val="18"/>
              </w:rPr>
              <w:t>5</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链锯</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1、用于对木材、</w:t>
            </w:r>
            <w:r>
              <w:rPr>
                <w:rFonts w:hint="eastAsia" w:ascii="宋体" w:hAnsi="宋体" w:cs="宋体"/>
                <w:i w:val="0"/>
                <w:iCs w:val="0"/>
                <w:color w:val="000000"/>
                <w:kern w:val="0"/>
                <w:sz w:val="16"/>
                <w:szCs w:val="16"/>
                <w:u w:val="none"/>
                <w:lang w:val="en-US" w:eastAsia="zh-CN" w:bidi="ar"/>
              </w:rPr>
              <w:t>小直径</w:t>
            </w:r>
            <w:r>
              <w:rPr>
                <w:rFonts w:hint="eastAsia" w:ascii="宋体" w:hAnsi="宋体" w:eastAsia="宋体" w:cs="宋体"/>
                <w:i w:val="0"/>
                <w:iCs w:val="0"/>
                <w:color w:val="000000"/>
                <w:kern w:val="0"/>
                <w:sz w:val="16"/>
                <w:szCs w:val="16"/>
                <w:u w:val="none"/>
                <w:lang w:val="en-US" w:eastAsia="zh-CN" w:bidi="ar"/>
              </w:rPr>
              <w:t>钢筋、</w:t>
            </w:r>
            <w:r>
              <w:rPr>
                <w:rFonts w:hint="eastAsia" w:ascii="宋体" w:hAnsi="宋体" w:cs="宋体"/>
                <w:i w:val="0"/>
                <w:iCs w:val="0"/>
                <w:color w:val="000000"/>
                <w:kern w:val="0"/>
                <w:sz w:val="16"/>
                <w:szCs w:val="16"/>
                <w:u w:val="none"/>
                <w:lang w:val="en-US" w:eastAsia="zh-CN" w:bidi="ar"/>
              </w:rPr>
              <w:t>小断面</w:t>
            </w:r>
            <w:r>
              <w:rPr>
                <w:rFonts w:hint="eastAsia" w:ascii="宋体" w:hAnsi="宋体" w:eastAsia="宋体" w:cs="宋体"/>
                <w:i w:val="0"/>
                <w:iCs w:val="0"/>
                <w:color w:val="000000"/>
                <w:kern w:val="0"/>
                <w:sz w:val="16"/>
                <w:szCs w:val="16"/>
                <w:u w:val="none"/>
                <w:lang w:val="en-US" w:eastAsia="zh-CN" w:bidi="ar"/>
              </w:rPr>
              <w:t>混凝土等结构构件进行切割。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2、机身采用轻量化设计，携带方便；链条松紧可一键调节，无需其它辅助工具；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3、锂电池容量:≥</w:t>
            </w:r>
            <w:r>
              <w:rPr>
                <w:rFonts w:hint="eastAsia" w:ascii="宋体" w:hAnsi="宋体" w:cs="宋体"/>
                <w:i w:val="0"/>
                <w:iCs w:val="0"/>
                <w:color w:val="000000"/>
                <w:kern w:val="0"/>
                <w:sz w:val="16"/>
                <w:szCs w:val="16"/>
                <w:u w:val="none"/>
                <w:lang w:val="en-US" w:eastAsia="zh-CN" w:bidi="ar"/>
              </w:rPr>
              <w:t>7</w:t>
            </w:r>
            <w:r>
              <w:rPr>
                <w:rFonts w:hint="eastAsia" w:ascii="宋体" w:hAnsi="宋体" w:eastAsia="宋体" w:cs="宋体"/>
                <w:i w:val="0"/>
                <w:iCs w:val="0"/>
                <w:color w:val="000000"/>
                <w:kern w:val="0"/>
                <w:sz w:val="16"/>
                <w:szCs w:val="16"/>
                <w:u w:val="none"/>
                <w:lang w:val="en-US" w:eastAsia="zh-CN" w:bidi="ar"/>
              </w:rPr>
              <w:t>AH，有电量显示；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4、额定电压≥36V；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5、空载转速≥4000r/min；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6、无刷电机功率≥1.6kW；</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7、导板长度≥16＂/400mm。</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45" w:type="dxa"/>
            <w:vAlign w:val="center"/>
          </w:tcPr>
          <w:p>
            <w:pPr>
              <w:spacing w:before="0" w:beforeAutospacing="0" w:after="0" w:afterAutospacing="0" w:line="288" w:lineRule="auto"/>
              <w:ind w:left="0" w:right="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钢筋速断器</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1、头部可360°旋转，电池为平推式，带有电量分段显示功能灯，断刀刃四面可用，配辅助把手</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刀口回收设计，保证操作的安全，配有夜间照明LED灯 可在夜间使用。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2、电池电压≥DC18V</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4.0Ah，空载功率≥140W；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3、最大切割能力≥φ20mm螺纹钢/φ21mm SD345异形钢筋/φ12mm弹簧钢/21*20mm平条；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★4、最大剪切力≥</w:t>
            </w:r>
            <w:r>
              <w:rPr>
                <w:rFonts w:hint="eastAsia" w:ascii="宋体" w:hAnsi="宋体" w:cs="宋体"/>
                <w:i w:val="0"/>
                <w:iCs w:val="0"/>
                <w:color w:val="000000"/>
                <w:kern w:val="0"/>
                <w:sz w:val="16"/>
                <w:szCs w:val="16"/>
                <w:u w:val="none"/>
                <w:lang w:val="en-US" w:eastAsia="zh-CN" w:bidi="ar"/>
              </w:rPr>
              <w:t>20</w:t>
            </w:r>
            <w:r>
              <w:rPr>
                <w:rFonts w:hint="eastAsia" w:ascii="宋体" w:hAnsi="宋体" w:eastAsia="宋体" w:cs="宋体"/>
                <w:i w:val="0"/>
                <w:iCs w:val="0"/>
                <w:color w:val="000000"/>
                <w:kern w:val="0"/>
                <w:sz w:val="16"/>
                <w:szCs w:val="16"/>
                <w:u w:val="none"/>
                <w:lang w:val="en-US" w:eastAsia="zh-CN" w:bidi="ar"/>
              </w:rPr>
              <w:t>0kN</w:t>
            </w:r>
            <w:r>
              <w:rPr>
                <w:rFonts w:hint="eastAsia" w:ascii="宋体" w:hAnsi="宋体" w:cs="宋体"/>
                <w:i w:val="0"/>
                <w:iCs w:val="0"/>
                <w:color w:val="000000"/>
                <w:kern w:val="0"/>
                <w:sz w:val="16"/>
                <w:szCs w:val="16"/>
                <w:u w:val="none"/>
                <w:lang w:val="en-US" w:eastAsia="zh-CN" w:bidi="ar"/>
              </w:rPr>
              <w:t>（提供CMA或CNAS第三方检验检测报告复制件）</w:t>
            </w:r>
            <w:r>
              <w:rPr>
                <w:rFonts w:hint="eastAsia" w:ascii="宋体" w:hAnsi="宋体" w:eastAsia="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5、最大开口≥21mm；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6、电池性能：切断φ20mm钢筋不少于80次，切断φ16mm的钢筋不少于160次；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7、重量（含电池）≤8kg；</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8、配置：主机1台、快速充电器 1 个、锂电池 2 块、工具袋1包、备用油壶 1 瓶、辅助把手1个、配防水器材专用箱一个。</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45" w:type="dxa"/>
            <w:vAlign w:val="center"/>
          </w:tcPr>
          <w:p>
            <w:pPr>
              <w:spacing w:before="0" w:beforeAutospacing="0" w:after="0" w:afterAutospacing="0" w:line="288" w:lineRule="auto"/>
              <w:ind w:left="0" w:right="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7</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切割锯套装</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无齿锯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1、可切割金属和混凝土材料</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燃油动力；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2、功率≥3.7KW；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3、锯片直径≥350mm；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4、切割深度≥125mm；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5、最大转速≥9000rpm；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6、配备可自由调节位置的安全防护罩</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自带快速接水装置；砂轮锯片 2 块</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维修工具若干；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7、重量≦15kg。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机动链锯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1、用于破拆各种木质结构障碍物；</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2、功率≥2.4kw；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3、排量≥50cc；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导板链条尺寸≥18 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无负载最高转速≥9000rpm；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重量:≤10kg；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怠速≥2700rpm；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油箱容积≥0.24 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二冲程发动机、前手防护挡。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双轮异向切割锯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破拆性能要求:可切割钢材、铜材、铝型材、木材、塑料、汽车玻璃等各种材料；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切割深度≥110mm；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无负荷最大转速≥13500rpm；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质量(无燃油、润滑油、锯片)≤14kg；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功率≥4kw；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汽缸排量≥70CC；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锯片规格≥310mm；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需配备安全防护装置</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专用工具箱、护目镜、防护手套、专用工具、加油比例桶等。</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45" w:type="dxa"/>
            <w:vAlign w:val="center"/>
          </w:tcPr>
          <w:p>
            <w:pPr>
              <w:spacing w:before="0" w:beforeAutospacing="0" w:after="0" w:afterAutospacing="0" w:line="288" w:lineRule="auto"/>
              <w:ind w:left="0" w:right="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8</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激光测距仪</w:t>
            </w:r>
          </w:p>
        </w:tc>
        <w:tc>
          <w:tcPr>
            <w:tcW w:w="7041"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1、测距范围：≥1000米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2、★测距精度：±0.2m（＜400m）、±0.5m（400m-1000m）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3、★测倾斜角：量程：±90° 精度±0.1°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4、测距模式：单点测水平距/直线距离、单点测垂直高差/倾角、单点测速模式、连续  测量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5、侧   屏：内外置双屏，支持历史数据查看（100组）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6、震动提示：支持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7、光学放大：≥7倍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8、★测距分辨率：0.1m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9、蓝  牙：支持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10、视场：8°</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11、防护等级：IP65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12、激光波长：905nm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13、作业时间：连续工作16小时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14、免费APP：支持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注：投标时，带★产品参数条款需提供含CMA标识、CNAS标识的检测机构出具的检测报告。</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5" w:type="dxa"/>
            <w:vAlign w:val="center"/>
          </w:tcPr>
          <w:p>
            <w:pPr>
              <w:spacing w:before="0" w:beforeAutospacing="0" w:after="0" w:afterAutospacing="0" w:line="288" w:lineRule="auto"/>
              <w:ind w:left="0" w:right="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9</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便携式担架</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组成结构:铲式担架，铲式担架是由左右两片铝合金板组成。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搬运伤员时，先将伤员放置在平卧位，固定颈部，然后分别将担架的左右两片从伤员侧面插入背部，扣合可分离插扣后再进行转运。</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外观尺寸:展开≥214*42*7cm，折叠≤167*42*7cm，承重≥159kg，净重约8kg</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45" w:type="dxa"/>
            <w:vAlign w:val="center"/>
          </w:tcPr>
          <w:p>
            <w:pPr>
              <w:spacing w:before="0" w:beforeAutospacing="0" w:after="0" w:afterAutospacing="0" w:line="288" w:lineRule="auto"/>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软体水枪</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一、基本要求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1、工作方式：背负式使用，背负式行军。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2、整体设计使用背囊式，电池与电动水泵应均匀分布在水囊两侧，背带应具有束腰功能，所有接头应采用快速插拔接头。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3、具备手动作业和电动作业功能，背负式行军，背负式使用。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4、喷射方式：可调节一体喷头，具有扇形、直流、雾化三种喷射方法。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5、水枪：采用不锈钢材质，枪式式样，手动往复抽拉水枪都可出水。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二、技术参数要求：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1、整机重量(KG)≤7</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2、整备质量(KG)≤28</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★3、水囊（L）≥22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4、噪音DB(A) ≤55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5、电动作业连续工作时间（小时）≥3.5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★6、最大工作压力（MPA）≥3.7</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★7、最大射程（米）电动喷射≥13；手动喷射≥11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★8、电动作业时最大流量≥5.7L/MIN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9、电池容量≥12AH，电压：12V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10、安全防护控制器有短路保险功能，电器系统有防水措施，所以接线没有裸露。液泵出现过载时应有过载保护措施。正常工作时，关闭节流阀，液泵的工作压力不应高于最高工作压力的1.2倍。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11、手动喷水量：≥150ML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12、可喷射泡沫类型：A类泡沫、B类泡沫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三、泡沫参数要求：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1、特点：高效、环保、经济，具有绿色环保、灭火能力等特点，通过了国家CCC强制性认证。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2、凝固点≥0℃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3、PH值在6.0-9.5之间。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4、毒性≤0%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5、腐蚀率：Q235钢片≤6，LF21铝片≤5</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6、灭火级别≥1A  55B</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45" w:type="dxa"/>
            <w:vAlign w:val="center"/>
          </w:tcPr>
          <w:p>
            <w:pPr>
              <w:spacing w:before="0" w:beforeAutospacing="0" w:after="0" w:afterAutospacing="0" w:line="288" w:lineRule="auto"/>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11</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便携式防水防爆应急强光灯</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1、光源类型：LED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2、★照明功率：≥180W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3、★满电状态下：灯头总光通量≥25500lm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4、色温：6000K±200K</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5、显色指数：Ra≥85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6、★满电状态下：3灯头单向照明、聚泛光同时开启（超强光模式）5米处最大照度值≥3200；3灯头环向照明、聚泛光同时开启（超强光模式）5米处最大照度值≥900；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7、★额定电压：DC22.2V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8、★额定容量：≥25Ah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9、充电时间：≤5h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10、★灯具采用 5节升降杆作为升降调节方式</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升降杆固定在箱体上</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最高升起高度 ≥3.95m</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可 以通过松开、锁紧升降杆上的松紧扳手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将升降杆升起到使用所 需要的高度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升降杆上升至所需高度锁紧升降杆后</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应能在当前高度可靠固定。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11、★满电状态下连续工作时间：超强光(聚泛同开超强光)≥6h；强光(聚泛同开强光)≥9h；工作光(聚泛同开工作光)≥12h；强光聚光放电时间≥12h；工作光聚光放电时间≥18h。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12、★灯头外壳防护能力应符合 GB/T4208-2017中 IP67的要求。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13、★防爆标志：Ex eb ib mb IIC T5 Gb</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 Ex ib mb tb ⅢC T95℃ Db，防护等级：≥IP65。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14、电量显示：灯具设有五段式电量显示，20%、40%、60%、80%、100%形式显示当前电量状态。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15、调光方式：无极调光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16、携带方式：手提、肩背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17、控制方式：面板按键+APP蓝牙无线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18、★跌落高度：≥1m跌落后正常使用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19、灯具可通过手机 APP控制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蓝牙连接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可远程 实现灯光 、警示灯 的开启及关 闭</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可调节灯光亮度实现无极调光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可通过 APP进行电量信息 、充电状态查看等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灯具远程控制距离达到≥30m。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20、具有粉尘环境和气体环境双防爆功能，展开金属支撑脚可用地钉加固提高使用时安全稳定性。</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注：投标时，带★产品参数条款需提供含CMA标识、CNAS标识的省级或省级以上检测机构出具的检测报告。</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45" w:type="dxa"/>
            <w:vAlign w:val="center"/>
          </w:tcPr>
          <w:p>
            <w:pPr>
              <w:spacing w:before="0" w:beforeAutospacing="0" w:after="0" w:afterAutospacing="0" w:line="288" w:lineRule="auto"/>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红外热成像仪</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1、光学参数 ：视场角/最小聚焦距离 50°x 37°/ 0.5m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2、热灵敏度（NETD） &lt; 0.06°C @ +30°C (+86°F) /60 mK</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3、图像帧频 25Hz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4、焦距 免调焦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5、空间分辨率（IFOV） 7.6mrad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6、探测器类型/工作波长 非致冷型微测辐射热计/ 7 .5‒14 µm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7、IR分辨率 超像素融合分辨率320 x 240 像素，没开前160 x 120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8、图像参数 ：LCD显示器 2.4寸，320×240像素彩色LCD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9、调色板 铁红、彩虹、白热、黑热、棕热、蓝红、热冷、羽毛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10、测温量程 ‒20℃ ~ ５５0℃ 精度 ±2℃ (±3.6°F)或读数的±2%(环 境温度10℃ ~ 35℃，物体温度 &gt; 0℃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11、测量分析：点分析 中心点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12、高低温检测 ：自动捕捉区域内最高温和最低温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13、测量校正： 发射率，反射温度，红外补偿，距离 补偿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14、图像存储：存储介质 Micro SD卡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15、图像文件格式 标准bmp 文件，包括测量数据&gt;6000 张图片</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16、接口 USB-C</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545" w:type="dxa"/>
            <w:vAlign w:val="center"/>
          </w:tcPr>
          <w:p>
            <w:pPr>
              <w:spacing w:before="0" w:beforeAutospacing="0" w:after="0" w:afterAutospacing="0" w:line="288" w:lineRule="auto"/>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13</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移动蓄水池</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移动水囊，适用于灭火救援现场无水源场景，临时储水。无需任何捆绑支撑固定，可直接向罐内注水自立。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1、储水装置为圆台形结构，采用充气浮圈，主要有罐体、压力显示装置、充气泵、出水口、修补工具包等组成。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2、符 合 XF1204-2014 标 准 ， 容 积 ： ≥ 30 立 方 ；圆台形结构。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3、主体材质采用高强度聚酯纤维夹网布，撕裂强度：纵向≥510 kN/m，横向≥360kN/m；拉伸性能：纵向≥90 /MPa，横向≥70 /MPa；断裂伸长率：纵向≥20 /%，横向≥25 /%；剥离强度：≥480 N/5cm；耐氙灯老化性能：无裂缝，不分层；耐低温性能：无裂缝，不分层；接缝强力：≥2800 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4、外表面应平整、光滑，无杂质、起皱、明显划伤等缺陷。储水装置采用的主体材料应防水不渗漏，各接缝处不应出现脱线、脱胶等缺陷。采用热合焊接工艺制造的，接缝处应均匀、平整、牢固。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5、储水装置的出水口≥65mm 或者 80mm，所配的管路接口应符合 GB12514 的规定。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6、充气圈进气口处应设置压力显示装置。如采用压力表，其精度不应低于 2.5 级；充气方式为非人力充气（如有），充气时间充气时间≤12min。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7、储水稳定性试验，试验结果应无滑移、倾倒、侧翻或损坏等现象。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8、产品应设有可永久保持的柔性标志，标志应字体清晰并包含以下内容：产品的名称和型号等。</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9、产品包装随带的文件应齐全，包括使用说明书、合格证、装箱单、附件清单等。使用说明书，其内容应包括主要技术参数、维护保养、安装说明、操作程序、注意事项及服务承诺。说明书的编写方法应符合 GB/T9969 的规定。使用说明书中应注明“不能用于储存有毒有害或腐蚀性液体 ”。</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45" w:type="dxa"/>
            <w:vAlign w:val="center"/>
          </w:tcPr>
          <w:p>
            <w:pPr>
              <w:spacing w:before="0" w:beforeAutospacing="0" w:after="0" w:afterAutospacing="0" w:line="288" w:lineRule="auto"/>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14</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自救呼吸器</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1、自救呼吸器采用耐高温阻燃材料制造。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2、结构：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a、呼吸器由1个防护头罩、1个全面罩和3套滤烟装置（滤烟罐）组成；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b、呼吸器的基本尺寸为成人使用: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c、防护头罩能覆盖佩戴者整个头部、颈部</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 头罩前端和后端延伸到前胸和后背部: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d、滤烟装置与全面罩间的连接采用快插连接方式，且连接牢固可靠。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★3、吸气阻力：流量30L/min时阻力＜66Pa；流量80L/min时阻力＜113Pa，滤烟效率≥95.8%，单个滤芯累计防护时间≥4h。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4、全面罩总视野保留率：≥78.4%，双目视野保留率≥57.7%， 下方视野≥40°，镜片透光率≥89.2%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5、阻燃性能（全面罩、头罩）：经 950℃及以上火焰高温燃烧后，续燃时间≤0.5s；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6、头罩性能：经 180℃及以上高温试验后，头罩无炭化、熔隔和滴落现象；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★7、呼气阻力：流量160L/min时阻力＜99Pa，重量：≤0.95kg</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45" w:type="dxa"/>
            <w:vAlign w:val="center"/>
          </w:tcPr>
          <w:p>
            <w:pPr>
              <w:spacing w:before="0" w:beforeAutospacing="0" w:after="0" w:afterAutospacing="0" w:line="288" w:lineRule="auto"/>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有毒有害气体检测仪</w:t>
            </w:r>
          </w:p>
        </w:tc>
        <w:tc>
          <w:tcPr>
            <w:tcW w:w="7041"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1、可检测氧气、一氧化碳、二氧化氮等气体浓度，泵吸式；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2、测量范围：氧气：0-30%VOL；一氧化碳：0-500PPM；二氧化氮：0-200PPM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3、检测原理： 电化学、催化燃烧；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4、显示方式： TFT彩色液晶屏显示；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5、检测方式： 扩散式和泵吸式（配置外置泵）；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6、精度：≤±3%FS；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7、报警方式： 声光报警，震动报警，声音≥75dB；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8、气体显示：支持图标文字双菜单显示界面；具有历史数据曲线显示功能；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9、照明功能：具备LED照明功能，能在紧急时刻提供光源；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10、提示灯功能：具备LED呼吸灯提示功能，待机状态下每3秒闪烁提示，在黑暗中能指示仪器位置；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11、防爆标志：≥Exia II CT4；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12、防护等级：≥IP65；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13、工作湿度：≤95%RH，无冷凝；</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14、连续工作时间：≥10小时；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15、尺寸：≤120x60x45mm(LxWxH)；重量：≤190g；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★16、提供产品防爆合格证。</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45" w:type="dxa"/>
            <w:vAlign w:val="center"/>
          </w:tcPr>
          <w:p>
            <w:pPr>
              <w:spacing w:before="0" w:beforeAutospacing="0" w:after="0" w:afterAutospacing="0" w:line="288" w:lineRule="auto"/>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16</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高压细水雾灭火机</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发动机型式:四冲程风冷汽油机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喷头:喷头分为直流和雾化喷头，能同时实现直流喷射、雾化喷射、团雾化和扇型4档喷射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喷枪枪杆:可伸缩喷枪枪杆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水囊容积:≥20L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汽油机最大功率:≥1.8hp</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cs="宋体"/>
                <w:i w:val="0"/>
                <w:iCs w:val="0"/>
                <w:color w:val="000000"/>
                <w:kern w:val="0"/>
                <w:sz w:val="16"/>
                <w:szCs w:val="16"/>
                <w:u w:val="none"/>
                <w:lang w:val="en-US" w:eastAsia="zh-CN" w:bidi="ar"/>
              </w:rPr>
              <w:t>压力</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cs="宋体"/>
                <w:i w:val="0"/>
                <w:iCs w:val="0"/>
                <w:color w:val="000000"/>
                <w:kern w:val="0"/>
                <w:sz w:val="16"/>
                <w:szCs w:val="16"/>
                <w:u w:val="none"/>
                <w:lang w:val="en-US" w:eastAsia="zh-CN" w:bidi="ar"/>
              </w:rPr>
              <w:t>15MPa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w:t>
            </w:r>
            <w:r>
              <w:rPr>
                <w:rFonts w:hint="eastAsia" w:ascii="宋体" w:hAnsi="宋体" w:eastAsia="宋体" w:cs="宋体"/>
                <w:i w:val="0"/>
                <w:iCs w:val="0"/>
                <w:color w:val="000000"/>
                <w:kern w:val="0"/>
                <w:sz w:val="16"/>
                <w:szCs w:val="16"/>
                <w:u w:val="none"/>
                <w:lang w:val="en-US" w:eastAsia="zh-CN" w:bidi="ar"/>
              </w:rPr>
              <w:t>★水平射程:≥直流12m</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雾射10m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w:t>
            </w:r>
            <w:r>
              <w:rPr>
                <w:rFonts w:hint="eastAsia" w:ascii="宋体" w:hAnsi="宋体" w:eastAsia="宋体" w:cs="宋体"/>
                <w:i w:val="0"/>
                <w:iCs w:val="0"/>
                <w:color w:val="000000"/>
                <w:kern w:val="0"/>
                <w:sz w:val="16"/>
                <w:szCs w:val="16"/>
                <w:u w:val="none"/>
                <w:lang w:val="en-US" w:eastAsia="zh-CN" w:bidi="ar"/>
              </w:rPr>
              <w:t>★垂直射程:≥10m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★一袋水连续工作时间:≥15min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10、</w:t>
            </w:r>
            <w:r>
              <w:rPr>
                <w:rFonts w:hint="eastAsia" w:ascii="宋体" w:hAnsi="宋体" w:eastAsia="宋体" w:cs="宋体"/>
                <w:i w:val="0"/>
                <w:iCs w:val="0"/>
                <w:color w:val="000000"/>
                <w:kern w:val="0"/>
                <w:sz w:val="16"/>
                <w:szCs w:val="16"/>
                <w:u w:val="none"/>
                <w:lang w:val="en-US" w:eastAsia="zh-CN" w:bidi="ar"/>
              </w:rPr>
              <w:t>起动性能：常温启动时间≤10s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★最大出水量：≥9L/min</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cs="宋体"/>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★整机净重量：≤10kg</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17</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防水头灯</w:t>
            </w:r>
          </w:p>
        </w:tc>
        <w:tc>
          <w:tcPr>
            <w:tcW w:w="7041" w:type="dxa"/>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产品符合标准GB/T 15211-2013安全防范报警设备环境适应性要求和试验方法、GB/T 4208-2017外壳防护等级(IP代码)国家标。</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★2、采用四颗光源一体式设计，泛光、聚光、信号灯，三种模式搭配。采用白色LED冷光源作为主光源；聚光3W，泛光2W。灯具具有红/绿两色信号灯，可独立工作。</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3、采用防水设计，外壳防护能力应符合GB/T 4208-2017中IP68（1m，90min）的要求。</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头灯须自带快拆夹具，与头盔墨鱼干支架连接。不依靠工具可在头盔上快速安装拆卸。安装好之后头灯可依托夹具进行俯仰调节，俯仰角调节范围不低于上下60度。</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5、灯具净重量：≤45g（不含电池和配件）。</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6、充电时间检验：电池充满电时间不大于3h。</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7、灯具使用可充电锂电池供电，锂电池采用Type-c充电接口充电；也可以使用7号碱性电池作为供电电池。</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8、头灯须具有充电锂电池和7号碱性干电池互换功能。</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9、外壳采用PC材质。</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10、光通量检验：灯具最强光通量不小于300Lm。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11、灯具带有充电电量显示指示功能，在充电过程电量显示灯显红色，充满电显示绿色。</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12、任意工作模式下，3秒内无操作，灯具可一键关闭。</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13、快拆支架：灯体上设计有快拆支架部件，支架部件和灯体属于整体结构，无需螺丝固定，也无需工具，即可与水域头盔实现快速装配和拆卸。</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14、超强光（聚光+泛光模式）≥4h； 泛光模式：强光≥50h、节能光≥200h；信号灯模式：频闪≥120h。</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15、聚光+泛光模式：距灯头中心1m 处光斑中心的最大照度值≥1200 lx；聚光+泛光模式：距灯头中心2m 处光斑中心的最大照度值≥330 lx。</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18</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水深探测仪</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量程：≥150M；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盲区：＜1.5m；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显示分辨率：≤1mm ，精度：±0.3％×量程；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显示：中文 LCD；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输出、存储：SD 卡直接读取测量数据生成 EXCEL 文件（定时或者手动存储)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电源：内置电池，外接充器；</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7</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传感器电缆：线径 5～10mm，≥10m。</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19</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漏电检测仪</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1、用于探测电源泄露并确认泄露电源的具体位置，具备自动探测电气强弱功能，通过感应器获取广角度交流场信号并由程序自动区分高灵敏度信号和低灵敏度信号，并具备对感应信号强弱进行自适应处理的能力</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配带方式：2种配带方式，挂绳式和不锈钢背扣式</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★3、探测仪可自动探测 50/60Hz 交流电源的漏电状态，具备声光报警功能，当设备越接近漏电状态的电源时，声光报警装置光闪烁及发声频次越高；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★4、配备 OLED 液晶显示屏，屏幕尺寸≥1.5 英寸，可显示电量、漏电强弱信息、经纬度信息等；</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5、报警声级强度：≥90dB</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★6、内置 GPS 和北斗定位模块，可通过定位模块获取自身的经纬度位置信息；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7、具备运动静止状态检测功能，能够检测所处状态为运动状态或静止状态，并在显示屏上显示；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★8、具备 SOS 一键紧急呼叫求救功能，可通过仪器正面的 SOS 物理按钮实现紧急呼叫；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9、内置 LED 照明灯，可通过仪器正面的物理按键实现照明灯的开启或关闭；</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★10、LED报警指示灯红绿2种颜色，8颗LED灯，具有灯光编组功能</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11、探测仪内置可充电电池，续航时间≥12h，可在显示屏显示电量情况</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★12、防护等级≥IP68</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13、工作温度：-25℃至 60℃；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14、设备须通过振动（正弦）试验：频率范围 5～55Hz，驱动振幅 0.15mm，扫描速率 1otc/min；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★15、重量（含电池）：≤250 克；尺寸（不含天线）≤145*75*45mm；</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16、提供国家权威机构出具的检测报告复印件（报告须具有 CNAS 或 CMA认证标识）★条款应在检测报告里体现。</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20</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氧气呼吸器</w:t>
            </w:r>
          </w:p>
        </w:tc>
        <w:tc>
          <w:tcPr>
            <w:tcW w:w="7041"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正压式消防氧气呼吸器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符合 XF632-2006《正压式消防氧气呼吸器》标准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整机提供国家级检验中心出具的产品检测报告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供氧性能：自动补给供氧量≥100 L/min；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供氧性能：手动补给供氧量≥100L/min；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有效防护时间 240min。 </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低压系统气密性：1min 内压力下降值≤30Pa</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额定时间内的防护性能：吸气中 O2 浓度≥21%；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额定时间内的防护性能：吸气中 CO2 浓度≤2%；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额定时间内的防护性能：吸气温度≤38℃；</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额定时间内的防护性能：呼气阻力≤600Pa；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额定时间内的防护性能：吸气阻力≤330Pa；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呼气阀：逆向漏气量≤0.3L/min；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呼气阀：通气阻力≤30Pa；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吸气阀：逆向漏气量≤0.3L/min；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吸气阀：通气阻力≤30Pa；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佩戴质量≤14kg；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供氧性能：定量供氧量≥1.4L/min；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呼吸软管：伸长率≥20%；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面罩性能：总视野≥80%；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面罩性能：双目视野≥70%；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面罩性能：下方视野≥35°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气囊或呼吸舱有效容积≥ 5 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压力表漏气量≤25L/min；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压力报警：声级强度≥100dB；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压力报警：报警时长 30-60s；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压力报警：最大耗气量≤5L/min；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压力报警：电子报警器；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随装备配备氢氧化钙≥1kg。</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21</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便携式气象仪</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风速：0～60m/s（±0.1m/s）；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风向：0～360°（±2°）；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空气温度：-50-80℃（±0.3℃）；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空气湿度：0-100%RH（±3%RH）；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大气压力：10-1100hpa（±0.25%）；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数据存储：≥50万条；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功耗：≥2W；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锂电池：可拆卸锂电池包，容量≥12000maH，电池续航时间≥32h；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总重量：≤5kg；</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10</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布设时间：1人，不大于2分钟完成布设</w:t>
            </w:r>
            <w:r>
              <w:rPr>
                <w:rFonts w:hint="eastAsia" w:ascii="宋体" w:hAnsi="宋体" w:cs="宋体"/>
                <w:i w:val="0"/>
                <w:iCs w:val="0"/>
                <w:color w:val="000000"/>
                <w:kern w:val="0"/>
                <w:sz w:val="16"/>
                <w:szCs w:val="16"/>
                <w:u w:val="none"/>
                <w:lang w:val="en-US" w:eastAsia="zh-CN" w:bidi="ar"/>
              </w:rPr>
              <w:t>。</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22</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便携式除颤仪</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用于心脏骤停紧急施救。除颤脉冲双相波，充电到200J时间≤10s，电池寿命≥5 年。</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23</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绝缘剪断钳</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绝缘剪断钳满足事故现场电线电缆或其他单位带电体的剪切。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剪切能力≥φ16mm电线电缆/φ12mm钢筋；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剪切硬度≥HRC60；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剪柄(橡胶)耐电压≥5000V。</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24</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应急电源</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1、总电量：≥1000Wh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2、输出功率：≥1kW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3、电池类型：锂电池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4、循环寿命：≥1500次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5、防护等级：≥IP54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6、外壳材料防火等级：V-0级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7、电量显示方式：数码显示屏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8、手机无线充电功能：50W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9、辅助照明灯：≥2组LED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10、充电方式：市电充电、车载电源充电，太阳能充电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11、输出接口：AC220V交流/DC12V直流输出/DC12V车载点烟器输出/USB/Type-C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12、电源重量：≤12kg；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13、保护功能：过充、过放、短路、过载保护等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14、具有手机无线充电功能，Type-C输出接口支持QC3.0协议及华为、小米等快充协议，USB输出端口最大支持100W超级快充协议；</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15、可为救援现场AC220V≤1000W用电设备供电，为手机等小型数码设备充电。</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25</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高压接力消防水泵</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1、★工况（吸深3m）：流量≥4.5L/s（当压力≥0.3MPa时），流量≥5.1L/s（当压力≥0.6MPa时</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），流量≥3.8L/s（当压力≥0.9MPa时</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），流量≥3.2L/s（当压力≥1.2MPa时</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2、★最大流量：≥5.6L/s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3、★最大射程：≥37m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4、★最大压力：≥2.8MPa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5、★最大扬程：≥280m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6、吸水深度：≥7m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7、进水口直径：50mm(2.0寸)标准接口；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8、出水口直径：40mm(1.5寸)标准接口；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9、★整机净质量：≤11.5kg；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10、引水时间：≤7s；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11、★综合油耗：≤2.3L/h（工况2状态）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12、★启动方式：手拉启动、储能式一键式电启动、无接触感应控制启停、遥控启动(遥控启动距离≥150m)；电源尾部和遥控器都具有感应式磁启动功能（电启动马达与水泵主机一体式）；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13、★启动性能：电池充满电启动次数应不小于120次。在油路充满燃油的情况下，冷启动时间≤5s；安装有快速启动装置的减压阀；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14、★启动电源：应具备可反复充电的可拆卸式锂电池。电池质量≤500g，应带有 LED 灯(照明、爆闪、SOS)、USB 接口、5V输出及 Type-C充电接口，同时具备 12V 汽车应急启动；另可对手机、平板、笔记本电脑、MP3、MP4、数码相机、PDA 等产品充电；自带指南针；自带应急安全锤等多种功能；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15、引水手泵型式：配备自动引水泵或防漏气不锈钢手泵；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16、水泵材质：泵壳、泵体采用高强度抗腐蚀铝合金铸造，水泵经过阳极氧化处理；水泵及发动机表面带有防腐涂层；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17、★水泵结构：三级不锈钢叶轮离心泵，具有防反转保护结构、减震支撑结构；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18、★配套动力：二冲程水冷与空气复合冷却的汽油发动机，标示参数：功率≥15Hp/12000r/min，排量≥150cc；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19、★发动机冷却方式：闭路循环、强制水冷循环系统（水冷缸头）和自然风冷复合冷却方式；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20、★消音器：水冷消音器：人体可接触温度≤30℃；防止人员在使用过程中因不小心触碰而烫伤，与主泵一体化；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21、保护系统：发动机带有高温自动保护装置、启动过流自动保护功能、无水保护功能、超速保护功能；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22、发电系统：自带发电系统，发电电压≥14.6V。点火电路及启动控制系统应为全防水封装；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23、控制面板及显示系统：合金面板，启动电路系统与发动机集成一体式，控制盒集成启动按钮、熄火开关、热启动按钮、电源指示灯；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24、采用金属丝网状空气过滤器空气过滤器，内置燃油过滤器，油泵中装有滤网；具有防水防尘功能的化油器；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25、消声器：发动机配备蜂窝状多孔环形设计消声器，材质：合金制造；（提供水泵整体实物图及水泵局部消声器实物图）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26、燃油箱容积：≥24；外挂油箱，设置独立加油口，可实现不停机加油；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27、串并联性能：泵与泵之间可以串联架设、并联架设、并串联架设，并能正常工作；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28、横、纵向倾斜性能：泵在横向、纵向倾斜 90°的条件下，在额定工况下，各连续运转1h，泵应能正常工作；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29、背架形式：应配备全方位保护框架，具有减震支撑结构，可以使水泵在各个方向都可存放。设备应设有便于提拿的把手，可立、可卧、可侧方位存放，背架应采用不锈钢耐腐材质；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30、外形尺寸：≤390×290×170mm（长×宽×高）。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31、水泵配置：水泵专用油箱1套（含油管）、专用吸水管1套、底阀1个、直流喷枪1支、水雾喷枪1支、止水钳1把、接头板手1把、三通1个、单向阀1个、转换接头1个、内牙1个、引水泵1套、附件背包1个。</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要求：（1）以上★项重要技术参数需提供国家认可第三方检验报告复印件佐证并加盖制造商鲜章(签订合同时提供检验报告原件核查)。</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26</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割灌机</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1、整机应符合《非道路移动机械用小型点燃式发动机排气污染物排放限值及测量方法（中国第一、二阶段）》（GB26133-2010）第二阶段的“国二”排放要求；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★2、额定净功率∕转速：≥1.5kw/7500r/min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★3、最大净扭矩∕转速：≥2.2Nm∕5500r/min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4、排量：≥40cm³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5、油箱容量：≥0.75 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6、重量：≤9kg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7、怠速转速：≥2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800-3000 转/分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8、最高工作转速：≥12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300 转/分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9、用于割除易燃灌木野草，打通火灾入场通道。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10、等效振动水平：≤6.5/5.5m/s²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11、声功率级：≥95dB（A）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12、肩负式，手把中心距＞200mm。挡把应与传动轴套管中心线垂直，水平伸出≥200mm；</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附件：40 齿合金钢刀片 1 个、一字型刀片 1 个、打草头 1 个、配比壶 1 个、工具说明书等</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27</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油锯</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一、基础技术参数：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★1、排量：≤80cm³（需提供国家认可的第三方检验检测机构出具检验报告）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2、功率：≥4kW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★3、燃油容积：≥0.8L（需提供国家认可的第三方检验检测机构出具检验报告）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★4、锯切燃油消耗率：≤82g/㎡</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锯切效率≥80c㎡/h（需提供国家认可的第三方检验检测机构出具检验报告）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★5、满负荷耳旁噪声：≤100dB(A)（需提供国家认可的第三方检验检测机构出具检验报告）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6、导板长度：18-28"</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7、汽油机驱动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二、基本配置：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★1、整机净重量≤6kg（需提供国家认可的第三方检验检测机构出具检验报告）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2、连续工作时间≥60min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3、机器带有一键刹车功能且具有自动复位的停机开关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4、随机附件：配备一套导板、备用链条一根、原厂机油一瓶、专用配比壶1个；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三、专用配置：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1、锯切部件应采用自动润滑方式，油锯应具有锯链张紧装置</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2、产品应符合GB/T5392-2017 《林业机械便携手持式油锯》要求</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28</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生命探测仪（音视频生命探测仪）</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★1、主机：高清液晶显示屏≥8英寸，按键和触摸结合双控制；配有手腕带能单手手持，重量870G.内置1颗LED灯，用于照明</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2、显示终端具有有线连接和无线连接两种方式，具有双屏显示和双屏控制功能。主机可同时接收音视频、热成像和余震等数据</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★3、主机具备直接存储，一键录像，一键拍照，放大等功能；内存支持≥256G</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4、文件标记：能将视频或者图片标注为重要文件且不能删除，删除需先取消重要文件标注</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5、主机有以时间方式浏览、检索和回放本机存储的视频、照片信息的功能：查阅照片时能通过左右滑动切换上、下张，能通过触摸放大、 缩小照片，回放视频时能直接拖动进度条进行快进或快退</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6、主机可以实时显示当前位置的经纬度的定位功能，格式化本地文件时需输入密码才能操作</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★7、画面有≥8倍放大和缩小功能；主机显示的画面能翻转≥180°</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★8、连续工作时间≥10小时</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远程控制终端屏幕尺寸为10.1英寸：能插入流量卡进行电话通讯；能通过流量卡、Wifi上网。远程控制终端能进行音频视频实时无线传输，能进行无线访问查看主机照片、视频，能控制拍照、录像、旋转、放大缩小画面、灯光 开启调节</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10、电动音视频探头：直径≤30MM，配8颗高亮LED灯，亮度强弱可调；探头旋转角度横向360°旋转及纵向90°旋转，实施无死角搜索</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探头内置音频探头，可实时双向对讲</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11、防水视频探头：直径≤33mm，配≥8颗补光灯，防护等级≥IP68，配≥20米线缆，可用于水下和深井探测</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12、管道视频探头：直径：≤23mm</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配置20米硬质线缆线，内置12颗LED灯，防护等级IP67；支撑可弯曲</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13、蛇眼视频探头：直径≤6mm，配≥6颗补光灯，探头可横向旋转≥340°</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14、热成像音频探头直径≤33mm；有红外热成像功能，探头能对450℃内物体进行探测能正常识别，有拾音和双向对话及热点追踪功能；红外热像探头探测距离≥100m，识别人体距离≥30m；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15、余震监测仪尺寸：113*110*32mm</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重量550g</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内置显示屏，警示灯8颗，配有磁力片，监测范围360度，精度0.01度，六档阀值调节，报警声120dB</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16、伸缩杆伸展长度≥3.4米，配置防护箱</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17、配置镁发电多功能应急灯，用时只需加入5－8ml液体即可激活发电使用，可保存长达十年，中间无需反复充电维护，减免了仓储时的维护投入。产品首次注液发电启动时效≤5秒；注液剂量：≤8g/ml；对液体不挑剔加入水、尿液、酒、茶水都可发电；首次注液发电工作时长：≥48h；重量：≤300g；尺寸：≤85mm*56mm*160mm</w:t>
            </w:r>
            <w:r>
              <w:rPr>
                <w:rFonts w:hint="eastAsia" w:ascii="宋体" w:hAnsi="宋体" w:cs="宋体"/>
                <w:i w:val="0"/>
                <w:iCs w:val="0"/>
                <w:color w:val="000000"/>
                <w:kern w:val="0"/>
                <w:sz w:val="16"/>
                <w:szCs w:val="16"/>
                <w:u w:val="none"/>
                <w:lang w:val="en-US" w:eastAsia="zh-CN" w:bidi="ar"/>
              </w:rPr>
              <w:t>。</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29</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流速监测仪</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用于液体流速、流量监测。</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测速公式：V=KV/T+C（m/s）（自动计算）</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测速范围：0.06～8.00（m/s）</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测量方式：测杆定位测量</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测流误差： ≤0.49%</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显示：4×16位汉字液晶显示</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测量方式：测杆定位测量</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工作温度：-20℃～50℃</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功耗：＜50mA</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电源：DC 8.4V</w:t>
            </w:r>
            <w:r>
              <w:rPr>
                <w:rFonts w:hint="eastAsia" w:ascii="宋体" w:hAnsi="宋体" w:cs="宋体"/>
                <w:i w:val="0"/>
                <w:iCs w:val="0"/>
                <w:color w:val="000000"/>
                <w:kern w:val="0"/>
                <w:sz w:val="16"/>
                <w:szCs w:val="16"/>
                <w:u w:val="none"/>
                <w:lang w:val="en-US" w:eastAsia="zh-CN" w:bidi="ar"/>
              </w:rPr>
              <w:t>。</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30</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凿岩机</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工具夹持杆直径和长度：￠27×80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冲击频率：≥1300 n/min</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单次冲击能量：≥55J</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手臂加速度：12.8 米/平方秒</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发动机类型： 风冷、二冲程单缸汽油发动机 ；排量：≥80 cm³</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额定输出功率：≥2.0 kW/r/min</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转速：≥4250 r/min</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燃油和机油混合比：50:1</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燃油消耗量：≤1.2 L/H </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燃油箱容量：≥1.8L</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动力传送：由发动机经离心式离合器、齿轮、曲轴和气锤冲击装置到达工具</w:t>
            </w:r>
            <w:r>
              <w:rPr>
                <w:rFonts w:hint="eastAsia" w:ascii="宋体" w:hAnsi="宋体" w:cs="宋体"/>
                <w:i w:val="0"/>
                <w:iCs w:val="0"/>
                <w:color w:val="000000"/>
                <w:kern w:val="0"/>
                <w:sz w:val="16"/>
                <w:szCs w:val="16"/>
                <w:u w:val="none"/>
                <w:lang w:val="en-US" w:eastAsia="zh-CN" w:bidi="ar"/>
              </w:rPr>
              <w:t>。</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31</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便携式灭火水泵</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一、结构：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1、发动机结构：四冲程风冷汽油发动机；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2、燃点系统：晶体管点火；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3、发动机为垂直轴向设计，立式背架，方便背负及使用；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4、燃油箱：内置一体式油箱；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5、类型:结合式二阶段离心式泵体；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6、连接方式：泵体与发动机采用直连式一体连接；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7、泵壳铝合金，并经防腐处理。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二、基本参数：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1、启动方式：手拉启动或电启动；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2、★发动机功率≥1.4kw</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3、★压力:≥0.75MPa</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4、★扬程:≥75m，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5、★流量:≥150L/min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6、★射程:≥20m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7、★吸程:≥7m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8、水泵在出水口关闭的情况下，高速运转应能够≥10min；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9、泵组在横向、纵向倾斜15°的条件下，可以正常使用；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10、进出水口径：出水：40±2mm，进水：50±2mm；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11、重量:≤15kg；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12、配置要求：进水口快速接头 1 个、出水口快速接头 2 个、吸水管 1 根。</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13、配置要求：水泵出口40软管≥60m（每段(卷)长度≥20m)，材料为柔性、耐磨防刺穿可折叠式圈起，配接合器和不锈钢快速卡箍；14、排水带≥10m，含配件包。</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32</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复合气体探测仪</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★提供国家认可的第三方检测机构出具的检测报告，并且加★重要参数需在检测报告中体现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1、用于检测空气中的可燃、有毒气体和蒸气含量，具备超限报警等功能</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主通讯模块通讯距离几千公里</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Mesh 通讯模块通信距离200m</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★2、无线控制终端：屏幕≥10寸，带触摸功能，具有拍照、录像和存储功能，能实时监测到前端气体探测仪的气体数据和下载；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3、无线复合气体检测仪：可检测6种有毒有害和可燃气体；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气体种类:可燃气 LEL；氧气 02；一氧化碳 CO；硫化氢 H2S；二氧化氮 NO2；二氧化硫 SO2；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气体量程：LEL:0-100%LEL；O2:0-30%VOL；CO:0-100PPM；H2S:0-100PPM；NO2：0-20PPM；SO2：0-20PPM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★4、传输距离：4G无线传输方式，无线传输距离传输几千公里，不受距离限制，前端和后端可实现同步报警功能；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★5、无线传输功能：具有手机端、移动控制终端（PAD）和电脑端接收方式，手机端可登录微信小程序查看，气体探测仪报警可通过微信接收报警信息，使用更方便快捷；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6、显示屏：高清彩色屏≥7寸，可查看历史数据、实时曲线图；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★7、采样方式：泵吸检测方式，内置采集泵，流量500毫升/分钟(标配≥50CM软管，可用于特殊环境使用)；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8、警报方式：听觉、视觉和振动三种方式同步报警，响应时间≤20s；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9、听觉警报：95分贝声脉冲；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10、其他报警：浓度报警、欠压报警、故障报警；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11、背景灯：光线不足或报警发生时自动开启3秒钟，按任何按钮开启6秒钟；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★12、存储功能：具有10万组数据存储，自动覆盖旧数据；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13、数据恢复功能：如遇误操作可以选择部分或全部恢复；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14、防护等级:≥IP66；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15、工作时间：单电池使用时间≥10小时(配两块)；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16、配置防水、防尘和防摔防护箱；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17、具有 Exia II CT4 防爆合格证；</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★18、提供机械工业低压防爆电器产品质量监督检测中心检测报告。</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33</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混凝土液压破拆工具组</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用于地震、塌方、建筑物坍塌等灾害现场障碍物起重和支撑作业。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整套工具符合 GB/T 17906《液压破拆工具组通用技术条件》标准要求；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整套工具需为同一品牌制造商生产，且工具间可相互兼容配套使用；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液压动力系统：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 xml:space="preserve"> 高低温性能：在-45℃低温和 60℃高温环境下保持≥2h 无异常；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 xml:space="preserve"> 能量舱采用可更换设计；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 xml:space="preserve"> 电源启动装置采用 3 段式可分离设计；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 xml:space="preserve"> LED 电量显示屏信息≥2种，可实时显示剩余电量百分比数值与电量段数；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 xml:space="preserve"> 采用一体背负式设计，运输方式≥3种，隐藏式拉杆设计，可背、可提、可拉；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 xml:space="preserve"> 外壳采用 ABS 材料，壳体直角撕裂强度≥50kN/M；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7</w:t>
            </w:r>
            <w:r>
              <w:rPr>
                <w:rFonts w:hint="eastAsia" w:ascii="宋体" w:hAnsi="宋体" w:eastAsia="宋体" w:cs="宋体"/>
                <w:i w:val="0"/>
                <w:iCs w:val="0"/>
                <w:color w:val="000000"/>
                <w:kern w:val="0"/>
                <w:sz w:val="16"/>
                <w:szCs w:val="16"/>
                <w:u w:val="none"/>
                <w:lang w:val="en-US" w:eastAsia="zh-CN" w:bidi="ar"/>
              </w:rPr>
              <w:t xml:space="preserve"> 工作压力≥30MPa；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8</w:t>
            </w:r>
            <w:r>
              <w:rPr>
                <w:rFonts w:hint="eastAsia" w:ascii="宋体" w:hAnsi="宋体" w:eastAsia="宋体" w:cs="宋体"/>
                <w:i w:val="0"/>
                <w:iCs w:val="0"/>
                <w:color w:val="000000"/>
                <w:kern w:val="0"/>
                <w:sz w:val="16"/>
                <w:szCs w:val="16"/>
                <w:u w:val="none"/>
                <w:lang w:val="en-US" w:eastAsia="zh-CN" w:bidi="ar"/>
              </w:rPr>
              <w:t>电动液压系统低压流量≥2.8L/min，高压流量≥0.6L/min；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9</w:t>
            </w:r>
            <w:r>
              <w:rPr>
                <w:rFonts w:hint="eastAsia" w:ascii="宋体" w:hAnsi="宋体" w:eastAsia="宋体" w:cs="宋体"/>
                <w:i w:val="0"/>
                <w:iCs w:val="0"/>
                <w:color w:val="000000"/>
                <w:kern w:val="0"/>
                <w:sz w:val="16"/>
                <w:szCs w:val="16"/>
                <w:u w:val="none"/>
                <w:lang w:val="en-US" w:eastAsia="zh-CN" w:bidi="ar"/>
              </w:rPr>
              <w:t xml:space="preserve"> 液压管为分离式设计，管体采用油电一体化管中管技术，长度≤2 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10</w:t>
            </w:r>
            <w:r>
              <w:rPr>
                <w:rFonts w:hint="eastAsia" w:ascii="宋体" w:hAnsi="宋体" w:eastAsia="宋体" w:cs="宋体"/>
                <w:i w:val="0"/>
                <w:iCs w:val="0"/>
                <w:color w:val="000000"/>
                <w:kern w:val="0"/>
                <w:sz w:val="16"/>
                <w:szCs w:val="16"/>
                <w:u w:val="none"/>
                <w:lang w:val="en-US" w:eastAsia="zh-CN" w:bidi="ar"/>
              </w:rPr>
              <w:t xml:space="preserve"> 液压管拉伸强度≥4kN；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 xml:space="preserve"> 电动液压驱动装置：配备快速接口，可随时拆卸更换工具头，锂电池电压≥18V，容量≥5Ah；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液压剪切器：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4.1 可快速与电动液压驱动装置进行连接，刀刃具备可更换设计；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 剪切圆钢（Q235A）能力：能一次剪切直径≥30mm；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 剪切力：≥700kN；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4.4 开口距离：≥150mm；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液压扩张器：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5.1 背架采用隐藏拉杆一体背负式设计，底部采用≥2 轮可移动装置，运输方式≥3 种，可背、可提、可拉；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5.2 运载机器背架采用可伸缩锁紧方式，锁紧力≥10N；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5.3 机器救援方式≥3 种，可手动、无线手持遥控、无线脚踏遥控操作；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5.4 无线遥控距离≥60m；</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★5.5 最大扩张力≥110kN</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5.6 最大扩张距离≥450mm；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液压撑顶器：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 背架采用隐藏拉杆一体背负式设计，底部采用≥2 轮可移动装置，运输方式≥3 种，可背、可提、可拉；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 机器救援方式≥3 种，可手动、无线手持遥控、无线脚踏遥控操作；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 无线遥控距离≥60m；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6.4 运载机器背架采用可伸缩锁紧方式，锁紧力≥10N；</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★6.5 撑顶力≥100kN</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6.6 撑顶行程≥300mm；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6.7 收拢长度≤480mm；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6.8 撑顶莲花头为 360°可旋转更换设计；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 配置撑顶压力安全监控装置 1 套，可实时监控撑顶装置负荷状态，不同撑顶负荷以不同形式显示：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6.10 配置延长杆 1 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多功能破障工具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7.1 材料硬度≥45HRC，表面涂层抗静电，防刮；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7.2 前端内置一体式破碎钉设计，可击碎玻璃、刺穿金属板材等破拆操作；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7.3 末端集成万能扳手开关，可开启和关闭各种类型的接口开关；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7.4 内置式切割锯片，一键开关可进行 180°的开启和关闭；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液压开缝器：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★8.1 最大挤压力≥80KN；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8.2 最小插入缝隙≤2mm；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8.3 最大开缝距离≥80mm；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千斤顶：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9.1 最小插入高度≤200mm；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9.2 最大抬升高度≥1000mm；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★9.3 最大承重≥2T；</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10</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配置表：背负式电动液压装置 1 台、电动液压驱动装置 1 台、液压剪切器 1 台、液压扩张器 1 台、液压撑顶器 1 台、运载背架 3 副、压力安全监控装置 1 套、延长杆 1 根、多功能破障工具 1 把、压力检修装置1 套、液压开缝器 1 台、千斤顶 1 台。</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34</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风力灭火机</w:t>
            </w:r>
          </w:p>
        </w:tc>
        <w:tc>
          <w:tcPr>
            <w:tcW w:w="704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一、风机要求：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1、风机符合GB/T10280-2008规定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2、工作方式：背负式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3、启动方式：手启动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4、发动机型式：风冷二冲程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★5、发动机功率≥3.2kW（需提供国家认可的第三方检验检测机构出具检验报告）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★6、有效风力灭火距离：≥2.1m（需提供国家认可的第三方检验检测机构出具检验报告）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★7、出风口风量：≥0.56m3/s（需提供国家认可的权威检验检测机构出具检验报告）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8、常温起动时间：≤5s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9、耳旁噪音：≤85dBA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★10、手把振动：≤1.9m/s2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11、油箱: ≥2.2L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★12、一次加满油连续工作时间≥90min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13、风筒形式：出风口加装金属风筒；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14、整体结构：整机背架与发动机之间为弹簧浮点式减震结构；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15、人体工程学设计背带，直接连接在油箱上，降低机器重心，减少使用时液体晃动。同时背带有快速解开按钮，确保防火应急危险场景下迅速松脱。符合T/CNFMA B001-2018规定；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16、油门操控把手具有防静电功能；</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eastAsia="宋体" w:cs="宋体"/>
                <w:i w:val="0"/>
                <w:iCs w:val="0"/>
                <w:color w:val="000000"/>
                <w:kern w:val="0"/>
                <w:sz w:val="16"/>
                <w:szCs w:val="16"/>
                <w:u w:val="none"/>
                <w:lang w:val="en-US" w:eastAsia="zh-CN" w:bidi="ar"/>
              </w:rPr>
              <w:t>17、整机净质量≤10.5kg</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35</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个人护具</w:t>
            </w:r>
          </w:p>
        </w:tc>
        <w:tc>
          <w:tcPr>
            <w:tcW w:w="7041" w:type="dxa"/>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★个人护具由防火头盔，防火服，防火扑火服，应急背囊，防火防扎鞋，扑火鞋，防火头套，防火手套，防爆头灯，护目镜，防毒面具等组成</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一、防火头盔(1件)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1、产品符合 XF 633-2006标准，产品具备防尖锐物品的冲击，防腐蚀，防热辐射，外壳采用 PA66尼龙制成，抗冲击、防穿刺，内有高密度泡沫缓冲层，均力缓冲网及帽四极减震结构，能最大限度地减缓外部对头部全方位的冲击。头盔整体具有很强的耐高温性能，头壳体具有高强度、高耐穿透性，阻燃及耐热等优良性能。面罩镜片具有良好透光率，高清度，耐冲击性能，耐热、防雾耐刮擦、防辐射及防老化等优良性能，下部有银色隔热面料的披肩。</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2、性能要求:</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★(1)冲击吸收性能:头盔置于50度高温4H内所受抗冲击力≤2200N。置于零下28度低温4小时内头模所受冲击力≤2600N，置于水槽中室温中保持 4h，头模所受冲击力≤2400N，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(2)阻燃性能:火焰离开帽壳后，帽壳火焰≤1s内自熄，</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(3)热稳定性能：头盔边沿无明显变形；硬质附件须保持功能完好；材料表面无碳化、脱落现象。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★(4)下颚带抗拉强度:未发生断裂、滑脱，其延伸长度:≤14mm，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(5)电绝缘性能：救援头盔帽壳的泄漏电流≤3mA，</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(6)头盔质量≤800g。</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二、防火服(1件)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1、防火服整体符合GB/T33536-2017 （标准），</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2、服装结构特点:</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(1)款式为分体夹克式森林防火服，由上衣和裤子组成，</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(2)领部双领设计，可立领和翻领，便于在各种环境下调节使用，肩部夹有丝，增加穿着人员的舒适度，上衣有≥8个口袋设计，其上衣右侧暗袋内有挂点，(可挂置小物件)服装5处前后可行调节；</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(3)裤腰两侧隆术贴收紧设计，方便救援人员快速穿脱。裤侧工具袋增加织带挂样，可悬挂小型工具，方便实用。膝盖部位采用凯夫拉材质补强，增加耐性，裤两侧拉链可以调节，两侧裤处 360可视阻燃反光条设计。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3、技术参数:</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(1)颜色:橘红色，</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(2)成衣:水洗尺寸变化率；经向:±0.2，纬向:±0.2，</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★(3)接缝强力:单衣片:≥880N，裤后档:≥850N，肩缝:≥850N。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4、面料原样: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(1)克重:≤210g，</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(2)耐摩擦色牢度:干擦、湿擦:≥4-5级，</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(3)耐水色牢度:变色≥4-5级、沾色-聚酯≥4-5级、沾色-棉≥4-5级，</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(4)耐酸汗渍色牢度:变色≥4-5级、沾色-聚酯≥4-5级、沾色-棉≥4-5级，</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(5)耐碱汗渍色牢度:变色≥4-5级、沾色-聚酯≥4-5级、沾色-棉≥4-5级，</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(6)耐光色牢度:≥4 级，</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(7)ph值:≥6，</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(8)防火服面料热稳定性(260℃士5):经过5min热稳定实验后无熔融和烧焦现象。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★5、面料(水洗50次后):</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(1)断裂强力:经向:≥1700N，纬向:≥1500N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(2)撕破强力:经向:≥200N，纬问:≥180N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(3)阻燃、隔热性能:①续燃时间、阴燃时问:经向、纬向:≤0S:②损毁长度:经向:≤25mm。纬向:&lt;25mm。无融、滴落；③热防护系数:≥555（KW.S/M²）</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★6、反光带:</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(1)阻燃性能:①续燃时间、阴燃时间:经向、纬向≤0S；②损毁长度:经向≤11mm、纬向≤10mm。无熔融、滴落，</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(2)反光带逆反系数值(物理实验前):≥370[cd/(lx*m²)]，</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(3)反光带热稳定性(260℃士5):经过5min热稳定实验后无熔融和烧焦现象。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7、缝纫线:</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(1)缝纫线热稳定性能:缝纫线在(260℃士5)℃环境中，经过5min热稳定实验后无熔融和烧焦现象。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三、扑火服(1件)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1、符合 GB/T33536-2017《防护服装森林防火服》标准。具有优良阻燃、耐磨、透气、吸汗、舒适等功能。</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2、结构特点:</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款式为分体夹克式森林防火服，由上衣和裤子组成。领部可立领和辅领，便于在各种环境下调节使用，胸前配备四处口袋、便于穿着人员可放置随身携带物品等，服装5处前后(阻燃)反光条设计，其确保扑火人员的夜间可视度。衣服门襟采用四合扣设计，穿脱方便，节省时间。其袖口、裤口四合扣铜扣两档可调节。裤腰局部采用弹力松紧带设计，根据个人围进行调节，两腿处360可视阻燃反光条设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3、技术参数:</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(1)颜色:橘红色。</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(2)面料材质:采用永久阻燃原液染色高强度芳纶纤维布料。</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★(3)防火服面料洗涤 50次后阻燃性能为:①续燃时间≤ls:②阴燃时间≤ls；③损坏长度≤50mm；④热防护系数≥280（KW.S/M²）:⑤熔融、滴落:无</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★(4)断裂强度:经向:≥1300N、纬向:≥1200N；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★(5)撕破强度:经向:≥4.6x10²N、纬向:≥4.5x10²N；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(6)PH值为:防火服面料≤7.0；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★(7)甲醛含量：0 mg/kg；</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(8)防火服面料热稳定性(260℃士5)为:在260℃士5℃环境中，经5min热稳定试验后，表面无碳化、脱落现象；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(9)水洗尺寸变化率:经向≤1%，纬向≤1%；</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(10)耐光色牢度:≥4；</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(11)缝纫线断裂强力≥15N；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(12)物理性能实验前的反光性能:在观测角12，入射角5”时，反光材料逆反射系数值≥360cd/(1x*m²)；</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(13)色牢度:变色≥4级，沾色-棉≥4级，沾色-聚酯≥4级；</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(14)反光条阻燃性能:续燃时间≤0s，阴燃时间≤0s 损毁长度≤40mm 无熔融、滴落现象；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★(15)接缝强力:单衣片:≥300N，裤后档:≥700N，肩部:≥700N。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四、应急背囊(1件)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1、面料:面料不含甲醛，面料不含可分解有害芳香胺染料。</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2、颜色:迷彩。</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3、塑料插扣耐用性:测试1000次后，塑料插扣能正常使用，无异常。</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4、拉链耐用度:测试 200 次后无掉牙、无错、无损坏。</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★5、缝合强力:≥196N。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★6、耐摩擦色牢度；干摩擦≥4-5，湿摩擦≥4。</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7、尺寸:长度≥70cm，宽度≥45cm，厚度≥30cm。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五、防火防扎鞋(1件)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符合XF633-2006标准，采用头层牛皮和阻燃材料，满足技术性能同时透气性好，满足小腿部及足部的防护需求；</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1、产品结构:</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尺寸:同双鞋前帮长度偏差≤0.8mm，后帮高度偏差≤0.7m。同双鞋后跟高度偏差≤0.6mm，前跷偏差≤0.9mm。后跟至斜偏差≤0.7mm。同双鞋外底长度偏差≤0.7mm，宽度偏差≤0.5mm，厚度偏差≤0.3mm。外底前掌著力部位扣除花纹后的厚度≥4.2mm，后掌者地部位最处厚度≥5.3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★2、技术性能:</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(1)靴头性能</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①鞋头分别经10.78kN静压力试验和冲击质量为23kg，落下高度为300mm的冲击试验后，其压力测试、冲击性能:≥15.5mm。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(2)靴帮耐磨性能:靴帮材料在经过20000次循环擦后未出现被磨穿的现象。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(3)靴帮抗切割性能:靴帮材料经抗切割试验后，未被割穿。</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(4)外底耐弯折:靴底经过10万次弯折试验后，外底裂缝长度≤8mm。(5)防滑性能:始滑角≥20°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(6)电绝缘性能(mA):在测试电压:5000V电电流左≤0.25mA:右≤0.2mA(未击穿)</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(7)靴底抗刺穿性能(N):≥1100N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(8)阻燃性能:火焰离开试样各试验点后，离火自熄时间(s):≤0s</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(9)损毁长度(m):≤42mm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(10)熔融、熔滴或剥离:无</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六、扑火鞋(1件)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1、灭火防护靴采用抗阻燃，抗磨损，抗穿刺复合成型靴内底、鞋垫阻燃鞋带和靴头等组成。</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2、脚趾部位的抗磨损覆盖层厚度不应小于0.5mm。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★3、物理机械性能</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面料断裂强力（洗涤50次后）:≥1000N，面料撕破强力（洗涤50次后）:≥100N。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4、缝纫线断裂强力:≥10N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5、续然时间：≤1S。</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★6、阴然时间：≤1S。</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★7、损毁长度：≤20mm。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8、热防护系数TPP(kW*s/m²)：≥250。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9、纤维含量：芳纶100%。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七、防火头套(1件)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1、标准:森林防护头套通过XF869-2010《消防员灭火防护头套》</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2、材质:采用芳纶等材料混纺而成，其有永久性阻燃、无熔融，滴落，舒适。</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★3、技术性能:</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(1)阻燃性能:续燃时间:经问:&lt;0s，纬向:≤0s，损毁长度:经向≤85mm，纬向≤95mm。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(2)抗起球性能:起球等级≥3级。</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(3)甲醛含量:未檢出。</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(4)PH值:≤7。</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(5)缝纫线耐高温性能:缝纫线经260℃高温5min，无融、炭化现象，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(7)接缝强力:≥1060N。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(7）面部开口尺寸:尺寸变化率≤10%。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(8)质量:头套质量≤174g。</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八、防火手套(1件)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1、外观结构:</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为五指分开式，由阻燃外层、防水层、隔热层和舒适层四层材料符合制成，具各阻燃、隔热、防水耐磨，手面缝有反光标志带。外层与皮革相配合，掌心耐磨:</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2、技术参数</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(1)阻燃性能:续燃时间(s)经、纬向:≤0s</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(2)阴燃时间(s):经向、纬向:≤1.0s</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(3)手套损毁长度(mm):经向:≤45mm纬向:≤45mm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(4)洗涤50次后热防护系数TPP(kW*s/m²)：≥250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(5)熔融、滴落:无</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(6)面料断裂强力（洗涤50次后）:≥1000N，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(7)面料撕破强力（洗涤50次后）:≥100N，。</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3、重量:≤1.2kg。</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九、防爆头灯(1件)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★总体性能符合GB30734-2014《消防员照明灯具》标准的要求；防爆性能符合GB/T3836.1-2010、GB/T3836.4-2010爆炸性环境要求 。</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1、产品外观及装配质量:</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灯具内部电路采用单片机设计，具有过充、过流、过压和短路保护功能。配有可方便安装在消防帽盔和安全帽救援头盔上的安装支架，可任意调结照射方向，操作简单方便，完全解放双手作业，提高工作效率。独特的尾部红色警示方位灯设计，可作信号传递、方位指示、警示功能使用。独特的专利技术，技术领先、性能更优良、稳定性更强。高容量锂电池，容量大、寿命长、自放电率底经济环保。</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2、技术参数:</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(1)质量:≤130g</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(2)连续工作时间:强光:≥4(h)弱光:≥8(h)。</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(3)照度(2m):强光平均照度值≥1100(Lx)弱光平均照度值:≥700(Lx)。</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(4)绝缘性能:在常温环境下，灯具带电端子与外壳间的绝缘电阻应不小于20(MΩ)。</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(5)耐低温性能(工作状态):温度-25℃+2℃持续时间:2h试验后，试验后，灯具应能正常进行开、关和强弱光切换。</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(6)耐高温性能(工作状态)温度55℃士2℃持续时间2h试验后，试验后，灯具应能正常进行开、关和强弱光切换。</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(7)灯具的防护能力应符合IP68的要求，潜水深度1.5m，持续时间1h。</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十、护目镜(1件)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1、护目镜不应存在让佩戴者感到不适或对使用者造成伤害的突出部分、尖锐边缘或其他缺陷。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2、除镜片边缘 5mm 宽的区域以外，镜片不应存在气泡、水泡、划痕、凹痕、固体杂质、气体杂质暗点、斑点、蚀损斑、霉、修补斑、蚀孔、碎片、裂纹、抛光缺陷或波纹等表面缺陷。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3、头带:宽度:护目镜头带的宽度≥15mm</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4、质量:≤150g</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5、防护区域:试样为单镜片</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6、光透射比：≥70%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7、光透射相对偏差:≤30%.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十一、防毒面具(1件)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1、螺纹接口 RD40，配套中小型滤毒滤罐数量≥1个</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2、面具总视野≥70%，双目视野≥55%，下方视野≥35%</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3、透光率≥85%</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★4、吸气阻力（30L/min)≤30Pa，吸气阻力（85L/min)≤70Pa，呼气阻力（160L/min)≤200Pa</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5、过滤件质量≤400g</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6、全面罩头带应能够经受150N 的拉力持续时间 10s，不应发生破断。</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7、全面罩泄漏率≤0.1%</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sz w:val="16"/>
                <w:szCs w:val="16"/>
              </w:rPr>
            </w:pPr>
            <w:r>
              <w:rPr>
                <w:rFonts w:hint="eastAsia" w:ascii="宋体" w:hAnsi="宋体" w:cs="宋体"/>
                <w:i w:val="0"/>
                <w:iCs w:val="0"/>
                <w:color w:val="000000"/>
                <w:kern w:val="0"/>
                <w:sz w:val="16"/>
                <w:szCs w:val="16"/>
                <w:u w:val="none"/>
                <w:lang w:val="en-US" w:eastAsia="zh-CN" w:bidi="ar"/>
              </w:rPr>
              <w:t>出具具有CMA或CNAS的国家认可的第三方的检验检测报告复制件，★项需在检验检测报告上体现。</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36</w:t>
            </w:r>
          </w:p>
        </w:tc>
        <w:tc>
          <w:tcPr>
            <w:tcW w:w="8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通讯流量包（1年）</w:t>
            </w:r>
          </w:p>
        </w:tc>
        <w:tc>
          <w:tcPr>
            <w:tcW w:w="7041" w:type="dxa"/>
            <w:vAlign w:val="center"/>
          </w:tcPr>
          <w:p>
            <w:pPr>
              <w:spacing w:before="0" w:beforeAutospacing="0" w:after="0" w:afterAutospacing="0" w:line="288" w:lineRule="auto"/>
              <w:ind w:left="0" w:right="0"/>
              <w:jc w:val="left"/>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1年流量</w:t>
            </w:r>
            <w:r>
              <w:rPr>
                <w:rFonts w:hint="eastAsia" w:ascii="宋体" w:hAnsi="宋体" w:cs="宋体"/>
                <w:i w:val="0"/>
                <w:iCs w:val="0"/>
                <w:color w:val="000000"/>
                <w:kern w:val="0"/>
                <w:sz w:val="18"/>
                <w:szCs w:val="18"/>
                <w:u w:val="none"/>
                <w:lang w:val="en-US" w:eastAsia="zh-CN" w:bidi="ar"/>
              </w:rPr>
              <w:t>费用</w:t>
            </w:r>
          </w:p>
        </w:tc>
        <w:tc>
          <w:tcPr>
            <w:tcW w:w="90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5" w:type="dxa"/>
            <w:vAlign w:val="center"/>
          </w:tcPr>
          <w:p>
            <w:pPr>
              <w:spacing w:before="0" w:beforeAutospacing="0" w:after="0" w:afterAutospacing="0" w:line="288" w:lineRule="auto"/>
              <w:ind w:left="0" w:right="0"/>
              <w:jc w:val="center"/>
              <w:rPr>
                <w:rFonts w:hint="eastAsia" w:ascii="宋体" w:hAnsi="宋体" w:cs="宋体"/>
                <w:color w:val="auto"/>
                <w:sz w:val="18"/>
                <w:szCs w:val="18"/>
                <w:lang w:val="en-US" w:eastAsia="zh-CN"/>
              </w:rPr>
            </w:pPr>
          </w:p>
        </w:tc>
        <w:tc>
          <w:tcPr>
            <w:tcW w:w="850" w:type="dxa"/>
            <w:vAlign w:val="center"/>
          </w:tcPr>
          <w:p>
            <w:pPr>
              <w:spacing w:before="0" w:beforeAutospacing="0" w:after="0" w:afterAutospacing="0" w:line="288" w:lineRule="auto"/>
              <w:ind w:left="0" w:right="0"/>
              <w:jc w:val="center"/>
              <w:rPr>
                <w:rFonts w:hint="eastAsia" w:ascii="宋体" w:hAnsi="宋体" w:cs="宋体"/>
                <w:color w:val="auto"/>
                <w:sz w:val="18"/>
                <w:szCs w:val="18"/>
              </w:rPr>
            </w:pPr>
          </w:p>
        </w:tc>
        <w:tc>
          <w:tcPr>
            <w:tcW w:w="7041" w:type="dxa"/>
            <w:vAlign w:val="center"/>
          </w:tcPr>
          <w:p>
            <w:pPr>
              <w:spacing w:before="0" w:beforeAutospacing="0" w:after="0" w:afterAutospacing="0" w:line="288" w:lineRule="auto"/>
              <w:ind w:left="0" w:right="0"/>
              <w:jc w:val="center"/>
              <w:rPr>
                <w:rFonts w:hint="eastAsia" w:ascii="宋体" w:hAnsi="宋体" w:eastAsia="宋体" w:cs="宋体"/>
                <w:color w:val="auto"/>
                <w:sz w:val="18"/>
                <w:szCs w:val="18"/>
                <w:lang w:eastAsia="zh-CN"/>
              </w:rPr>
            </w:pPr>
            <w:r>
              <w:rPr>
                <w:rFonts w:hint="eastAsia" w:ascii="宋体" w:hAnsi="宋体" w:cs="宋体"/>
                <w:b/>
                <w:bCs/>
                <w:color w:val="auto"/>
                <w:sz w:val="21"/>
                <w:szCs w:val="21"/>
                <w:lang w:eastAsia="zh-CN"/>
              </w:rPr>
              <w:t>合计</w:t>
            </w:r>
          </w:p>
        </w:tc>
        <w:tc>
          <w:tcPr>
            <w:tcW w:w="909" w:type="dxa"/>
            <w:vAlign w:val="center"/>
          </w:tcPr>
          <w:p>
            <w:pPr>
              <w:spacing w:before="0" w:beforeAutospacing="0" w:after="0" w:afterAutospacing="0" w:line="288" w:lineRule="auto"/>
              <w:ind w:left="0" w:right="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1668</w:t>
            </w:r>
          </w:p>
        </w:tc>
      </w:tr>
    </w:tbl>
    <w:p>
      <w:pPr>
        <w:adjustRightInd w:val="0"/>
        <w:spacing w:line="460" w:lineRule="exact"/>
        <w:ind w:firstLine="442" w:firstLineChars="200"/>
        <w:rPr>
          <w:rFonts w:hint="default" w:ascii="宋体" w:hAnsi="宋体" w:cs="宋体"/>
          <w:b/>
          <w:color w:val="auto"/>
          <w:sz w:val="22"/>
          <w:highlight w:val="none"/>
          <w:u w:val="single"/>
          <w:lang w:val="en-US" w:eastAsia="zh-CN"/>
        </w:rPr>
      </w:pPr>
    </w:p>
    <w:p>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cs="宋体"/>
          <w:b/>
          <w:color w:val="auto"/>
          <w:sz w:val="22"/>
          <w:highlight w:val="none"/>
          <w:u w:val="single"/>
          <w:lang w:val="en-US" w:eastAsia="zh-CN"/>
        </w:rPr>
        <w:t>2</w:t>
      </w:r>
      <w:r>
        <w:rPr>
          <w:rFonts w:hint="eastAsia" w:ascii="宋体" w:hAnsi="宋体" w:eastAsia="宋体" w:cs="宋体"/>
          <w:b/>
          <w:color w:val="auto"/>
          <w:sz w:val="22"/>
          <w:highlight w:val="none"/>
          <w:u w:val="single"/>
        </w:rPr>
        <w:t>、供应商投标文件中须提供</w:t>
      </w:r>
      <w:r>
        <w:rPr>
          <w:rFonts w:hint="eastAsia" w:ascii="宋体" w:hAnsi="宋体" w:cs="宋体"/>
          <w:b/>
          <w:color w:val="auto"/>
          <w:sz w:val="22"/>
          <w:highlight w:val="none"/>
          <w:u w:val="single"/>
          <w:lang w:eastAsia="zh-CN"/>
        </w:rPr>
        <w:t>招标</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eastAsia="zh-CN"/>
        </w:rPr>
        <w:t>及要求</w:t>
      </w:r>
      <w:r>
        <w:rPr>
          <w:rFonts w:hint="eastAsia" w:ascii="宋体" w:hAnsi="宋体" w:eastAsia="宋体" w:cs="宋体"/>
          <w:b/>
          <w:color w:val="auto"/>
          <w:sz w:val="22"/>
          <w:highlight w:val="none"/>
          <w:u w:val="single"/>
        </w:rPr>
        <w:t>中带“</w:t>
      </w:r>
      <w:r>
        <w:rPr>
          <w:rFonts w:hint="eastAsia" w:ascii="宋体" w:hAnsi="宋体" w:eastAsia="宋体" w:cs="宋体"/>
          <w:b/>
          <w:color w:val="auto"/>
          <w:sz w:val="22"/>
          <w:highlight w:val="none"/>
          <w:u w:val="single"/>
          <w:lang w:val="en-US" w:eastAsia="zh-CN"/>
        </w:rPr>
        <w:t>▲、</w:t>
      </w:r>
      <w:r>
        <w:rPr>
          <w:rFonts w:hint="default" w:ascii="宋体" w:hAnsi="宋体" w:eastAsia="宋体" w:cs="宋体"/>
          <w:i w:val="0"/>
          <w:iCs w:val="0"/>
          <w:color w:val="auto"/>
          <w:kern w:val="0"/>
          <w:sz w:val="22"/>
          <w:szCs w:val="22"/>
          <w:highlight w:val="none"/>
          <w:u w:val="single"/>
          <w:lang w:val="en-US" w:eastAsia="zh-CN"/>
        </w:rPr>
        <w:t>★</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▲项负偏离为实质性偏离投标无效，</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项负偏离则</w:t>
      </w:r>
      <w:r>
        <w:rPr>
          <w:rFonts w:hint="eastAsia" w:ascii="宋体" w:hAnsi="宋体" w:cs="宋体"/>
          <w:b/>
          <w:color w:val="auto"/>
          <w:sz w:val="22"/>
          <w:highlight w:val="none"/>
          <w:u w:val="single"/>
          <w:lang w:val="en-US" w:eastAsia="zh-CN"/>
        </w:rPr>
        <w:t>为</w:t>
      </w:r>
      <w:r>
        <w:rPr>
          <w:rFonts w:hint="eastAsia" w:ascii="宋体" w:hAnsi="宋体" w:eastAsia="宋体" w:cs="宋体"/>
          <w:b/>
          <w:color w:val="auto"/>
          <w:sz w:val="22"/>
          <w:highlight w:val="none"/>
          <w:u w:val="single"/>
          <w:lang w:val="en-US" w:eastAsia="zh-CN"/>
        </w:rPr>
        <w:t>扣分</w:t>
      </w:r>
      <w:r>
        <w:rPr>
          <w:rFonts w:hint="eastAsia" w:ascii="宋体" w:hAnsi="宋体" w:cs="宋体"/>
          <w:b/>
          <w:color w:val="auto"/>
          <w:sz w:val="22"/>
          <w:highlight w:val="none"/>
          <w:u w:val="single"/>
          <w:lang w:val="en-US" w:eastAsia="zh-CN"/>
        </w:rPr>
        <w:t>内容</w:t>
      </w:r>
      <w:r>
        <w:rPr>
          <w:rFonts w:hint="eastAsia" w:ascii="宋体" w:hAnsi="宋体" w:eastAsia="宋体" w:cs="宋体"/>
          <w:b/>
          <w:color w:val="auto"/>
          <w:sz w:val="22"/>
          <w:highlight w:val="none"/>
          <w:u w:val="single"/>
          <w:lang w:val="en-US" w:eastAsia="zh-CN"/>
        </w:rPr>
        <w:t>，是否属于偏离指标由评审小组根据供应商提供的参数是否在CMA或CNAS标志的第三方检验机构出具的检测/检验报告中的具体内容情况进行判定。其他未标“▲、</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”的参数指标，是否属于偏离指标以供应商提供的响应材料（证明资料须提供列有相应技术参数检测检验报告</w:t>
      </w:r>
      <w:r>
        <w:rPr>
          <w:rFonts w:hint="eastAsia" w:ascii="宋体" w:hAnsi="宋体" w:cs="宋体"/>
          <w:b/>
          <w:color w:val="auto"/>
          <w:sz w:val="22"/>
          <w:highlight w:val="none"/>
          <w:u w:val="single"/>
          <w:lang w:val="en-US" w:eastAsia="zh-CN"/>
        </w:rPr>
        <w:t>复制件</w:t>
      </w:r>
      <w:r>
        <w:rPr>
          <w:rFonts w:hint="eastAsia" w:ascii="宋体" w:hAnsi="宋体" w:eastAsia="宋体" w:cs="宋体"/>
          <w:b/>
          <w:color w:val="auto"/>
          <w:sz w:val="22"/>
          <w:highlight w:val="none"/>
          <w:u w:val="single"/>
          <w:lang w:val="en-US" w:eastAsia="zh-CN"/>
        </w:rPr>
        <w:t>或厂家产品彩页或厂家官方网站公布的截图或厂家产品说明书或技术方案说明等能够证明其所投产品能满足或达到招标要求）内容为准</w:t>
      </w:r>
      <w:r>
        <w:rPr>
          <w:rFonts w:hint="eastAsia" w:ascii="宋体" w:hAnsi="宋体" w:eastAsia="宋体" w:cs="宋体"/>
          <w:b/>
          <w:color w:val="auto"/>
          <w:sz w:val="22"/>
          <w:highlight w:val="none"/>
          <w:u w:val="single"/>
        </w:rPr>
        <w:t>。</w:t>
      </w:r>
    </w:p>
    <w:p>
      <w:pPr>
        <w:pStyle w:val="3"/>
        <w:spacing w:line="360" w:lineRule="auto"/>
        <w:jc w:val="both"/>
        <w:rPr>
          <w:rFonts w:hint="eastAsia" w:ascii="宋体" w:hAnsi="宋体" w:eastAsia="宋体" w:cs="宋体"/>
          <w:color w:val="auto"/>
          <w:sz w:val="28"/>
          <w:szCs w:val="28"/>
        </w:rPr>
      </w:pPr>
      <w:bookmarkStart w:id="111" w:name="_Toc5482"/>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其他要求</w:t>
      </w:r>
      <w:bookmarkEnd w:id="111"/>
    </w:p>
    <w:p>
      <w:pPr>
        <w:pStyle w:val="18"/>
        <w:numPr>
          <w:ilvl w:val="0"/>
          <w:numId w:val="8"/>
        </w:numPr>
        <w:adjustRightInd w:val="0"/>
        <w:snapToGrid w:val="0"/>
        <w:spacing w:after="0" w:line="360" w:lineRule="auto"/>
        <w:rPr>
          <w:rFonts w:hint="eastAsia" w:ascii="宋体" w:hAnsi="宋体" w:cs="宋体"/>
          <w:b/>
          <w:color w:val="auto"/>
          <w:sz w:val="22"/>
          <w:szCs w:val="22"/>
        </w:rPr>
      </w:pPr>
      <w:r>
        <w:rPr>
          <w:rFonts w:hint="eastAsia" w:ascii="宋体" w:hAnsi="宋体" w:cs="宋体"/>
          <w:b/>
          <w:color w:val="auto"/>
          <w:sz w:val="22"/>
          <w:szCs w:val="22"/>
        </w:rPr>
        <w:t>供货、安装、调试（测试）</w:t>
      </w:r>
    </w:p>
    <w:p>
      <w:pPr>
        <w:tabs>
          <w:tab w:val="left" w:pos="420"/>
        </w:tabs>
        <w:spacing w:line="360" w:lineRule="auto"/>
        <w:ind w:left="539" w:hanging="539" w:hangingChars="245"/>
        <w:rPr>
          <w:rFonts w:hint="eastAsia" w:ascii="宋体" w:hAnsi="宋体" w:cs="宋体"/>
          <w:bCs/>
          <w:color w:val="auto"/>
          <w:spacing w:val="20"/>
          <w:sz w:val="22"/>
          <w:szCs w:val="22"/>
        </w:rPr>
      </w:pPr>
      <w:r>
        <w:rPr>
          <w:rFonts w:hint="eastAsia" w:ascii="宋体" w:hAnsi="宋体" w:cs="宋体"/>
          <w:bCs/>
          <w:color w:val="auto"/>
          <w:sz w:val="22"/>
          <w:szCs w:val="22"/>
        </w:rPr>
        <w:t>（1）采购人有权在合同签订前对中标供应商所投设备进行性能和功能测试，中标供应商须提供和所投品牌型号一致的设备供采购人测试，经测试满足以上指标或参数要求后签订合同，对不能满足要求所造成的损失由中标供应商承担。</w:t>
      </w:r>
    </w:p>
    <w:p>
      <w:pPr>
        <w:tabs>
          <w:tab w:val="left" w:pos="420"/>
        </w:tabs>
        <w:spacing w:line="360" w:lineRule="auto"/>
        <w:ind w:left="539" w:hanging="539" w:hangingChars="245"/>
        <w:rPr>
          <w:rFonts w:hint="eastAsia" w:ascii="宋体" w:hAnsi="宋体" w:cs="宋体"/>
          <w:bCs/>
          <w:color w:val="auto"/>
          <w:spacing w:val="20"/>
          <w:sz w:val="22"/>
          <w:szCs w:val="22"/>
        </w:rPr>
      </w:pPr>
      <w:r>
        <w:rPr>
          <w:rFonts w:hint="eastAsia" w:ascii="宋体" w:hAnsi="宋体" w:cs="宋体"/>
          <w:bCs/>
          <w:color w:val="auto"/>
          <w:sz w:val="22"/>
          <w:szCs w:val="22"/>
        </w:rPr>
        <w:t>（2）</w:t>
      </w:r>
      <w:r>
        <w:rPr>
          <w:rFonts w:hint="eastAsia" w:ascii="宋体" w:hAnsi="宋体" w:cs="宋体"/>
          <w:color w:val="auto"/>
          <w:sz w:val="22"/>
          <w:szCs w:val="22"/>
        </w:rPr>
        <w:t>中标</w:t>
      </w:r>
      <w:r>
        <w:rPr>
          <w:rFonts w:hint="eastAsia" w:ascii="宋体" w:hAnsi="宋体" w:cs="宋体"/>
          <w:bCs/>
          <w:color w:val="auto"/>
          <w:sz w:val="22"/>
          <w:szCs w:val="22"/>
        </w:rPr>
        <w:t>供应商必须</w:t>
      </w:r>
      <w:r>
        <w:rPr>
          <w:rFonts w:hint="eastAsia" w:ascii="宋体" w:hAnsi="宋体" w:cs="宋体"/>
          <w:bCs/>
          <w:color w:val="auto"/>
          <w:sz w:val="22"/>
        </w:rPr>
        <w:t>在</w:t>
      </w:r>
      <w:r>
        <w:rPr>
          <w:rFonts w:hint="eastAsia" w:ascii="宋体" w:hAnsi="宋体" w:cs="宋体"/>
          <w:bCs/>
          <w:color w:val="auto"/>
          <w:sz w:val="22"/>
          <w:u w:val="single"/>
        </w:rPr>
        <w:t>合同生效之日起30个日历天内</w:t>
      </w:r>
      <w:r>
        <w:rPr>
          <w:rFonts w:hint="eastAsia" w:ascii="宋体" w:hAnsi="宋体" w:cs="宋体"/>
          <w:bCs/>
          <w:color w:val="auto"/>
          <w:sz w:val="22"/>
          <w:szCs w:val="22"/>
        </w:rPr>
        <w:t>完成设备的供货、安装、集成、调试及验收（含）。设备到达现场后，必须派员工到现场与采购人一起检验</w:t>
      </w:r>
      <w:r>
        <w:rPr>
          <w:rFonts w:hint="eastAsia" w:ascii="宋体" w:hAnsi="宋体" w:cs="宋体"/>
          <w:bCs/>
          <w:color w:val="auto"/>
          <w:sz w:val="22"/>
          <w:szCs w:val="22"/>
          <w:lang w:eastAsia="zh-CN"/>
        </w:rPr>
        <w:t>，</w:t>
      </w:r>
      <w:r>
        <w:rPr>
          <w:rFonts w:hint="eastAsia" w:ascii="宋体" w:hAnsi="宋体" w:cs="宋体"/>
          <w:bCs/>
          <w:color w:val="auto"/>
          <w:sz w:val="22"/>
          <w:szCs w:val="22"/>
        </w:rPr>
        <w:t>按供货清单验收</w:t>
      </w:r>
      <w:r>
        <w:rPr>
          <w:rFonts w:hint="eastAsia" w:ascii="宋体" w:hAnsi="宋体" w:cs="宋体"/>
          <w:bCs/>
          <w:color w:val="auto"/>
          <w:sz w:val="22"/>
          <w:szCs w:val="22"/>
          <w:lang w:eastAsia="zh-CN"/>
        </w:rPr>
        <w:t>，</w:t>
      </w:r>
      <w:r>
        <w:rPr>
          <w:rFonts w:hint="eastAsia" w:ascii="宋体" w:hAnsi="宋体" w:cs="宋体"/>
          <w:bCs/>
          <w:color w:val="auto"/>
          <w:sz w:val="22"/>
          <w:szCs w:val="22"/>
        </w:rPr>
        <w:t>若有缺少或损坏，</w:t>
      </w:r>
      <w:r>
        <w:rPr>
          <w:rFonts w:hint="eastAsia" w:ascii="宋体" w:hAnsi="宋体" w:cs="宋体"/>
          <w:color w:val="auto"/>
          <w:sz w:val="22"/>
          <w:szCs w:val="22"/>
        </w:rPr>
        <w:t>中标</w:t>
      </w:r>
      <w:r>
        <w:rPr>
          <w:rFonts w:hint="eastAsia" w:ascii="宋体" w:hAnsi="宋体" w:cs="宋体"/>
          <w:bCs/>
          <w:color w:val="auto"/>
          <w:sz w:val="22"/>
          <w:szCs w:val="22"/>
        </w:rPr>
        <w:t>供应商应立即补足或更换全新同规格产品，并承担相关费用直至使采购人满意为止。对于本项目所采购的设备，采购人将会组织提前进行到货验收，供应商必须全力配合。</w:t>
      </w:r>
    </w:p>
    <w:p>
      <w:pPr>
        <w:spacing w:line="360" w:lineRule="auto"/>
        <w:ind w:left="539" w:hanging="539" w:hangingChars="245"/>
        <w:rPr>
          <w:rFonts w:hint="eastAsia" w:ascii="宋体" w:hAnsi="宋体" w:cs="宋体"/>
          <w:bCs/>
          <w:color w:val="auto"/>
          <w:sz w:val="22"/>
          <w:szCs w:val="22"/>
        </w:rPr>
      </w:pPr>
      <w:r>
        <w:rPr>
          <w:rFonts w:hint="eastAsia" w:ascii="宋体" w:hAnsi="宋体" w:cs="宋体"/>
          <w:bCs/>
          <w:color w:val="auto"/>
          <w:sz w:val="22"/>
          <w:szCs w:val="22"/>
        </w:rPr>
        <w:t>（3）</w:t>
      </w:r>
      <w:r>
        <w:rPr>
          <w:rFonts w:hint="eastAsia" w:ascii="宋体" w:hAnsi="宋体" w:cs="宋体"/>
          <w:bCs/>
          <w:color w:val="auto"/>
          <w:kern w:val="0"/>
          <w:sz w:val="22"/>
          <w:szCs w:val="22"/>
        </w:rPr>
        <w:t>为确保设备安装和调试工作安全有序的进行，要求</w:t>
      </w:r>
      <w:r>
        <w:rPr>
          <w:rFonts w:hint="eastAsia" w:ascii="宋体" w:hAnsi="宋体" w:cs="宋体"/>
          <w:color w:val="auto"/>
          <w:sz w:val="22"/>
          <w:szCs w:val="22"/>
        </w:rPr>
        <w:t>中标</w:t>
      </w:r>
      <w:r>
        <w:rPr>
          <w:rFonts w:hint="eastAsia" w:ascii="宋体" w:hAnsi="宋体" w:cs="宋体"/>
          <w:bCs/>
          <w:color w:val="auto"/>
          <w:kern w:val="0"/>
          <w:sz w:val="22"/>
          <w:szCs w:val="22"/>
        </w:rPr>
        <w:t>供应商在</w:t>
      </w:r>
      <w:r>
        <w:rPr>
          <w:rFonts w:hint="eastAsia" w:ascii="宋体" w:hAnsi="宋体" w:cs="宋体"/>
          <w:bCs/>
          <w:color w:val="auto"/>
          <w:sz w:val="22"/>
          <w:szCs w:val="22"/>
        </w:rPr>
        <w:t>设备</w:t>
      </w:r>
      <w:r>
        <w:rPr>
          <w:rFonts w:hint="eastAsia" w:ascii="宋体" w:hAnsi="宋体" w:cs="宋体"/>
          <w:bCs/>
          <w:color w:val="auto"/>
          <w:kern w:val="0"/>
          <w:sz w:val="22"/>
          <w:szCs w:val="22"/>
        </w:rPr>
        <w:t>运抵安装现场前3天内，向采购人提供一份详细的安装、调试验收计划和所采用的标准及方法、参与安装的人员名单。</w:t>
      </w:r>
      <w:r>
        <w:rPr>
          <w:rFonts w:hint="eastAsia" w:ascii="宋体" w:hAnsi="宋体" w:cs="宋体"/>
          <w:bCs/>
          <w:color w:val="auto"/>
          <w:sz w:val="22"/>
          <w:szCs w:val="22"/>
        </w:rPr>
        <w:t>设备的安装必须符合有关标准和规范。</w:t>
      </w:r>
    </w:p>
    <w:p>
      <w:pPr>
        <w:spacing w:line="360" w:lineRule="auto"/>
        <w:ind w:left="647" w:hanging="646" w:hangingChars="294"/>
        <w:rPr>
          <w:rFonts w:hint="eastAsia" w:ascii="宋体" w:hAnsi="宋体" w:cs="宋体"/>
          <w:bCs/>
          <w:color w:val="auto"/>
          <w:sz w:val="22"/>
          <w:szCs w:val="22"/>
        </w:rPr>
      </w:pPr>
      <w:r>
        <w:rPr>
          <w:rFonts w:hint="eastAsia" w:ascii="宋体" w:hAnsi="宋体" w:cs="宋体"/>
          <w:bCs/>
          <w:color w:val="auto"/>
          <w:sz w:val="22"/>
          <w:szCs w:val="22"/>
        </w:rPr>
        <w:t>（4）</w:t>
      </w:r>
      <w:r>
        <w:rPr>
          <w:rFonts w:hint="eastAsia" w:ascii="宋体" w:hAnsi="宋体" w:cs="宋体"/>
          <w:bCs/>
          <w:color w:val="auto"/>
          <w:kern w:val="0"/>
          <w:sz w:val="22"/>
          <w:szCs w:val="22"/>
        </w:rPr>
        <w:t>设备安装就位后，供应商应按事先被采购人认可的调试验收计划对设备进行调试，并对设备所标注的各项技术指标进行测试，测试报告将在设备验收完毕后提交给采购人，但</w:t>
      </w:r>
      <w:r>
        <w:rPr>
          <w:rFonts w:hint="eastAsia" w:ascii="宋体" w:hAnsi="宋体" w:cs="宋体"/>
          <w:color w:val="auto"/>
          <w:sz w:val="22"/>
          <w:szCs w:val="22"/>
        </w:rPr>
        <w:t>中标</w:t>
      </w:r>
      <w:r>
        <w:rPr>
          <w:rFonts w:hint="eastAsia" w:ascii="宋体" w:hAnsi="宋体" w:cs="宋体"/>
          <w:bCs/>
          <w:color w:val="auto"/>
          <w:kern w:val="0"/>
          <w:sz w:val="22"/>
          <w:szCs w:val="22"/>
        </w:rPr>
        <w:t>供应商应对测试的各种数据的真实性负责。</w:t>
      </w:r>
      <w:r>
        <w:rPr>
          <w:rFonts w:hint="eastAsia" w:ascii="宋体" w:hAnsi="宋体" w:cs="宋体"/>
          <w:bCs/>
          <w:color w:val="auto"/>
          <w:sz w:val="22"/>
          <w:szCs w:val="22"/>
        </w:rPr>
        <w:t>采购人也可以要求具有检测资质的第三方用专用仪器进行功能 、性能测试，供应商负责测试和调试所需的一切费用，并填写测试报告交由采购人存档。</w:t>
      </w:r>
    </w:p>
    <w:p>
      <w:pPr>
        <w:spacing w:line="360" w:lineRule="auto"/>
        <w:ind w:left="420" w:hanging="420" w:hangingChars="190"/>
        <w:rPr>
          <w:rFonts w:hint="eastAsia" w:ascii="宋体" w:hAnsi="宋体" w:cs="宋体"/>
          <w:b/>
          <w:color w:val="auto"/>
          <w:sz w:val="22"/>
          <w:szCs w:val="22"/>
        </w:rPr>
      </w:pPr>
      <w:r>
        <w:rPr>
          <w:rFonts w:hint="eastAsia" w:ascii="宋体" w:hAnsi="宋体" w:cs="宋体"/>
          <w:b/>
          <w:color w:val="auto"/>
          <w:sz w:val="22"/>
          <w:szCs w:val="22"/>
        </w:rPr>
        <w:t>2. 产品质量保证和标准</w:t>
      </w:r>
    </w:p>
    <w:p>
      <w:pPr>
        <w:numPr>
          <w:ilvl w:val="0"/>
          <w:numId w:val="9"/>
        </w:numPr>
        <w:spacing w:line="360" w:lineRule="auto"/>
        <w:rPr>
          <w:rFonts w:hint="eastAsia" w:ascii="宋体" w:hAnsi="宋体" w:cs="宋体"/>
          <w:b/>
          <w:bCs/>
          <w:color w:val="auto"/>
          <w:sz w:val="22"/>
          <w:szCs w:val="22"/>
          <w:u w:val="single"/>
        </w:rPr>
      </w:pPr>
      <w:r>
        <w:rPr>
          <w:rFonts w:hint="eastAsia" w:ascii="宋体" w:hAnsi="宋体" w:cs="宋体"/>
          <w:b/>
          <w:bCs/>
          <w:color w:val="auto"/>
          <w:kern w:val="0"/>
          <w:sz w:val="22"/>
          <w:szCs w:val="22"/>
        </w:rPr>
        <w:t>产品质量保证期：</w:t>
      </w:r>
      <w:r>
        <w:rPr>
          <w:rFonts w:hint="eastAsia" w:ascii="宋体" w:hAnsi="宋体" w:cs="宋体"/>
          <w:b/>
          <w:bCs/>
          <w:color w:val="auto"/>
          <w:kern w:val="0"/>
          <w:sz w:val="22"/>
          <w:szCs w:val="22"/>
          <w:u w:val="single"/>
        </w:rPr>
        <w:t>本合同项下货物质量保证期为自货物通过最终验收，全部货物提供不少于</w:t>
      </w:r>
      <w:r>
        <w:rPr>
          <w:rFonts w:hint="eastAsia" w:ascii="宋体" w:hAnsi="宋体" w:cs="宋体"/>
          <w:b/>
          <w:bCs/>
          <w:color w:val="auto"/>
          <w:kern w:val="0"/>
          <w:sz w:val="22"/>
          <w:szCs w:val="22"/>
          <w:u w:val="single"/>
          <w:lang w:val="en-US" w:eastAsia="zh-CN"/>
        </w:rPr>
        <w:t>2</w:t>
      </w:r>
      <w:r>
        <w:rPr>
          <w:rFonts w:hint="eastAsia" w:ascii="宋体" w:hAnsi="宋体" w:cs="宋体"/>
          <w:b/>
          <w:bCs/>
          <w:color w:val="auto"/>
          <w:kern w:val="0"/>
          <w:sz w:val="22"/>
          <w:szCs w:val="22"/>
          <w:u w:val="single"/>
        </w:rPr>
        <w:t>年(</w:t>
      </w:r>
      <w:r>
        <w:rPr>
          <w:rFonts w:hint="eastAsia" w:ascii="宋体" w:hAnsi="宋体" w:cs="宋体"/>
          <w:b/>
          <w:bCs/>
          <w:color w:val="auto"/>
          <w:kern w:val="0"/>
          <w:sz w:val="22"/>
          <w:szCs w:val="22"/>
          <w:u w:val="single"/>
          <w:lang w:val="en-US" w:eastAsia="zh-CN"/>
        </w:rPr>
        <w:t>24</w:t>
      </w:r>
      <w:r>
        <w:rPr>
          <w:rFonts w:hint="eastAsia" w:ascii="宋体" w:hAnsi="宋体" w:cs="宋体"/>
          <w:b/>
          <w:bCs/>
          <w:color w:val="auto"/>
          <w:kern w:val="0"/>
          <w:sz w:val="22"/>
          <w:szCs w:val="22"/>
          <w:u w:val="single"/>
        </w:rPr>
        <w:t>个月)的质量免费保修（维护）期，在保质期内所产生的相关费用由乙方承担，合同内的所有货物要求乙方提供上门服务。在保修期内所产生的相关费用由乙方承担，对于一般性故障，供应商应在2小时响应，4小时内给予答复， 12小时以内解决问题；对于复杂性故障不能当场修复的，必须采取提供备品、备件或备机等措施，48小时内保证系统投入正常使用。供应商技术人员不能排除故障的，应负责请生产厂家派技术人员到现场解决故障问题，由此发生的费用由供应商承担。</w:t>
      </w:r>
    </w:p>
    <w:p>
      <w:pPr>
        <w:numPr>
          <w:ilvl w:val="0"/>
          <w:numId w:val="9"/>
        </w:numPr>
        <w:spacing w:line="360" w:lineRule="auto"/>
        <w:rPr>
          <w:rFonts w:hint="eastAsia" w:ascii="宋体" w:hAnsi="宋体" w:cs="宋体"/>
          <w:bCs/>
          <w:color w:val="auto"/>
          <w:kern w:val="0"/>
          <w:sz w:val="22"/>
          <w:szCs w:val="22"/>
        </w:rPr>
      </w:pPr>
      <w:r>
        <w:rPr>
          <w:rFonts w:hint="eastAsia" w:ascii="宋体" w:hAnsi="宋体" w:cs="宋体"/>
          <w:color w:val="auto"/>
          <w:sz w:val="22"/>
          <w:szCs w:val="22"/>
        </w:rPr>
        <w:t>质量免费保修期内免费上门服务，免费是指免零部件、材料费、易耗品、人工费、交通住宿费等与上门保修服务有关的一切费用，质保（维护）期后提供</w:t>
      </w:r>
      <w:r>
        <w:rPr>
          <w:rFonts w:hint="eastAsia" w:ascii="宋体" w:hAnsi="宋体" w:cs="宋体"/>
          <w:color w:val="auto"/>
          <w:kern w:val="0"/>
          <w:sz w:val="22"/>
          <w:szCs w:val="22"/>
        </w:rPr>
        <w:t>终身现场维修，只收取成本费。</w:t>
      </w:r>
    </w:p>
    <w:p>
      <w:pPr>
        <w:numPr>
          <w:ilvl w:val="0"/>
          <w:numId w:val="9"/>
        </w:numPr>
        <w:spacing w:line="360" w:lineRule="auto"/>
        <w:rPr>
          <w:rFonts w:hint="eastAsia" w:ascii="宋体" w:hAnsi="宋体" w:cs="宋体"/>
          <w:color w:val="auto"/>
          <w:sz w:val="22"/>
          <w:szCs w:val="22"/>
        </w:rPr>
      </w:pPr>
      <w:r>
        <w:rPr>
          <w:rFonts w:hint="eastAsia" w:ascii="宋体" w:hAnsi="宋体" w:cs="宋体"/>
          <w:color w:val="auto"/>
          <w:sz w:val="22"/>
          <w:szCs w:val="22"/>
        </w:rPr>
        <w:t>质保期内供应商必须确保一年两次对设备系统进行一次常规巡检、调试等维护工作。具体的维护内容及操作程序和内容须在投标文件中说明，相关费用计入投标报价。</w:t>
      </w:r>
    </w:p>
    <w:p>
      <w:pPr>
        <w:numPr>
          <w:ilvl w:val="0"/>
          <w:numId w:val="9"/>
        </w:numPr>
        <w:spacing w:line="360" w:lineRule="auto"/>
        <w:rPr>
          <w:rFonts w:hint="eastAsia" w:ascii="宋体" w:hAnsi="宋体" w:cs="宋体"/>
          <w:color w:val="auto"/>
          <w:sz w:val="22"/>
          <w:szCs w:val="22"/>
        </w:rPr>
      </w:pPr>
      <w:r>
        <w:rPr>
          <w:rFonts w:hint="eastAsia" w:ascii="宋体" w:hAnsi="宋体" w:cs="宋体"/>
          <w:bCs/>
          <w:color w:val="auto"/>
          <w:sz w:val="22"/>
          <w:szCs w:val="22"/>
        </w:rPr>
        <w:t>软件产品免费维护期间，</w:t>
      </w:r>
      <w:r>
        <w:rPr>
          <w:rFonts w:hint="eastAsia" w:ascii="宋体" w:hAnsi="宋体" w:cs="宋体"/>
          <w:color w:val="auto"/>
          <w:sz w:val="22"/>
          <w:szCs w:val="22"/>
        </w:rPr>
        <w:t>中标</w:t>
      </w:r>
      <w:r>
        <w:rPr>
          <w:rFonts w:hint="eastAsia" w:ascii="宋体" w:hAnsi="宋体" w:cs="宋体"/>
          <w:bCs/>
          <w:color w:val="auto"/>
          <w:sz w:val="22"/>
          <w:szCs w:val="22"/>
        </w:rPr>
        <w:t>供应商对采购人提出的在合同范围内具体需求应进行调研、调整和完善，</w:t>
      </w:r>
      <w:r>
        <w:rPr>
          <w:rFonts w:hint="eastAsia" w:ascii="宋体" w:hAnsi="宋体" w:cs="宋体"/>
          <w:color w:val="auto"/>
          <w:sz w:val="22"/>
          <w:szCs w:val="22"/>
        </w:rPr>
        <w:t>并提供免费升级、维护、质保等服务。</w:t>
      </w:r>
    </w:p>
    <w:p>
      <w:pPr>
        <w:numPr>
          <w:ilvl w:val="0"/>
          <w:numId w:val="9"/>
        </w:numPr>
        <w:spacing w:line="360" w:lineRule="auto"/>
        <w:rPr>
          <w:rFonts w:hint="eastAsia" w:ascii="宋体" w:hAnsi="宋体" w:cs="宋体"/>
          <w:color w:val="auto"/>
          <w:sz w:val="22"/>
          <w:szCs w:val="22"/>
        </w:rPr>
      </w:pPr>
      <w:r>
        <w:rPr>
          <w:rFonts w:hint="eastAsia" w:ascii="宋体" w:hAnsi="宋体" w:cs="宋体"/>
          <w:color w:val="auto"/>
          <w:sz w:val="22"/>
          <w:szCs w:val="22"/>
        </w:rPr>
        <w:t>质保期内，若产品存在设计或制造缺陷以至无法正常运行时，则质量保证期无效。中标供应商需对采购人进行赔偿并负责修复缺陷，采购人重新签发“验收证书”并重新计算保证期。</w:t>
      </w:r>
    </w:p>
    <w:p>
      <w:pPr>
        <w:numPr>
          <w:ilvl w:val="0"/>
          <w:numId w:val="9"/>
        </w:numPr>
        <w:spacing w:line="360" w:lineRule="auto"/>
        <w:rPr>
          <w:rFonts w:hint="eastAsia" w:ascii="宋体" w:hAnsi="宋体" w:cs="宋体"/>
          <w:bCs/>
          <w:color w:val="auto"/>
          <w:kern w:val="0"/>
          <w:sz w:val="22"/>
          <w:szCs w:val="22"/>
        </w:rPr>
      </w:pPr>
      <w:r>
        <w:rPr>
          <w:rFonts w:hint="eastAsia" w:ascii="宋体" w:hAnsi="宋体" w:cs="宋体"/>
          <w:bCs/>
          <w:color w:val="auto"/>
          <w:kern w:val="0"/>
          <w:sz w:val="22"/>
          <w:szCs w:val="22"/>
        </w:rPr>
        <w:t>产品的设计及制造质量均应符合国家（或国际）最新颁布的有关标准/规范要求；技术标准按国家最新颁布的标准及采购人认可的国际标准；凡需国家强制性认证或认可的产品、需提供相应的证书和认可的标志。</w:t>
      </w:r>
    </w:p>
    <w:p>
      <w:pPr>
        <w:spacing w:line="360" w:lineRule="auto"/>
        <w:ind w:left="420" w:hanging="420" w:hangingChars="190"/>
        <w:rPr>
          <w:rFonts w:hint="eastAsia" w:ascii="宋体" w:hAnsi="宋体" w:cs="宋体"/>
          <w:b/>
          <w:color w:val="auto"/>
          <w:sz w:val="22"/>
          <w:szCs w:val="22"/>
        </w:rPr>
      </w:pPr>
      <w:r>
        <w:rPr>
          <w:rFonts w:hint="eastAsia" w:ascii="宋体" w:hAnsi="宋体" w:cs="宋体"/>
          <w:b/>
          <w:color w:val="auto"/>
          <w:sz w:val="22"/>
          <w:szCs w:val="22"/>
        </w:rPr>
        <w:t>3. 技术文件资料的交付</w:t>
      </w:r>
    </w:p>
    <w:p>
      <w:pPr>
        <w:spacing w:line="360" w:lineRule="auto"/>
        <w:rPr>
          <w:rFonts w:hint="eastAsia" w:ascii="宋体" w:hAnsi="宋体" w:cs="宋体"/>
          <w:b/>
          <w:bCs/>
          <w:color w:val="auto"/>
          <w:kern w:val="0"/>
          <w:sz w:val="22"/>
          <w:szCs w:val="22"/>
        </w:rPr>
      </w:pPr>
      <w:r>
        <w:rPr>
          <w:rFonts w:hint="eastAsia" w:ascii="宋体" w:hAnsi="宋体" w:cs="宋体"/>
          <w:b/>
          <w:bCs/>
          <w:color w:val="auto"/>
          <w:kern w:val="0"/>
          <w:sz w:val="22"/>
          <w:szCs w:val="22"/>
        </w:rPr>
        <w:t>1．  设备：</w:t>
      </w:r>
    </w:p>
    <w:p>
      <w:pPr>
        <w:spacing w:line="360" w:lineRule="auto"/>
        <w:ind w:left="330" w:hanging="330" w:hangingChars="150"/>
        <w:rPr>
          <w:rFonts w:hint="eastAsia" w:ascii="宋体" w:hAnsi="宋体" w:cs="宋体"/>
          <w:bCs/>
          <w:color w:val="auto"/>
          <w:kern w:val="0"/>
          <w:sz w:val="22"/>
          <w:szCs w:val="22"/>
        </w:rPr>
      </w:pPr>
      <w:r>
        <w:rPr>
          <w:rFonts w:hint="eastAsia" w:ascii="宋体" w:hAnsi="宋体" w:cs="宋体"/>
          <w:bCs/>
          <w:color w:val="auto"/>
          <w:kern w:val="0"/>
          <w:sz w:val="22"/>
          <w:szCs w:val="22"/>
        </w:rPr>
        <w:t>1.1  随机的易损件、备品备件及特殊专用工具清单。</w:t>
      </w:r>
    </w:p>
    <w:p>
      <w:pPr>
        <w:spacing w:line="360" w:lineRule="auto"/>
        <w:ind w:left="550" w:hanging="550" w:hangingChars="250"/>
        <w:rPr>
          <w:rFonts w:hint="eastAsia" w:ascii="宋体" w:hAnsi="宋体" w:cs="宋体"/>
          <w:bCs/>
          <w:color w:val="auto"/>
          <w:kern w:val="0"/>
          <w:sz w:val="22"/>
          <w:szCs w:val="22"/>
        </w:rPr>
      </w:pPr>
      <w:r>
        <w:rPr>
          <w:rFonts w:hint="eastAsia" w:ascii="宋体" w:hAnsi="宋体" w:cs="宋体"/>
          <w:bCs/>
          <w:color w:val="auto"/>
          <w:kern w:val="0"/>
          <w:sz w:val="22"/>
          <w:szCs w:val="22"/>
        </w:rPr>
        <w:t>1.2  设备生产厂家的产品检测证书、出厂检验报告、合格证书、产品说明书、中文技术资料、中英文操作手册和相关图纸等。</w:t>
      </w:r>
    </w:p>
    <w:p>
      <w:pPr>
        <w:spacing w:line="360" w:lineRule="auto"/>
        <w:ind w:left="657" w:leftChars="313" w:firstLine="22" w:firstLineChars="10"/>
        <w:rPr>
          <w:rFonts w:hint="eastAsia" w:ascii="宋体" w:hAnsi="宋体" w:cs="宋体"/>
          <w:color w:val="auto"/>
          <w:sz w:val="22"/>
          <w:szCs w:val="22"/>
        </w:rPr>
      </w:pPr>
      <w:r>
        <w:rPr>
          <w:rFonts w:hint="eastAsia" w:ascii="宋体" w:hAnsi="宋体" w:cs="宋体"/>
          <w:color w:val="auto"/>
          <w:sz w:val="22"/>
          <w:szCs w:val="22"/>
        </w:rPr>
        <w:t>提供的技术文件应该真实、全面、完整、详细，应以中文书写；能满足设备系统运行安装调试、操作使用及维护管理等所需的详细技术资料。</w:t>
      </w:r>
    </w:p>
    <w:p>
      <w:pPr>
        <w:spacing w:line="360" w:lineRule="auto"/>
        <w:ind w:left="435" w:hanging="435"/>
        <w:rPr>
          <w:rFonts w:hint="eastAsia" w:ascii="宋体" w:hAnsi="宋体" w:cs="宋体"/>
          <w:b/>
          <w:color w:val="auto"/>
          <w:sz w:val="22"/>
          <w:szCs w:val="22"/>
        </w:rPr>
      </w:pPr>
      <w:r>
        <w:rPr>
          <w:rFonts w:ascii="宋体" w:hAnsi="宋体" w:cs="宋体"/>
          <w:b/>
          <w:color w:val="auto"/>
          <w:sz w:val="22"/>
          <w:szCs w:val="22"/>
        </w:rPr>
        <w:t>3.</w:t>
      </w:r>
      <w:r>
        <w:rPr>
          <w:rFonts w:hint="eastAsia" w:ascii="宋体" w:hAnsi="宋体" w:cs="宋体"/>
          <w:b/>
          <w:color w:val="auto"/>
          <w:sz w:val="22"/>
          <w:szCs w:val="22"/>
        </w:rPr>
        <w:t xml:space="preserve"> 技术服务和人员培训</w:t>
      </w:r>
    </w:p>
    <w:p>
      <w:pPr>
        <w:spacing w:line="360" w:lineRule="auto"/>
        <w:ind w:left="539" w:hanging="539" w:hangingChars="245"/>
        <w:rPr>
          <w:rFonts w:hint="eastAsia" w:ascii="宋体" w:hAnsi="宋体" w:cs="宋体"/>
          <w:color w:val="auto"/>
          <w:sz w:val="22"/>
          <w:szCs w:val="22"/>
        </w:rPr>
      </w:pPr>
      <w:r>
        <w:rPr>
          <w:rFonts w:hint="eastAsia" w:ascii="宋体" w:hAnsi="宋体" w:cs="宋体"/>
          <w:color w:val="auto"/>
          <w:sz w:val="22"/>
          <w:szCs w:val="22"/>
        </w:rPr>
        <w:t>1．  供应商在本地或临近地区应有完整的售后服务网点。服务网点需提供足够的技术人员、备品备件以适应维修维护需求。投标供应商须在投标文件中说明服务网点地址，联系方式、人员配置（含负责人）、故障修复时间、方式及保障措施。</w:t>
      </w:r>
    </w:p>
    <w:p>
      <w:pPr>
        <w:spacing w:line="360" w:lineRule="auto"/>
        <w:ind w:left="550" w:hanging="550" w:hangingChars="250"/>
        <w:rPr>
          <w:rFonts w:hint="eastAsia"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Cs/>
          <w:color w:val="auto"/>
          <w:sz w:val="22"/>
          <w:szCs w:val="22"/>
        </w:rPr>
        <w:t>供应商应为本项目成立专门的维护服务和技术支持小组，对本项目提供如下质保服务：</w:t>
      </w:r>
    </w:p>
    <w:p>
      <w:pPr>
        <w:spacing w:line="360" w:lineRule="auto"/>
        <w:ind w:left="550" w:hanging="550" w:hangingChars="250"/>
        <w:rPr>
          <w:rFonts w:hint="eastAsia" w:ascii="宋体" w:hAnsi="宋体" w:cs="宋体"/>
          <w:b/>
          <w:color w:val="auto"/>
          <w:sz w:val="22"/>
          <w:szCs w:val="22"/>
        </w:rPr>
      </w:pPr>
      <w:r>
        <w:rPr>
          <w:rFonts w:hint="eastAsia" w:ascii="宋体" w:hAnsi="宋体" w:cs="宋体"/>
          <w:color w:val="auto"/>
          <w:sz w:val="22"/>
          <w:szCs w:val="22"/>
        </w:rPr>
        <w:t>2.1  设备：供应商负责合同执行过程中和质量保修期内的技术服务和支持，在质量保修期内设备一旦发生故障，对于一般性故障，供应商应在2小时响应，4小时内给予答复，</w:t>
      </w:r>
      <w:r>
        <w:rPr>
          <w:rFonts w:hint="eastAsia" w:ascii="宋体" w:hAnsi="宋体" w:cs="宋体"/>
          <w:bCs/>
          <w:color w:val="auto"/>
          <w:sz w:val="22"/>
        </w:rPr>
        <w:t xml:space="preserve"> 12小时以内解决问题；对于复杂性故障不能当场修复的，必须采取提供备品、备件或备机等措施，48小时内保证系统投入正常使用</w:t>
      </w:r>
      <w:r>
        <w:rPr>
          <w:rFonts w:hint="eastAsia" w:ascii="宋体" w:hAnsi="宋体" w:cs="宋体"/>
          <w:color w:val="auto"/>
          <w:sz w:val="22"/>
          <w:szCs w:val="22"/>
        </w:rPr>
        <w:t>。供应商技术人员不能排除故障的，应负责请生产厂家派技术人员到现场解决故障问题，由此发生的费用由供应商承担。</w:t>
      </w:r>
    </w:p>
    <w:p>
      <w:pPr>
        <w:spacing w:line="360" w:lineRule="auto"/>
        <w:ind w:left="550" w:hanging="550" w:hangingChars="250"/>
        <w:rPr>
          <w:rFonts w:hint="eastAsia" w:ascii="宋体" w:hAnsi="宋体" w:cs="宋体"/>
          <w:color w:val="auto"/>
          <w:sz w:val="22"/>
          <w:szCs w:val="22"/>
        </w:rPr>
      </w:pPr>
      <w:r>
        <w:rPr>
          <w:rFonts w:hint="eastAsia" w:ascii="宋体" w:hAnsi="宋体" w:cs="宋体"/>
          <w:color w:val="auto"/>
          <w:sz w:val="22"/>
          <w:szCs w:val="22"/>
        </w:rPr>
        <w:t xml:space="preserve">3． </w:t>
      </w:r>
      <w:r>
        <w:rPr>
          <w:rFonts w:hint="eastAsia" w:ascii="宋体" w:hAnsi="宋体" w:cs="宋体"/>
          <w:color w:val="auto"/>
        </w:rPr>
        <w:t xml:space="preserve"> </w:t>
      </w:r>
      <w:r>
        <w:rPr>
          <w:rFonts w:hint="eastAsia" w:ascii="宋体" w:hAnsi="宋体" w:cs="宋体"/>
          <w:color w:val="auto"/>
          <w:sz w:val="22"/>
          <w:szCs w:val="22"/>
        </w:rPr>
        <w:t>免费维</w:t>
      </w:r>
      <w:r>
        <w:rPr>
          <w:rFonts w:hint="eastAsia" w:ascii="宋体" w:hAnsi="宋体" w:cs="宋体"/>
          <w:bCs/>
          <w:color w:val="auto"/>
          <w:sz w:val="22"/>
          <w:szCs w:val="22"/>
        </w:rPr>
        <w:t>护期</w:t>
      </w:r>
      <w:r>
        <w:rPr>
          <w:rFonts w:hint="eastAsia" w:ascii="宋体" w:hAnsi="宋体" w:cs="宋体"/>
          <w:color w:val="auto"/>
          <w:sz w:val="22"/>
          <w:szCs w:val="22"/>
        </w:rPr>
        <w:t>满后，中标供应商应长期提供以下形式的技术支持服务：</w:t>
      </w:r>
    </w:p>
    <w:p>
      <w:pPr>
        <w:spacing w:line="360" w:lineRule="auto"/>
        <w:ind w:left="660" w:hanging="660" w:hangingChars="300"/>
        <w:rPr>
          <w:rFonts w:hint="eastAsia" w:ascii="宋体" w:hAnsi="宋体" w:cs="宋体"/>
          <w:color w:val="auto"/>
          <w:sz w:val="22"/>
          <w:szCs w:val="22"/>
        </w:rPr>
      </w:pPr>
      <w:r>
        <w:rPr>
          <w:rFonts w:hint="eastAsia" w:ascii="宋体" w:hAnsi="宋体" w:cs="宋体"/>
          <w:color w:val="auto"/>
          <w:sz w:val="22"/>
          <w:szCs w:val="22"/>
        </w:rPr>
        <w:t>3.1  凡不涉及系统调整的，中标供应商为采购人提供技术援助电话（解答用户在系统使用中遇到的问题，及时提出解决问题的建议和操作方法），或远程网络解决的技术服务，并免收取服务费用。</w:t>
      </w:r>
    </w:p>
    <w:p>
      <w:pPr>
        <w:spacing w:line="360" w:lineRule="auto"/>
        <w:ind w:left="660" w:hanging="660" w:hangingChars="300"/>
        <w:rPr>
          <w:rFonts w:hint="eastAsia" w:ascii="宋体" w:hAnsi="宋体" w:cs="宋体"/>
          <w:color w:val="auto"/>
          <w:sz w:val="22"/>
          <w:szCs w:val="22"/>
        </w:rPr>
      </w:pPr>
      <w:r>
        <w:rPr>
          <w:rFonts w:hint="eastAsia" w:ascii="宋体" w:hAnsi="宋体" w:cs="宋体"/>
          <w:color w:val="auto"/>
          <w:sz w:val="22"/>
          <w:szCs w:val="22"/>
        </w:rPr>
        <w:t>3.2  若电话咨询或远程网络服务形式不能解决问题，应指派技术人员到达现场进行故障处理并采取应措施以确保系统的正常运行。</w:t>
      </w:r>
    </w:p>
    <w:p>
      <w:pPr>
        <w:spacing w:line="360" w:lineRule="auto"/>
        <w:ind w:left="660" w:hanging="660" w:hangingChars="300"/>
        <w:rPr>
          <w:rFonts w:hint="eastAsia" w:ascii="宋体" w:hAnsi="宋体" w:cs="宋体"/>
          <w:color w:val="auto"/>
          <w:sz w:val="22"/>
          <w:szCs w:val="22"/>
        </w:rPr>
      </w:pPr>
      <w:r>
        <w:rPr>
          <w:rFonts w:hint="eastAsia" w:ascii="宋体" w:hAnsi="宋体" w:cs="宋体"/>
          <w:color w:val="auto"/>
          <w:sz w:val="22"/>
          <w:szCs w:val="22"/>
        </w:rPr>
        <w:t>4． 人员培训：</w:t>
      </w:r>
    </w:p>
    <w:p>
      <w:pPr>
        <w:spacing w:line="360" w:lineRule="auto"/>
        <w:ind w:left="437" w:leftChars="208"/>
        <w:rPr>
          <w:rFonts w:hint="eastAsia" w:ascii="宋体" w:hAnsi="宋体" w:cs="宋体"/>
          <w:color w:val="auto"/>
          <w:sz w:val="22"/>
          <w:szCs w:val="22"/>
        </w:rPr>
      </w:pPr>
      <w:r>
        <w:rPr>
          <w:rFonts w:hint="eastAsia" w:ascii="宋体" w:hAnsi="宋体" w:cs="宋体"/>
          <w:color w:val="auto"/>
          <w:sz w:val="22"/>
          <w:szCs w:val="22"/>
        </w:rPr>
        <w:t>供应商必须免费提供10人次以上的系统管理技术培训（培训时间每人次不少于4小时），培训内容包括软硬件产品的原理、构成和功能的描述、基础操作、维护使用、常见故障处理等培训，保证项目验收移交后，采购单位人员能够胜任设备系统的全部运行、操作、维护和故障分析处理。</w:t>
      </w:r>
    </w:p>
    <w:p>
      <w:pPr>
        <w:spacing w:line="360" w:lineRule="auto"/>
        <w:ind w:left="435" w:hanging="435"/>
        <w:rPr>
          <w:rFonts w:hint="eastAsia"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color w:val="auto"/>
          <w:sz w:val="22"/>
          <w:szCs w:val="22"/>
        </w:rPr>
        <w:t>供货或签订</w:t>
      </w:r>
    </w:p>
    <w:p>
      <w:pPr>
        <w:spacing w:line="360" w:lineRule="auto"/>
        <w:ind w:left="435" w:hanging="435"/>
        <w:rPr>
          <w:rFonts w:hint="eastAsia" w:ascii="宋体" w:hAnsi="宋体" w:cs="宋体"/>
          <w:color w:val="auto"/>
          <w:sz w:val="22"/>
          <w:szCs w:val="22"/>
        </w:rPr>
      </w:pPr>
      <w:r>
        <w:rPr>
          <w:rFonts w:hint="eastAsia" w:ascii="宋体" w:hAnsi="宋体" w:cs="宋体"/>
          <w:color w:val="auto"/>
          <w:sz w:val="22"/>
          <w:szCs w:val="22"/>
        </w:rPr>
        <w:t>5.1</w:t>
      </w:r>
      <w:r>
        <w:rPr>
          <w:rFonts w:hint="eastAsia" w:ascii="宋体" w:hAnsi="宋体" w:cs="仿宋"/>
          <w:color w:val="auto"/>
          <w:sz w:val="22"/>
          <w:szCs w:val="22"/>
          <w:u w:val="single"/>
        </w:rPr>
        <w:t>▲</w:t>
      </w:r>
      <w:r>
        <w:rPr>
          <w:rFonts w:hint="eastAsia" w:ascii="宋体" w:hAnsi="宋体" w:cs="宋体"/>
          <w:color w:val="auto"/>
          <w:sz w:val="22"/>
          <w:szCs w:val="22"/>
          <w:u w:val="single"/>
        </w:rPr>
        <w:t>本项目拒绝进口产品投标；</w:t>
      </w:r>
    </w:p>
    <w:p>
      <w:pPr>
        <w:spacing w:line="360" w:lineRule="auto"/>
        <w:ind w:left="435" w:hanging="435"/>
        <w:rPr>
          <w:rFonts w:hint="eastAsia" w:ascii="宋体" w:hAnsi="宋体" w:cs="宋体"/>
          <w:color w:val="auto"/>
          <w:sz w:val="22"/>
          <w:szCs w:val="22"/>
        </w:rPr>
      </w:pPr>
      <w:r>
        <w:rPr>
          <w:rFonts w:hint="eastAsia" w:ascii="宋体" w:hAnsi="宋体" w:cs="宋体"/>
          <w:color w:val="auto"/>
          <w:sz w:val="22"/>
          <w:szCs w:val="22"/>
        </w:rPr>
        <w:t>5.2中标供应商须与各采购人（实际使用部门）分别签订政府采购合同。</w:t>
      </w:r>
    </w:p>
    <w:p>
      <w:pPr>
        <w:spacing w:line="360" w:lineRule="auto"/>
        <w:ind w:left="435" w:hanging="435"/>
        <w:rPr>
          <w:rFonts w:hint="eastAsia" w:ascii="宋体" w:hAnsi="宋体" w:cs="宋体"/>
          <w:b/>
          <w:bCs/>
          <w:color w:val="auto"/>
          <w:sz w:val="22"/>
          <w:szCs w:val="22"/>
        </w:rPr>
      </w:pPr>
      <w:bookmarkStart w:id="112" w:name="_Toc27527"/>
      <w:bookmarkStart w:id="113" w:name="_Toc16791"/>
      <w:bookmarkStart w:id="114" w:name="_Toc21346"/>
      <w:bookmarkStart w:id="115" w:name="_Toc29865"/>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付款方式</w:t>
      </w:r>
      <w:bookmarkEnd w:id="112"/>
      <w:bookmarkEnd w:id="113"/>
      <w:bookmarkEnd w:id="114"/>
      <w:bookmarkEnd w:id="115"/>
    </w:p>
    <w:p>
      <w:pPr>
        <w:spacing w:line="360" w:lineRule="auto"/>
        <w:ind w:left="435" w:hanging="435"/>
        <w:rPr>
          <w:rFonts w:hint="eastAsia" w:ascii="宋体" w:hAnsi="宋体" w:cs="宋体"/>
          <w:color w:val="auto"/>
          <w:sz w:val="22"/>
          <w:szCs w:val="22"/>
          <w:lang w:eastAsia="zh-CN"/>
        </w:rPr>
      </w:pPr>
      <w:r>
        <w:rPr>
          <w:rFonts w:hint="eastAsia" w:ascii="宋体" w:hAnsi="宋体" w:cs="宋体"/>
          <w:color w:val="auto"/>
          <w:sz w:val="22"/>
          <w:szCs w:val="22"/>
          <w:lang w:eastAsia="zh-CN"/>
        </w:rPr>
        <w:t>详见合同。</w:t>
      </w:r>
    </w:p>
    <w:p>
      <w:pPr>
        <w:spacing w:line="360" w:lineRule="auto"/>
        <w:ind w:left="435" w:hanging="435"/>
        <w:rPr>
          <w:rFonts w:hint="eastAsia" w:ascii="宋体" w:hAnsi="宋体" w:cs="宋体"/>
          <w:color w:val="auto"/>
          <w:sz w:val="22"/>
          <w:szCs w:val="22"/>
        </w:rPr>
      </w:pPr>
    </w:p>
    <w:p>
      <w:pPr>
        <w:spacing w:line="360" w:lineRule="auto"/>
        <w:ind w:left="435" w:hanging="435"/>
        <w:rPr>
          <w:rFonts w:hint="eastAsia" w:ascii="宋体" w:hAnsi="宋体" w:cs="宋体"/>
          <w:color w:val="auto"/>
          <w:sz w:val="22"/>
          <w:szCs w:val="22"/>
        </w:rPr>
        <w:sectPr>
          <w:footerReference r:id="rId1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spacing w:line="600" w:lineRule="exact"/>
        <w:jc w:val="center"/>
        <w:rPr>
          <w:rFonts w:hint="eastAsia" w:ascii="黑体" w:hAnsi="黑体"/>
          <w:bCs/>
          <w:color w:val="auto"/>
          <w:sz w:val="36"/>
          <w:szCs w:val="36"/>
          <w:highlight w:val="none"/>
        </w:rPr>
      </w:pPr>
      <w:bookmarkStart w:id="116" w:name="_Toc24833"/>
      <w:r>
        <w:rPr>
          <w:rFonts w:hint="eastAsia" w:ascii="黑体" w:hAnsi="黑体" w:eastAsia="黑体"/>
          <w:bCs/>
          <w:color w:val="auto"/>
          <w:sz w:val="36"/>
          <w:szCs w:val="36"/>
          <w:highlight w:val="none"/>
        </w:rPr>
        <w:t>第</w:t>
      </w:r>
      <w:r>
        <w:rPr>
          <w:rFonts w:hint="eastAsia" w:ascii="黑体" w:hAnsi="黑体" w:eastAsia="黑体"/>
          <w:bCs/>
          <w:color w:val="auto"/>
          <w:sz w:val="36"/>
          <w:szCs w:val="36"/>
          <w:highlight w:val="none"/>
          <w:lang w:eastAsia="zh-CN"/>
        </w:rPr>
        <w:t>六</w:t>
      </w:r>
      <w:r>
        <w:rPr>
          <w:rFonts w:hint="eastAsia" w:ascii="黑体" w:hAnsi="黑体" w:eastAsia="黑体"/>
          <w:bCs/>
          <w:color w:val="auto"/>
          <w:sz w:val="36"/>
          <w:szCs w:val="36"/>
          <w:highlight w:val="none"/>
        </w:rPr>
        <w:t>部分  评标原则及方法</w:t>
      </w:r>
      <w:bookmarkEnd w:id="106"/>
      <w:bookmarkEnd w:id="107"/>
      <w:bookmarkEnd w:id="116"/>
    </w:p>
    <w:p>
      <w:pPr>
        <w:pStyle w:val="18"/>
        <w:adjustRightInd w:val="0"/>
        <w:snapToGrid w:val="0"/>
        <w:spacing w:line="44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根据《中华人民共和国政府采购法》、《政府采购货物和服务招标投标管理办法》（财政部第87号令）等相关法律、法规特制定以下评标办法。</w:t>
      </w:r>
    </w:p>
    <w:p>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一． 总  则</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二． 评标组织</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三． 电子招投标开标及评审程序</w:t>
      </w:r>
    </w:p>
    <w:p>
      <w:pPr>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采购代理机构签收、开始解密投标文件</w:t>
      </w:r>
      <w:r>
        <w:rPr>
          <w:rFonts w:hint="eastAsia" w:ascii="宋体" w:hAnsi="宋体" w:cs="宋体"/>
          <w:color w:val="auto"/>
          <w:sz w:val="22"/>
          <w:szCs w:val="22"/>
          <w:highlight w:val="none"/>
          <w:lang w:eastAsia="zh-CN"/>
        </w:rPr>
        <w:t>；</w:t>
      </w:r>
    </w:p>
    <w:p>
      <w:pPr>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投标人解密投标文件</w:t>
      </w:r>
      <w:r>
        <w:rPr>
          <w:rFonts w:hint="eastAsia" w:ascii="宋体" w:hAnsi="宋体" w:cs="宋体"/>
          <w:color w:val="auto"/>
          <w:sz w:val="22"/>
          <w:szCs w:val="22"/>
          <w:highlight w:val="none"/>
          <w:lang w:eastAsia="zh-CN"/>
        </w:rPr>
        <w:t>；</w:t>
      </w:r>
    </w:p>
    <w:p>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采购代理机构结束解密投标文件</w:t>
      </w:r>
      <w:r>
        <w:rPr>
          <w:rFonts w:hint="eastAsia" w:ascii="宋体" w:hAnsi="宋体" w:cs="宋体"/>
          <w:color w:val="auto"/>
          <w:sz w:val="22"/>
          <w:szCs w:val="22"/>
          <w:highlight w:val="none"/>
          <w:lang w:eastAsia="zh-CN"/>
        </w:rPr>
        <w:t>；</w:t>
      </w:r>
    </w:p>
    <w:p>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r>
        <w:rPr>
          <w:rFonts w:hint="eastAsia" w:ascii="宋体" w:hAnsi="宋体" w:cs="宋体"/>
          <w:color w:val="auto"/>
          <w:sz w:val="22"/>
          <w:szCs w:val="22"/>
          <w:highlight w:val="none"/>
          <w:lang w:eastAsia="zh-CN"/>
        </w:rPr>
        <w:t>；</w:t>
      </w:r>
    </w:p>
    <w:p>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评标委员会对投标文件进行评审</w:t>
      </w:r>
      <w:r>
        <w:rPr>
          <w:rFonts w:hint="eastAsia" w:ascii="宋体" w:hAnsi="宋体" w:cs="宋体"/>
          <w:color w:val="auto"/>
          <w:sz w:val="22"/>
          <w:szCs w:val="22"/>
          <w:highlight w:val="none"/>
          <w:lang w:eastAsia="zh-CN"/>
        </w:rPr>
        <w:t>；</w:t>
      </w:r>
    </w:p>
    <w:p>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6.   </w:t>
      </w:r>
      <w:r>
        <w:rPr>
          <w:rFonts w:hint="eastAsia" w:ascii="宋体" w:hAnsi="宋体" w:cs="宋体"/>
          <w:color w:val="auto"/>
          <w:sz w:val="22"/>
          <w:szCs w:val="22"/>
          <w:highlight w:val="none"/>
        </w:rPr>
        <w:t>在政采云系统上公开资格和商务技术评审结果</w:t>
      </w:r>
      <w:r>
        <w:rPr>
          <w:rFonts w:hint="eastAsia" w:ascii="宋体" w:hAnsi="宋体" w:cs="宋体"/>
          <w:color w:val="auto"/>
          <w:sz w:val="22"/>
          <w:szCs w:val="22"/>
          <w:highlight w:val="none"/>
          <w:lang w:eastAsia="zh-CN"/>
        </w:rPr>
        <w:t>；</w:t>
      </w:r>
    </w:p>
    <w:p>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7.   </w:t>
      </w:r>
      <w:r>
        <w:rPr>
          <w:rFonts w:hint="eastAsia" w:ascii="宋体" w:hAnsi="宋体" w:cs="宋体"/>
          <w:color w:val="auto"/>
          <w:sz w:val="22"/>
          <w:szCs w:val="22"/>
          <w:highlight w:val="none"/>
        </w:rPr>
        <w:t>在政采云系统上公开报价情况</w:t>
      </w:r>
      <w:r>
        <w:rPr>
          <w:rFonts w:hint="eastAsia" w:ascii="宋体" w:hAnsi="宋体" w:cs="宋体"/>
          <w:color w:val="auto"/>
          <w:sz w:val="22"/>
          <w:szCs w:val="22"/>
          <w:highlight w:val="none"/>
          <w:lang w:eastAsia="zh-CN"/>
        </w:rPr>
        <w:t>；</w:t>
      </w:r>
    </w:p>
    <w:p>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评标委员会对报价情况进行评审</w:t>
      </w:r>
      <w:r>
        <w:rPr>
          <w:rFonts w:hint="eastAsia" w:ascii="宋体" w:hAnsi="宋体" w:cs="宋体"/>
          <w:color w:val="auto"/>
          <w:sz w:val="22"/>
          <w:szCs w:val="22"/>
          <w:highlight w:val="none"/>
          <w:lang w:eastAsia="zh-CN"/>
        </w:rPr>
        <w:t>；</w:t>
      </w:r>
    </w:p>
    <w:p>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9. </w:t>
      </w:r>
      <w:r>
        <w:rPr>
          <w:rFonts w:hint="eastAsia" w:ascii="宋体" w:hAnsi="宋体" w:cs="宋体"/>
          <w:color w:val="auto"/>
          <w:sz w:val="22"/>
          <w:szCs w:val="22"/>
          <w:highlight w:val="none"/>
        </w:rPr>
        <w:t xml:space="preserve">  在系统上公布评审结果。</w:t>
      </w:r>
    </w:p>
    <w:p>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本次评标采用综合评分法，总分100分，其中商务技术</w:t>
      </w:r>
      <w:r>
        <w:rPr>
          <w:rFonts w:ascii="宋体" w:hAnsi="宋体" w:cs="宋体"/>
          <w:color w:val="auto"/>
          <w:sz w:val="22"/>
          <w:szCs w:val="22"/>
          <w:highlight w:val="none"/>
        </w:rPr>
        <w:t>70</w:t>
      </w:r>
      <w:r>
        <w:rPr>
          <w:rFonts w:hint="eastAsia" w:ascii="宋体" w:hAnsi="宋体" w:cs="宋体"/>
          <w:color w:val="auto"/>
          <w:sz w:val="22"/>
          <w:szCs w:val="22"/>
          <w:highlight w:val="none"/>
        </w:rPr>
        <w:t>分（商务技术权值</w:t>
      </w:r>
      <w:r>
        <w:rPr>
          <w:rFonts w:ascii="宋体" w:hAnsi="宋体" w:cs="宋体"/>
          <w:color w:val="auto"/>
          <w:sz w:val="22"/>
          <w:szCs w:val="22"/>
          <w:highlight w:val="none"/>
        </w:rPr>
        <w:t>70</w:t>
      </w:r>
      <w:r>
        <w:rPr>
          <w:rFonts w:hint="eastAsia" w:ascii="宋体" w:hAnsi="宋体" w:cs="宋体"/>
          <w:color w:val="auto"/>
          <w:sz w:val="22"/>
          <w:szCs w:val="22"/>
          <w:highlight w:val="none"/>
        </w:rPr>
        <w:t>%），价格3</w:t>
      </w:r>
      <w:r>
        <w:rPr>
          <w:rFonts w:ascii="宋体" w:hAnsi="宋体" w:cs="宋体"/>
          <w:color w:val="auto"/>
          <w:sz w:val="22"/>
          <w:szCs w:val="22"/>
          <w:highlight w:val="none"/>
        </w:rPr>
        <w:t>0</w:t>
      </w:r>
      <w:r>
        <w:rPr>
          <w:rFonts w:hint="eastAsia" w:ascii="宋体" w:hAnsi="宋体" w:cs="宋体"/>
          <w:color w:val="auto"/>
          <w:sz w:val="22"/>
          <w:szCs w:val="22"/>
          <w:highlight w:val="none"/>
        </w:rPr>
        <w:t>分（价格权值3</w:t>
      </w:r>
      <w:r>
        <w:rPr>
          <w:rFonts w:ascii="宋体" w:hAnsi="宋体" w:cs="宋体"/>
          <w:color w:val="auto"/>
          <w:sz w:val="22"/>
          <w:szCs w:val="22"/>
          <w:highlight w:val="none"/>
        </w:rPr>
        <w:t>0</w:t>
      </w:r>
      <w:r>
        <w:rPr>
          <w:rFonts w:hint="eastAsia" w:ascii="宋体" w:hAnsi="宋体" w:cs="宋体"/>
          <w:color w:val="auto"/>
          <w:sz w:val="22"/>
          <w:szCs w:val="22"/>
          <w:highlight w:val="none"/>
        </w:rPr>
        <w:t>%）。即最大限度地满足招标文件实质性要求前提下，按照招标文件中规定的各项评分内容评审后，以评标总得分最高的投标人，作为中标人。</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投标截止时间止及评审期间，如出现有效投标人＜3家时，本项目</w:t>
      </w:r>
      <w:r>
        <w:rPr>
          <w:rFonts w:hint="eastAsia" w:ascii="宋体" w:hAnsi="宋体" w:cs="宋体"/>
          <w:color w:val="auto"/>
          <w:sz w:val="22"/>
          <w:szCs w:val="22"/>
          <w:highlight w:val="none"/>
          <w:lang w:eastAsia="zh-CN"/>
        </w:rPr>
        <w:t>流标</w:t>
      </w:r>
      <w:r>
        <w:rPr>
          <w:rFonts w:hint="eastAsia" w:ascii="宋体" w:hAnsi="宋体" w:cs="宋体"/>
          <w:color w:val="auto"/>
          <w:sz w:val="22"/>
          <w:szCs w:val="22"/>
          <w:highlight w:val="none"/>
        </w:rPr>
        <w:t>，并重新组织招标。</w:t>
      </w:r>
    </w:p>
    <w:p>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 评分细则</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商务技术分的评定（</w:t>
      </w:r>
      <w:r>
        <w:rPr>
          <w:rFonts w:ascii="宋体" w:hAnsi="宋体" w:cs="宋体"/>
          <w:color w:val="auto"/>
          <w:sz w:val="22"/>
          <w:szCs w:val="22"/>
          <w:highlight w:val="none"/>
        </w:rPr>
        <w:t>70</w:t>
      </w:r>
      <w:r>
        <w:rPr>
          <w:rFonts w:hint="eastAsia" w:ascii="宋体" w:hAnsi="宋体" w:cs="宋体"/>
          <w:color w:val="auto"/>
          <w:sz w:val="22"/>
          <w:szCs w:val="22"/>
          <w:highlight w:val="none"/>
        </w:rPr>
        <w:t>分）</w:t>
      </w:r>
    </w:p>
    <w:p>
      <w:pPr>
        <w:spacing w:line="440" w:lineRule="exact"/>
        <w:ind w:left="548" w:leftChars="261"/>
        <w:rPr>
          <w:rFonts w:hint="eastAsia"/>
          <w:color w:val="auto"/>
          <w:highlight w:val="none"/>
        </w:rPr>
      </w:pPr>
      <w:r>
        <w:rPr>
          <w:rFonts w:hint="eastAsia" w:ascii="宋体" w:hAnsi="宋体" w:cs="宋体"/>
          <w:color w:val="auto"/>
          <w:sz w:val="22"/>
          <w:szCs w:val="22"/>
          <w:highlight w:val="none"/>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pPr>
        <w:spacing w:line="440" w:lineRule="exact"/>
        <w:rPr>
          <w:rFonts w:ascii="宋体" w:hAnsi="宋体" w:cs="宋体"/>
          <w:b/>
          <w:color w:val="auto"/>
          <w:sz w:val="22"/>
          <w:szCs w:val="24"/>
          <w:highlight w:val="none"/>
        </w:rPr>
      </w:pPr>
      <w:r>
        <w:rPr>
          <w:rFonts w:hint="eastAsia" w:ascii="宋体" w:hAnsi="宋体" w:cs="宋体"/>
          <w:b/>
          <w:color w:val="auto"/>
          <w:sz w:val="22"/>
          <w:szCs w:val="24"/>
          <w:highlight w:val="none"/>
          <w:lang w:eastAsia="zh-CN"/>
        </w:rPr>
        <w:t>标项</w:t>
      </w:r>
      <w:r>
        <w:rPr>
          <w:rFonts w:hint="eastAsia" w:ascii="宋体" w:hAnsi="宋体" w:cs="宋体"/>
          <w:b/>
          <w:color w:val="auto"/>
          <w:sz w:val="22"/>
          <w:szCs w:val="24"/>
          <w:highlight w:val="none"/>
          <w:lang w:val="en-US" w:eastAsia="zh-CN"/>
        </w:rPr>
        <w:t>1：</w:t>
      </w:r>
      <w:r>
        <w:rPr>
          <w:rFonts w:hint="eastAsia" w:ascii="宋体" w:hAnsi="宋体" w:cs="宋体"/>
          <w:b/>
          <w:color w:val="auto"/>
          <w:sz w:val="22"/>
          <w:szCs w:val="24"/>
          <w:highlight w:val="none"/>
        </w:rPr>
        <w:t>商务技术70分</w:t>
      </w:r>
    </w:p>
    <w:tbl>
      <w:tblPr>
        <w:tblStyle w:val="4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61"/>
        <w:gridCol w:w="6535"/>
        <w:gridCol w:w="71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w:t>
            </w:r>
          </w:p>
        </w:tc>
        <w:tc>
          <w:tcPr>
            <w:tcW w:w="6535"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715"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cs="宋体"/>
                <w:b/>
                <w:bCs/>
                <w:color w:val="auto"/>
                <w:sz w:val="20"/>
                <w:szCs w:val="21"/>
              </w:rPr>
              <w:t>分</w:t>
            </w:r>
            <w:r>
              <w:rPr>
                <w:rFonts w:hint="eastAsia" w:ascii="宋体" w:hAnsi="宋体" w:cs="宋体"/>
                <w:b/>
                <w:bCs/>
                <w:color w:val="auto"/>
                <w:sz w:val="20"/>
                <w:szCs w:val="21"/>
                <w:lang w:eastAsia="zh-CN"/>
              </w:rPr>
              <w:t>值</w:t>
            </w:r>
            <w:r>
              <w:rPr>
                <w:rFonts w:hint="eastAsia" w:ascii="宋体" w:hAnsi="宋体" w:cs="宋体"/>
                <w:b/>
                <w:bCs/>
                <w:color w:val="auto"/>
                <w:sz w:val="20"/>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cs="Times New Roman"/>
                <w:color w:val="auto"/>
                <w:kern w:val="2"/>
                <w:sz w:val="22"/>
                <w:szCs w:val="22"/>
                <w:highlight w:val="none"/>
              </w:rPr>
              <w:t>企业认证证书</w:t>
            </w:r>
          </w:p>
        </w:tc>
        <w:tc>
          <w:tcPr>
            <w:tcW w:w="65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both"/>
              <w:rPr>
                <w:rFonts w:hint="eastAsia" w:ascii="宋体" w:hAnsi="宋体" w:eastAsia="宋体" w:cs="宋体"/>
                <w:color w:val="auto"/>
                <w:kern w:val="2"/>
                <w:sz w:val="22"/>
                <w:szCs w:val="22"/>
                <w:highlight w:val="none"/>
              </w:rPr>
            </w:pPr>
            <w:r>
              <w:rPr>
                <w:rFonts w:hint="eastAsia" w:ascii="Times New Roman" w:hAnsi="Times New Roman" w:cs="Times New Roman"/>
                <w:color w:val="auto"/>
                <w:kern w:val="2"/>
                <w:sz w:val="22"/>
                <w:szCs w:val="22"/>
                <w:highlight w:val="none"/>
              </w:rPr>
              <w:t>投标人</w:t>
            </w:r>
            <w:r>
              <w:rPr>
                <w:rFonts w:hint="eastAsia" w:ascii="宋体" w:hAnsi="宋体" w:eastAsia="宋体" w:cs="宋体"/>
                <w:color w:val="auto"/>
                <w:kern w:val="2"/>
                <w:sz w:val="22"/>
                <w:szCs w:val="22"/>
                <w:highlight w:val="none"/>
              </w:rPr>
              <w:t>或制造商</w:t>
            </w:r>
            <w:r>
              <w:rPr>
                <w:rFonts w:hint="eastAsia" w:ascii="宋体" w:hAnsi="宋体" w:cs="宋体"/>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核心产品</w:t>
            </w:r>
            <w:r>
              <w:rPr>
                <w:rFonts w:hint="eastAsia" w:ascii="宋体" w:hAnsi="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具有</w:t>
            </w:r>
            <w:r>
              <w:rPr>
                <w:rFonts w:hint="eastAsia" w:ascii="宋体" w:hAnsi="宋体" w:cs="宋体"/>
                <w:color w:val="auto"/>
                <w:sz w:val="22"/>
                <w:szCs w:val="22"/>
                <w:highlight w:val="none"/>
                <w:lang w:val="en-US" w:eastAsia="zh-CN"/>
              </w:rPr>
              <w:t>质量管理体系认证证书、环境管理体系认证证书、职业健康安全管理体系认证证书的，</w:t>
            </w:r>
            <w:r>
              <w:rPr>
                <w:rFonts w:hint="eastAsia" w:ascii="宋体" w:hAnsi="宋体" w:eastAsia="宋体" w:cs="宋体"/>
                <w:color w:val="auto"/>
                <w:kern w:val="2"/>
                <w:sz w:val="22"/>
                <w:szCs w:val="22"/>
                <w:highlight w:val="none"/>
              </w:rPr>
              <w:t>且在有效期内的，每一项得</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rPr>
              <w:t>分，</w:t>
            </w:r>
            <w:r>
              <w:rPr>
                <w:rFonts w:hint="eastAsia" w:ascii="宋体" w:hAnsi="宋体" w:eastAsia="宋体" w:cs="宋体"/>
                <w:b w:val="0"/>
                <w:bCs w:val="0"/>
                <w:color w:val="auto"/>
                <w:sz w:val="22"/>
                <w:szCs w:val="22"/>
                <w:highlight w:val="none"/>
                <w:lang w:val="en-US" w:eastAsia="zh-CN"/>
              </w:rPr>
              <w:t>满分</w:t>
            </w:r>
            <w:r>
              <w:rPr>
                <w:rFonts w:hint="eastAsia" w:ascii="宋体" w:hAnsi="宋体" w:eastAsia="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分；</w:t>
            </w:r>
          </w:p>
          <w:p>
            <w:pPr>
              <w:widowControl w:val="0"/>
              <w:spacing w:before="0" w:beforeAutospacing="0" w:after="0" w:afterAutospacing="0" w:line="360" w:lineRule="exact"/>
              <w:ind w:left="0" w:leftChars="0" w:right="0"/>
              <w:jc w:val="both"/>
              <w:rPr>
                <w:rFonts w:hint="eastAsia" w:ascii="Times New Roman" w:hAnsi="Times New Roman" w:cs="Times New Roman"/>
                <w:b/>
                <w:bCs/>
                <w:color w:val="auto"/>
                <w:kern w:val="2"/>
                <w:sz w:val="22"/>
                <w:szCs w:val="22"/>
                <w:highlight w:val="none"/>
                <w:lang w:val="en-US" w:eastAsia="zh-CN"/>
              </w:rPr>
            </w:pPr>
            <w:r>
              <w:rPr>
                <w:rFonts w:hint="eastAsia" w:ascii="Times New Roman" w:hAnsi="Times New Roman" w:cs="Times New Roman"/>
                <w:b/>
                <w:bCs/>
                <w:color w:val="auto"/>
                <w:kern w:val="2"/>
                <w:sz w:val="22"/>
                <w:szCs w:val="22"/>
                <w:highlight w:val="none"/>
              </w:rPr>
              <w:t>注：须提供证书</w:t>
            </w:r>
            <w:r>
              <w:rPr>
                <w:rFonts w:hint="eastAsia" w:ascii="Times New Roman" w:hAnsi="Times New Roman" w:cs="Times New Roman"/>
                <w:b/>
                <w:bCs/>
                <w:color w:val="auto"/>
                <w:kern w:val="2"/>
                <w:sz w:val="22"/>
                <w:szCs w:val="22"/>
                <w:highlight w:val="none"/>
                <w:lang w:eastAsia="zh-CN"/>
              </w:rPr>
              <w:t>复制件</w:t>
            </w:r>
            <w:r>
              <w:rPr>
                <w:rFonts w:hint="eastAsia" w:ascii="Times New Roman" w:hAnsi="Times New Roman" w:cs="Times New Roman"/>
                <w:b/>
                <w:bCs/>
                <w:color w:val="auto"/>
                <w:kern w:val="2"/>
                <w:sz w:val="22"/>
                <w:szCs w:val="22"/>
                <w:highlight w:val="none"/>
              </w:rPr>
              <w:t>和</w:t>
            </w:r>
            <w:r>
              <w:rPr>
                <w:rFonts w:hint="eastAsia" w:ascii="Times New Roman" w:hAnsi="Times New Roman" w:cs="Times New Roman"/>
                <w:b/>
                <w:bCs/>
                <w:color w:val="auto"/>
                <w:kern w:val="2"/>
                <w:sz w:val="22"/>
                <w:szCs w:val="22"/>
                <w:highlight w:val="none"/>
                <w:lang w:eastAsia="zh-CN"/>
              </w:rPr>
              <w:t>官网</w:t>
            </w:r>
            <w:r>
              <w:rPr>
                <w:rFonts w:hint="eastAsia" w:ascii="Times New Roman" w:hAnsi="Times New Roman" w:cs="Times New Roman"/>
                <w:b/>
                <w:bCs/>
                <w:color w:val="auto"/>
                <w:kern w:val="2"/>
                <w:sz w:val="22"/>
                <w:szCs w:val="22"/>
                <w:highlight w:val="none"/>
              </w:rPr>
              <w:t>查询链接</w:t>
            </w:r>
            <w:r>
              <w:rPr>
                <w:rFonts w:hint="eastAsia" w:ascii="Times New Roman" w:hAnsi="Times New Roman" w:cs="Times New Roman"/>
                <w:b/>
                <w:bCs/>
                <w:color w:val="auto"/>
                <w:kern w:val="2"/>
                <w:sz w:val="22"/>
                <w:szCs w:val="22"/>
                <w:highlight w:val="none"/>
                <w:lang w:eastAsia="zh-CN"/>
              </w:rPr>
              <w:t>截图</w:t>
            </w:r>
            <w:r>
              <w:rPr>
                <w:rFonts w:hint="eastAsia" w:ascii="Times New Roman" w:hAnsi="Times New Roman" w:cs="Times New Roman"/>
                <w:b/>
                <w:bCs/>
                <w:color w:val="auto"/>
                <w:kern w:val="2"/>
                <w:sz w:val="22"/>
                <w:szCs w:val="22"/>
                <w:highlight w:val="none"/>
              </w:rPr>
              <w:t>加盖公章给予佐证，否则不予得分</w:t>
            </w:r>
            <w:r>
              <w:rPr>
                <w:rFonts w:hint="eastAsia" w:ascii="Times New Roman" w:hAnsi="Times New Roman" w:cs="Times New Roman"/>
                <w:b/>
                <w:bCs/>
                <w:color w:val="auto"/>
                <w:kern w:val="2"/>
                <w:sz w:val="22"/>
                <w:szCs w:val="22"/>
                <w:highlight w:val="none"/>
                <w:lang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cs="宋体"/>
                <w:b w:val="0"/>
                <w:bCs/>
                <w:color w:val="auto"/>
                <w:sz w:val="22"/>
                <w:szCs w:val="22"/>
                <w:highlight w:val="none"/>
                <w:lang w:val="en-US" w:eastAsia="zh-CN"/>
              </w:rPr>
            </w:pPr>
            <w:r>
              <w:rPr>
                <w:rFonts w:hint="eastAsia" w:ascii="宋体" w:hAnsi="宋体" w:cs="宋体"/>
                <w:color w:val="auto"/>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2</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已完成</w:t>
            </w:r>
            <w:r>
              <w:rPr>
                <w:rFonts w:hint="eastAsia" w:ascii="宋体" w:hAnsi="宋体" w:eastAsia="宋体" w:cs="宋体"/>
                <w:bCs/>
                <w:color w:val="auto"/>
                <w:sz w:val="22"/>
                <w:szCs w:val="22"/>
                <w:highlight w:val="none"/>
                <w:lang w:val="en-US" w:eastAsia="zh-CN"/>
              </w:rPr>
              <w:t>同类项目业绩</w:t>
            </w:r>
          </w:p>
        </w:tc>
        <w:tc>
          <w:tcPr>
            <w:tcW w:w="653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202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年</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月1日至今（以合同签订日期为准），投标人或制造商</w:t>
            </w:r>
            <w:r>
              <w:rPr>
                <w:rFonts w:hint="eastAsia" w:ascii="宋体" w:hAnsi="宋体" w:eastAsia="宋体" w:cs="宋体"/>
                <w:color w:val="auto"/>
                <w:sz w:val="22"/>
                <w:szCs w:val="22"/>
                <w:highlight w:val="none"/>
              </w:rPr>
              <w:t>（业绩中</w:t>
            </w:r>
            <w:r>
              <w:rPr>
                <w:rFonts w:hint="eastAsia" w:ascii="宋体" w:hAnsi="宋体" w:eastAsia="宋体" w:cs="宋体"/>
                <w:color w:val="auto"/>
                <w:sz w:val="22"/>
                <w:szCs w:val="22"/>
                <w:highlight w:val="none"/>
                <w:lang w:val="en-US" w:eastAsia="zh-CN"/>
              </w:rPr>
              <w:t>至少包括核心产品</w:t>
            </w:r>
            <w:r>
              <w:rPr>
                <w:rFonts w:hint="eastAsia" w:ascii="宋体" w:hAnsi="宋体" w:eastAsia="宋体" w:cs="宋体"/>
                <w:color w:val="auto"/>
                <w:sz w:val="22"/>
                <w:szCs w:val="22"/>
                <w:highlight w:val="none"/>
              </w:rPr>
              <w:t>）</w:t>
            </w:r>
            <w:r>
              <w:rPr>
                <w:rFonts w:hint="eastAsia" w:ascii="宋体" w:hAnsi="宋体" w:eastAsia="宋体" w:cs="宋体"/>
                <w:b w:val="0"/>
                <w:bCs w:val="0"/>
                <w:color w:val="auto"/>
                <w:sz w:val="22"/>
                <w:szCs w:val="22"/>
                <w:highlight w:val="none"/>
                <w:lang w:val="en-US" w:eastAsia="zh-CN"/>
              </w:rPr>
              <w:t>的销售业绩，每提供1个得1分，满分3分。</w:t>
            </w:r>
          </w:p>
          <w:p>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合同签订主体为投标人或制造商。提供业绩的中标（成交）公告</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b w:val="0"/>
                <w:bCs w:val="0"/>
                <w:color w:val="auto"/>
                <w:sz w:val="22"/>
                <w:szCs w:val="22"/>
                <w:highlight w:val="none"/>
                <w:lang w:val="en-US" w:eastAsia="zh-CN"/>
              </w:rPr>
              <w:t>中标（成交）通知书</w:t>
            </w:r>
            <w:r>
              <w:rPr>
                <w:rFonts w:hint="eastAsia" w:ascii="宋体" w:hAnsi="宋体" w:cs="宋体"/>
                <w:b w:val="0"/>
                <w:bCs w:val="0"/>
                <w:color w:val="auto"/>
                <w:sz w:val="22"/>
                <w:szCs w:val="22"/>
                <w:highlight w:val="none"/>
                <w:lang w:val="en-US" w:eastAsia="zh-CN"/>
              </w:rPr>
              <w:t>和</w:t>
            </w:r>
            <w:r>
              <w:rPr>
                <w:rFonts w:hint="eastAsia" w:ascii="宋体" w:hAnsi="宋体" w:eastAsia="宋体" w:cs="宋体"/>
                <w:b w:val="0"/>
                <w:bCs w:val="0"/>
                <w:color w:val="auto"/>
                <w:sz w:val="22"/>
                <w:szCs w:val="22"/>
                <w:highlight w:val="none"/>
                <w:lang w:val="en-US" w:eastAsia="zh-CN"/>
              </w:rPr>
              <w:t>合同文本扫描件</w:t>
            </w:r>
            <w:r>
              <w:rPr>
                <w:rFonts w:hint="eastAsia" w:ascii="宋体" w:hAnsi="宋体" w:cs="宋体"/>
                <w:b w:val="0"/>
                <w:bCs w:val="0"/>
                <w:color w:val="auto"/>
                <w:sz w:val="22"/>
                <w:szCs w:val="22"/>
                <w:highlight w:val="none"/>
                <w:lang w:val="en-US" w:eastAsia="zh-CN"/>
              </w:rPr>
              <w:t>；</w:t>
            </w:r>
          </w:p>
          <w:p>
            <w:pPr>
              <w:wordWrap/>
              <w:spacing w:before="0" w:beforeAutospacing="0" w:after="0" w:afterAutospacing="0" w:line="360" w:lineRule="exact"/>
              <w:ind w:left="0" w:leftChars="0" w:right="0"/>
              <w:jc w:val="left"/>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2）提供该项目的销售</w:t>
            </w:r>
            <w:r>
              <w:rPr>
                <w:rFonts w:hint="eastAsia" w:ascii="宋体" w:hAnsi="宋体" w:eastAsia="宋体" w:cs="宋体"/>
                <w:b w:val="0"/>
                <w:bCs w:val="0"/>
                <w:color w:val="auto"/>
                <w:sz w:val="22"/>
                <w:szCs w:val="22"/>
                <w:highlight w:val="none"/>
                <w:lang w:val="en-US" w:eastAsia="zh-CN"/>
              </w:rPr>
              <w:t>发票扫描件</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bCs/>
                <w:color w:val="auto"/>
                <w:kern w:val="0"/>
                <w:sz w:val="22"/>
                <w:szCs w:val="22"/>
                <w:highlight w:val="none"/>
                <w:lang w:val="en-US" w:eastAsia="zh-CN"/>
              </w:rPr>
              <w:t>须同时提供</w:t>
            </w:r>
            <w:r>
              <w:rPr>
                <w:rFonts w:hint="eastAsia" w:ascii="宋体" w:hAnsi="宋体" w:eastAsia="宋体" w:cs="宋体"/>
                <w:b/>
                <w:bCs/>
                <w:color w:val="auto"/>
                <w:kern w:val="0"/>
                <w:sz w:val="22"/>
                <w:szCs w:val="22"/>
                <w:highlight w:val="none"/>
              </w:rPr>
              <w:t>在国家税务总局全国增值税发票查验平台中的查询截图（https</w:t>
            </w:r>
            <w:r>
              <w:rPr>
                <w:rFonts w:hint="eastAsia" w:ascii="宋体" w:hAnsi="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//inv-veri.chinatax.gov.cn/index.html）</w:t>
            </w:r>
            <w:r>
              <w:rPr>
                <w:rFonts w:hint="eastAsia" w:ascii="宋体" w:hAnsi="宋体" w:eastAsia="宋体" w:cs="宋体"/>
                <w:color w:val="auto"/>
                <w:kern w:val="0"/>
                <w:sz w:val="22"/>
                <w:szCs w:val="22"/>
                <w:highlight w:val="none"/>
                <w:lang w:eastAsia="zh-CN"/>
              </w:rPr>
              <w:t>。</w:t>
            </w:r>
            <w:r>
              <w:rPr>
                <w:rFonts w:hint="eastAsia" w:ascii="宋体" w:hAnsi="宋体" w:eastAsia="宋体" w:cs="宋体"/>
                <w:b w:val="0"/>
                <w:bCs w:val="0"/>
                <w:color w:val="auto"/>
                <w:sz w:val="22"/>
                <w:szCs w:val="22"/>
                <w:highlight w:val="none"/>
                <w:lang w:val="en-US" w:eastAsia="zh-CN"/>
              </w:rPr>
              <w:t>以上材料未提供完整</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color w:val="auto"/>
                <w:sz w:val="22"/>
                <w:szCs w:val="22"/>
                <w:highlight w:val="none"/>
              </w:rPr>
              <w:t>字迹模糊无法辨识的</w:t>
            </w:r>
            <w:r>
              <w:rPr>
                <w:rFonts w:hint="eastAsia" w:ascii="宋体" w:hAnsi="宋体" w:eastAsia="宋体" w:cs="宋体"/>
                <w:b w:val="0"/>
                <w:bCs w:val="0"/>
                <w:color w:val="auto"/>
                <w:sz w:val="22"/>
                <w:szCs w:val="22"/>
                <w:highlight w:val="none"/>
                <w:lang w:val="en-US" w:eastAsia="zh-CN"/>
              </w:rPr>
              <w:t>不得分。</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3</w:t>
            </w:r>
          </w:p>
        </w:tc>
        <w:tc>
          <w:tcPr>
            <w:tcW w:w="1261"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技术响应情况</w:t>
            </w:r>
          </w:p>
        </w:tc>
        <w:tc>
          <w:tcPr>
            <w:tcW w:w="653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投标人所提供</w:t>
            </w:r>
            <w:r>
              <w:rPr>
                <w:rFonts w:hint="eastAsia" w:ascii="宋体" w:hAnsi="宋体" w:cs="宋体"/>
                <w:color w:val="auto"/>
                <w:sz w:val="22"/>
                <w:szCs w:val="22"/>
                <w:highlight w:val="none"/>
                <w:lang w:val="en-US" w:eastAsia="zh-CN" w:bidi="ar-SA"/>
              </w:rPr>
              <w:t>产品</w:t>
            </w:r>
            <w:r>
              <w:rPr>
                <w:rFonts w:hint="eastAsia" w:ascii="宋体" w:hAnsi="宋体" w:eastAsia="宋体" w:cs="宋体"/>
                <w:color w:val="auto"/>
                <w:sz w:val="22"/>
                <w:szCs w:val="22"/>
                <w:highlight w:val="none"/>
                <w:lang w:val="en-US" w:eastAsia="zh-CN" w:bidi="ar-SA"/>
              </w:rPr>
              <w:t>的技术参数完全满足招标技术参数的得</w:t>
            </w:r>
            <w:r>
              <w:rPr>
                <w:rFonts w:hint="eastAsia" w:ascii="宋体" w:hAnsi="宋体" w:cs="宋体"/>
                <w:color w:val="auto"/>
                <w:sz w:val="22"/>
                <w:szCs w:val="22"/>
                <w:highlight w:val="none"/>
                <w:lang w:val="en-US" w:eastAsia="zh-CN" w:bidi="ar-SA"/>
              </w:rPr>
              <w:t>32</w:t>
            </w:r>
            <w:r>
              <w:rPr>
                <w:rFonts w:hint="eastAsia" w:ascii="宋体" w:hAnsi="宋体" w:eastAsia="宋体" w:cs="宋体"/>
                <w:color w:val="auto"/>
                <w:sz w:val="22"/>
                <w:szCs w:val="22"/>
                <w:highlight w:val="none"/>
                <w:lang w:val="en-US" w:eastAsia="zh-CN" w:bidi="ar-SA"/>
              </w:rPr>
              <w:t>分；</w:t>
            </w:r>
          </w:p>
          <w:p>
            <w:pPr>
              <w:wordWrap/>
              <w:spacing w:before="0" w:beforeAutospacing="0" w:after="0" w:afterAutospacing="0" w:line="360" w:lineRule="exact"/>
              <w:ind w:left="0" w:right="0"/>
              <w:jc w:val="left"/>
              <w:rPr>
                <w:rFonts w:hint="default" w:ascii="宋体" w:hAnsi="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lang w:val="en-US" w:eastAsia="zh-CN" w:bidi="ar-SA"/>
              </w:rPr>
              <w:t>带“★”的技术参数为重要参数，</w:t>
            </w:r>
            <w:r>
              <w:rPr>
                <w:rFonts w:hint="eastAsia" w:ascii="宋体" w:hAnsi="宋体" w:cs="宋体"/>
                <w:color w:val="auto"/>
                <w:sz w:val="22"/>
                <w:szCs w:val="22"/>
                <w:highlight w:val="none"/>
                <w:lang w:val="en-US" w:eastAsia="zh-CN" w:bidi="ar-SA"/>
              </w:rPr>
              <w:t>共20分；1~2项不满足得17分、3~4项不满足得14分、5~6项不满足得8分、</w:t>
            </w:r>
            <w:r>
              <w:rPr>
                <w:rFonts w:hint="eastAsia" w:ascii="宋体" w:hAnsi="宋体" w:cs="宋体"/>
                <w:b/>
                <w:bCs/>
                <w:color w:val="auto"/>
                <w:sz w:val="22"/>
                <w:szCs w:val="22"/>
                <w:highlight w:val="none"/>
                <w:lang w:val="en-US" w:eastAsia="zh-CN" w:bidi="ar-SA"/>
              </w:rPr>
              <w:t>7项及以上不满足为实质性要求不响应，该投标文件做无效投标处理</w:t>
            </w:r>
            <w:r>
              <w:rPr>
                <w:rFonts w:hint="eastAsia" w:ascii="宋体" w:hAnsi="宋体" w:cs="宋体"/>
                <w:color w:val="auto"/>
                <w:sz w:val="22"/>
                <w:szCs w:val="22"/>
                <w:highlight w:val="none"/>
                <w:lang w:val="en-US" w:eastAsia="zh-CN" w:bidi="ar-SA"/>
              </w:rPr>
              <w:t>；</w:t>
            </w:r>
          </w:p>
          <w:p>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②</w:t>
            </w:r>
            <w:r>
              <w:rPr>
                <w:rFonts w:hint="eastAsia" w:ascii="宋体" w:hAnsi="宋体" w:eastAsia="宋体" w:cs="宋体"/>
                <w:color w:val="auto"/>
                <w:sz w:val="22"/>
                <w:szCs w:val="22"/>
                <w:highlight w:val="none"/>
                <w:lang w:val="en-US" w:eastAsia="zh-CN" w:bidi="ar-SA"/>
              </w:rPr>
              <w:t>其它技术参数，</w:t>
            </w:r>
            <w:r>
              <w:rPr>
                <w:rFonts w:hint="eastAsia" w:ascii="宋体" w:hAnsi="宋体" w:cs="宋体"/>
                <w:color w:val="auto"/>
                <w:sz w:val="22"/>
                <w:szCs w:val="22"/>
                <w:highlight w:val="none"/>
                <w:lang w:val="en-US" w:eastAsia="zh-CN" w:bidi="ar-SA"/>
              </w:rPr>
              <w:t>共12分；1~4项不满足得10分、5~7项不满足得7分、8~11项不满足得3分、12项及以上不满足得0分</w:t>
            </w:r>
            <w:r>
              <w:rPr>
                <w:rFonts w:hint="eastAsia" w:ascii="宋体" w:hAnsi="宋体" w:eastAsia="宋体" w:cs="宋体"/>
                <w:b/>
                <w:bCs/>
                <w:color w:val="auto"/>
                <w:sz w:val="22"/>
                <w:szCs w:val="22"/>
                <w:highlight w:val="none"/>
                <w:lang w:val="en-US" w:eastAsia="zh-CN" w:bidi="ar-SA"/>
              </w:rPr>
              <w:t>。</w:t>
            </w:r>
          </w:p>
          <w:p>
            <w:pPr>
              <w:pStyle w:val="42"/>
              <w:widowControl w:val="0"/>
              <w:wordWrap/>
              <w:adjustRightInd w:val="0"/>
              <w:snapToGrid w:val="0"/>
              <w:spacing w:before="0" w:beforeAutospacing="0" w:after="0" w:afterAutospacing="0" w:line="440" w:lineRule="exact"/>
              <w:ind w:left="0" w:leftChars="0" w:right="0" w:firstLine="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bidi="ar-SA"/>
              </w:rPr>
              <w:t>注：</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项是否属于偏离由评审小组根据</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提供的参数是否在CMA或CNAS标志的第三方检验机构出具的检测/检验报告或工信部公告中</w:t>
            </w:r>
            <w:r>
              <w:rPr>
                <w:rFonts w:hint="eastAsia" w:ascii="宋体" w:hAnsi="宋体" w:cs="宋体"/>
                <w:b/>
                <w:bCs w:val="0"/>
                <w:color w:val="auto"/>
                <w:sz w:val="22"/>
                <w:szCs w:val="22"/>
                <w:highlight w:val="none"/>
                <w:lang w:val="en-US" w:eastAsia="zh-CN"/>
              </w:rPr>
              <w:t>的</w:t>
            </w:r>
            <w:r>
              <w:rPr>
                <w:rFonts w:hint="eastAsia" w:ascii="宋体" w:hAnsi="宋体" w:eastAsia="宋体" w:cs="宋体"/>
                <w:b/>
                <w:bCs w:val="0"/>
                <w:color w:val="auto"/>
                <w:sz w:val="22"/>
                <w:szCs w:val="22"/>
                <w:highlight w:val="none"/>
                <w:lang w:val="en-US" w:eastAsia="zh-CN"/>
              </w:rPr>
              <w:t>具体内容进行判定。</w:t>
            </w:r>
          </w:p>
          <w:p>
            <w:pPr>
              <w:wordWrap/>
              <w:spacing w:before="0" w:beforeAutospacing="0" w:after="0" w:afterAutospacing="0" w:line="360" w:lineRule="exact"/>
              <w:ind w:left="0" w:right="0" w:firstLine="221" w:firstLineChars="10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rPr>
              <w:t>其他未标“▲、</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”的参数指标，是否属于偏离指标以</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提供的响应材料</w:t>
            </w:r>
            <w:r>
              <w:rPr>
                <w:rFonts w:hint="eastAsia" w:ascii="宋体" w:hAnsi="宋体" w:cs="宋体"/>
                <w:b/>
                <w:bCs w:val="0"/>
                <w:color w:val="auto"/>
                <w:sz w:val="22"/>
                <w:szCs w:val="22"/>
                <w:highlight w:val="none"/>
                <w:lang w:val="en-US" w:eastAsia="zh-CN"/>
              </w:rPr>
              <w:t>（证明资料须提供列有相应技术参数检测检验报告扫描件或厂家产品彩页或厂家官方网站公布的截图或厂家产品说明书或技术方案说明等能够证明其所投产品能满足或达到招标要求）内容</w:t>
            </w:r>
            <w:r>
              <w:rPr>
                <w:rFonts w:hint="eastAsia" w:ascii="宋体" w:hAnsi="宋体" w:eastAsia="宋体" w:cs="宋体"/>
                <w:b/>
                <w:bCs w:val="0"/>
                <w:color w:val="auto"/>
                <w:sz w:val="22"/>
                <w:szCs w:val="22"/>
                <w:highlight w:val="none"/>
                <w:lang w:val="en-US" w:eastAsia="zh-CN"/>
              </w:rPr>
              <w:t>为准</w:t>
            </w:r>
            <w:r>
              <w:rPr>
                <w:rFonts w:hint="eastAsia" w:ascii="宋体" w:hAnsi="宋体" w:cs="宋体"/>
                <w:b/>
                <w:bCs w:val="0"/>
                <w:color w:val="auto"/>
                <w:sz w:val="22"/>
                <w:szCs w:val="22"/>
                <w:highlight w:val="none"/>
                <w:lang w:val="en-US"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32</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restart"/>
            <w:tcBorders>
              <w:left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261" w:type="dxa"/>
            <w:vMerge w:val="restart"/>
            <w:tcBorders>
              <w:left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eastAsia="zh-CN"/>
              </w:rPr>
            </w:pPr>
            <w:r>
              <w:rPr>
                <w:rFonts w:hint="eastAsia" w:ascii="Times New Roman" w:hAnsi="Times New Roman" w:cs="Times New Roman"/>
                <w:color w:val="auto"/>
                <w:kern w:val="2"/>
                <w:sz w:val="22"/>
                <w:szCs w:val="22"/>
                <w:highlight w:val="none"/>
                <w:lang w:eastAsia="zh-CN"/>
              </w:rPr>
              <w:t>整车配置</w:t>
            </w:r>
          </w:p>
        </w:tc>
        <w:tc>
          <w:tcPr>
            <w:tcW w:w="6535"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cs="Times New Roman"/>
                <w:color w:val="auto"/>
                <w:kern w:val="2"/>
                <w:sz w:val="22"/>
                <w:szCs w:val="22"/>
                <w:highlight w:val="none"/>
                <w:lang w:eastAsia="zh-CN"/>
              </w:rPr>
              <w:t>中小型</w:t>
            </w:r>
            <w:r>
              <w:rPr>
                <w:rFonts w:hint="eastAsia" w:cs="Times New Roman"/>
                <w:color w:val="auto"/>
                <w:kern w:val="2"/>
                <w:sz w:val="22"/>
                <w:szCs w:val="22"/>
                <w:highlight w:val="none"/>
                <w:lang w:val="en-US" w:eastAsia="zh-CN"/>
              </w:rPr>
              <w:t>水罐消防车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4</w:t>
            </w:r>
            <w:r>
              <w:rPr>
                <w:rFonts w:hint="default" w:ascii="宋体" w:hAnsi="宋体" w:eastAsia="宋体" w:cs="宋体"/>
                <w:b w:val="0"/>
                <w:bCs w:val="0"/>
                <w:color w:val="auto"/>
                <w:sz w:val="22"/>
                <w:szCs w:val="22"/>
                <w:highlight w:val="none"/>
                <w:lang w:val="en-US" w:eastAsia="zh-CN" w:bidi="ar-SA"/>
              </w:rPr>
              <w:t>分；</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2.4</w:t>
            </w:r>
            <w:r>
              <w:rPr>
                <w:rFonts w:hint="default" w:ascii="宋体" w:hAnsi="宋体" w:eastAsia="宋体" w:cs="宋体"/>
                <w:b w:val="0"/>
                <w:bCs w:val="0"/>
                <w:color w:val="auto"/>
                <w:sz w:val="22"/>
                <w:szCs w:val="22"/>
                <w:highlight w:val="none"/>
                <w:lang w:val="en-US" w:eastAsia="zh-CN" w:bidi="ar-SA"/>
              </w:rPr>
              <w:t>分；</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pPr>
              <w:pStyle w:val="42"/>
              <w:spacing w:before="0" w:beforeAutospacing="0" w:afterAutospacing="0"/>
              <w:ind w:left="0" w:leftChars="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restart"/>
            <w:tcBorders>
              <w:left w:val="single" w:color="auto" w:sz="4" w:space="0"/>
              <w:right w:val="single" w:color="auto" w:sz="4" w:space="0"/>
            </w:tcBorders>
            <w:vAlign w:val="center"/>
          </w:tcPr>
          <w:p>
            <w:pPr>
              <w:wordWrap/>
              <w:spacing w:before="0" w:beforeAutospacing="0" w:after="0" w:afterAutospacing="0" w:line="360" w:lineRule="exact"/>
              <w:ind w:left="0" w:right="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5" w:type="dxa"/>
            <w:vMerge w:val="restart"/>
            <w:tcBorders>
              <w:left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color w:val="auto"/>
                <w:kern w:val="0"/>
                <w:sz w:val="20"/>
                <w:szCs w:val="21"/>
                <w:lang w:eastAsia="zh-CN"/>
              </w:rPr>
            </w:pPr>
            <w:r>
              <w:rPr>
                <w:rFonts w:hint="eastAsia" w:ascii="宋体" w:hAnsi="宋体" w:cs="宋体"/>
                <w:color w:val="auto"/>
                <w:kern w:val="0"/>
                <w:sz w:val="20"/>
                <w:szCs w:val="21"/>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continue"/>
            <w:tcBorders>
              <w:left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cs="宋体"/>
                <w:color w:val="auto"/>
                <w:sz w:val="22"/>
                <w:szCs w:val="22"/>
                <w:highlight w:val="none"/>
                <w:lang w:val="en-US" w:eastAsia="zh-CN"/>
              </w:rPr>
            </w:pPr>
          </w:p>
        </w:tc>
        <w:tc>
          <w:tcPr>
            <w:tcW w:w="1261" w:type="dxa"/>
            <w:vMerge w:val="continue"/>
            <w:tcBorders>
              <w:left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Times New Roman" w:hAnsi="Times New Roman" w:cs="Times New Roman"/>
                <w:color w:val="auto"/>
                <w:kern w:val="2"/>
                <w:sz w:val="22"/>
                <w:szCs w:val="22"/>
                <w:highlight w:val="none"/>
              </w:rPr>
            </w:pPr>
          </w:p>
        </w:tc>
        <w:tc>
          <w:tcPr>
            <w:tcW w:w="6535"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ascii="Times New Roman" w:hAnsi="Times New Roman" w:cs="Times New Roman"/>
                <w:color w:val="auto"/>
                <w:kern w:val="2"/>
                <w:sz w:val="22"/>
                <w:szCs w:val="22"/>
                <w:highlight w:val="none"/>
                <w:lang w:val="en-US" w:eastAsia="zh-CN"/>
              </w:rPr>
              <w:t>应急电源车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3</w:t>
            </w:r>
            <w:r>
              <w:rPr>
                <w:rFonts w:hint="default" w:ascii="宋体" w:hAnsi="宋体" w:eastAsia="宋体" w:cs="宋体"/>
                <w:b w:val="0"/>
                <w:bCs w:val="0"/>
                <w:color w:val="auto"/>
                <w:sz w:val="22"/>
                <w:szCs w:val="22"/>
                <w:highlight w:val="none"/>
                <w:lang w:val="en-US" w:eastAsia="zh-CN" w:bidi="ar-SA"/>
              </w:rPr>
              <w:t>分；</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1.8</w:t>
            </w:r>
            <w:r>
              <w:rPr>
                <w:rFonts w:hint="default" w:ascii="宋体" w:hAnsi="宋体" w:eastAsia="宋体" w:cs="宋体"/>
                <w:b w:val="0"/>
                <w:bCs w:val="0"/>
                <w:color w:val="auto"/>
                <w:sz w:val="22"/>
                <w:szCs w:val="22"/>
                <w:highlight w:val="none"/>
                <w:lang w:val="en-US" w:eastAsia="zh-CN" w:bidi="ar-SA"/>
              </w:rPr>
              <w:t>分；</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lang w:val="en-US" w:eastAsia="zh-CN"/>
              </w:rPr>
              <w:t>分；</w:t>
            </w:r>
          </w:p>
          <w:p>
            <w:pPr>
              <w:pStyle w:val="42"/>
              <w:spacing w:before="0" w:beforeAutospacing="0" w:afterAutospacing="0"/>
              <w:ind w:left="0" w:leftChars="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continue"/>
            <w:tcBorders>
              <w:left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p>
        </w:tc>
        <w:tc>
          <w:tcPr>
            <w:tcW w:w="715" w:type="dxa"/>
            <w:vMerge w:val="continue"/>
            <w:tcBorders>
              <w:left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1261"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项目实施方案</w:t>
            </w:r>
          </w:p>
        </w:tc>
        <w:tc>
          <w:tcPr>
            <w:tcW w:w="653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根据投标人提供的项目实施方案进行评分，项目实施方案包括：①供货方案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②验收方案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③质量保证方案</w:t>
            </w:r>
            <w:r>
              <w:rPr>
                <w:rFonts w:hint="eastAsia" w:ascii="宋体" w:hAnsi="宋体" w:cs="宋体"/>
                <w:b w:val="0"/>
                <w:bCs w:val="0"/>
                <w:color w:val="auto"/>
                <w:sz w:val="22"/>
                <w:szCs w:val="22"/>
                <w:highlight w:val="none"/>
                <w:lang w:val="en-US" w:eastAsia="zh-CN" w:bidi="ar-SA"/>
              </w:rPr>
              <w:t>；</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default" w:ascii="宋体" w:hAnsi="宋体" w:eastAsia="宋体" w:cs="宋体"/>
                <w:b w:val="0"/>
                <w:bCs w:val="0"/>
                <w:color w:val="auto"/>
                <w:sz w:val="22"/>
                <w:szCs w:val="22"/>
                <w:highlight w:val="none"/>
                <w:lang w:val="en-US" w:eastAsia="zh-CN" w:bidi="ar-SA"/>
              </w:rPr>
              <w:t>满足招标内容及需求得</w:t>
            </w:r>
            <w:r>
              <w:rPr>
                <w:rFonts w:hint="eastAsia" w:ascii="宋体" w:hAnsi="宋体" w:cs="宋体"/>
                <w:b w:val="0"/>
                <w:bCs w:val="0"/>
                <w:color w:val="auto"/>
                <w:sz w:val="22"/>
                <w:szCs w:val="22"/>
                <w:highlight w:val="none"/>
                <w:lang w:val="en-US" w:eastAsia="zh-CN" w:bidi="ar-SA"/>
              </w:rPr>
              <w:t>8</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5</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8</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616" w:type="dxa"/>
            <w:vMerge w:val="restart"/>
            <w:tcBorders>
              <w:top w:val="single" w:color="auto" w:sz="4" w:space="0"/>
              <w:left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261" w:type="dxa"/>
            <w:vMerge w:val="restart"/>
            <w:tcBorders>
              <w:top w:val="single" w:color="auto" w:sz="4" w:space="0"/>
              <w:left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售后服务方案</w:t>
            </w:r>
          </w:p>
        </w:tc>
        <w:tc>
          <w:tcPr>
            <w:tcW w:w="65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根据投标人提供的售后服务方案进行评分，售后服务响应方案包括：①售后服务内容</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②维护保养</w:t>
            </w:r>
            <w:r>
              <w:rPr>
                <w:rFonts w:hint="eastAsia" w:ascii="宋体" w:hAnsi="宋体" w:cs="宋体"/>
                <w:color w:val="auto"/>
                <w:sz w:val="22"/>
                <w:szCs w:val="22"/>
                <w:highlight w:val="none"/>
                <w:lang w:val="en-US" w:eastAsia="zh-CN"/>
              </w:rPr>
              <w:t>方案；</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3 \* GB3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③</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val="en-US" w:eastAsia="zh-CN"/>
              </w:rPr>
              <w:t>售后服务保障措施</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④备品备件及耗材供应。</w:t>
            </w:r>
          </w:p>
          <w:p>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方案内容完整</w:t>
            </w:r>
            <w:r>
              <w:rPr>
                <w:rFonts w:hint="eastAsia" w:ascii="宋体" w:hAnsi="宋体" w:cs="宋体"/>
                <w:b w:val="0"/>
                <w:bCs w:val="0"/>
                <w:color w:val="auto"/>
                <w:sz w:val="22"/>
                <w:szCs w:val="22"/>
                <w:highlight w:val="none"/>
                <w:lang w:val="en-US" w:eastAsia="zh-CN" w:bidi="ar-SA"/>
              </w:rPr>
              <w:t>无缺项</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满足招标内容及需求得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pPr>
              <w:spacing w:before="0" w:beforeAutospacing="0" w:after="0" w:afterAutospacing="0" w:line="240" w:lineRule="auto"/>
              <w:ind w:left="0" w:right="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vMerge w:val="continue"/>
            <w:tcBorders>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cs="宋体"/>
                <w:color w:val="auto"/>
                <w:sz w:val="22"/>
                <w:szCs w:val="22"/>
                <w:highlight w:val="none"/>
                <w:lang w:val="en-US" w:eastAsia="zh-CN"/>
              </w:rPr>
            </w:pPr>
          </w:p>
        </w:tc>
        <w:tc>
          <w:tcPr>
            <w:tcW w:w="1261" w:type="dxa"/>
            <w:vMerge w:val="continue"/>
            <w:tcBorders>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p>
        </w:tc>
        <w:tc>
          <w:tcPr>
            <w:tcW w:w="65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所投产品</w:t>
            </w:r>
            <w:r>
              <w:rPr>
                <w:rFonts w:hint="eastAsia" w:ascii="宋体" w:hAnsi="宋体" w:eastAsia="宋体" w:cs="宋体"/>
                <w:color w:val="auto"/>
                <w:sz w:val="22"/>
                <w:szCs w:val="22"/>
                <w:highlight w:val="none"/>
                <w:lang w:val="en-US" w:eastAsia="zh-CN"/>
              </w:rPr>
              <w:t>便捷服务能力及售后质保服务能力</w:t>
            </w:r>
            <w:r>
              <w:rPr>
                <w:rFonts w:hint="eastAsia" w:ascii="宋体" w:hAnsi="宋体" w:eastAsia="宋体" w:cs="宋体"/>
                <w:color w:val="auto"/>
                <w:sz w:val="22"/>
                <w:szCs w:val="22"/>
                <w:highlight w:val="none"/>
              </w:rPr>
              <w:t>：</w:t>
            </w:r>
          </w:p>
          <w:p>
            <w:pPr>
              <w:numPr>
                <w:ilvl w:val="0"/>
                <w:numId w:val="10"/>
              </w:num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便捷服务能力的</w:t>
            </w:r>
            <w:r>
              <w:rPr>
                <w:rFonts w:hint="eastAsia" w:ascii="宋体" w:hAnsi="宋体" w:eastAsia="宋体" w:cs="宋体"/>
                <w:color w:val="auto"/>
                <w:sz w:val="22"/>
                <w:szCs w:val="22"/>
                <w:highlight w:val="none"/>
              </w:rPr>
              <w:t>服务响应时间</w:t>
            </w:r>
            <w:r>
              <w:rPr>
                <w:rFonts w:hint="eastAsia" w:ascii="宋体" w:hAnsi="宋体" w:eastAsia="宋体" w:cs="宋体"/>
                <w:color w:val="auto"/>
                <w:sz w:val="22"/>
                <w:szCs w:val="22"/>
                <w:highlight w:val="none"/>
                <w:lang w:eastAsia="zh-CN"/>
              </w:rPr>
              <w:t>（从有能力处理故障的服务点计算）</w:t>
            </w:r>
          </w:p>
          <w:p>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8"/>
                <w:highlight w:val="none"/>
                <w:lang w:val="en-US" w:eastAsia="zh-CN" w:bidi="ar-SA"/>
              </w:rPr>
              <w:t>①</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2小时及以</w:t>
            </w:r>
            <w:r>
              <w:rPr>
                <w:rFonts w:hint="eastAsia" w:ascii="宋体" w:hAnsi="宋体" w:eastAsia="宋体" w:cs="宋体"/>
                <w:color w:val="auto"/>
                <w:sz w:val="22"/>
                <w:szCs w:val="22"/>
                <w:highlight w:val="none"/>
              </w:rPr>
              <w:t>内</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4分；</w:t>
            </w:r>
          </w:p>
          <w:p>
            <w:pPr>
              <w:numPr>
                <w:ilvl w:val="0"/>
                <w:numId w:val="0"/>
              </w:numPr>
              <w:spacing w:before="0" w:beforeAutospacing="0" w:after="0" w:afterAutospacing="0" w:line="240" w:lineRule="auto"/>
              <w:ind w:left="0" w:right="0"/>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②</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2~5小时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2分；</w:t>
            </w:r>
          </w:p>
          <w:p>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8"/>
                <w:highlight w:val="none"/>
                <w:lang w:val="en-US" w:eastAsia="zh-CN" w:bidi="ar-SA"/>
              </w:rPr>
              <w:t>③</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5~8小时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p>
          <w:p>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8小时</w:t>
            </w:r>
            <w:r>
              <w:rPr>
                <w:rFonts w:hint="eastAsia" w:ascii="宋体" w:hAnsi="宋体" w:eastAsia="宋体" w:cs="宋体"/>
                <w:color w:val="auto"/>
                <w:sz w:val="22"/>
                <w:szCs w:val="22"/>
                <w:highlight w:val="none"/>
                <w:lang w:eastAsia="zh-CN"/>
              </w:rPr>
              <w:t>以上赶到现场处理问题的，得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分。</w:t>
            </w:r>
          </w:p>
          <w:p>
            <w:pPr>
              <w:pStyle w:val="18"/>
              <w:numPr>
                <w:ilvl w:val="0"/>
                <w:numId w:val="0"/>
              </w:numPr>
              <w:spacing w:before="0" w:beforeAutospacing="0" w:afterAutospacing="0"/>
              <w:ind w:left="0" w:leftChars="0" w:right="0"/>
              <w:rPr>
                <w:rFonts w:hint="eastAsia" w:ascii="宋体" w:hAnsi="宋体" w:eastAsia="宋体" w:cs="宋体"/>
                <w:color w:val="auto"/>
                <w:sz w:val="20"/>
                <w:szCs w:val="20"/>
                <w:lang w:val="en-US" w:eastAsia="zh-CN"/>
              </w:rPr>
            </w:pPr>
            <w:r>
              <w:rPr>
                <w:rFonts w:hint="eastAsia" w:ascii="宋体" w:hAnsi="宋体" w:eastAsia="宋体" w:cs="宋体"/>
                <w:i w:val="0"/>
                <w:iCs w:val="0"/>
                <w:caps w:val="0"/>
                <w:color w:val="auto"/>
                <w:spacing w:val="0"/>
                <w:sz w:val="22"/>
                <w:szCs w:val="22"/>
                <w:highlight w:val="none"/>
                <w:shd w:val="clear" w:color="auto" w:fill="auto"/>
                <w:lang w:eastAsia="zh-CN"/>
              </w:rPr>
              <w:t>上述时间经过评审属于</w:t>
            </w:r>
            <w:r>
              <w:rPr>
                <w:rFonts w:hint="eastAsia" w:ascii="宋体" w:hAnsi="宋体" w:eastAsia="宋体" w:cs="宋体"/>
                <w:i w:val="0"/>
                <w:iCs w:val="0"/>
                <w:caps w:val="0"/>
                <w:color w:val="auto"/>
                <w:spacing w:val="0"/>
                <w:sz w:val="22"/>
                <w:szCs w:val="22"/>
                <w:highlight w:val="none"/>
                <w:shd w:val="clear" w:color="auto" w:fill="auto"/>
              </w:rPr>
              <w:t>凭空编造</w:t>
            </w:r>
            <w:r>
              <w:rPr>
                <w:rFonts w:hint="eastAsia" w:ascii="宋体" w:hAnsi="宋体" w:eastAsia="宋体" w:cs="宋体"/>
                <w:i w:val="0"/>
                <w:iCs w:val="0"/>
                <w:caps w:val="0"/>
                <w:color w:val="auto"/>
                <w:spacing w:val="0"/>
                <w:sz w:val="22"/>
                <w:szCs w:val="22"/>
                <w:highlight w:val="none"/>
                <w:shd w:val="clear" w:color="auto" w:fill="auto"/>
                <w:lang w:eastAsia="zh-CN"/>
              </w:rPr>
              <w:t>、</w:t>
            </w:r>
            <w:r>
              <w:rPr>
                <w:rFonts w:hint="eastAsia" w:ascii="宋体" w:hAnsi="宋体" w:eastAsia="宋体" w:cs="宋体"/>
                <w:i w:val="0"/>
                <w:iCs w:val="0"/>
                <w:caps w:val="0"/>
                <w:color w:val="auto"/>
                <w:spacing w:val="0"/>
                <w:sz w:val="22"/>
                <w:szCs w:val="22"/>
                <w:highlight w:val="none"/>
                <w:shd w:val="clear" w:color="auto" w:fill="auto"/>
              </w:rPr>
              <w:t>不符合</w:t>
            </w:r>
            <w:r>
              <w:rPr>
                <w:rFonts w:hint="eastAsia" w:ascii="宋体" w:hAnsi="宋体" w:eastAsia="宋体" w:cs="宋体"/>
                <w:i w:val="0"/>
                <w:iCs w:val="0"/>
                <w:caps w:val="0"/>
                <w:color w:val="auto"/>
                <w:spacing w:val="0"/>
                <w:sz w:val="22"/>
                <w:szCs w:val="22"/>
                <w:highlight w:val="none"/>
                <w:shd w:val="clear" w:color="auto" w:fill="auto"/>
                <w:lang w:eastAsia="zh-CN"/>
              </w:rPr>
              <w:t>实际的不得分</w:t>
            </w:r>
            <w:r>
              <w:rPr>
                <w:rFonts w:hint="eastAsia" w:ascii="宋体" w:hAnsi="宋体" w:eastAsia="宋体" w:cs="宋体"/>
                <w:color w:val="auto"/>
                <w:sz w:val="22"/>
                <w:szCs w:val="22"/>
                <w:highlight w:val="none"/>
              </w:rPr>
              <w:t>。</w:t>
            </w:r>
          </w:p>
          <w:p>
            <w:pPr>
              <w:pStyle w:val="18"/>
              <w:numPr>
                <w:ilvl w:val="0"/>
                <w:numId w:val="10"/>
              </w:numPr>
              <w:spacing w:before="0" w:beforeAutospacing="0" w:afterAutospacing="0"/>
              <w:ind w:left="0" w:leftChars="0" w:right="0" w:firstLine="0" w:firstLineChars="0"/>
              <w:rPr>
                <w:rFonts w:hint="eastAsia" w:ascii="宋体" w:hAnsi="宋体" w:eastAsia="宋体" w:cs="宋体"/>
                <w:color w:val="auto"/>
                <w:sz w:val="20"/>
                <w:szCs w:val="20"/>
                <w:lang w:val="en-US" w:eastAsia="zh-CN"/>
              </w:rPr>
            </w:pPr>
            <w:r>
              <w:rPr>
                <w:rFonts w:hint="eastAsia" w:ascii="宋体" w:hAnsi="宋体" w:eastAsia="宋体" w:cs="宋体"/>
                <w:b w:val="0"/>
                <w:bCs w:val="0"/>
                <w:color w:val="auto"/>
                <w:sz w:val="22"/>
                <w:szCs w:val="22"/>
                <w:highlight w:val="none"/>
                <w:lang w:val="en-US" w:eastAsia="zh-CN"/>
              </w:rPr>
              <w:t>核心产品售后服务成熟度（或服务能力持续有效验证）认证（内容含专用汽车或</w:t>
            </w:r>
            <w:r>
              <w:rPr>
                <w:rFonts w:hint="eastAsia" w:ascii="宋体" w:hAnsi="宋体" w:cs="宋体"/>
                <w:b w:val="0"/>
                <w:bCs w:val="0"/>
                <w:color w:val="auto"/>
                <w:sz w:val="22"/>
                <w:szCs w:val="22"/>
                <w:highlight w:val="none"/>
                <w:lang w:val="en-US" w:eastAsia="zh-CN"/>
              </w:rPr>
              <w:t>应急装备</w:t>
            </w:r>
            <w:r>
              <w:rPr>
                <w:rFonts w:hint="eastAsia" w:ascii="宋体" w:hAnsi="宋体" w:eastAsia="宋体" w:cs="宋体"/>
                <w:b w:val="0"/>
                <w:bCs w:val="0"/>
                <w:color w:val="auto"/>
                <w:sz w:val="22"/>
                <w:szCs w:val="22"/>
                <w:highlight w:val="none"/>
                <w:lang w:val="en-US" w:eastAsia="zh-CN"/>
              </w:rPr>
              <w:t>）7星及以上得3分，5~</w:t>
            </w:r>
            <w:r>
              <w:rPr>
                <w:rFonts w:hint="eastAsia" w:ascii="宋体" w:hAnsi="宋体" w:eastAsia="宋体" w:cs="宋体"/>
                <w:color w:val="auto"/>
                <w:sz w:val="22"/>
                <w:szCs w:val="22"/>
                <w:highlight w:val="none"/>
                <w:lang w:val="en-US" w:eastAsia="zh-CN"/>
              </w:rPr>
              <w:t>6星得2分，1~4星得1分，无不得分。提供证书复制件。</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培训方案</w:t>
            </w:r>
          </w:p>
        </w:tc>
        <w:tc>
          <w:tcPr>
            <w:tcW w:w="653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根据投标人提供的培训方案进行评分，培训方案包括：①培训方式；②培训内容；③培训人员团队；④培训流程；</w:t>
            </w:r>
          </w:p>
          <w:p>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方案内容全面安排合理，且切合项目实际得5分；</w:t>
            </w:r>
          </w:p>
          <w:p>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方案内容全面安排较为合理，或较为切合项目实际得3分；</w:t>
            </w:r>
          </w:p>
          <w:p>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w:t>
            </w:r>
            <w:r>
              <w:rPr>
                <w:rFonts w:hint="eastAsia" w:ascii="宋体" w:hAnsi="宋体" w:eastAsia="宋体" w:cs="宋体"/>
                <w:color w:val="auto"/>
                <w:sz w:val="21"/>
                <w:szCs w:val="21"/>
                <w:highlight w:val="none"/>
                <w:lang w:val="en-US" w:eastAsia="zh-CN" w:bidi="ar-SA"/>
              </w:rPr>
              <w:t>安排不合理，未切合项目实际</w:t>
            </w:r>
            <w:r>
              <w:rPr>
                <w:rFonts w:hint="eastAsia" w:ascii="宋体" w:hAnsi="宋体" w:eastAsia="宋体" w:cs="宋体"/>
                <w:color w:val="auto"/>
                <w:sz w:val="22"/>
                <w:szCs w:val="28"/>
                <w:highlight w:val="none"/>
                <w:lang w:val="en-US" w:eastAsia="zh-CN" w:bidi="ar-SA"/>
              </w:rPr>
              <w:t>1分；</w:t>
            </w:r>
          </w:p>
          <w:p>
            <w:pPr>
              <w:wordWrap/>
              <w:spacing w:before="0" w:beforeAutospacing="0" w:after="0" w:afterAutospacing="0" w:line="360" w:lineRule="exact"/>
              <w:ind w:left="0" w:right="0"/>
              <w:jc w:val="left"/>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2"/>
                <w:szCs w:val="28"/>
                <w:highlight w:val="none"/>
                <w:lang w:val="en-US" w:eastAsia="zh-CN" w:bidi="ar-SA"/>
              </w:rPr>
              <w:t>方案内容安排不满足招标内容及需求或无阐述得0分。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lang w:eastAsia="zh-CN"/>
              </w:rPr>
              <w:t>主</w:t>
            </w:r>
            <w:r>
              <w:rPr>
                <w:rFonts w:hint="eastAsia" w:ascii="宋体" w:hAnsi="宋体" w:cs="宋体"/>
                <w:color w:val="auto"/>
                <w:kern w:val="0"/>
                <w:sz w:val="20"/>
                <w:szCs w:val="21"/>
              </w:rPr>
              <w:t>观分</w:t>
            </w:r>
          </w:p>
        </w:tc>
      </w:tr>
    </w:tbl>
    <w:p>
      <w:pPr>
        <w:spacing w:line="440" w:lineRule="exact"/>
        <w:rPr>
          <w:rFonts w:hint="eastAsia" w:ascii="宋体" w:hAnsi="宋体" w:cs="宋体"/>
          <w:b/>
          <w:color w:val="auto"/>
          <w:sz w:val="22"/>
          <w:szCs w:val="24"/>
          <w:highlight w:val="none"/>
          <w:lang w:eastAsia="zh-CN"/>
        </w:rPr>
      </w:pPr>
    </w:p>
    <w:p>
      <w:pPr>
        <w:spacing w:line="440" w:lineRule="exact"/>
        <w:rPr>
          <w:rFonts w:ascii="宋体" w:hAnsi="宋体" w:cs="宋体"/>
          <w:b/>
          <w:color w:val="auto"/>
          <w:sz w:val="22"/>
          <w:szCs w:val="24"/>
          <w:highlight w:val="none"/>
        </w:rPr>
      </w:pPr>
      <w:r>
        <w:rPr>
          <w:rFonts w:hint="eastAsia" w:ascii="宋体" w:hAnsi="宋体" w:cs="宋体"/>
          <w:b/>
          <w:color w:val="auto"/>
          <w:sz w:val="22"/>
          <w:szCs w:val="24"/>
          <w:highlight w:val="none"/>
          <w:lang w:eastAsia="zh-CN"/>
        </w:rPr>
        <w:t>标项</w:t>
      </w:r>
      <w:r>
        <w:rPr>
          <w:rFonts w:hint="eastAsia" w:ascii="宋体" w:hAnsi="宋体" w:cs="宋体"/>
          <w:b/>
          <w:color w:val="auto"/>
          <w:sz w:val="22"/>
          <w:szCs w:val="24"/>
          <w:highlight w:val="none"/>
          <w:lang w:val="en-US" w:eastAsia="zh-CN"/>
        </w:rPr>
        <w:t>2：</w:t>
      </w:r>
      <w:r>
        <w:rPr>
          <w:rFonts w:hint="eastAsia" w:ascii="宋体" w:hAnsi="宋体" w:cs="宋体"/>
          <w:b/>
          <w:color w:val="auto"/>
          <w:sz w:val="22"/>
          <w:szCs w:val="24"/>
          <w:highlight w:val="none"/>
        </w:rPr>
        <w:t>商务技术70分</w:t>
      </w:r>
    </w:p>
    <w:tbl>
      <w:tblPr>
        <w:tblStyle w:val="4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61"/>
        <w:gridCol w:w="6535"/>
        <w:gridCol w:w="71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w:t>
            </w:r>
          </w:p>
        </w:tc>
        <w:tc>
          <w:tcPr>
            <w:tcW w:w="6535"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715"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cs="宋体"/>
                <w:b/>
                <w:bCs/>
                <w:color w:val="auto"/>
                <w:sz w:val="20"/>
                <w:szCs w:val="21"/>
              </w:rPr>
              <w:t>分</w:t>
            </w:r>
            <w:r>
              <w:rPr>
                <w:rFonts w:hint="eastAsia" w:ascii="宋体" w:hAnsi="宋体" w:cs="宋体"/>
                <w:b/>
                <w:bCs/>
                <w:color w:val="auto"/>
                <w:sz w:val="20"/>
                <w:szCs w:val="21"/>
                <w:lang w:eastAsia="zh-CN"/>
              </w:rPr>
              <w:t>值</w:t>
            </w:r>
            <w:r>
              <w:rPr>
                <w:rFonts w:hint="eastAsia" w:ascii="宋体" w:hAnsi="宋体" w:cs="宋体"/>
                <w:b/>
                <w:bCs/>
                <w:color w:val="auto"/>
                <w:sz w:val="20"/>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cs="Times New Roman"/>
                <w:color w:val="auto"/>
                <w:kern w:val="2"/>
                <w:sz w:val="22"/>
                <w:szCs w:val="22"/>
                <w:highlight w:val="none"/>
              </w:rPr>
              <w:t>企业认证证书</w:t>
            </w:r>
          </w:p>
        </w:tc>
        <w:tc>
          <w:tcPr>
            <w:tcW w:w="653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exact"/>
              <w:ind w:left="0" w:right="0"/>
              <w:jc w:val="both"/>
              <w:rPr>
                <w:rFonts w:hint="eastAsia" w:ascii="宋体" w:hAnsi="宋体" w:eastAsia="宋体" w:cs="宋体"/>
                <w:color w:val="auto"/>
                <w:kern w:val="2"/>
                <w:sz w:val="22"/>
                <w:szCs w:val="22"/>
                <w:highlight w:val="none"/>
              </w:rPr>
            </w:pPr>
            <w:r>
              <w:rPr>
                <w:rFonts w:hint="eastAsia" w:ascii="Times New Roman" w:hAnsi="Times New Roman" w:cs="Times New Roman"/>
                <w:color w:val="auto"/>
                <w:kern w:val="2"/>
                <w:sz w:val="22"/>
                <w:szCs w:val="22"/>
                <w:highlight w:val="none"/>
              </w:rPr>
              <w:t>投标人</w:t>
            </w:r>
            <w:r>
              <w:rPr>
                <w:rFonts w:hint="eastAsia" w:ascii="宋体" w:hAnsi="宋体" w:eastAsia="宋体" w:cs="宋体"/>
                <w:color w:val="auto"/>
                <w:kern w:val="2"/>
                <w:sz w:val="22"/>
                <w:szCs w:val="22"/>
                <w:highlight w:val="none"/>
              </w:rPr>
              <w:t>或制造商</w:t>
            </w:r>
            <w:r>
              <w:rPr>
                <w:rFonts w:hint="eastAsia" w:ascii="宋体" w:hAnsi="宋体" w:cs="宋体"/>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核心产品</w:t>
            </w:r>
            <w:r>
              <w:rPr>
                <w:rFonts w:hint="eastAsia" w:ascii="宋体" w:hAnsi="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具有</w:t>
            </w:r>
            <w:r>
              <w:rPr>
                <w:rFonts w:hint="eastAsia" w:ascii="宋体" w:hAnsi="宋体" w:cs="宋体"/>
                <w:color w:val="auto"/>
                <w:sz w:val="22"/>
                <w:szCs w:val="22"/>
                <w:highlight w:val="none"/>
                <w:lang w:val="en-US" w:eastAsia="zh-CN"/>
              </w:rPr>
              <w:t>质量管理体系认证证书、环境管理体系认证证书、职业健康安全管理体系认证证书的，</w:t>
            </w:r>
            <w:r>
              <w:rPr>
                <w:rFonts w:hint="eastAsia" w:ascii="宋体" w:hAnsi="宋体" w:eastAsia="宋体" w:cs="宋体"/>
                <w:color w:val="auto"/>
                <w:kern w:val="2"/>
                <w:sz w:val="22"/>
                <w:szCs w:val="22"/>
                <w:highlight w:val="none"/>
              </w:rPr>
              <w:t>且在有效期内的，每一项得</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rPr>
              <w:t>分，</w:t>
            </w:r>
            <w:r>
              <w:rPr>
                <w:rFonts w:hint="eastAsia" w:ascii="宋体" w:hAnsi="宋体" w:eastAsia="宋体" w:cs="宋体"/>
                <w:b w:val="0"/>
                <w:bCs w:val="0"/>
                <w:color w:val="auto"/>
                <w:sz w:val="22"/>
                <w:szCs w:val="22"/>
                <w:highlight w:val="none"/>
                <w:lang w:val="en-US" w:eastAsia="zh-CN"/>
              </w:rPr>
              <w:t>满分</w:t>
            </w:r>
            <w:r>
              <w:rPr>
                <w:rFonts w:hint="eastAsia" w:ascii="宋体" w:hAnsi="宋体" w:eastAsia="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分；</w:t>
            </w:r>
          </w:p>
          <w:p>
            <w:pPr>
              <w:widowControl w:val="0"/>
              <w:spacing w:before="0" w:beforeAutospacing="0" w:after="0" w:afterAutospacing="0" w:line="360" w:lineRule="exact"/>
              <w:ind w:left="0" w:leftChars="0" w:right="0"/>
              <w:jc w:val="both"/>
              <w:rPr>
                <w:rFonts w:hint="eastAsia" w:ascii="Times New Roman" w:hAnsi="Times New Roman" w:cs="Times New Roman"/>
                <w:b/>
                <w:bCs/>
                <w:color w:val="auto"/>
                <w:kern w:val="2"/>
                <w:sz w:val="22"/>
                <w:szCs w:val="22"/>
                <w:highlight w:val="none"/>
                <w:lang w:val="en-US" w:eastAsia="zh-CN"/>
              </w:rPr>
            </w:pPr>
            <w:r>
              <w:rPr>
                <w:rFonts w:hint="eastAsia" w:ascii="Times New Roman" w:hAnsi="Times New Roman" w:cs="Times New Roman"/>
                <w:b/>
                <w:bCs/>
                <w:color w:val="auto"/>
                <w:kern w:val="2"/>
                <w:sz w:val="22"/>
                <w:szCs w:val="22"/>
                <w:highlight w:val="none"/>
              </w:rPr>
              <w:t>注：须提供证书</w:t>
            </w:r>
            <w:r>
              <w:rPr>
                <w:rFonts w:hint="eastAsia" w:ascii="Times New Roman" w:hAnsi="Times New Roman" w:cs="Times New Roman"/>
                <w:b/>
                <w:bCs/>
                <w:color w:val="auto"/>
                <w:kern w:val="2"/>
                <w:sz w:val="22"/>
                <w:szCs w:val="22"/>
                <w:highlight w:val="none"/>
                <w:lang w:eastAsia="zh-CN"/>
              </w:rPr>
              <w:t>复制件</w:t>
            </w:r>
            <w:r>
              <w:rPr>
                <w:rFonts w:hint="eastAsia" w:ascii="Times New Roman" w:hAnsi="Times New Roman" w:cs="Times New Roman"/>
                <w:b/>
                <w:bCs/>
                <w:color w:val="auto"/>
                <w:kern w:val="2"/>
                <w:sz w:val="22"/>
                <w:szCs w:val="22"/>
                <w:highlight w:val="none"/>
              </w:rPr>
              <w:t>和</w:t>
            </w:r>
            <w:r>
              <w:rPr>
                <w:rFonts w:hint="eastAsia" w:ascii="Times New Roman" w:hAnsi="Times New Roman" w:cs="Times New Roman"/>
                <w:b/>
                <w:bCs/>
                <w:color w:val="auto"/>
                <w:kern w:val="2"/>
                <w:sz w:val="22"/>
                <w:szCs w:val="22"/>
                <w:highlight w:val="none"/>
                <w:lang w:eastAsia="zh-CN"/>
              </w:rPr>
              <w:t>官网</w:t>
            </w:r>
            <w:r>
              <w:rPr>
                <w:rFonts w:hint="eastAsia" w:ascii="Times New Roman" w:hAnsi="Times New Roman" w:cs="Times New Roman"/>
                <w:b/>
                <w:bCs/>
                <w:color w:val="auto"/>
                <w:kern w:val="2"/>
                <w:sz w:val="22"/>
                <w:szCs w:val="22"/>
                <w:highlight w:val="none"/>
              </w:rPr>
              <w:t>查询链接</w:t>
            </w:r>
            <w:r>
              <w:rPr>
                <w:rFonts w:hint="eastAsia" w:ascii="Times New Roman" w:hAnsi="Times New Roman" w:cs="Times New Roman"/>
                <w:b/>
                <w:bCs/>
                <w:color w:val="auto"/>
                <w:kern w:val="2"/>
                <w:sz w:val="22"/>
                <w:szCs w:val="22"/>
                <w:highlight w:val="none"/>
                <w:lang w:eastAsia="zh-CN"/>
              </w:rPr>
              <w:t>截图</w:t>
            </w:r>
            <w:r>
              <w:rPr>
                <w:rFonts w:hint="eastAsia" w:ascii="Times New Roman" w:hAnsi="Times New Roman" w:cs="Times New Roman"/>
                <w:b/>
                <w:bCs/>
                <w:color w:val="auto"/>
                <w:kern w:val="2"/>
                <w:sz w:val="22"/>
                <w:szCs w:val="22"/>
                <w:highlight w:val="none"/>
              </w:rPr>
              <w:t>加盖公章给予佐证，否则不予得分</w:t>
            </w:r>
            <w:r>
              <w:rPr>
                <w:rFonts w:hint="eastAsia" w:ascii="Times New Roman" w:hAnsi="Times New Roman" w:cs="Times New Roman"/>
                <w:b/>
                <w:bCs/>
                <w:color w:val="auto"/>
                <w:kern w:val="2"/>
                <w:sz w:val="22"/>
                <w:szCs w:val="22"/>
                <w:highlight w:val="none"/>
                <w:lang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cs="宋体"/>
                <w:b w:val="0"/>
                <w:bCs/>
                <w:color w:val="auto"/>
                <w:sz w:val="22"/>
                <w:szCs w:val="22"/>
                <w:highlight w:val="none"/>
                <w:lang w:val="en-US" w:eastAsia="zh-CN"/>
              </w:rPr>
            </w:pPr>
            <w:r>
              <w:rPr>
                <w:rFonts w:hint="eastAsia" w:ascii="宋体" w:hAnsi="宋体" w:cs="宋体"/>
                <w:color w:val="auto"/>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2</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已完成</w:t>
            </w:r>
            <w:r>
              <w:rPr>
                <w:rFonts w:hint="eastAsia" w:ascii="宋体" w:hAnsi="宋体" w:eastAsia="宋体" w:cs="宋体"/>
                <w:bCs/>
                <w:color w:val="auto"/>
                <w:sz w:val="22"/>
                <w:szCs w:val="22"/>
                <w:highlight w:val="none"/>
                <w:lang w:val="en-US" w:eastAsia="zh-CN"/>
              </w:rPr>
              <w:t>同类项目业绩</w:t>
            </w:r>
          </w:p>
        </w:tc>
        <w:tc>
          <w:tcPr>
            <w:tcW w:w="653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202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年</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月1日至今（以合同签订日期为准），投标人或制造商</w:t>
            </w:r>
            <w:r>
              <w:rPr>
                <w:rFonts w:hint="eastAsia" w:ascii="宋体" w:hAnsi="宋体" w:eastAsia="宋体" w:cs="宋体"/>
                <w:color w:val="auto"/>
                <w:sz w:val="22"/>
                <w:szCs w:val="22"/>
                <w:highlight w:val="none"/>
              </w:rPr>
              <w:t>（业绩中</w:t>
            </w:r>
            <w:r>
              <w:rPr>
                <w:rFonts w:hint="eastAsia" w:ascii="宋体" w:hAnsi="宋体" w:eastAsia="宋体" w:cs="宋体"/>
                <w:color w:val="auto"/>
                <w:sz w:val="22"/>
                <w:szCs w:val="22"/>
                <w:highlight w:val="none"/>
                <w:lang w:val="en-US" w:eastAsia="zh-CN"/>
              </w:rPr>
              <w:t>至少包括核心产品</w:t>
            </w:r>
            <w:r>
              <w:rPr>
                <w:rFonts w:hint="eastAsia" w:ascii="宋体" w:hAnsi="宋体" w:eastAsia="宋体" w:cs="宋体"/>
                <w:color w:val="auto"/>
                <w:sz w:val="22"/>
                <w:szCs w:val="22"/>
                <w:highlight w:val="none"/>
              </w:rPr>
              <w:t>）</w:t>
            </w:r>
            <w:r>
              <w:rPr>
                <w:rFonts w:hint="eastAsia" w:ascii="宋体" w:hAnsi="宋体" w:eastAsia="宋体" w:cs="宋体"/>
                <w:b w:val="0"/>
                <w:bCs w:val="0"/>
                <w:color w:val="auto"/>
                <w:sz w:val="22"/>
                <w:szCs w:val="22"/>
                <w:highlight w:val="none"/>
                <w:lang w:val="en-US" w:eastAsia="zh-CN"/>
              </w:rPr>
              <w:t>的销售业绩，每提供1个得1分，满分3分。</w:t>
            </w:r>
          </w:p>
          <w:p>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合同签订主体为投标人或制造商。提供业绩的中标（成交）公告</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b w:val="0"/>
                <w:bCs w:val="0"/>
                <w:color w:val="auto"/>
                <w:sz w:val="22"/>
                <w:szCs w:val="22"/>
                <w:highlight w:val="none"/>
                <w:lang w:val="en-US" w:eastAsia="zh-CN"/>
              </w:rPr>
              <w:t>中标（成交）通知书</w:t>
            </w:r>
            <w:r>
              <w:rPr>
                <w:rFonts w:hint="eastAsia" w:ascii="宋体" w:hAnsi="宋体" w:cs="宋体"/>
                <w:b w:val="0"/>
                <w:bCs w:val="0"/>
                <w:color w:val="auto"/>
                <w:sz w:val="22"/>
                <w:szCs w:val="22"/>
                <w:highlight w:val="none"/>
                <w:lang w:val="en-US" w:eastAsia="zh-CN"/>
              </w:rPr>
              <w:t>和</w:t>
            </w:r>
            <w:r>
              <w:rPr>
                <w:rFonts w:hint="eastAsia" w:ascii="宋体" w:hAnsi="宋体" w:eastAsia="宋体" w:cs="宋体"/>
                <w:b w:val="0"/>
                <w:bCs w:val="0"/>
                <w:color w:val="auto"/>
                <w:sz w:val="22"/>
                <w:szCs w:val="22"/>
                <w:highlight w:val="none"/>
                <w:lang w:val="en-US" w:eastAsia="zh-CN"/>
              </w:rPr>
              <w:t>合同文本扫描件</w:t>
            </w:r>
            <w:r>
              <w:rPr>
                <w:rFonts w:hint="eastAsia" w:ascii="宋体" w:hAnsi="宋体" w:cs="宋体"/>
                <w:b w:val="0"/>
                <w:bCs w:val="0"/>
                <w:color w:val="auto"/>
                <w:sz w:val="22"/>
                <w:szCs w:val="22"/>
                <w:highlight w:val="none"/>
                <w:lang w:val="en-US" w:eastAsia="zh-CN"/>
              </w:rPr>
              <w:t>；</w:t>
            </w:r>
          </w:p>
          <w:p>
            <w:pPr>
              <w:wordWrap/>
              <w:spacing w:before="0" w:beforeAutospacing="0" w:after="0" w:afterAutospacing="0" w:line="360" w:lineRule="exact"/>
              <w:ind w:left="0" w:leftChars="0" w:right="0"/>
              <w:jc w:val="left"/>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2）提供该项目的销售</w:t>
            </w:r>
            <w:r>
              <w:rPr>
                <w:rFonts w:hint="eastAsia" w:ascii="宋体" w:hAnsi="宋体" w:eastAsia="宋体" w:cs="宋体"/>
                <w:b w:val="0"/>
                <w:bCs w:val="0"/>
                <w:color w:val="auto"/>
                <w:sz w:val="22"/>
                <w:szCs w:val="22"/>
                <w:highlight w:val="none"/>
                <w:lang w:val="en-US" w:eastAsia="zh-CN"/>
              </w:rPr>
              <w:t>发票扫描件</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bCs/>
                <w:color w:val="auto"/>
                <w:kern w:val="0"/>
                <w:sz w:val="22"/>
                <w:szCs w:val="22"/>
                <w:highlight w:val="none"/>
                <w:lang w:val="en-US" w:eastAsia="zh-CN"/>
              </w:rPr>
              <w:t>须同时提供</w:t>
            </w:r>
            <w:r>
              <w:rPr>
                <w:rFonts w:hint="eastAsia" w:ascii="宋体" w:hAnsi="宋体" w:eastAsia="宋体" w:cs="宋体"/>
                <w:b/>
                <w:bCs/>
                <w:color w:val="auto"/>
                <w:kern w:val="0"/>
                <w:sz w:val="22"/>
                <w:szCs w:val="22"/>
                <w:highlight w:val="none"/>
              </w:rPr>
              <w:t>在国家税务总局全国增值税发票查验平台中的查询截图（https</w:t>
            </w:r>
            <w:r>
              <w:rPr>
                <w:rFonts w:hint="eastAsia" w:ascii="宋体" w:hAnsi="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//inv-veri.chinatax.gov.cn/index.html）</w:t>
            </w:r>
            <w:r>
              <w:rPr>
                <w:rFonts w:hint="eastAsia" w:ascii="宋体" w:hAnsi="宋体" w:eastAsia="宋体" w:cs="宋体"/>
                <w:color w:val="auto"/>
                <w:kern w:val="0"/>
                <w:sz w:val="22"/>
                <w:szCs w:val="22"/>
                <w:highlight w:val="none"/>
                <w:lang w:eastAsia="zh-CN"/>
              </w:rPr>
              <w:t>。</w:t>
            </w:r>
            <w:r>
              <w:rPr>
                <w:rFonts w:hint="eastAsia" w:ascii="宋体" w:hAnsi="宋体" w:eastAsia="宋体" w:cs="宋体"/>
                <w:b w:val="0"/>
                <w:bCs w:val="0"/>
                <w:color w:val="auto"/>
                <w:sz w:val="22"/>
                <w:szCs w:val="22"/>
                <w:highlight w:val="none"/>
                <w:lang w:val="en-US" w:eastAsia="zh-CN"/>
              </w:rPr>
              <w:t>以上材料未提供完整</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color w:val="auto"/>
                <w:sz w:val="22"/>
                <w:szCs w:val="22"/>
                <w:highlight w:val="none"/>
              </w:rPr>
              <w:t>字迹模糊无法辨识的</w:t>
            </w:r>
            <w:r>
              <w:rPr>
                <w:rFonts w:hint="eastAsia" w:ascii="宋体" w:hAnsi="宋体" w:eastAsia="宋体" w:cs="宋体"/>
                <w:b w:val="0"/>
                <w:bCs w:val="0"/>
                <w:color w:val="auto"/>
                <w:sz w:val="22"/>
                <w:szCs w:val="22"/>
                <w:highlight w:val="none"/>
                <w:lang w:val="en-US" w:eastAsia="zh-CN"/>
              </w:rPr>
              <w:t>不得分。</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3</w:t>
            </w:r>
          </w:p>
        </w:tc>
        <w:tc>
          <w:tcPr>
            <w:tcW w:w="1261"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技术响应情况</w:t>
            </w:r>
          </w:p>
        </w:tc>
        <w:tc>
          <w:tcPr>
            <w:tcW w:w="653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投标人所提供</w:t>
            </w:r>
            <w:r>
              <w:rPr>
                <w:rFonts w:hint="eastAsia" w:ascii="宋体" w:hAnsi="宋体" w:cs="宋体"/>
                <w:color w:val="auto"/>
                <w:sz w:val="22"/>
                <w:szCs w:val="22"/>
                <w:highlight w:val="none"/>
                <w:lang w:val="en-US" w:eastAsia="zh-CN" w:bidi="ar-SA"/>
              </w:rPr>
              <w:t>产品</w:t>
            </w:r>
            <w:r>
              <w:rPr>
                <w:rFonts w:hint="eastAsia" w:ascii="宋体" w:hAnsi="宋体" w:eastAsia="宋体" w:cs="宋体"/>
                <w:color w:val="auto"/>
                <w:sz w:val="22"/>
                <w:szCs w:val="22"/>
                <w:highlight w:val="none"/>
                <w:lang w:val="en-US" w:eastAsia="zh-CN" w:bidi="ar-SA"/>
              </w:rPr>
              <w:t>的技术参数完全满足招标技术参数的得</w:t>
            </w:r>
            <w:r>
              <w:rPr>
                <w:rFonts w:hint="eastAsia" w:ascii="宋体" w:hAnsi="宋体" w:cs="宋体"/>
                <w:color w:val="auto"/>
                <w:sz w:val="22"/>
                <w:szCs w:val="22"/>
                <w:highlight w:val="none"/>
                <w:lang w:val="en-US" w:eastAsia="zh-CN" w:bidi="ar-SA"/>
              </w:rPr>
              <w:t>32</w:t>
            </w:r>
            <w:r>
              <w:rPr>
                <w:rFonts w:hint="eastAsia" w:ascii="宋体" w:hAnsi="宋体" w:eastAsia="宋体" w:cs="宋体"/>
                <w:color w:val="auto"/>
                <w:sz w:val="22"/>
                <w:szCs w:val="22"/>
                <w:highlight w:val="none"/>
                <w:lang w:val="en-US" w:eastAsia="zh-CN" w:bidi="ar-SA"/>
              </w:rPr>
              <w:t>分；</w:t>
            </w:r>
          </w:p>
          <w:p>
            <w:pPr>
              <w:wordWrap/>
              <w:spacing w:before="0" w:beforeAutospacing="0" w:after="0" w:afterAutospacing="0" w:line="360" w:lineRule="exact"/>
              <w:ind w:left="0" w:right="0"/>
              <w:jc w:val="left"/>
              <w:rPr>
                <w:rFonts w:hint="default" w:ascii="宋体" w:hAnsi="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lang w:val="en-US" w:eastAsia="zh-CN" w:bidi="ar-SA"/>
              </w:rPr>
              <w:t>带“★”的技术参数为重要参数，</w:t>
            </w:r>
            <w:r>
              <w:rPr>
                <w:rFonts w:hint="eastAsia" w:ascii="宋体" w:hAnsi="宋体" w:cs="宋体"/>
                <w:color w:val="auto"/>
                <w:sz w:val="22"/>
                <w:szCs w:val="22"/>
                <w:highlight w:val="none"/>
                <w:lang w:val="en-US" w:eastAsia="zh-CN" w:bidi="ar-SA"/>
              </w:rPr>
              <w:t>共21分；1~2项不满足得18分、3~4项不满足得14分、5~6项不满足得5分、</w:t>
            </w:r>
            <w:r>
              <w:rPr>
                <w:rFonts w:hint="eastAsia" w:ascii="宋体" w:hAnsi="宋体" w:cs="宋体"/>
                <w:b/>
                <w:bCs/>
                <w:color w:val="auto"/>
                <w:sz w:val="22"/>
                <w:szCs w:val="22"/>
                <w:highlight w:val="none"/>
                <w:lang w:val="en-US" w:eastAsia="zh-CN" w:bidi="ar-SA"/>
              </w:rPr>
              <w:t>7项及以上不满足0分</w:t>
            </w:r>
            <w:r>
              <w:rPr>
                <w:rFonts w:hint="eastAsia" w:ascii="宋体" w:hAnsi="宋体" w:cs="宋体"/>
                <w:color w:val="auto"/>
                <w:sz w:val="22"/>
                <w:szCs w:val="22"/>
                <w:highlight w:val="none"/>
                <w:lang w:val="en-US" w:eastAsia="zh-CN" w:bidi="ar-SA"/>
              </w:rPr>
              <w:t>；</w:t>
            </w:r>
          </w:p>
          <w:p>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②</w:t>
            </w:r>
            <w:r>
              <w:rPr>
                <w:rFonts w:hint="eastAsia" w:ascii="宋体" w:hAnsi="宋体" w:eastAsia="宋体" w:cs="宋体"/>
                <w:color w:val="auto"/>
                <w:sz w:val="22"/>
                <w:szCs w:val="22"/>
                <w:highlight w:val="none"/>
                <w:lang w:val="en-US" w:eastAsia="zh-CN" w:bidi="ar-SA"/>
              </w:rPr>
              <w:t>其它技术参数，</w:t>
            </w:r>
            <w:r>
              <w:rPr>
                <w:rFonts w:hint="eastAsia" w:ascii="宋体" w:hAnsi="宋体" w:cs="宋体"/>
                <w:color w:val="auto"/>
                <w:sz w:val="22"/>
                <w:szCs w:val="22"/>
                <w:highlight w:val="none"/>
                <w:lang w:val="en-US" w:eastAsia="zh-CN" w:bidi="ar-SA"/>
              </w:rPr>
              <w:t>共12分；1~4项不满足得10分、5~7项不满足得7分、8~11项不满足得4分、12项及以上不满足得0分</w:t>
            </w:r>
            <w:r>
              <w:rPr>
                <w:rFonts w:hint="eastAsia" w:ascii="宋体" w:hAnsi="宋体" w:eastAsia="宋体" w:cs="宋体"/>
                <w:b/>
                <w:bCs/>
                <w:color w:val="auto"/>
                <w:sz w:val="22"/>
                <w:szCs w:val="22"/>
                <w:highlight w:val="none"/>
                <w:lang w:val="en-US" w:eastAsia="zh-CN" w:bidi="ar-SA"/>
              </w:rPr>
              <w:t>。</w:t>
            </w:r>
          </w:p>
          <w:p>
            <w:pPr>
              <w:pStyle w:val="42"/>
              <w:widowControl w:val="0"/>
              <w:wordWrap/>
              <w:adjustRightInd w:val="0"/>
              <w:snapToGrid w:val="0"/>
              <w:spacing w:before="0" w:beforeAutospacing="0" w:after="0" w:afterAutospacing="0" w:line="440" w:lineRule="exact"/>
              <w:ind w:left="0" w:leftChars="0" w:right="0" w:firstLine="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bidi="ar-SA"/>
              </w:rPr>
              <w:t>注：</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项是否属于偏离由评审小组根据</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提供的参数是否在CMA或CNAS标志的第三方检验机构出具的检测/检验报告或工信部公告中</w:t>
            </w:r>
            <w:r>
              <w:rPr>
                <w:rFonts w:hint="eastAsia" w:ascii="宋体" w:hAnsi="宋体" w:cs="宋体"/>
                <w:b/>
                <w:bCs w:val="0"/>
                <w:color w:val="auto"/>
                <w:sz w:val="22"/>
                <w:szCs w:val="22"/>
                <w:highlight w:val="none"/>
                <w:lang w:val="en-US" w:eastAsia="zh-CN"/>
              </w:rPr>
              <w:t>的</w:t>
            </w:r>
            <w:r>
              <w:rPr>
                <w:rFonts w:hint="eastAsia" w:ascii="宋体" w:hAnsi="宋体" w:eastAsia="宋体" w:cs="宋体"/>
                <w:b/>
                <w:bCs w:val="0"/>
                <w:color w:val="auto"/>
                <w:sz w:val="22"/>
                <w:szCs w:val="22"/>
                <w:highlight w:val="none"/>
                <w:lang w:val="en-US" w:eastAsia="zh-CN"/>
              </w:rPr>
              <w:t>具体内容进行判定。</w:t>
            </w:r>
          </w:p>
          <w:p>
            <w:pPr>
              <w:wordWrap/>
              <w:spacing w:before="0" w:beforeAutospacing="0" w:after="0" w:afterAutospacing="0" w:line="360" w:lineRule="exact"/>
              <w:ind w:left="0" w:right="0" w:firstLine="221" w:firstLineChars="10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rPr>
              <w:t>其他未标“▲、</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”的参数指标，是否属于偏离指标以</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提供的响应材料</w:t>
            </w:r>
            <w:r>
              <w:rPr>
                <w:rFonts w:hint="eastAsia" w:ascii="宋体" w:hAnsi="宋体" w:cs="宋体"/>
                <w:b/>
                <w:bCs w:val="0"/>
                <w:color w:val="auto"/>
                <w:sz w:val="22"/>
                <w:szCs w:val="22"/>
                <w:highlight w:val="none"/>
                <w:lang w:val="en-US" w:eastAsia="zh-CN"/>
              </w:rPr>
              <w:t>（证明资料须提供列有相应技术参数检测检验报告扫描件或厂家产品彩页或厂家官方网站公布的截图或厂家产品说明书或技术方案说明等能够证明其所投产品能满足或达到招标要求）内容</w:t>
            </w:r>
            <w:r>
              <w:rPr>
                <w:rFonts w:hint="eastAsia" w:ascii="宋体" w:hAnsi="宋体" w:eastAsia="宋体" w:cs="宋体"/>
                <w:b/>
                <w:bCs w:val="0"/>
                <w:color w:val="auto"/>
                <w:sz w:val="22"/>
                <w:szCs w:val="22"/>
                <w:highlight w:val="none"/>
                <w:lang w:val="en-US" w:eastAsia="zh-CN"/>
              </w:rPr>
              <w:t>为准</w:t>
            </w:r>
            <w:r>
              <w:rPr>
                <w:rFonts w:hint="eastAsia" w:ascii="宋体" w:hAnsi="宋体" w:cs="宋体"/>
                <w:b/>
                <w:bCs w:val="0"/>
                <w:color w:val="auto"/>
                <w:sz w:val="22"/>
                <w:szCs w:val="22"/>
                <w:highlight w:val="none"/>
                <w:lang w:val="en-US"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33</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16" w:type="dxa"/>
            <w:tcBorders>
              <w:left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261" w:type="dxa"/>
            <w:tcBorders>
              <w:left w:val="single" w:color="auto" w:sz="4" w:space="0"/>
              <w:right w:val="single" w:color="auto" w:sz="4" w:space="0"/>
            </w:tcBorders>
            <w:shd w:val="clear" w:color="auto" w:fill="auto"/>
            <w:vAlign w:val="center"/>
          </w:tcPr>
          <w:p>
            <w:pPr>
              <w:wordWrap/>
              <w:spacing w:before="0" w:beforeAutospacing="0" w:after="0" w:afterAutospacing="0" w:line="360" w:lineRule="exact"/>
              <w:ind w:left="0" w:leftChars="0" w:right="0" w:rightChars="0"/>
              <w:jc w:val="center"/>
              <w:rPr>
                <w:rFonts w:hint="eastAsia" w:ascii="宋体" w:hAnsi="宋体" w:eastAsia="宋体" w:cs="宋体"/>
                <w:b w:val="0"/>
                <w:bCs w:val="0"/>
                <w:color w:val="auto"/>
                <w:sz w:val="22"/>
                <w:szCs w:val="22"/>
                <w:highlight w:val="none"/>
                <w:lang w:val="en-US" w:eastAsia="zh-CN" w:bidi="ar-SA"/>
              </w:rPr>
            </w:pPr>
            <w:r>
              <w:rPr>
                <w:rFonts w:hint="eastAsia" w:ascii="Times New Roman" w:hAnsi="宋体" w:cs="宋体"/>
                <w:color w:val="auto"/>
                <w:sz w:val="24"/>
                <w:szCs w:val="20"/>
              </w:rPr>
              <w:t>质量保证</w:t>
            </w:r>
          </w:p>
        </w:tc>
        <w:tc>
          <w:tcPr>
            <w:tcW w:w="65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①根据供应商提供针对本项目的投标产品质量保证的证明资料方案全面、内容合理、条理清晰的得2-3分；方案内容基本合理的得1-2分；方案内容表达不完整、有缺陷或方案内容不齐全的得0-1分；</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②根据供应商提供针对本项目的投标产品质量保证的承诺方案全面、内容合理、条理清晰的得2-3分；方案内容基本合理的得1-2分；方案内容表达不完整、有缺陷或方案内容不齐全的得0-1分；</w:t>
            </w:r>
          </w:p>
          <w:p>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③根据供应商提供针对本项目的投标产品质量保证的措施等内容，方案全面、内容合理、条理清晰的得1.5-2分；方案内容基本合理的得1-1.5分；方案内容表达不完整、有缺陷或方案内容不齐全的得0-1分；</w:t>
            </w:r>
          </w:p>
          <w:p>
            <w:pPr>
              <w:wordWrap/>
              <w:spacing w:before="0" w:beforeAutospacing="0" w:after="0" w:afterAutospacing="0" w:line="360" w:lineRule="exact"/>
              <w:ind w:left="0" w:leftChars="0" w:right="0" w:rightChars="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注：未提供的不得分。</w:t>
            </w:r>
          </w:p>
        </w:tc>
        <w:tc>
          <w:tcPr>
            <w:tcW w:w="715" w:type="dxa"/>
            <w:tcBorders>
              <w:left w:val="single" w:color="auto" w:sz="4" w:space="0"/>
              <w:right w:val="single" w:color="auto" w:sz="4" w:space="0"/>
            </w:tcBorders>
            <w:shd w:val="clear" w:color="auto" w:fill="auto"/>
            <w:vAlign w:val="center"/>
          </w:tcPr>
          <w:p>
            <w:pPr>
              <w:wordWrap/>
              <w:spacing w:before="0" w:beforeAutospacing="0" w:after="0" w:afterAutospacing="0" w:line="360" w:lineRule="exact"/>
              <w:ind w:left="0" w:leftChars="0" w:right="0" w:rightChars="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bidi="ar-SA"/>
              </w:rPr>
              <w:t>8</w:t>
            </w:r>
          </w:p>
        </w:tc>
        <w:tc>
          <w:tcPr>
            <w:tcW w:w="715" w:type="dxa"/>
            <w:tcBorders>
              <w:left w:val="single" w:color="auto" w:sz="4" w:space="0"/>
              <w:right w:val="single" w:color="auto" w:sz="4" w:space="0"/>
            </w:tcBorders>
            <w:shd w:val="clear" w:color="auto" w:fill="auto"/>
            <w:vAlign w:val="center"/>
          </w:tcPr>
          <w:p>
            <w:pPr>
              <w:wordWrap/>
              <w:spacing w:before="0" w:beforeAutospacing="0" w:after="0" w:afterAutospacing="0" w:line="360" w:lineRule="exact"/>
              <w:ind w:left="0" w:leftChars="0" w:right="0" w:rightChars="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color w:val="auto"/>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ordWrap/>
              <w:spacing w:before="0" w:beforeAutospacing="0" w:after="0" w:afterAutospacing="0" w:line="360" w:lineRule="exact"/>
              <w:ind w:left="0" w:leftChars="0" w:right="0" w:rightChars="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lang w:eastAsia="zh-CN"/>
              </w:rPr>
              <w:t>服务承诺</w:t>
            </w:r>
          </w:p>
        </w:tc>
        <w:tc>
          <w:tcPr>
            <w:tcW w:w="65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spacing w:before="0" w:beforeAutospacing="0" w:after="0" w:afterAutospacing="0" w:line="360" w:lineRule="exact"/>
              <w:ind w:left="0" w:right="0"/>
              <w:jc w:val="left"/>
              <w:rPr>
                <w:rFonts w:hint="default" w:ascii="宋体" w:hAnsi="宋体" w:cs="宋体"/>
                <w:b w:val="0"/>
                <w:bCs w:val="0"/>
                <w:color w:val="auto"/>
                <w:sz w:val="22"/>
                <w:szCs w:val="22"/>
                <w:highlight w:val="none"/>
                <w:lang w:val="en-US" w:eastAsia="zh-CN" w:bidi="ar-SA"/>
              </w:rPr>
            </w:pPr>
            <w:r>
              <w:rPr>
                <w:rFonts w:hint="default" w:ascii="宋体" w:hAnsi="宋体" w:cs="宋体"/>
                <w:b w:val="0"/>
                <w:bCs w:val="0"/>
                <w:color w:val="auto"/>
                <w:sz w:val="22"/>
                <w:szCs w:val="22"/>
                <w:highlight w:val="none"/>
                <w:lang w:val="en-US" w:eastAsia="zh-CN" w:bidi="ar-SA"/>
              </w:rPr>
              <w:t>针对本项目提供的服务承诺、交货要求的可行性及合理性，由评审小组综合打分。</w:t>
            </w:r>
          </w:p>
          <w:p>
            <w:pPr>
              <w:wordWrap/>
              <w:spacing w:before="0" w:beforeAutospacing="0" w:after="0" w:afterAutospacing="0" w:line="360" w:lineRule="exact"/>
              <w:ind w:left="0" w:right="0"/>
              <w:jc w:val="left"/>
              <w:rPr>
                <w:rFonts w:hint="default" w:ascii="宋体" w:hAnsi="宋体" w:cs="宋体"/>
                <w:b w:val="0"/>
                <w:bCs w:val="0"/>
                <w:color w:val="auto"/>
                <w:sz w:val="22"/>
                <w:szCs w:val="22"/>
                <w:highlight w:val="none"/>
                <w:lang w:val="en-US" w:eastAsia="zh-CN" w:bidi="ar-SA"/>
              </w:rPr>
            </w:pPr>
            <w:r>
              <w:rPr>
                <w:rFonts w:hint="default" w:ascii="宋体" w:hAnsi="宋体" w:cs="宋体"/>
                <w:b w:val="0"/>
                <w:bCs w:val="0"/>
                <w:color w:val="auto"/>
                <w:sz w:val="22"/>
                <w:szCs w:val="22"/>
                <w:highlight w:val="none"/>
                <w:lang w:val="en-US" w:eastAsia="zh-CN" w:bidi="ar-SA"/>
              </w:rPr>
              <w:t>（1）能贴合采购人需求，合理可行、针对性强的得3分；</w:t>
            </w:r>
          </w:p>
          <w:p>
            <w:pPr>
              <w:wordWrap/>
              <w:spacing w:before="0" w:beforeAutospacing="0" w:after="0" w:afterAutospacing="0" w:line="360" w:lineRule="exact"/>
              <w:ind w:left="0" w:right="0"/>
              <w:jc w:val="left"/>
              <w:rPr>
                <w:rFonts w:hint="default" w:ascii="宋体" w:hAnsi="宋体" w:cs="宋体"/>
                <w:b w:val="0"/>
                <w:bCs w:val="0"/>
                <w:color w:val="auto"/>
                <w:sz w:val="22"/>
                <w:szCs w:val="22"/>
                <w:highlight w:val="none"/>
                <w:lang w:val="en-US" w:eastAsia="zh-CN" w:bidi="ar-SA"/>
              </w:rPr>
            </w:pPr>
            <w:r>
              <w:rPr>
                <w:rFonts w:hint="default" w:ascii="宋体" w:hAnsi="宋体" w:cs="宋体"/>
                <w:b w:val="0"/>
                <w:bCs w:val="0"/>
                <w:color w:val="auto"/>
                <w:sz w:val="22"/>
                <w:szCs w:val="22"/>
                <w:highlight w:val="none"/>
                <w:lang w:val="en-US" w:eastAsia="zh-CN" w:bidi="ar-SA"/>
              </w:rPr>
              <w:t>（2）能比较贴合采购人需求，较合理可行、针对性较强的得2分；</w:t>
            </w:r>
          </w:p>
          <w:p>
            <w:pPr>
              <w:wordWrap/>
              <w:spacing w:before="0" w:beforeAutospacing="0" w:after="0" w:afterAutospacing="0" w:line="360" w:lineRule="exact"/>
              <w:ind w:left="0" w:right="0"/>
              <w:jc w:val="left"/>
              <w:rPr>
                <w:rFonts w:hint="default" w:ascii="宋体" w:hAnsi="宋体" w:cs="宋体"/>
                <w:b w:val="0"/>
                <w:bCs w:val="0"/>
                <w:color w:val="auto"/>
                <w:sz w:val="22"/>
                <w:szCs w:val="22"/>
                <w:highlight w:val="none"/>
                <w:lang w:val="en-US" w:eastAsia="zh-CN" w:bidi="ar-SA"/>
              </w:rPr>
            </w:pPr>
            <w:r>
              <w:rPr>
                <w:rFonts w:hint="default" w:ascii="宋体" w:hAnsi="宋体" w:cs="宋体"/>
                <w:b w:val="0"/>
                <w:bCs w:val="0"/>
                <w:color w:val="auto"/>
                <w:sz w:val="22"/>
                <w:szCs w:val="22"/>
                <w:highlight w:val="none"/>
                <w:lang w:val="en-US" w:eastAsia="zh-CN" w:bidi="ar-SA"/>
              </w:rPr>
              <w:t>（3）能基本贴合采购人需求，合理性、可行性、针对性一般的得1分；</w:t>
            </w:r>
          </w:p>
          <w:p>
            <w:pPr>
              <w:wordWrap/>
              <w:spacing w:before="0" w:beforeAutospacing="0" w:after="0" w:afterAutospacing="0" w:line="360" w:lineRule="exact"/>
              <w:ind w:left="0" w:leftChars="0" w:right="0" w:rightChars="0"/>
              <w:jc w:val="left"/>
              <w:rPr>
                <w:rFonts w:hint="default" w:ascii="宋体" w:hAnsi="宋体" w:eastAsia="宋体" w:cs="宋体"/>
                <w:b w:val="0"/>
                <w:bCs w:val="0"/>
                <w:color w:val="auto"/>
                <w:sz w:val="22"/>
                <w:szCs w:val="22"/>
                <w:highlight w:val="none"/>
                <w:lang w:val="en-US" w:eastAsia="zh-CN" w:bidi="ar-SA"/>
              </w:rPr>
            </w:pPr>
            <w:r>
              <w:rPr>
                <w:rFonts w:hint="default" w:ascii="宋体" w:hAnsi="宋体" w:cs="宋体"/>
                <w:b w:val="0"/>
                <w:bCs w:val="0"/>
                <w:color w:val="auto"/>
                <w:sz w:val="22"/>
                <w:szCs w:val="22"/>
                <w:highlight w:val="none"/>
                <w:lang w:val="en-US" w:eastAsia="zh-CN" w:bidi="ar-SA"/>
              </w:rPr>
              <w:t>（4）不能贴合采购人需求，合理性、可行性、针对性差的或者不提供的均不得分。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ordWrap/>
              <w:spacing w:before="0" w:beforeAutospacing="0" w:after="0" w:afterAutospacing="0" w:line="360" w:lineRule="exact"/>
              <w:ind w:left="0" w:leftChars="0" w:right="0" w:rightChars="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ordWrap/>
              <w:spacing w:before="0" w:beforeAutospacing="0" w:after="0" w:afterAutospacing="0" w:line="360" w:lineRule="exact"/>
              <w:ind w:left="0" w:leftChars="0" w:right="0" w:rightChars="0"/>
              <w:jc w:val="center"/>
              <w:rPr>
                <w:rFonts w:hint="eastAsia" w:ascii="宋体" w:hAnsi="宋体" w:eastAsia="宋体" w:cs="宋体"/>
                <w:color w:val="auto"/>
                <w:kern w:val="0"/>
                <w:sz w:val="20"/>
                <w:szCs w:val="21"/>
                <w:lang w:val="en-US" w:eastAsia="zh-CN" w:bidi="ar-SA"/>
              </w:rPr>
            </w:pPr>
            <w:r>
              <w:rPr>
                <w:rFonts w:hint="eastAsia" w:ascii="宋体" w:hAnsi="宋体" w:cs="宋体"/>
                <w:color w:val="auto"/>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16" w:type="dxa"/>
            <w:vMerge w:val="restart"/>
            <w:tcBorders>
              <w:top w:val="single" w:color="auto" w:sz="4" w:space="0"/>
              <w:left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261" w:type="dxa"/>
            <w:vMerge w:val="restart"/>
            <w:tcBorders>
              <w:top w:val="single" w:color="auto" w:sz="4" w:space="0"/>
              <w:left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售后服务方案</w:t>
            </w:r>
          </w:p>
        </w:tc>
        <w:tc>
          <w:tcPr>
            <w:tcW w:w="65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根据投标人提供的售后服务方案进行评分，售后服务响应方案包括：①售后服务内容</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②维护保养</w:t>
            </w:r>
            <w:r>
              <w:rPr>
                <w:rFonts w:hint="eastAsia" w:ascii="宋体" w:hAnsi="宋体" w:cs="宋体"/>
                <w:color w:val="auto"/>
                <w:sz w:val="22"/>
                <w:szCs w:val="22"/>
                <w:highlight w:val="none"/>
                <w:lang w:val="en-US" w:eastAsia="zh-CN"/>
              </w:rPr>
              <w:t>方案；</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3 \* GB3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③</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val="en-US" w:eastAsia="zh-CN"/>
              </w:rPr>
              <w:t>售后服务保障措施</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④备品备件及耗材供应。</w:t>
            </w:r>
          </w:p>
          <w:p>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方案内容完整</w:t>
            </w:r>
            <w:r>
              <w:rPr>
                <w:rFonts w:hint="eastAsia" w:ascii="宋体" w:hAnsi="宋体" w:cs="宋体"/>
                <w:b w:val="0"/>
                <w:bCs w:val="0"/>
                <w:color w:val="auto"/>
                <w:sz w:val="22"/>
                <w:szCs w:val="22"/>
                <w:highlight w:val="none"/>
                <w:lang w:val="en-US" w:eastAsia="zh-CN" w:bidi="ar-SA"/>
              </w:rPr>
              <w:t>无缺项</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满足招标内容及需求得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pPr>
              <w:spacing w:before="0" w:beforeAutospacing="0" w:after="0" w:afterAutospacing="0" w:line="240" w:lineRule="auto"/>
              <w:ind w:left="0" w:right="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vMerge w:val="continue"/>
            <w:tcBorders>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cs="宋体"/>
                <w:color w:val="auto"/>
                <w:sz w:val="22"/>
                <w:szCs w:val="22"/>
                <w:highlight w:val="none"/>
                <w:lang w:val="en-US" w:eastAsia="zh-CN"/>
              </w:rPr>
            </w:pPr>
          </w:p>
        </w:tc>
        <w:tc>
          <w:tcPr>
            <w:tcW w:w="1261" w:type="dxa"/>
            <w:vMerge w:val="continue"/>
            <w:tcBorders>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p>
        </w:tc>
        <w:tc>
          <w:tcPr>
            <w:tcW w:w="65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所投产品</w:t>
            </w:r>
            <w:r>
              <w:rPr>
                <w:rFonts w:hint="eastAsia" w:ascii="宋体" w:hAnsi="宋体" w:eastAsia="宋体" w:cs="宋体"/>
                <w:color w:val="auto"/>
                <w:sz w:val="22"/>
                <w:szCs w:val="22"/>
                <w:highlight w:val="none"/>
                <w:lang w:val="en-US" w:eastAsia="zh-CN"/>
              </w:rPr>
              <w:t>便捷服务能力及售后质保服务能力</w:t>
            </w:r>
            <w:r>
              <w:rPr>
                <w:rFonts w:hint="eastAsia" w:ascii="宋体" w:hAnsi="宋体" w:eastAsia="宋体" w:cs="宋体"/>
                <w:color w:val="auto"/>
                <w:sz w:val="22"/>
                <w:szCs w:val="22"/>
                <w:highlight w:val="none"/>
              </w:rPr>
              <w:t>：</w:t>
            </w:r>
          </w:p>
          <w:p>
            <w:pPr>
              <w:numPr>
                <w:ilvl w:val="0"/>
                <w:numId w:val="11"/>
              </w:num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便捷服务能力的</w:t>
            </w:r>
            <w:r>
              <w:rPr>
                <w:rFonts w:hint="eastAsia" w:ascii="宋体" w:hAnsi="宋体" w:eastAsia="宋体" w:cs="宋体"/>
                <w:color w:val="auto"/>
                <w:sz w:val="22"/>
                <w:szCs w:val="22"/>
                <w:highlight w:val="none"/>
              </w:rPr>
              <w:t>服务响应时间</w:t>
            </w:r>
            <w:r>
              <w:rPr>
                <w:rFonts w:hint="eastAsia" w:ascii="宋体" w:hAnsi="宋体" w:eastAsia="宋体" w:cs="宋体"/>
                <w:color w:val="auto"/>
                <w:sz w:val="22"/>
                <w:szCs w:val="22"/>
                <w:highlight w:val="none"/>
                <w:lang w:eastAsia="zh-CN"/>
              </w:rPr>
              <w:t>（从有能力处理故障的服务点计算）</w:t>
            </w:r>
          </w:p>
          <w:p>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8"/>
                <w:highlight w:val="none"/>
                <w:lang w:val="en-US" w:eastAsia="zh-CN" w:bidi="ar-SA"/>
              </w:rPr>
              <w:t>①</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2小时及以</w:t>
            </w:r>
            <w:r>
              <w:rPr>
                <w:rFonts w:hint="eastAsia" w:ascii="宋体" w:hAnsi="宋体" w:eastAsia="宋体" w:cs="宋体"/>
                <w:color w:val="auto"/>
                <w:sz w:val="22"/>
                <w:szCs w:val="22"/>
                <w:highlight w:val="none"/>
              </w:rPr>
              <w:t>内</w:t>
            </w:r>
            <w:r>
              <w:rPr>
                <w:rFonts w:hint="eastAsia" w:ascii="宋体" w:hAnsi="宋体" w:eastAsia="宋体" w:cs="宋体"/>
                <w:color w:val="auto"/>
                <w:sz w:val="22"/>
                <w:szCs w:val="22"/>
                <w:highlight w:val="none"/>
                <w:lang w:eastAsia="zh-CN"/>
              </w:rPr>
              <w:t>赶到现场处理问题的，得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pPr>
              <w:numPr>
                <w:ilvl w:val="0"/>
                <w:numId w:val="0"/>
              </w:numPr>
              <w:spacing w:before="0" w:beforeAutospacing="0" w:after="0" w:afterAutospacing="0" w:line="240" w:lineRule="auto"/>
              <w:ind w:left="0" w:right="0"/>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②</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2~5小时</w:t>
            </w:r>
            <w:r>
              <w:rPr>
                <w:rFonts w:hint="eastAsia" w:ascii="宋体" w:hAnsi="宋体" w:eastAsia="宋体" w:cs="宋体"/>
                <w:color w:val="auto"/>
                <w:sz w:val="22"/>
                <w:szCs w:val="22"/>
                <w:highlight w:val="none"/>
                <w:lang w:eastAsia="zh-CN"/>
              </w:rPr>
              <w:t>赶到现场处理问题的，得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p>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8"/>
                <w:highlight w:val="none"/>
                <w:lang w:val="en-US" w:eastAsia="zh-CN" w:bidi="ar-SA"/>
              </w:rPr>
              <w:t>③</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5~8小时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p>
          <w:p>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8小时</w:t>
            </w:r>
            <w:r>
              <w:rPr>
                <w:rFonts w:hint="eastAsia" w:ascii="宋体" w:hAnsi="宋体" w:eastAsia="宋体" w:cs="宋体"/>
                <w:color w:val="auto"/>
                <w:sz w:val="22"/>
                <w:szCs w:val="22"/>
                <w:highlight w:val="none"/>
                <w:lang w:eastAsia="zh-CN"/>
              </w:rPr>
              <w:t>以上赶到现场处理问题的，得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分。</w:t>
            </w:r>
          </w:p>
          <w:p>
            <w:pPr>
              <w:pStyle w:val="18"/>
              <w:numPr>
                <w:ilvl w:val="0"/>
                <w:numId w:val="11"/>
              </w:numPr>
              <w:spacing w:before="0" w:beforeAutospacing="0" w:afterAutospacing="0"/>
              <w:ind w:left="0" w:leftChars="0" w:right="0" w:firstLine="0" w:firstLineChars="0"/>
              <w:rPr>
                <w:rFonts w:hint="eastAsia" w:ascii="宋体" w:hAnsi="宋体" w:eastAsia="宋体" w:cs="宋体"/>
                <w:color w:val="auto"/>
                <w:sz w:val="20"/>
                <w:szCs w:val="20"/>
                <w:lang w:val="en-US" w:eastAsia="zh-CN"/>
              </w:rPr>
            </w:pPr>
            <w:r>
              <w:rPr>
                <w:rFonts w:hint="eastAsia" w:ascii="宋体" w:hAnsi="宋体" w:eastAsia="宋体" w:cs="宋体"/>
                <w:i w:val="0"/>
                <w:iCs w:val="0"/>
                <w:caps w:val="0"/>
                <w:color w:val="auto"/>
                <w:spacing w:val="0"/>
                <w:sz w:val="22"/>
                <w:szCs w:val="22"/>
                <w:highlight w:val="none"/>
                <w:shd w:val="clear" w:color="auto" w:fill="auto"/>
                <w:lang w:eastAsia="zh-CN"/>
              </w:rPr>
              <w:t>上述时间经过评审属于</w:t>
            </w:r>
            <w:r>
              <w:rPr>
                <w:rFonts w:hint="eastAsia" w:ascii="宋体" w:hAnsi="宋体" w:eastAsia="宋体" w:cs="宋体"/>
                <w:i w:val="0"/>
                <w:iCs w:val="0"/>
                <w:caps w:val="0"/>
                <w:color w:val="auto"/>
                <w:spacing w:val="0"/>
                <w:sz w:val="22"/>
                <w:szCs w:val="22"/>
                <w:highlight w:val="none"/>
                <w:shd w:val="clear" w:color="auto" w:fill="auto"/>
              </w:rPr>
              <w:t>凭空编造</w:t>
            </w:r>
            <w:r>
              <w:rPr>
                <w:rFonts w:hint="eastAsia" w:ascii="宋体" w:hAnsi="宋体" w:eastAsia="宋体" w:cs="宋体"/>
                <w:i w:val="0"/>
                <w:iCs w:val="0"/>
                <w:caps w:val="0"/>
                <w:color w:val="auto"/>
                <w:spacing w:val="0"/>
                <w:sz w:val="22"/>
                <w:szCs w:val="22"/>
                <w:highlight w:val="none"/>
                <w:shd w:val="clear" w:color="auto" w:fill="auto"/>
                <w:lang w:eastAsia="zh-CN"/>
              </w:rPr>
              <w:t>、</w:t>
            </w:r>
            <w:r>
              <w:rPr>
                <w:rFonts w:hint="eastAsia" w:ascii="宋体" w:hAnsi="宋体" w:eastAsia="宋体" w:cs="宋体"/>
                <w:i w:val="0"/>
                <w:iCs w:val="0"/>
                <w:caps w:val="0"/>
                <w:color w:val="auto"/>
                <w:spacing w:val="0"/>
                <w:sz w:val="22"/>
                <w:szCs w:val="22"/>
                <w:highlight w:val="none"/>
                <w:shd w:val="clear" w:color="auto" w:fill="auto"/>
              </w:rPr>
              <w:t>不符合</w:t>
            </w:r>
            <w:r>
              <w:rPr>
                <w:rFonts w:hint="eastAsia" w:ascii="宋体" w:hAnsi="宋体" w:eastAsia="宋体" w:cs="宋体"/>
                <w:i w:val="0"/>
                <w:iCs w:val="0"/>
                <w:caps w:val="0"/>
                <w:color w:val="auto"/>
                <w:spacing w:val="0"/>
                <w:sz w:val="22"/>
                <w:szCs w:val="22"/>
                <w:highlight w:val="none"/>
                <w:shd w:val="clear" w:color="auto" w:fill="auto"/>
                <w:lang w:eastAsia="zh-CN"/>
              </w:rPr>
              <w:t>实际的不得分</w:t>
            </w:r>
            <w:r>
              <w:rPr>
                <w:rFonts w:hint="eastAsia" w:ascii="宋体" w:hAnsi="宋体" w:cs="宋体"/>
                <w:i w:val="0"/>
                <w:iCs w:val="0"/>
                <w:caps w:val="0"/>
                <w:color w:val="auto"/>
                <w:spacing w:val="0"/>
                <w:sz w:val="22"/>
                <w:szCs w:val="22"/>
                <w:highlight w:val="none"/>
                <w:shd w:val="clear" w:color="auto" w:fill="auto"/>
                <w:lang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培训方案</w:t>
            </w:r>
          </w:p>
        </w:tc>
        <w:tc>
          <w:tcPr>
            <w:tcW w:w="653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根据投标人提供的培训方案进行评分，培训方案包括：①培训方式；②培训内容；③培训人员团队；④培训流程；</w:t>
            </w:r>
          </w:p>
          <w:p>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方案内容全面安排合理，且切合项目实际得5分；</w:t>
            </w:r>
          </w:p>
          <w:p>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方案内容全面安排较为合理，或较为切合项目实际得3分；</w:t>
            </w:r>
          </w:p>
          <w:p>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w:t>
            </w:r>
            <w:r>
              <w:rPr>
                <w:rFonts w:hint="eastAsia" w:ascii="宋体" w:hAnsi="宋体" w:eastAsia="宋体" w:cs="宋体"/>
                <w:color w:val="auto"/>
                <w:sz w:val="21"/>
                <w:szCs w:val="21"/>
                <w:highlight w:val="none"/>
                <w:lang w:val="en-US" w:eastAsia="zh-CN" w:bidi="ar-SA"/>
              </w:rPr>
              <w:t>安排不合理，未切合项目实际</w:t>
            </w:r>
            <w:r>
              <w:rPr>
                <w:rFonts w:hint="eastAsia" w:ascii="宋体" w:hAnsi="宋体" w:eastAsia="宋体" w:cs="宋体"/>
                <w:color w:val="auto"/>
                <w:sz w:val="22"/>
                <w:szCs w:val="28"/>
                <w:highlight w:val="none"/>
                <w:lang w:val="en-US" w:eastAsia="zh-CN" w:bidi="ar-SA"/>
              </w:rPr>
              <w:t>1分；</w:t>
            </w:r>
          </w:p>
          <w:p>
            <w:pPr>
              <w:wordWrap/>
              <w:spacing w:before="0" w:beforeAutospacing="0" w:after="0" w:afterAutospacing="0" w:line="360" w:lineRule="exact"/>
              <w:ind w:left="0" w:right="0"/>
              <w:jc w:val="left"/>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2"/>
                <w:szCs w:val="28"/>
                <w:highlight w:val="none"/>
                <w:lang w:val="en-US" w:eastAsia="zh-CN" w:bidi="ar-SA"/>
              </w:rPr>
              <w:t>方案内容安排不满足招标内容及需求或无阐述得0分。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lang w:eastAsia="zh-CN"/>
              </w:rPr>
              <w:t>主</w:t>
            </w:r>
            <w:r>
              <w:rPr>
                <w:rFonts w:hint="eastAsia" w:ascii="宋体" w:hAnsi="宋体" w:cs="宋体"/>
                <w:color w:val="auto"/>
                <w:kern w:val="0"/>
                <w:sz w:val="20"/>
                <w:szCs w:val="21"/>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before="0" w:beforeAutospacing="0" w:after="0" w:afterAutospacing="0" w:line="360" w:lineRule="exact"/>
              <w:ind w:left="0" w:right="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ordWrap/>
              <w:spacing w:before="0" w:beforeAutospacing="0" w:after="0" w:afterAutospacing="0" w:line="360" w:lineRule="exact"/>
              <w:ind w:left="0" w:leftChars="0" w:right="0" w:rightChars="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bidi="ar-SA"/>
              </w:rPr>
              <w:t>样品</w:t>
            </w:r>
          </w:p>
        </w:tc>
        <w:tc>
          <w:tcPr>
            <w:tcW w:w="65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spacing w:before="0" w:beforeAutospacing="0" w:after="0" w:afterAutospacing="0" w:line="360" w:lineRule="exact"/>
              <w:ind w:left="0" w:leftChars="0" w:right="0" w:rightChars="0"/>
              <w:jc w:val="left"/>
              <w:rPr>
                <w:rFonts w:hint="eastAsia" w:ascii="宋体" w:hAnsi="宋体" w:eastAsia="宋体" w:cs="宋体"/>
                <w:color w:val="auto"/>
                <w:sz w:val="22"/>
                <w:highlight w:val="none"/>
              </w:rPr>
            </w:pPr>
            <w:r>
              <w:rPr>
                <w:rFonts w:hint="eastAsia" w:ascii="宋体" w:hAnsi="宋体" w:eastAsia="宋体" w:cs="宋体"/>
                <w:b w:val="0"/>
                <w:bCs w:val="0"/>
                <w:color w:val="auto"/>
                <w:sz w:val="22"/>
                <w:szCs w:val="22"/>
                <w:highlight w:val="none"/>
                <w:lang w:val="en-US" w:eastAsia="zh-CN" w:bidi="ar-SA"/>
              </w:rPr>
              <w:t>根据</w:t>
            </w:r>
            <w:r>
              <w:rPr>
                <w:rFonts w:hint="default" w:ascii="宋体" w:hAnsi="宋体" w:eastAsia="宋体" w:cs="宋体"/>
                <w:b w:val="0"/>
                <w:bCs w:val="0"/>
                <w:color w:val="auto"/>
                <w:sz w:val="22"/>
                <w:szCs w:val="22"/>
                <w:highlight w:val="none"/>
                <w:lang w:val="en-US" w:eastAsia="zh-CN" w:bidi="ar-SA"/>
              </w:rPr>
              <w:t>14自救呼吸器、19漏电检测仪</w:t>
            </w:r>
            <w:r>
              <w:rPr>
                <w:rFonts w:hint="eastAsia" w:ascii="宋体" w:hAnsi="宋体" w:eastAsia="宋体" w:cs="宋体"/>
                <w:b w:val="0"/>
                <w:bCs w:val="0"/>
                <w:color w:val="auto"/>
                <w:sz w:val="22"/>
                <w:szCs w:val="22"/>
                <w:highlight w:val="none"/>
                <w:lang w:val="en-US" w:eastAsia="zh-CN" w:bidi="ar-SA"/>
              </w:rPr>
              <w:t>样品</w:t>
            </w:r>
            <w:r>
              <w:rPr>
                <w:rFonts w:hint="eastAsia" w:ascii="宋体" w:hAnsi="宋体" w:eastAsia="宋体" w:cs="宋体"/>
                <w:color w:val="auto"/>
                <w:sz w:val="22"/>
                <w:highlight w:val="none"/>
              </w:rPr>
              <w:t>从以下几个方面进行全面评价综合打分：</w:t>
            </w:r>
          </w:p>
          <w:p>
            <w:pPr>
              <w:spacing w:before="0" w:beforeAutospacing="0" w:after="0" w:afterAutospacing="0"/>
              <w:ind w:left="0" w:right="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w:t>
            </w:r>
            <w:r>
              <w:rPr>
                <w:rFonts w:hint="eastAsia" w:ascii="宋体" w:hAnsi="宋体" w:eastAsia="宋体" w:cs="宋体"/>
                <w:color w:val="auto"/>
                <w:sz w:val="22"/>
                <w:highlight w:val="none"/>
              </w:rPr>
              <w:t>整体外观美观、标识清晰</w:t>
            </w:r>
            <w:r>
              <w:rPr>
                <w:rFonts w:hint="eastAsia" w:ascii="宋体" w:hAnsi="宋体" w:eastAsia="宋体" w:cs="宋体"/>
                <w:color w:val="auto"/>
                <w:sz w:val="22"/>
                <w:highlight w:val="none"/>
                <w:lang w:eastAsia="zh-CN"/>
              </w:rPr>
              <w:t>度</w:t>
            </w:r>
            <w:r>
              <w:rPr>
                <w:rFonts w:hint="eastAsia" w:ascii="宋体" w:hAnsi="宋体" w:eastAsia="宋体" w:cs="宋体"/>
                <w:color w:val="auto"/>
                <w:sz w:val="22"/>
                <w:highlight w:val="none"/>
              </w:rPr>
              <w:t>；</w:t>
            </w:r>
          </w:p>
          <w:p>
            <w:pPr>
              <w:spacing w:before="0" w:beforeAutospacing="0" w:after="0" w:afterAutospacing="0"/>
              <w:ind w:left="0" w:right="0"/>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w:t>
            </w:r>
            <w:r>
              <w:rPr>
                <w:rFonts w:hint="eastAsia" w:ascii="宋体" w:hAnsi="宋体" w:eastAsia="宋体" w:cs="宋体"/>
                <w:color w:val="auto"/>
                <w:sz w:val="22"/>
                <w:highlight w:val="none"/>
                <w:lang w:eastAsia="zh-CN"/>
              </w:rPr>
              <w:t>使用便捷性</w:t>
            </w:r>
            <w:r>
              <w:rPr>
                <w:rFonts w:hint="eastAsia" w:ascii="宋体" w:hAnsi="宋体" w:eastAsia="宋体" w:cs="宋体"/>
                <w:color w:val="auto"/>
                <w:sz w:val="22"/>
                <w:highlight w:val="none"/>
              </w:rPr>
              <w:t>；</w:t>
            </w:r>
          </w:p>
          <w:p>
            <w:pPr>
              <w:spacing w:before="0" w:beforeAutospacing="0" w:after="0" w:afterAutospacing="0"/>
              <w:ind w:left="0" w:right="0"/>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r>
              <w:rPr>
                <w:rFonts w:hint="eastAsia" w:ascii="宋体" w:hAnsi="宋体" w:eastAsia="宋体" w:cs="宋体"/>
                <w:color w:val="auto"/>
                <w:sz w:val="22"/>
                <w:highlight w:val="none"/>
                <w:lang w:val="en-US" w:eastAsia="zh-CN"/>
              </w:rPr>
              <w:t>.</w:t>
            </w:r>
            <w:r>
              <w:rPr>
                <w:rFonts w:hint="eastAsia" w:ascii="宋体" w:hAnsi="宋体" w:eastAsia="宋体" w:cs="宋体"/>
                <w:color w:val="auto"/>
                <w:sz w:val="22"/>
                <w:highlight w:val="none"/>
              </w:rPr>
              <w:t>样品细节、合理性、制作工艺水平；</w:t>
            </w:r>
          </w:p>
          <w:p>
            <w:pPr>
              <w:spacing w:before="0" w:beforeAutospacing="0" w:after="0" w:afterAutospacing="0"/>
              <w:ind w:left="0" w:right="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4</w:t>
            </w:r>
            <w:r>
              <w:rPr>
                <w:rFonts w:hint="eastAsia" w:ascii="宋体" w:hAnsi="宋体" w:eastAsia="宋体" w:cs="宋体"/>
                <w:color w:val="auto"/>
                <w:sz w:val="22"/>
                <w:highlight w:val="none"/>
                <w:lang w:val="en-US" w:eastAsia="zh-CN"/>
              </w:rPr>
              <w:t>.规格、技术性能满足情况</w:t>
            </w:r>
            <w:r>
              <w:rPr>
                <w:rFonts w:hint="eastAsia" w:ascii="宋体" w:hAnsi="宋体" w:eastAsia="宋体" w:cs="宋体"/>
                <w:color w:val="auto"/>
                <w:sz w:val="22"/>
                <w:highlight w:val="none"/>
                <w:lang w:eastAsia="zh-CN"/>
              </w:rPr>
              <w:t>。</w:t>
            </w:r>
          </w:p>
          <w:p>
            <w:pPr>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lang w:val="en-US" w:eastAsia="zh-CN"/>
              </w:rPr>
              <w:t>不提供</w:t>
            </w:r>
            <w:r>
              <w:rPr>
                <w:rFonts w:hint="eastAsia" w:ascii="宋体" w:hAnsi="宋体" w:eastAsia="宋体" w:cs="宋体"/>
                <w:color w:val="auto"/>
                <w:sz w:val="22"/>
                <w:szCs w:val="22"/>
                <w:highlight w:val="none"/>
              </w:rPr>
              <w:t>样品的，得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p>
            <w:pPr>
              <w:wordWrap/>
              <w:spacing w:before="0" w:beforeAutospacing="0" w:after="0" w:afterAutospacing="0" w:line="360" w:lineRule="exact"/>
              <w:ind w:left="0" w:leftChars="0" w:right="0" w:rightChars="0"/>
              <w:jc w:val="left"/>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rPr>
              <w:t>A档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4.5</w:t>
            </w:r>
            <w:r>
              <w:rPr>
                <w:rFonts w:hint="eastAsia" w:ascii="宋体" w:hAnsi="宋体" w:eastAsia="宋体" w:cs="宋体"/>
                <w:color w:val="auto"/>
                <w:sz w:val="22"/>
                <w:szCs w:val="22"/>
                <w:highlight w:val="none"/>
              </w:rPr>
              <w:t>分，B档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C档：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ordWrap/>
              <w:spacing w:before="0" w:beforeAutospacing="0" w:after="0" w:afterAutospacing="0" w:line="360" w:lineRule="exact"/>
              <w:ind w:left="0" w:leftChars="0" w:right="0" w:rightChars="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ordWrap/>
              <w:spacing w:before="0" w:beforeAutospacing="0" w:after="0" w:afterAutospacing="0" w:line="360" w:lineRule="exact"/>
              <w:ind w:left="0" w:leftChars="0" w:right="0" w:rightChars="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color w:val="auto"/>
                <w:kern w:val="0"/>
                <w:sz w:val="20"/>
                <w:szCs w:val="21"/>
              </w:rPr>
              <w:t>主观分</w:t>
            </w:r>
          </w:p>
        </w:tc>
      </w:tr>
    </w:tbl>
    <w:p>
      <w:pPr>
        <w:spacing w:line="440" w:lineRule="exact"/>
        <w:rPr>
          <w:rFonts w:hint="eastAsia" w:ascii="宋体" w:hAnsi="宋体" w:cs="宋体"/>
          <w:color w:val="auto"/>
          <w:sz w:val="22"/>
          <w:szCs w:val="22"/>
          <w:highlight w:val="none"/>
        </w:rPr>
      </w:pPr>
    </w:p>
    <w:p>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价格评分（3</w:t>
      </w:r>
      <w:r>
        <w:rPr>
          <w:rFonts w:ascii="宋体" w:hAnsi="宋体" w:cs="宋体"/>
          <w:b/>
          <w:color w:val="auto"/>
          <w:sz w:val="22"/>
          <w:szCs w:val="22"/>
          <w:highlight w:val="none"/>
        </w:rPr>
        <w:t>0</w:t>
      </w:r>
      <w:r>
        <w:rPr>
          <w:rFonts w:hint="eastAsia" w:ascii="宋体" w:hAnsi="宋体" w:cs="宋体"/>
          <w:b/>
          <w:color w:val="auto"/>
          <w:sz w:val="22"/>
          <w:szCs w:val="22"/>
          <w:highlight w:val="none"/>
        </w:rPr>
        <w:t>分）</w:t>
      </w:r>
      <w:r>
        <w:rPr>
          <w:rFonts w:hint="eastAsia" w:ascii="宋体" w:hAnsi="宋体" w:cs="宋体"/>
          <w:b/>
          <w:color w:val="auto"/>
          <w:sz w:val="22"/>
          <w:szCs w:val="22"/>
          <w:highlight w:val="none"/>
          <w:lang w:eastAsia="zh-CN"/>
        </w:rPr>
        <w:t>（标项</w:t>
      </w:r>
      <w:r>
        <w:rPr>
          <w:rFonts w:hint="eastAsia" w:ascii="宋体" w:hAnsi="宋体" w:cs="宋体"/>
          <w:b/>
          <w:color w:val="auto"/>
          <w:sz w:val="22"/>
          <w:szCs w:val="22"/>
          <w:highlight w:val="none"/>
          <w:lang w:val="en-US" w:eastAsia="zh-CN"/>
        </w:rPr>
        <w:t>1、标项2通用</w:t>
      </w:r>
      <w:r>
        <w:rPr>
          <w:rFonts w:hint="eastAsia" w:ascii="宋体" w:hAnsi="宋体" w:cs="宋体"/>
          <w:b/>
          <w:color w:val="auto"/>
          <w:sz w:val="22"/>
          <w:szCs w:val="22"/>
          <w:highlight w:val="none"/>
          <w:lang w:eastAsia="zh-CN"/>
        </w:rPr>
        <w:t>）</w:t>
      </w:r>
    </w:p>
    <w:p>
      <w:pPr>
        <w:spacing w:line="440" w:lineRule="exact"/>
        <w:ind w:left="328" w:leftChars="156"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满足招标文件要求且投标价格最低的投标报价为评标基准价。</w:t>
      </w:r>
    </w:p>
    <w:p>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（1）有效投标人的投标报价等于评标基准价时其价格分为满分3</w:t>
      </w:r>
      <w:r>
        <w:rPr>
          <w:rFonts w:ascii="宋体" w:hAnsi="宋体" w:cs="宋体"/>
          <w:color w:val="auto"/>
          <w:sz w:val="22"/>
          <w:szCs w:val="22"/>
          <w:highlight w:val="none"/>
        </w:rPr>
        <w:t>0</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投标报价得分=（评标基准价/投标人投标价）× 价格权值 ×100（四舍五入，保留小数点后2位）</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（3）如投标人报价超过采购预算，按无效标处理。</w:t>
      </w:r>
    </w:p>
    <w:p>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3．  有效投标人的综合得分为商务技术分和价格分的总和。</w:t>
      </w:r>
    </w:p>
    <w:p>
      <w:pPr>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六． 推荐中标候选人</w:t>
      </w:r>
    </w:p>
    <w:p>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得分且投标报价相同的</w:t>
      </w:r>
      <w:r>
        <w:rPr>
          <w:rFonts w:hint="eastAsia" w:ascii="宋体" w:hAnsi="宋体" w:cs="宋体"/>
          <w:color w:val="auto"/>
          <w:sz w:val="22"/>
          <w:szCs w:val="22"/>
          <w:highlight w:val="none"/>
          <w:lang w:val="en-US" w:eastAsia="zh-CN"/>
        </w:rPr>
        <w:t>抽签确定名次</w:t>
      </w:r>
      <w:r>
        <w:rPr>
          <w:rFonts w:hint="eastAsia" w:ascii="宋体" w:hAnsi="宋体" w:cs="宋体"/>
          <w:color w:val="auto"/>
          <w:sz w:val="22"/>
          <w:szCs w:val="22"/>
          <w:highlight w:val="none"/>
        </w:rPr>
        <w:t>）。</w:t>
      </w:r>
    </w:p>
    <w:p>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七． 确定中标人</w:t>
      </w:r>
    </w:p>
    <w:p>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八． 投标人义务</w:t>
      </w:r>
    </w:p>
    <w:p>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投标人应随时接受评标委员会的询标，解答包括有关的商务、技术等问题。评标结束，所有评标资料归档备查。</w:t>
      </w:r>
      <w:bookmarkStart w:id="117" w:name="_Toc32380"/>
    </w:p>
    <w:p>
      <w:pPr>
        <w:pStyle w:val="135"/>
        <w:widowControl w:val="0"/>
        <w:snapToGrid w:val="0"/>
        <w:spacing w:line="500" w:lineRule="exact"/>
        <w:ind w:left="586" w:hanging="586"/>
        <w:jc w:val="center"/>
        <w:outlineLvl w:val="0"/>
        <w:rPr>
          <w:rFonts w:ascii="仿宋" w:hAnsi="仿宋"/>
          <w:b/>
          <w:color w:val="auto"/>
          <w:spacing w:val="6"/>
          <w:sz w:val="28"/>
          <w:szCs w:val="28"/>
          <w:highlight w:val="none"/>
        </w:rPr>
      </w:pPr>
      <w:r>
        <w:rPr>
          <w:rFonts w:hint="eastAsia" w:ascii="仿宋" w:hAnsi="仿宋"/>
          <w:b/>
          <w:color w:val="auto"/>
          <w:spacing w:val="6"/>
          <w:sz w:val="28"/>
          <w:szCs w:val="28"/>
          <w:highlight w:val="none"/>
        </w:rPr>
        <w:br w:type="page"/>
      </w:r>
      <w:r>
        <w:rPr>
          <w:rFonts w:hint="eastAsia" w:ascii="仿宋" w:hAnsi="仿宋"/>
          <w:b/>
          <w:color w:val="auto"/>
          <w:spacing w:val="6"/>
          <w:sz w:val="28"/>
          <w:szCs w:val="28"/>
          <w:highlight w:val="none"/>
        </w:rPr>
        <w:t>政府采购活动现场确认声明书</w:t>
      </w:r>
      <w:bookmarkEnd w:id="117"/>
    </w:p>
    <w:p>
      <w:pPr>
        <w:pStyle w:val="135"/>
        <w:widowControl w:val="0"/>
        <w:snapToGrid w:val="0"/>
        <w:spacing w:line="500" w:lineRule="exact"/>
        <w:jc w:val="both"/>
        <w:rPr>
          <w:rFonts w:ascii="仿宋" w:hAnsi="仿宋"/>
          <w:color w:val="auto"/>
          <w:kern w:val="0"/>
          <w:sz w:val="24"/>
          <w:szCs w:val="24"/>
          <w:highlight w:val="none"/>
        </w:rPr>
      </w:pPr>
    </w:p>
    <w:p>
      <w:pPr>
        <w:pStyle w:val="135"/>
        <w:widowControl w:val="0"/>
        <w:snapToGrid w:val="0"/>
        <w:spacing w:line="420" w:lineRule="exact"/>
        <w:jc w:val="both"/>
        <w:rPr>
          <w:rFonts w:ascii="仿宋" w:hAnsi="仿宋"/>
          <w:b/>
          <w:color w:val="auto"/>
          <w:szCs w:val="21"/>
          <w:highlight w:val="none"/>
        </w:rPr>
      </w:pPr>
      <w:r>
        <w:rPr>
          <w:rFonts w:hint="eastAsia" w:ascii="仿宋" w:hAnsi="仿宋"/>
          <w:color w:val="auto"/>
          <w:kern w:val="0"/>
          <w:szCs w:val="21"/>
          <w:highlight w:val="none"/>
          <w:u w:val="single"/>
        </w:rPr>
        <w:t>浙江高申工程咨询有限公司</w:t>
      </w:r>
      <w:r>
        <w:rPr>
          <w:rFonts w:hint="eastAsia" w:ascii="仿宋" w:hAnsi="仿宋"/>
          <w:color w:val="auto"/>
          <w:kern w:val="0"/>
          <w:szCs w:val="21"/>
          <w:highlight w:val="none"/>
        </w:rPr>
        <w:t>：</w:t>
      </w:r>
    </w:p>
    <w:p>
      <w:pPr>
        <w:pStyle w:val="135"/>
        <w:widowControl w:val="0"/>
        <w:snapToGrid w:val="0"/>
        <w:spacing w:line="420" w:lineRule="exact"/>
        <w:ind w:firstLine="444" w:firstLineChars="200"/>
        <w:jc w:val="both"/>
        <w:rPr>
          <w:rFonts w:ascii="仿宋" w:hAnsi="仿宋"/>
          <w:color w:val="auto"/>
          <w:spacing w:val="6"/>
          <w:szCs w:val="21"/>
          <w:highlight w:val="none"/>
        </w:rPr>
      </w:pPr>
      <w:r>
        <w:rPr>
          <w:rFonts w:hint="eastAsia" w:ascii="仿宋" w:hAnsi="仿宋"/>
          <w:color w:val="auto"/>
          <w:spacing w:val="6"/>
          <w:szCs w:val="21"/>
          <w:highlight w:val="none"/>
        </w:rPr>
        <w:t>本人经由</w:t>
      </w:r>
      <w:r>
        <w:rPr>
          <w:rFonts w:hint="eastAsia" w:ascii="仿宋" w:hAnsi="仿宋"/>
          <w:color w:val="auto"/>
          <w:spacing w:val="6"/>
          <w:szCs w:val="21"/>
          <w:highlight w:val="none"/>
          <w:u w:val="single"/>
        </w:rPr>
        <w:t xml:space="preserve">                  （单位）</w:t>
      </w:r>
      <w:r>
        <w:rPr>
          <w:rFonts w:hint="eastAsia" w:ascii="仿宋" w:hAnsi="仿宋"/>
          <w:color w:val="auto"/>
          <w:spacing w:val="6"/>
          <w:szCs w:val="21"/>
          <w:highlight w:val="none"/>
        </w:rPr>
        <w:t>负责人</w:t>
      </w:r>
      <w:r>
        <w:rPr>
          <w:rFonts w:hint="eastAsia" w:ascii="仿宋" w:hAnsi="仿宋"/>
          <w:color w:val="auto"/>
          <w:spacing w:val="6"/>
          <w:szCs w:val="21"/>
          <w:highlight w:val="none"/>
          <w:u w:val="single"/>
        </w:rPr>
        <w:t xml:space="preserve">        （姓名）</w:t>
      </w:r>
      <w:r>
        <w:rPr>
          <w:rFonts w:hint="eastAsia" w:ascii="仿宋" w:hAnsi="仿宋"/>
          <w:color w:val="auto"/>
          <w:spacing w:val="6"/>
          <w:szCs w:val="21"/>
          <w:highlight w:val="none"/>
        </w:rPr>
        <w:t>合法授权参加</w:t>
      </w:r>
      <w:r>
        <w:rPr>
          <w:rFonts w:hint="eastAsia" w:ascii="仿宋" w:hAnsi="仿宋"/>
          <w:color w:val="auto"/>
          <w:spacing w:val="6"/>
          <w:szCs w:val="21"/>
          <w:highlight w:val="none"/>
          <w:u w:val="single"/>
        </w:rPr>
        <w:t xml:space="preserve">   </w:t>
      </w:r>
      <w:r>
        <w:rPr>
          <w:rFonts w:hint="eastAsia" w:ascii="仿宋" w:hAnsi="仿宋"/>
          <w:color w:val="auto"/>
          <w:spacing w:val="6"/>
          <w:szCs w:val="21"/>
          <w:highlight w:val="none"/>
        </w:rPr>
        <w:t>项目（编号：</w:t>
      </w:r>
      <w:r>
        <w:rPr>
          <w:rFonts w:hint="eastAsia" w:ascii="仿宋" w:hAnsi="仿宋"/>
          <w:color w:val="auto"/>
          <w:spacing w:val="6"/>
          <w:szCs w:val="21"/>
          <w:highlight w:val="none"/>
          <w:u w:val="single"/>
        </w:rPr>
        <w:t xml:space="preserve">            </w:t>
      </w:r>
      <w:r>
        <w:rPr>
          <w:rFonts w:hint="eastAsia" w:ascii="仿宋" w:hAnsi="仿宋"/>
          <w:color w:val="auto"/>
          <w:spacing w:val="6"/>
          <w:szCs w:val="21"/>
          <w:highlight w:val="none"/>
        </w:rPr>
        <w:t xml:space="preserve">）政府采购活动，经与本单位法人代表（负责人）联系确认，现就有关公平竞争事项郑重声明如下： </w:t>
      </w:r>
    </w:p>
    <w:p>
      <w:pPr>
        <w:pStyle w:val="136"/>
        <w:widowControl/>
        <w:numPr>
          <w:ilvl w:val="0"/>
          <w:numId w:val="12"/>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kern w:val="0"/>
          <w:szCs w:val="21"/>
          <w:highlight w:val="none"/>
        </w:rPr>
        <w:t xml:space="preserve">本单位与采购人之间 </w:t>
      </w:r>
      <w:r>
        <w:rPr>
          <w:rFonts w:hint="eastAsia" w:ascii="宋体" w:hAnsi="宋体" w:cs="宋体"/>
          <w:color w:val="auto"/>
          <w:kern w:val="0"/>
          <w:szCs w:val="21"/>
          <w:highlight w:val="none"/>
        </w:rPr>
        <w:t>□</w:t>
      </w:r>
      <w:r>
        <w:rPr>
          <w:rFonts w:hint="eastAsia" w:ascii="仿宋" w:hAnsi="仿宋"/>
          <w:color w:val="auto"/>
          <w:kern w:val="0"/>
          <w:szCs w:val="21"/>
          <w:highlight w:val="none"/>
        </w:rPr>
        <w:t xml:space="preserve">不存在利害关系 </w:t>
      </w:r>
      <w:r>
        <w:rPr>
          <w:rFonts w:hint="eastAsia" w:ascii="宋体" w:hAnsi="宋体" w:cs="宋体"/>
          <w:color w:val="auto"/>
          <w:kern w:val="0"/>
          <w:szCs w:val="21"/>
          <w:highlight w:val="none"/>
        </w:rPr>
        <w:t>□</w:t>
      </w:r>
      <w:r>
        <w:rPr>
          <w:rFonts w:hint="eastAsia" w:ascii="仿宋" w:hAnsi="仿宋"/>
          <w:color w:val="auto"/>
          <w:kern w:val="0"/>
          <w:szCs w:val="21"/>
          <w:highlight w:val="none"/>
        </w:rPr>
        <w:t>存在下列利害关系</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w:t>
      </w:r>
    </w:p>
    <w:p>
      <w:pPr>
        <w:pStyle w:val="136"/>
        <w:widowControl/>
        <w:snapToGrid w:val="0"/>
        <w:spacing w:line="420" w:lineRule="exact"/>
        <w:ind w:left="476" w:leftChars="200" w:hanging="56" w:hangingChars="27"/>
        <w:rPr>
          <w:rFonts w:ascii="仿宋" w:hAnsi="仿宋"/>
          <w:color w:val="auto"/>
          <w:kern w:val="0"/>
          <w:szCs w:val="21"/>
          <w:highlight w:val="none"/>
        </w:rPr>
      </w:pPr>
      <w:r>
        <w:rPr>
          <w:rFonts w:hint="eastAsia" w:ascii="仿宋" w:hAnsi="仿宋"/>
          <w:color w:val="auto"/>
          <w:kern w:val="0"/>
          <w:szCs w:val="21"/>
          <w:highlight w:val="none"/>
        </w:rPr>
        <w:t xml:space="preserve">  A.投资关系    B.行政隶属关系    C.业务指导关系</w:t>
      </w:r>
    </w:p>
    <w:p>
      <w:pPr>
        <w:pStyle w:val="136"/>
        <w:widowControl/>
        <w:snapToGrid w:val="0"/>
        <w:spacing w:line="420" w:lineRule="exact"/>
        <w:ind w:left="476" w:leftChars="200" w:hanging="56" w:hangingChars="27"/>
        <w:rPr>
          <w:rFonts w:ascii="仿宋" w:hAnsi="仿宋"/>
          <w:color w:val="auto"/>
          <w:kern w:val="0"/>
          <w:szCs w:val="21"/>
          <w:highlight w:val="none"/>
        </w:rPr>
      </w:pPr>
      <w:r>
        <w:rPr>
          <w:rFonts w:hint="eastAsia" w:ascii="仿宋" w:hAnsi="仿宋"/>
          <w:color w:val="auto"/>
          <w:kern w:val="0"/>
          <w:szCs w:val="21"/>
          <w:highlight w:val="none"/>
        </w:rPr>
        <w:t xml:space="preserve">  D.其他可能</w:t>
      </w:r>
      <w:r>
        <w:rPr>
          <w:rFonts w:hint="eastAsia" w:ascii="仿宋" w:hAnsi="仿宋"/>
          <w:color w:val="auto"/>
          <w:szCs w:val="21"/>
          <w:highlight w:val="none"/>
        </w:rPr>
        <w:t>影响采购公正的</w:t>
      </w:r>
      <w:r>
        <w:rPr>
          <w:rFonts w:hint="eastAsia" w:ascii="仿宋" w:hAnsi="仿宋"/>
          <w:color w:val="auto"/>
          <w:kern w:val="0"/>
          <w:szCs w:val="21"/>
          <w:highlight w:val="none"/>
        </w:rPr>
        <w:t>利害关系</w:t>
      </w:r>
      <w:r>
        <w:rPr>
          <w:rFonts w:hint="eastAsia" w:ascii="仿宋" w:hAnsi="仿宋"/>
          <w:color w:val="auto"/>
          <w:kern w:val="0"/>
          <w:szCs w:val="21"/>
          <w:highlight w:val="none"/>
          <w:u w:val="single"/>
        </w:rPr>
        <w:t xml:space="preserve">（如有，请如实说明）                 </w:t>
      </w:r>
      <w:r>
        <w:rPr>
          <w:rFonts w:hint="eastAsia" w:ascii="仿宋" w:hAnsi="仿宋"/>
          <w:color w:val="auto"/>
          <w:kern w:val="0"/>
          <w:szCs w:val="21"/>
          <w:highlight w:val="none"/>
        </w:rPr>
        <w:t>。</w:t>
      </w:r>
    </w:p>
    <w:p>
      <w:pPr>
        <w:pStyle w:val="136"/>
        <w:widowControl/>
        <w:snapToGrid w:val="0"/>
        <w:spacing w:line="420" w:lineRule="exact"/>
        <w:ind w:left="709" w:hanging="504"/>
        <w:rPr>
          <w:rFonts w:ascii="仿宋" w:hAnsi="仿宋"/>
          <w:color w:val="auto"/>
          <w:kern w:val="0"/>
          <w:szCs w:val="21"/>
          <w:highlight w:val="none"/>
        </w:rPr>
      </w:pPr>
      <w:r>
        <w:rPr>
          <w:rFonts w:hint="eastAsia" w:ascii="仿宋" w:hAnsi="仿宋"/>
          <w:color w:val="auto"/>
          <w:spacing w:val="6"/>
          <w:szCs w:val="21"/>
          <w:highlight w:val="none"/>
        </w:rPr>
        <w:t xml:space="preserve">  二、</w:t>
      </w:r>
      <w:r>
        <w:rPr>
          <w:rFonts w:hint="eastAsia" w:ascii="仿宋" w:hAnsi="仿宋"/>
          <w:color w:val="auto"/>
          <w:kern w:val="0"/>
          <w:szCs w:val="21"/>
          <w:highlight w:val="none"/>
        </w:rPr>
        <w:t>现已清楚知道参加本项目采购活动的其他所有供应商</w:t>
      </w:r>
      <w:r>
        <w:rPr>
          <w:rFonts w:hint="eastAsia" w:ascii="仿宋" w:hAnsi="仿宋"/>
          <w:color w:val="auto"/>
          <w:kern w:val="0"/>
          <w:szCs w:val="21"/>
          <w:highlight w:val="none"/>
          <w:lang w:eastAsia="zh-CN"/>
        </w:rPr>
        <w:t>（投标人）</w:t>
      </w:r>
      <w:r>
        <w:rPr>
          <w:rFonts w:hint="eastAsia" w:ascii="仿宋" w:hAnsi="仿宋"/>
          <w:color w:val="auto"/>
          <w:kern w:val="0"/>
          <w:szCs w:val="21"/>
          <w:highlight w:val="none"/>
        </w:rPr>
        <w:t xml:space="preserve">名称，本单位 </w:t>
      </w:r>
      <w:r>
        <w:rPr>
          <w:rFonts w:hint="eastAsia" w:ascii="宋体" w:hAnsi="宋体" w:cs="宋体"/>
          <w:color w:val="auto"/>
          <w:kern w:val="0"/>
          <w:szCs w:val="21"/>
          <w:highlight w:val="none"/>
        </w:rPr>
        <w:t>□与其他所有供应商之间均</w:t>
      </w:r>
      <w:r>
        <w:rPr>
          <w:rFonts w:hint="eastAsia" w:ascii="仿宋" w:hAnsi="仿宋"/>
          <w:color w:val="auto"/>
          <w:kern w:val="0"/>
          <w:szCs w:val="21"/>
          <w:highlight w:val="none"/>
        </w:rPr>
        <w:t xml:space="preserve">不存在利害关系 </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 xml:space="preserve">           （供应商名称）</w:t>
      </w:r>
      <w:r>
        <w:rPr>
          <w:rFonts w:hint="eastAsia" w:ascii="宋体" w:hAnsi="宋体" w:cs="宋体"/>
          <w:color w:val="auto"/>
          <w:kern w:val="0"/>
          <w:szCs w:val="21"/>
          <w:highlight w:val="none"/>
        </w:rPr>
        <w:t>之间</w:t>
      </w:r>
      <w:r>
        <w:rPr>
          <w:rFonts w:hint="eastAsia" w:ascii="仿宋" w:hAnsi="仿宋"/>
          <w:color w:val="auto"/>
          <w:kern w:val="0"/>
          <w:szCs w:val="21"/>
          <w:highlight w:val="none"/>
        </w:rPr>
        <w:t>存在下列利害关系</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w:t>
      </w:r>
    </w:p>
    <w:p>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A.法定代表人或负责人或实际控制人是同一人</w:t>
      </w:r>
    </w:p>
    <w:p>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B.法定代表人或负责人或实际控制人是夫妻关系</w:t>
      </w:r>
    </w:p>
    <w:p>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C.法定代表人或负责人或实际控制人是直系血亲关系</w:t>
      </w:r>
    </w:p>
    <w:p>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D.法定代表人或负责人或实际控制人存在三代以内旁系血亲关系</w:t>
      </w:r>
    </w:p>
    <w:p>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E.法定代表人或负责人或实际控制人存在近姻亲关系</w:t>
      </w:r>
    </w:p>
    <w:p>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F.法定代表人或负责人或实际控制人存在股份控制或实际控制关系</w:t>
      </w:r>
    </w:p>
    <w:p>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w:t>
      </w:r>
      <w:bookmarkStart w:id="118" w:name="_Toc5188"/>
      <w:r>
        <w:rPr>
          <w:rFonts w:hint="eastAsia" w:ascii="仿宋" w:hAnsi="仿宋"/>
          <w:color w:val="auto"/>
          <w:kern w:val="0"/>
          <w:szCs w:val="21"/>
          <w:highlight w:val="none"/>
        </w:rPr>
        <w:t>G.存在共同直接或间接投资设立子公司、联营企业和合营企业情况</w:t>
      </w:r>
      <w:bookmarkEnd w:id="118"/>
    </w:p>
    <w:p>
      <w:pPr>
        <w:pStyle w:val="135"/>
        <w:widowControl w:val="0"/>
        <w:snapToGrid w:val="0"/>
        <w:spacing w:line="420" w:lineRule="exact"/>
        <w:jc w:val="both"/>
        <w:rPr>
          <w:rFonts w:ascii="仿宋" w:hAnsi="仿宋"/>
          <w:color w:val="auto"/>
          <w:szCs w:val="21"/>
          <w:highlight w:val="none"/>
        </w:rPr>
      </w:pPr>
      <w:r>
        <w:rPr>
          <w:rFonts w:hint="eastAsia" w:ascii="仿宋" w:hAnsi="仿宋"/>
          <w:color w:val="auto"/>
          <w:kern w:val="0"/>
          <w:szCs w:val="21"/>
          <w:highlight w:val="none"/>
        </w:rPr>
        <w:t xml:space="preserve">  H.存在分级代理或代销关系、同一生产制造商关系、</w:t>
      </w:r>
      <w:r>
        <w:rPr>
          <w:rFonts w:hint="eastAsia" w:ascii="仿宋" w:hAnsi="仿宋"/>
          <w:color w:val="auto"/>
          <w:szCs w:val="21"/>
          <w:highlight w:val="none"/>
        </w:rPr>
        <w:t>管理关系、重要业务（占主营业务收入50%以上）或重要财务往来关系（如融资）等其他实质性控制关系</w:t>
      </w:r>
    </w:p>
    <w:p>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szCs w:val="21"/>
          <w:highlight w:val="none"/>
        </w:rPr>
        <w:t xml:space="preserve">    I</w:t>
      </w:r>
      <w:r>
        <w:rPr>
          <w:rFonts w:hint="eastAsia" w:ascii="仿宋" w:hAnsi="仿宋"/>
          <w:color w:val="auto"/>
          <w:kern w:val="0"/>
          <w:szCs w:val="21"/>
          <w:highlight w:val="none"/>
        </w:rPr>
        <w:t>.</w:t>
      </w:r>
      <w:r>
        <w:rPr>
          <w:rFonts w:hint="eastAsia" w:ascii="仿宋" w:hAnsi="仿宋"/>
          <w:color w:val="auto"/>
          <w:szCs w:val="21"/>
          <w:highlight w:val="none"/>
        </w:rPr>
        <w:t>其他利害关系情况</w:t>
      </w:r>
      <w:r>
        <w:rPr>
          <w:rFonts w:hint="eastAsia" w:ascii="仿宋" w:hAnsi="仿宋"/>
          <w:color w:val="auto"/>
          <w:szCs w:val="21"/>
          <w:highlight w:val="none"/>
          <w:u w:val="single"/>
        </w:rPr>
        <w:t xml:space="preserve">                              </w:t>
      </w:r>
      <w:r>
        <w:rPr>
          <w:rFonts w:hint="eastAsia" w:ascii="仿宋" w:hAnsi="仿宋"/>
          <w:color w:val="auto"/>
          <w:kern w:val="0"/>
          <w:szCs w:val="21"/>
          <w:highlight w:val="none"/>
        </w:rPr>
        <w:t>。</w:t>
      </w:r>
    </w:p>
    <w:p>
      <w:pPr>
        <w:pStyle w:val="136"/>
        <w:widowControl/>
        <w:numPr>
          <w:ilvl w:val="0"/>
          <w:numId w:val="13"/>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szCs w:val="21"/>
          <w:highlight w:val="none"/>
        </w:rPr>
        <w:t>现已清楚知道并</w:t>
      </w:r>
      <w:r>
        <w:rPr>
          <w:rFonts w:hint="eastAsia" w:ascii="仿宋" w:hAnsi="仿宋"/>
          <w:color w:val="auto"/>
          <w:kern w:val="0"/>
          <w:szCs w:val="21"/>
          <w:highlight w:val="none"/>
        </w:rPr>
        <w:t>严格遵守政府采购法律法规和现场纪律。</w:t>
      </w:r>
    </w:p>
    <w:p>
      <w:pPr>
        <w:pStyle w:val="136"/>
        <w:widowControl/>
        <w:numPr>
          <w:ilvl w:val="0"/>
          <w:numId w:val="13"/>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kern w:val="0"/>
          <w:szCs w:val="21"/>
          <w:highlight w:val="none"/>
        </w:rPr>
        <w:t>我发现</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供应商之间存在或可能存在上述第二条第</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项利害关系。</w:t>
      </w:r>
    </w:p>
    <w:p>
      <w:pPr>
        <w:pStyle w:val="135"/>
        <w:widowControl w:val="0"/>
        <w:snapToGrid w:val="0"/>
        <w:spacing w:line="420" w:lineRule="exact"/>
        <w:ind w:right="480"/>
        <w:jc w:val="both"/>
        <w:rPr>
          <w:rFonts w:ascii="仿宋" w:hAnsi="仿宋"/>
          <w:color w:val="auto"/>
          <w:szCs w:val="21"/>
          <w:highlight w:val="none"/>
        </w:rPr>
      </w:pPr>
      <w:r>
        <w:rPr>
          <w:rFonts w:hint="eastAsia" w:ascii="仿宋" w:hAnsi="仿宋"/>
          <w:color w:val="auto"/>
          <w:szCs w:val="21"/>
          <w:highlight w:val="none"/>
        </w:rPr>
        <w:t>供应商代表签名：</w:t>
      </w:r>
    </w:p>
    <w:p>
      <w:pPr>
        <w:pStyle w:val="135"/>
        <w:widowControl w:val="0"/>
        <w:snapToGrid w:val="0"/>
        <w:spacing w:line="420" w:lineRule="exact"/>
        <w:ind w:firstLine="3057" w:firstLineChars="1450"/>
        <w:jc w:val="right"/>
        <w:rPr>
          <w:rFonts w:ascii="仿宋" w:hAnsi="仿宋"/>
          <w:b/>
          <w:color w:val="auto"/>
          <w:szCs w:val="21"/>
          <w:highlight w:val="none"/>
        </w:rPr>
      </w:pPr>
    </w:p>
    <w:p>
      <w:pPr>
        <w:pStyle w:val="135"/>
        <w:widowControl w:val="0"/>
        <w:snapToGrid w:val="0"/>
        <w:spacing w:line="420" w:lineRule="exact"/>
        <w:ind w:firstLine="3057" w:firstLineChars="1450"/>
        <w:jc w:val="right"/>
        <w:rPr>
          <w:rFonts w:ascii="仿宋" w:hAnsi="仿宋"/>
          <w:b/>
          <w:color w:val="auto"/>
          <w:szCs w:val="21"/>
          <w:highlight w:val="none"/>
        </w:rPr>
      </w:pPr>
    </w:p>
    <w:p>
      <w:pPr>
        <w:spacing w:line="440" w:lineRule="exact"/>
        <w:jc w:val="right"/>
        <w:rPr>
          <w:rFonts w:ascii="仿宋" w:hAnsi="仿宋"/>
          <w:color w:val="auto"/>
          <w:szCs w:val="21"/>
          <w:highlight w:val="none"/>
        </w:rPr>
      </w:pPr>
      <w:r>
        <w:rPr>
          <w:rFonts w:hint="eastAsia" w:ascii="仿宋" w:hAnsi="仿宋"/>
          <w:color w:val="auto"/>
          <w:szCs w:val="21"/>
          <w:highlight w:val="none"/>
        </w:rPr>
        <w:t>年   月   日</w:t>
      </w:r>
    </w:p>
    <w:p>
      <w:pPr>
        <w:rPr>
          <w:rFonts w:hint="eastAsia"/>
          <w:color w:val="auto"/>
          <w:highlight w:val="none"/>
        </w:rPr>
      </w:pPr>
    </w:p>
    <w:p>
      <w:pPr>
        <w:pStyle w:val="43"/>
        <w:ind w:hanging="480"/>
        <w:rPr>
          <w:color w:val="auto"/>
          <w:highlight w:val="none"/>
        </w:rPr>
      </w:pPr>
    </w:p>
    <w:p>
      <w:pPr>
        <w:rPr>
          <w:color w:val="auto"/>
          <w:highlight w:val="none"/>
        </w:rPr>
      </w:pPr>
      <w:r>
        <w:rPr>
          <w:rFonts w:hint="eastAsia"/>
          <w:color w:val="auto"/>
          <w:highlight w:val="none"/>
        </w:rPr>
        <w:t>注：请投标人在该项目开标并解密后，将此表格填写完成并发送至</w:t>
      </w:r>
      <w:r>
        <w:rPr>
          <w:rFonts w:hint="eastAsia" w:ascii="宋体" w:hAnsi="宋体" w:eastAsia="宋体" w:cs="宋体"/>
          <w:color w:val="auto"/>
          <w:highlight w:val="none"/>
          <w:lang w:eastAsia="zh-CN"/>
        </w:rPr>
        <w:t>379443850</w:t>
      </w:r>
      <w:r>
        <w:rPr>
          <w:rFonts w:hint="eastAsia" w:ascii="宋体" w:hAnsi="宋体" w:eastAsia="宋体" w:cs="宋体"/>
          <w:color w:val="auto"/>
          <w:highlight w:val="none"/>
        </w:rPr>
        <w:t>@qq.com</w:t>
      </w:r>
      <w:r>
        <w:rPr>
          <w:rFonts w:hint="eastAsia"/>
          <w:color w:val="auto"/>
          <w:highlight w:val="none"/>
        </w:rPr>
        <w:t>邮箱。</w:t>
      </w:r>
    </w:p>
    <w:p>
      <w:pPr>
        <w:pStyle w:val="18"/>
        <w:rPr>
          <w:rFonts w:hint="eastAsia"/>
          <w:color w:val="auto"/>
          <w:highlight w:val="none"/>
        </w:rPr>
      </w:pPr>
    </w:p>
    <w:sectPr>
      <w:footerReference r:id="rId19"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Helvetica Neue">
    <w:altName w:val="Times New Roman"/>
    <w:panose1 w:val="02000503000000020004"/>
    <w:charset w:val="00"/>
    <w:family w:val="auto"/>
    <w:pitch w:val="default"/>
    <w:sig w:usb0="00000000" w:usb1="00000000" w:usb2="00000000" w:usb3="00000000" w:csb0="00040001" w:csb1="00000000"/>
  </w:font>
  <w:font w:name="DaxPro-Cond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_x000B__x000C_">
    <w:altName w:val="Times New Roman"/>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rPr>
    </w:pPr>
    <w:r>
      <w:rPr>
        <w:rFonts w:ascii="Times New Roman" w:hAnsi="Times New Roman" w:eastAsia="宋体" w:cs="Times New Roman"/>
        <w:kern w:val="2"/>
        <w:sz w:val="18"/>
        <w:szCs w:val="18"/>
        <w:lang w:val="en-US" w:eastAsia="zh-CN" w:bidi="ar-SA"/>
      </w:rPr>
      <w:pict>
        <v:rect id="文本框 5" o:spid="_x0000_s4103"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56</w:t>
                </w:r>
                <w:r>
                  <w:rPr>
                    <w:rFonts w:ascii="宋体" w:hAnsi="宋体"/>
                  </w:rP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ascii="Times New Roman" w:hAnsi="Times New Roman" w:eastAsia="宋体" w:cs="Times New Roman"/>
        <w:kern w:val="2"/>
        <w:sz w:val="18"/>
        <w:szCs w:val="18"/>
        <w:lang w:val="en-US" w:eastAsia="zh-CN" w:bidi="ar-SA"/>
      </w:rPr>
      <w:pict>
        <v:rect id="文本框 11" o:spid="_x0000_s4104"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9"/>
                </w:pPr>
                <w:r>
                  <w:fldChar w:fldCharType="begin"/>
                </w:r>
                <w:r>
                  <w:instrText xml:space="preserve"> PAGE  \* MERGEFORMAT </w:instrText>
                </w:r>
                <w:r>
                  <w:fldChar w:fldCharType="separate"/>
                </w:r>
                <w:r>
                  <w:t>50</w:t>
                </w:r>
                <w: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ascii="Times New Roman" w:hAnsi="Times New Roman" w:eastAsia="宋体" w:cs="Times New Roman"/>
        <w:kern w:val="2"/>
        <w:sz w:val="18"/>
        <w:szCs w:val="18"/>
        <w:lang w:val="en-US" w:eastAsia="zh-CN" w:bidi="ar-SA"/>
      </w:rPr>
      <w:pict>
        <v:rect id="文本框 12" o:spid="_x0000_s4105"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9"/>
                </w:pPr>
                <w:r>
                  <w:fldChar w:fldCharType="begin"/>
                </w:r>
                <w:r>
                  <w:instrText xml:space="preserve"> PAGE  \* MERGEFORMAT </w:instrText>
                </w:r>
                <w:r>
                  <w:fldChar w:fldCharType="separate"/>
                </w:r>
                <w:r>
                  <w:t>57</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s>
      <w:jc w:val="center"/>
      <w:rPr>
        <w:rFonts w:hint="eastAsia"/>
      </w:rPr>
    </w:pPr>
  </w:p>
  <w:p>
    <w:pPr>
      <w:pStyle w:val="29"/>
      <w:tabs>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hAnsi="Times New Roman" w:eastAsia="宋体" w:cs="Times New Roman"/>
        <w:kern w:val="2"/>
        <w:sz w:val="18"/>
        <w:szCs w:val="18"/>
        <w:lang w:val="en-US" w:eastAsia="zh-CN" w:bidi="ar-SA"/>
      </w:rPr>
      <w:pict>
        <v:rect id="文本框 14"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20</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hAnsi="Times New Roman" w:eastAsia="宋体" w:cs="Times New Roman"/>
        <w:kern w:val="2"/>
        <w:sz w:val="18"/>
        <w:szCs w:val="18"/>
        <w:lang w:val="en-US" w:eastAsia="zh-CN" w:bidi="ar-SA"/>
      </w:rPr>
      <w:pict>
        <v:rect id="文本框 13" o:spid="_x0000_s4097"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1</w:t>
                </w:r>
                <w:r>
                  <w:fldChar w:fldCharType="end"/>
                </w:r>
              </w:p>
            </w:txbxContent>
          </v:textbox>
        </v:rect>
      </w:pict>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hAnsi="Times New Roman" w:eastAsia="宋体" w:cs="Times New Roman"/>
        <w:kern w:val="2"/>
        <w:sz w:val="18"/>
        <w:szCs w:val="18"/>
        <w:lang w:val="en-US" w:eastAsia="zh-CN" w:bidi="ar-SA"/>
      </w:rPr>
      <w:pict>
        <v:rect id="文本框 2" o:spid="_x0000_s4100"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20</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hAnsi="Times New Roman" w:eastAsia="宋体" w:cs="Times New Roman"/>
        <w:kern w:val="2"/>
        <w:sz w:val="18"/>
        <w:szCs w:val="18"/>
        <w:lang w:val="en-US" w:eastAsia="zh-CN" w:bidi="ar-SA"/>
      </w:rPr>
      <w:pict>
        <v:rect id="文本框 3" o:spid="_x0000_s4099"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1</w:t>
                </w:r>
                <w:r>
                  <w:fldChar w:fldCharType="end"/>
                </w:r>
              </w:p>
            </w:txbxContent>
          </v:textbox>
        </v:rect>
      </w:pict>
    </w:r>
  </w:p>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ascii="Times New Roman" w:hAnsi="Times New Roman" w:eastAsia="宋体" w:cs="Times New Roman"/>
        <w:kern w:val="2"/>
        <w:sz w:val="18"/>
        <w:szCs w:val="18"/>
        <w:lang w:val="en-US" w:eastAsia="zh-CN" w:bidi="ar-SA"/>
      </w:rPr>
      <w:pict>
        <v:shape id="Quad Arrow 3081" o:spid="_x0000_s4101"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hAnsi="Times New Roman" w:eastAsia="宋体" w:cs="Times New Roman"/>
        <w:kern w:val="2"/>
        <w:sz w:val="18"/>
        <w:szCs w:val="18"/>
        <w:lang w:val="en-US" w:eastAsia="zh-CN" w:bidi="ar-SA"/>
      </w:rPr>
      <w:pict>
        <v:rect id="文本框 4" o:spid="_x0000_s4102"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25</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tabs>
        <w:tab w:val="clear" w:pos="4153"/>
      </w:tabs>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0A29F"/>
    <w:multiLevelType w:val="singleLevel"/>
    <w:tmpl w:val="8150A29F"/>
    <w:lvl w:ilvl="0" w:tentative="0">
      <w:start w:val="1"/>
      <w:numFmt w:val="decimal"/>
      <w:lvlText w:val="(%1)"/>
      <w:lvlJc w:val="left"/>
      <w:pPr>
        <w:ind w:left="425" w:hanging="425"/>
      </w:pPr>
      <w:rPr>
        <w:rFonts w:hint="default"/>
      </w:rPr>
    </w:lvl>
  </w:abstractNum>
  <w:abstractNum w:abstractNumId="1">
    <w:nsid w:val="AF3F6096"/>
    <w:multiLevelType w:val="singleLevel"/>
    <w:tmpl w:val="AF3F6096"/>
    <w:lvl w:ilvl="0" w:tentative="0">
      <w:start w:val="2"/>
      <w:numFmt w:val="decimal"/>
      <w:lvlText w:val="%1."/>
      <w:lvlJc w:val="left"/>
      <w:pPr>
        <w:tabs>
          <w:tab w:val="left" w:pos="312"/>
        </w:tabs>
      </w:pPr>
    </w:lvl>
  </w:abstractNum>
  <w:abstractNum w:abstractNumId="2">
    <w:nsid w:val="0000004D"/>
    <w:multiLevelType w:val="multilevel"/>
    <w:tmpl w:val="0000004D"/>
    <w:lvl w:ilvl="0" w:tentative="0">
      <w:start w:val="1"/>
      <w:numFmt w:val="bullet"/>
      <w:pStyle w:val="77"/>
      <w:lvlText w:val=""/>
      <w:lvlJc w:val="left"/>
      <w:pPr>
        <w:tabs>
          <w:tab w:val="left" w:pos="1924"/>
        </w:tabs>
        <w:ind w:left="1924" w:hanging="420"/>
      </w:pPr>
      <w:rPr>
        <w:rFonts w:hint="default" w:ascii="Wingdings" w:hAnsi="Wingdings"/>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988"/>
        </w:tabs>
        <w:ind w:left="988" w:hanging="420"/>
      </w:pPr>
      <w:rPr>
        <w:rFonts w:hint="default" w:ascii="Wingdings" w:hAnsi="Wingdings"/>
        <w:color w:val="auto"/>
        <w:sz w:val="24"/>
        <w:szCs w:val="24"/>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FD44ECF"/>
    <w:multiLevelType w:val="multilevel"/>
    <w:tmpl w:val="1FD44EC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3CC01FE"/>
    <w:multiLevelType w:val="singleLevel"/>
    <w:tmpl w:val="23CC01FE"/>
    <w:lvl w:ilvl="0" w:tentative="0">
      <w:start w:val="1"/>
      <w:numFmt w:val="decimal"/>
      <w:suff w:val="nothing"/>
      <w:lvlText w:val="%1、"/>
      <w:lvlJc w:val="left"/>
    </w:lvl>
  </w:abstractNum>
  <w:abstractNum w:abstractNumId="5">
    <w:nsid w:val="31296D75"/>
    <w:multiLevelType w:val="singleLevel"/>
    <w:tmpl w:val="31296D75"/>
    <w:lvl w:ilvl="0" w:tentative="0">
      <w:start w:val="1"/>
      <w:numFmt w:val="decimal"/>
      <w:lvlText w:val="%1."/>
      <w:lvlJc w:val="left"/>
      <w:pPr>
        <w:tabs>
          <w:tab w:val="left" w:pos="312"/>
        </w:tabs>
      </w:pPr>
    </w:lvl>
  </w:abstractNum>
  <w:abstractNum w:abstractNumId="6">
    <w:nsid w:val="40EC1B06"/>
    <w:multiLevelType w:val="singleLevel"/>
    <w:tmpl w:val="40EC1B06"/>
    <w:lvl w:ilvl="0" w:tentative="0">
      <w:start w:val="1"/>
      <w:numFmt w:val="decimal"/>
      <w:suff w:val="space"/>
      <w:lvlText w:val="%1."/>
      <w:lvlJc w:val="left"/>
    </w:lvl>
  </w:abstractNum>
  <w:abstractNum w:abstractNumId="7">
    <w:nsid w:val="4CA75A52"/>
    <w:multiLevelType w:val="multilevel"/>
    <w:tmpl w:val="4CA75A52"/>
    <w:lvl w:ilvl="0" w:tentative="0">
      <w:start w:val="1"/>
      <w:numFmt w:val="decimal"/>
      <w:pStyle w:val="99"/>
      <w:lvlText w:val="%1)"/>
      <w:lvlJc w:val="left"/>
      <w:pPr>
        <w:ind w:left="480" w:firstLine="0"/>
      </w:pPr>
      <w:rPr>
        <w:rFonts w:hint="eastAsia"/>
        <w:b w:val="0"/>
      </w:rPr>
    </w:lvl>
    <w:lvl w:ilvl="1" w:tentative="0">
      <w:start w:val="1"/>
      <w:numFmt w:val="lowerLetter"/>
      <w:lvlText w:val="%2)"/>
      <w:lvlJc w:val="left"/>
      <w:pPr>
        <w:ind w:left="480" w:hanging="420"/>
      </w:pPr>
    </w:lvl>
    <w:lvl w:ilvl="2" w:tentative="0">
      <w:start w:val="1"/>
      <w:numFmt w:val="lowerRoman"/>
      <w:lvlText w:val="%3."/>
      <w:lvlJc w:val="right"/>
      <w:pPr>
        <w:ind w:left="900" w:hanging="420"/>
      </w:pPr>
    </w:lvl>
    <w:lvl w:ilvl="3" w:tentative="0">
      <w:start w:val="1"/>
      <w:numFmt w:val="decimal"/>
      <w:lvlText w:val="%4."/>
      <w:lvlJc w:val="left"/>
      <w:pPr>
        <w:ind w:left="1320" w:hanging="420"/>
      </w:pPr>
    </w:lvl>
    <w:lvl w:ilvl="4" w:tentative="0">
      <w:start w:val="1"/>
      <w:numFmt w:val="lowerLetter"/>
      <w:lvlText w:val="%5)"/>
      <w:lvlJc w:val="left"/>
      <w:pPr>
        <w:ind w:left="1740" w:hanging="420"/>
      </w:pPr>
    </w:lvl>
    <w:lvl w:ilvl="5" w:tentative="0">
      <w:start w:val="1"/>
      <w:numFmt w:val="lowerRoman"/>
      <w:lvlText w:val="%6."/>
      <w:lvlJc w:val="right"/>
      <w:pPr>
        <w:ind w:left="2160" w:hanging="420"/>
      </w:pPr>
    </w:lvl>
    <w:lvl w:ilvl="6" w:tentative="0">
      <w:start w:val="1"/>
      <w:numFmt w:val="decimal"/>
      <w:lvlText w:val="%7."/>
      <w:lvlJc w:val="left"/>
      <w:pPr>
        <w:ind w:left="2580" w:hanging="420"/>
      </w:pPr>
    </w:lvl>
    <w:lvl w:ilvl="7" w:tentative="0">
      <w:start w:val="1"/>
      <w:numFmt w:val="lowerLetter"/>
      <w:lvlText w:val="%8)"/>
      <w:lvlJc w:val="left"/>
      <w:pPr>
        <w:ind w:left="3000" w:hanging="420"/>
      </w:pPr>
    </w:lvl>
    <w:lvl w:ilvl="8" w:tentative="0">
      <w:start w:val="1"/>
      <w:numFmt w:val="lowerRoman"/>
      <w:lvlText w:val="%9."/>
      <w:lvlJc w:val="right"/>
      <w:pPr>
        <w:ind w:left="3420" w:hanging="420"/>
      </w:pPr>
    </w:lvl>
  </w:abstractNum>
  <w:abstractNum w:abstractNumId="8">
    <w:nsid w:val="4D071E45"/>
    <w:multiLevelType w:val="singleLevel"/>
    <w:tmpl w:val="4D071E45"/>
    <w:lvl w:ilvl="0" w:tentative="0">
      <w:start w:val="2"/>
      <w:numFmt w:val="decimal"/>
      <w:pStyle w:val="130"/>
      <w:suff w:val="space"/>
      <w:lvlText w:val="%1."/>
      <w:lvlJc w:val="left"/>
    </w:lvl>
  </w:abstractNum>
  <w:abstractNum w:abstractNumId="9">
    <w:nsid w:val="54F403B5"/>
    <w:multiLevelType w:val="singleLevel"/>
    <w:tmpl w:val="54F403B5"/>
    <w:lvl w:ilvl="0" w:tentative="0">
      <w:start w:val="1"/>
      <w:numFmt w:val="chineseCounting"/>
      <w:suff w:val="nothing"/>
      <w:lvlText w:val="%1、"/>
      <w:lvlJc w:val="left"/>
      <w:pPr>
        <w:ind w:left="0" w:firstLine="0"/>
      </w:pPr>
    </w:lvl>
  </w:abstractNum>
  <w:abstractNum w:abstractNumId="10">
    <w:nsid w:val="557FD3DA"/>
    <w:multiLevelType w:val="singleLevel"/>
    <w:tmpl w:val="557FD3DA"/>
    <w:lvl w:ilvl="0" w:tentative="0">
      <w:start w:val="3"/>
      <w:numFmt w:val="chineseCounting"/>
      <w:suff w:val="nothing"/>
      <w:lvlText w:val="%1、"/>
      <w:lvlJc w:val="left"/>
      <w:pPr>
        <w:ind w:left="0" w:firstLine="0"/>
      </w:pPr>
    </w:lvl>
  </w:abstractNum>
  <w:abstractNum w:abstractNumId="11">
    <w:nsid w:val="6395FF91"/>
    <w:multiLevelType w:val="singleLevel"/>
    <w:tmpl w:val="6395FF91"/>
    <w:lvl w:ilvl="0" w:tentative="0">
      <w:start w:val="2"/>
      <w:numFmt w:val="decimal"/>
      <w:suff w:val="space"/>
      <w:lvlText w:val="%1."/>
      <w:lvlJc w:val="left"/>
    </w:lvl>
  </w:abstractNum>
  <w:abstractNum w:abstractNumId="12">
    <w:nsid w:val="78ADCA3A"/>
    <w:multiLevelType w:val="singleLevel"/>
    <w:tmpl w:val="78ADCA3A"/>
    <w:lvl w:ilvl="0" w:tentative="0">
      <w:start w:val="1"/>
      <w:numFmt w:val="decimal"/>
      <w:lvlText w:val="%1."/>
      <w:lvlJc w:val="left"/>
      <w:pPr>
        <w:tabs>
          <w:tab w:val="left" w:pos="312"/>
        </w:tabs>
      </w:pPr>
    </w:lvl>
  </w:abstractNum>
  <w:num w:numId="1">
    <w:abstractNumId w:val="2"/>
  </w:num>
  <w:num w:numId="2">
    <w:abstractNumId w:val="7"/>
  </w:num>
  <w:num w:numId="3">
    <w:abstractNumId w:val="8"/>
  </w:num>
  <w:num w:numId="4">
    <w:abstractNumId w:val="11"/>
  </w:num>
  <w:num w:numId="5">
    <w:abstractNumId w:val="1"/>
  </w:num>
  <w:num w:numId="6">
    <w:abstractNumId w:val="3"/>
  </w:num>
  <w:num w:numId="7">
    <w:abstractNumId w:val="6"/>
  </w:num>
  <w:num w:numId="8">
    <w:abstractNumId w:val="4"/>
  </w:num>
  <w:num w:numId="9">
    <w:abstractNumId w:val="0"/>
  </w:num>
  <w:num w:numId="10">
    <w:abstractNumId w:val="12"/>
  </w:num>
  <w:num w:numId="11">
    <w:abstractNumId w:val="5"/>
  </w:num>
  <w:num w:numId="12">
    <w:abstractNumId w:val="9"/>
    <w:lvlOverride w:ilvl="0">
      <w:startOverride w:val="1"/>
    </w:lvlOverride>
  </w:num>
  <w:num w:numId="13">
    <w:abstractNumId w:val="1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WQ1YTJkMTk4OGNhZTNhNWYyMWM3NTI2ZmE0NzQwN2UifQ=="/>
  </w:docVars>
  <w:rsids>
    <w:rsidRoot w:val="00172A27"/>
    <w:rsid w:val="00001165"/>
    <w:rsid w:val="00001E40"/>
    <w:rsid w:val="00002389"/>
    <w:rsid w:val="0000268F"/>
    <w:rsid w:val="00002932"/>
    <w:rsid w:val="00002BA3"/>
    <w:rsid w:val="00003159"/>
    <w:rsid w:val="000036E5"/>
    <w:rsid w:val="00003A5F"/>
    <w:rsid w:val="000044A7"/>
    <w:rsid w:val="0000469C"/>
    <w:rsid w:val="00004ADA"/>
    <w:rsid w:val="000051B1"/>
    <w:rsid w:val="00005A7A"/>
    <w:rsid w:val="000060CC"/>
    <w:rsid w:val="00006B27"/>
    <w:rsid w:val="00006D1B"/>
    <w:rsid w:val="00006F21"/>
    <w:rsid w:val="00006F92"/>
    <w:rsid w:val="0000753A"/>
    <w:rsid w:val="000079E4"/>
    <w:rsid w:val="00007E4C"/>
    <w:rsid w:val="00007FBC"/>
    <w:rsid w:val="000102A0"/>
    <w:rsid w:val="000107FE"/>
    <w:rsid w:val="00010DC1"/>
    <w:rsid w:val="00011854"/>
    <w:rsid w:val="0001207E"/>
    <w:rsid w:val="00012314"/>
    <w:rsid w:val="00013EA0"/>
    <w:rsid w:val="000142B3"/>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1A2"/>
    <w:rsid w:val="0003425B"/>
    <w:rsid w:val="000343DF"/>
    <w:rsid w:val="000346A1"/>
    <w:rsid w:val="00034B1D"/>
    <w:rsid w:val="00034D91"/>
    <w:rsid w:val="00035454"/>
    <w:rsid w:val="00036008"/>
    <w:rsid w:val="00036219"/>
    <w:rsid w:val="000366F1"/>
    <w:rsid w:val="000367AC"/>
    <w:rsid w:val="00036C10"/>
    <w:rsid w:val="00037E5F"/>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7FC2"/>
    <w:rsid w:val="000A00BE"/>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BCB"/>
    <w:rsid w:val="000A749B"/>
    <w:rsid w:val="000A77AA"/>
    <w:rsid w:val="000A7880"/>
    <w:rsid w:val="000A7971"/>
    <w:rsid w:val="000A7E8A"/>
    <w:rsid w:val="000B0465"/>
    <w:rsid w:val="000B0D00"/>
    <w:rsid w:val="000B1492"/>
    <w:rsid w:val="000B154C"/>
    <w:rsid w:val="000B26B7"/>
    <w:rsid w:val="000B28F6"/>
    <w:rsid w:val="000B2A50"/>
    <w:rsid w:val="000B2BA3"/>
    <w:rsid w:val="000B42F1"/>
    <w:rsid w:val="000B4414"/>
    <w:rsid w:val="000B512D"/>
    <w:rsid w:val="000B517D"/>
    <w:rsid w:val="000B598D"/>
    <w:rsid w:val="000B66AF"/>
    <w:rsid w:val="000B7C66"/>
    <w:rsid w:val="000C01C5"/>
    <w:rsid w:val="000C16CF"/>
    <w:rsid w:val="000C2AF2"/>
    <w:rsid w:val="000C2C51"/>
    <w:rsid w:val="000C2C6F"/>
    <w:rsid w:val="000C38BF"/>
    <w:rsid w:val="000C3986"/>
    <w:rsid w:val="000C3EEC"/>
    <w:rsid w:val="000C425F"/>
    <w:rsid w:val="000C4408"/>
    <w:rsid w:val="000C5A19"/>
    <w:rsid w:val="000C5F95"/>
    <w:rsid w:val="000C613C"/>
    <w:rsid w:val="000C68A2"/>
    <w:rsid w:val="000C6D06"/>
    <w:rsid w:val="000C771F"/>
    <w:rsid w:val="000C7777"/>
    <w:rsid w:val="000C7A38"/>
    <w:rsid w:val="000C7C00"/>
    <w:rsid w:val="000C7C3A"/>
    <w:rsid w:val="000D05E6"/>
    <w:rsid w:val="000D0869"/>
    <w:rsid w:val="000D18DD"/>
    <w:rsid w:val="000D1975"/>
    <w:rsid w:val="000D1AE1"/>
    <w:rsid w:val="000D24C5"/>
    <w:rsid w:val="000D26D8"/>
    <w:rsid w:val="000D2B26"/>
    <w:rsid w:val="000D3CE1"/>
    <w:rsid w:val="000D4801"/>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88E"/>
    <w:rsid w:val="000E6A41"/>
    <w:rsid w:val="000E7F5B"/>
    <w:rsid w:val="000F0031"/>
    <w:rsid w:val="000F050E"/>
    <w:rsid w:val="000F0C81"/>
    <w:rsid w:val="000F15AA"/>
    <w:rsid w:val="000F1F36"/>
    <w:rsid w:val="000F2B07"/>
    <w:rsid w:val="000F2F3F"/>
    <w:rsid w:val="000F378A"/>
    <w:rsid w:val="000F3E0D"/>
    <w:rsid w:val="000F3FF5"/>
    <w:rsid w:val="000F4153"/>
    <w:rsid w:val="000F504E"/>
    <w:rsid w:val="000F56E0"/>
    <w:rsid w:val="000F5719"/>
    <w:rsid w:val="000F57F8"/>
    <w:rsid w:val="000F5C3E"/>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DE5"/>
    <w:rsid w:val="00114DFC"/>
    <w:rsid w:val="001150D9"/>
    <w:rsid w:val="00115450"/>
    <w:rsid w:val="00116A19"/>
    <w:rsid w:val="00117618"/>
    <w:rsid w:val="00117802"/>
    <w:rsid w:val="0011790E"/>
    <w:rsid w:val="001202A1"/>
    <w:rsid w:val="001205F7"/>
    <w:rsid w:val="00120845"/>
    <w:rsid w:val="00121290"/>
    <w:rsid w:val="00121ED9"/>
    <w:rsid w:val="001221F2"/>
    <w:rsid w:val="00122B56"/>
    <w:rsid w:val="00123891"/>
    <w:rsid w:val="00123979"/>
    <w:rsid w:val="00123DC7"/>
    <w:rsid w:val="00125A48"/>
    <w:rsid w:val="00125D8D"/>
    <w:rsid w:val="001261DC"/>
    <w:rsid w:val="001265C6"/>
    <w:rsid w:val="001267D2"/>
    <w:rsid w:val="00126AFA"/>
    <w:rsid w:val="00126F2B"/>
    <w:rsid w:val="00126F64"/>
    <w:rsid w:val="00127EA6"/>
    <w:rsid w:val="00130006"/>
    <w:rsid w:val="001309CB"/>
    <w:rsid w:val="001314EF"/>
    <w:rsid w:val="00131712"/>
    <w:rsid w:val="001317F0"/>
    <w:rsid w:val="00131FC9"/>
    <w:rsid w:val="0013257E"/>
    <w:rsid w:val="0013263C"/>
    <w:rsid w:val="001327CF"/>
    <w:rsid w:val="00132F72"/>
    <w:rsid w:val="00133A53"/>
    <w:rsid w:val="00133DF6"/>
    <w:rsid w:val="00134F9F"/>
    <w:rsid w:val="00135366"/>
    <w:rsid w:val="001354FB"/>
    <w:rsid w:val="0013639D"/>
    <w:rsid w:val="001366A1"/>
    <w:rsid w:val="001374E7"/>
    <w:rsid w:val="00137E43"/>
    <w:rsid w:val="00140410"/>
    <w:rsid w:val="00141E7A"/>
    <w:rsid w:val="00142030"/>
    <w:rsid w:val="0014215E"/>
    <w:rsid w:val="001421E5"/>
    <w:rsid w:val="00142D98"/>
    <w:rsid w:val="001430F6"/>
    <w:rsid w:val="001439B1"/>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87"/>
    <w:rsid w:val="00162850"/>
    <w:rsid w:val="00163663"/>
    <w:rsid w:val="00163C6A"/>
    <w:rsid w:val="00163E41"/>
    <w:rsid w:val="00164375"/>
    <w:rsid w:val="001649C8"/>
    <w:rsid w:val="00164C30"/>
    <w:rsid w:val="00164C3B"/>
    <w:rsid w:val="00164FE5"/>
    <w:rsid w:val="00165FA6"/>
    <w:rsid w:val="00166D82"/>
    <w:rsid w:val="00166DC6"/>
    <w:rsid w:val="0016743A"/>
    <w:rsid w:val="00170979"/>
    <w:rsid w:val="00170B10"/>
    <w:rsid w:val="00170C06"/>
    <w:rsid w:val="00170CCF"/>
    <w:rsid w:val="00170EB8"/>
    <w:rsid w:val="00172208"/>
    <w:rsid w:val="00172998"/>
    <w:rsid w:val="001729FD"/>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0BD"/>
    <w:rsid w:val="001A03DD"/>
    <w:rsid w:val="001A11B2"/>
    <w:rsid w:val="001A12E1"/>
    <w:rsid w:val="001A14BE"/>
    <w:rsid w:val="001A1582"/>
    <w:rsid w:val="001A17B0"/>
    <w:rsid w:val="001A25A2"/>
    <w:rsid w:val="001A2968"/>
    <w:rsid w:val="001A3895"/>
    <w:rsid w:val="001A3BDD"/>
    <w:rsid w:val="001A4BCC"/>
    <w:rsid w:val="001A4BDA"/>
    <w:rsid w:val="001A5333"/>
    <w:rsid w:val="001A5D07"/>
    <w:rsid w:val="001A60CF"/>
    <w:rsid w:val="001A647A"/>
    <w:rsid w:val="001A7084"/>
    <w:rsid w:val="001A786A"/>
    <w:rsid w:val="001A7FA4"/>
    <w:rsid w:val="001B069A"/>
    <w:rsid w:val="001B09F7"/>
    <w:rsid w:val="001B31FC"/>
    <w:rsid w:val="001B3CC8"/>
    <w:rsid w:val="001B3DB1"/>
    <w:rsid w:val="001B40EC"/>
    <w:rsid w:val="001B4145"/>
    <w:rsid w:val="001B4A6A"/>
    <w:rsid w:val="001B4F8A"/>
    <w:rsid w:val="001B5D48"/>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74DD"/>
    <w:rsid w:val="001F0218"/>
    <w:rsid w:val="001F0FA1"/>
    <w:rsid w:val="001F100F"/>
    <w:rsid w:val="001F11D1"/>
    <w:rsid w:val="001F19E6"/>
    <w:rsid w:val="001F1F4E"/>
    <w:rsid w:val="001F2C4E"/>
    <w:rsid w:val="001F36B6"/>
    <w:rsid w:val="001F41C1"/>
    <w:rsid w:val="001F4884"/>
    <w:rsid w:val="001F5456"/>
    <w:rsid w:val="001F5D59"/>
    <w:rsid w:val="001F63E1"/>
    <w:rsid w:val="001F6E65"/>
    <w:rsid w:val="001F766C"/>
    <w:rsid w:val="001F7B90"/>
    <w:rsid w:val="00200726"/>
    <w:rsid w:val="00200B30"/>
    <w:rsid w:val="00200BCB"/>
    <w:rsid w:val="00200DC4"/>
    <w:rsid w:val="00200E3B"/>
    <w:rsid w:val="002030B4"/>
    <w:rsid w:val="002034C1"/>
    <w:rsid w:val="002038A2"/>
    <w:rsid w:val="00203ADD"/>
    <w:rsid w:val="00203FEE"/>
    <w:rsid w:val="002045BE"/>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2F68"/>
    <w:rsid w:val="002131EC"/>
    <w:rsid w:val="00213223"/>
    <w:rsid w:val="002136A2"/>
    <w:rsid w:val="0021397F"/>
    <w:rsid w:val="00213A0A"/>
    <w:rsid w:val="00214F32"/>
    <w:rsid w:val="0021526D"/>
    <w:rsid w:val="002155EE"/>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4A"/>
    <w:rsid w:val="00223FAB"/>
    <w:rsid w:val="00224190"/>
    <w:rsid w:val="0022481E"/>
    <w:rsid w:val="002248D2"/>
    <w:rsid w:val="00224BFE"/>
    <w:rsid w:val="0022585E"/>
    <w:rsid w:val="002259C0"/>
    <w:rsid w:val="00225D80"/>
    <w:rsid w:val="0022639F"/>
    <w:rsid w:val="002266B0"/>
    <w:rsid w:val="00226C05"/>
    <w:rsid w:val="0023038F"/>
    <w:rsid w:val="0023079C"/>
    <w:rsid w:val="002309C1"/>
    <w:rsid w:val="002315E9"/>
    <w:rsid w:val="00231769"/>
    <w:rsid w:val="00232BB2"/>
    <w:rsid w:val="00232E11"/>
    <w:rsid w:val="00233D2A"/>
    <w:rsid w:val="00234021"/>
    <w:rsid w:val="002343E4"/>
    <w:rsid w:val="002346E7"/>
    <w:rsid w:val="00235A58"/>
    <w:rsid w:val="00235B36"/>
    <w:rsid w:val="00235BAD"/>
    <w:rsid w:val="00235E69"/>
    <w:rsid w:val="002363DF"/>
    <w:rsid w:val="00237012"/>
    <w:rsid w:val="002372E7"/>
    <w:rsid w:val="00237A2E"/>
    <w:rsid w:val="00240F51"/>
    <w:rsid w:val="00241034"/>
    <w:rsid w:val="002414F2"/>
    <w:rsid w:val="00241756"/>
    <w:rsid w:val="00242D45"/>
    <w:rsid w:val="002433F3"/>
    <w:rsid w:val="00244112"/>
    <w:rsid w:val="00244810"/>
    <w:rsid w:val="0024487A"/>
    <w:rsid w:val="00244B5B"/>
    <w:rsid w:val="00244EC3"/>
    <w:rsid w:val="0024597B"/>
    <w:rsid w:val="00245AE1"/>
    <w:rsid w:val="00245E50"/>
    <w:rsid w:val="0024604C"/>
    <w:rsid w:val="0024679C"/>
    <w:rsid w:val="00250294"/>
    <w:rsid w:val="002508D1"/>
    <w:rsid w:val="00250A00"/>
    <w:rsid w:val="00250DD5"/>
    <w:rsid w:val="00251506"/>
    <w:rsid w:val="00251E82"/>
    <w:rsid w:val="00254859"/>
    <w:rsid w:val="00254BE6"/>
    <w:rsid w:val="00255609"/>
    <w:rsid w:val="0025578D"/>
    <w:rsid w:val="00255D50"/>
    <w:rsid w:val="002561B3"/>
    <w:rsid w:val="00257BAB"/>
    <w:rsid w:val="00257BD5"/>
    <w:rsid w:val="002601D4"/>
    <w:rsid w:val="00261139"/>
    <w:rsid w:val="00261767"/>
    <w:rsid w:val="00262656"/>
    <w:rsid w:val="00262EB9"/>
    <w:rsid w:val="00263283"/>
    <w:rsid w:val="00263771"/>
    <w:rsid w:val="00263C0B"/>
    <w:rsid w:val="002642F0"/>
    <w:rsid w:val="002647C2"/>
    <w:rsid w:val="00264950"/>
    <w:rsid w:val="00264B27"/>
    <w:rsid w:val="00266388"/>
    <w:rsid w:val="00266631"/>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4EB0"/>
    <w:rsid w:val="00286517"/>
    <w:rsid w:val="00286AC3"/>
    <w:rsid w:val="00286D39"/>
    <w:rsid w:val="002907BA"/>
    <w:rsid w:val="00290D43"/>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543"/>
    <w:rsid w:val="002B06DE"/>
    <w:rsid w:val="002B0844"/>
    <w:rsid w:val="002B0B64"/>
    <w:rsid w:val="002B1219"/>
    <w:rsid w:val="002B1580"/>
    <w:rsid w:val="002B17F0"/>
    <w:rsid w:val="002B1DEB"/>
    <w:rsid w:val="002B23A6"/>
    <w:rsid w:val="002B245E"/>
    <w:rsid w:val="002B28FF"/>
    <w:rsid w:val="002B4028"/>
    <w:rsid w:val="002B40F6"/>
    <w:rsid w:val="002B4713"/>
    <w:rsid w:val="002B522A"/>
    <w:rsid w:val="002B5330"/>
    <w:rsid w:val="002B5A48"/>
    <w:rsid w:val="002B5A7D"/>
    <w:rsid w:val="002B6333"/>
    <w:rsid w:val="002B68CE"/>
    <w:rsid w:val="002B6CE9"/>
    <w:rsid w:val="002B6FBA"/>
    <w:rsid w:val="002B796A"/>
    <w:rsid w:val="002B7F5D"/>
    <w:rsid w:val="002B7FA2"/>
    <w:rsid w:val="002C00CC"/>
    <w:rsid w:val="002C06C6"/>
    <w:rsid w:val="002C13FD"/>
    <w:rsid w:val="002C1B47"/>
    <w:rsid w:val="002C2353"/>
    <w:rsid w:val="002C2D2B"/>
    <w:rsid w:val="002C2DB8"/>
    <w:rsid w:val="002C33C6"/>
    <w:rsid w:val="002C3966"/>
    <w:rsid w:val="002C40C7"/>
    <w:rsid w:val="002C4806"/>
    <w:rsid w:val="002C49D1"/>
    <w:rsid w:val="002C4F67"/>
    <w:rsid w:val="002C5182"/>
    <w:rsid w:val="002C5DE8"/>
    <w:rsid w:val="002C796F"/>
    <w:rsid w:val="002D0042"/>
    <w:rsid w:val="002D00B9"/>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EA3"/>
    <w:rsid w:val="002E134D"/>
    <w:rsid w:val="002E13BE"/>
    <w:rsid w:val="002E20CD"/>
    <w:rsid w:val="002E2496"/>
    <w:rsid w:val="002E2BDB"/>
    <w:rsid w:val="002E4475"/>
    <w:rsid w:val="002E4865"/>
    <w:rsid w:val="002E4943"/>
    <w:rsid w:val="002E4B40"/>
    <w:rsid w:val="002E4BE8"/>
    <w:rsid w:val="002E5394"/>
    <w:rsid w:val="002F0DDB"/>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5AE"/>
    <w:rsid w:val="00301CA2"/>
    <w:rsid w:val="00301D7D"/>
    <w:rsid w:val="003028D8"/>
    <w:rsid w:val="00302D1F"/>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21EA"/>
    <w:rsid w:val="0031263E"/>
    <w:rsid w:val="00312AC3"/>
    <w:rsid w:val="00312DE0"/>
    <w:rsid w:val="00313231"/>
    <w:rsid w:val="00315BB7"/>
    <w:rsid w:val="00317F64"/>
    <w:rsid w:val="00320184"/>
    <w:rsid w:val="003207F6"/>
    <w:rsid w:val="00320B64"/>
    <w:rsid w:val="00320D28"/>
    <w:rsid w:val="00321361"/>
    <w:rsid w:val="00321622"/>
    <w:rsid w:val="00321881"/>
    <w:rsid w:val="00321D3C"/>
    <w:rsid w:val="00321E6E"/>
    <w:rsid w:val="00322044"/>
    <w:rsid w:val="003225FA"/>
    <w:rsid w:val="0032283D"/>
    <w:rsid w:val="0032384A"/>
    <w:rsid w:val="00323A98"/>
    <w:rsid w:val="00323C84"/>
    <w:rsid w:val="00323DDD"/>
    <w:rsid w:val="00323F15"/>
    <w:rsid w:val="00324212"/>
    <w:rsid w:val="003247AB"/>
    <w:rsid w:val="003248F6"/>
    <w:rsid w:val="0032513D"/>
    <w:rsid w:val="003253A3"/>
    <w:rsid w:val="00325C96"/>
    <w:rsid w:val="00326160"/>
    <w:rsid w:val="0032642C"/>
    <w:rsid w:val="003268EF"/>
    <w:rsid w:val="00326B0F"/>
    <w:rsid w:val="00327362"/>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7B8"/>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14A9"/>
    <w:rsid w:val="00351D2D"/>
    <w:rsid w:val="00351E72"/>
    <w:rsid w:val="0035222B"/>
    <w:rsid w:val="003523D1"/>
    <w:rsid w:val="00352E67"/>
    <w:rsid w:val="003535E6"/>
    <w:rsid w:val="00353FB5"/>
    <w:rsid w:val="00355339"/>
    <w:rsid w:val="003559FB"/>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591"/>
    <w:rsid w:val="00380CD9"/>
    <w:rsid w:val="00380E86"/>
    <w:rsid w:val="003818C7"/>
    <w:rsid w:val="00381E33"/>
    <w:rsid w:val="00381F7B"/>
    <w:rsid w:val="003823BB"/>
    <w:rsid w:val="003823EA"/>
    <w:rsid w:val="00382449"/>
    <w:rsid w:val="00382D85"/>
    <w:rsid w:val="00383646"/>
    <w:rsid w:val="00383A5C"/>
    <w:rsid w:val="00383A6F"/>
    <w:rsid w:val="0038456A"/>
    <w:rsid w:val="00384BAB"/>
    <w:rsid w:val="00384FAE"/>
    <w:rsid w:val="003856E5"/>
    <w:rsid w:val="00385718"/>
    <w:rsid w:val="00385973"/>
    <w:rsid w:val="003865FD"/>
    <w:rsid w:val="0038725C"/>
    <w:rsid w:val="003875C0"/>
    <w:rsid w:val="0038787F"/>
    <w:rsid w:val="00387FF7"/>
    <w:rsid w:val="00390A1C"/>
    <w:rsid w:val="003912BD"/>
    <w:rsid w:val="003918FA"/>
    <w:rsid w:val="00391D6A"/>
    <w:rsid w:val="00392548"/>
    <w:rsid w:val="0039330E"/>
    <w:rsid w:val="0039356C"/>
    <w:rsid w:val="00393743"/>
    <w:rsid w:val="00393AF8"/>
    <w:rsid w:val="00395659"/>
    <w:rsid w:val="0039742C"/>
    <w:rsid w:val="00397457"/>
    <w:rsid w:val="00397EE3"/>
    <w:rsid w:val="003A0026"/>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044"/>
    <w:rsid w:val="003D1BF6"/>
    <w:rsid w:val="003D1DB0"/>
    <w:rsid w:val="003D20EE"/>
    <w:rsid w:val="003D2720"/>
    <w:rsid w:val="003D2743"/>
    <w:rsid w:val="003D2B56"/>
    <w:rsid w:val="003D2DA3"/>
    <w:rsid w:val="003D3188"/>
    <w:rsid w:val="003D351C"/>
    <w:rsid w:val="003D4CFB"/>
    <w:rsid w:val="003D4DF2"/>
    <w:rsid w:val="003D4FA6"/>
    <w:rsid w:val="003D516F"/>
    <w:rsid w:val="003D62D0"/>
    <w:rsid w:val="003D6407"/>
    <w:rsid w:val="003D6551"/>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45F"/>
    <w:rsid w:val="004046C6"/>
    <w:rsid w:val="00404764"/>
    <w:rsid w:val="004065CF"/>
    <w:rsid w:val="004068A8"/>
    <w:rsid w:val="00411991"/>
    <w:rsid w:val="00412DE7"/>
    <w:rsid w:val="00413B99"/>
    <w:rsid w:val="00414886"/>
    <w:rsid w:val="00414B47"/>
    <w:rsid w:val="00414D6C"/>
    <w:rsid w:val="00415CA2"/>
    <w:rsid w:val="0041653F"/>
    <w:rsid w:val="004169F3"/>
    <w:rsid w:val="00416BE2"/>
    <w:rsid w:val="00416E89"/>
    <w:rsid w:val="00416FEF"/>
    <w:rsid w:val="004171AD"/>
    <w:rsid w:val="00417D91"/>
    <w:rsid w:val="00417F04"/>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2B8D"/>
    <w:rsid w:val="0043380A"/>
    <w:rsid w:val="00434070"/>
    <w:rsid w:val="00434099"/>
    <w:rsid w:val="00434A17"/>
    <w:rsid w:val="00434FA5"/>
    <w:rsid w:val="004350DC"/>
    <w:rsid w:val="00435335"/>
    <w:rsid w:val="00435505"/>
    <w:rsid w:val="00435E0E"/>
    <w:rsid w:val="004364ED"/>
    <w:rsid w:val="00436D4C"/>
    <w:rsid w:val="00436FFE"/>
    <w:rsid w:val="00437476"/>
    <w:rsid w:val="0043757F"/>
    <w:rsid w:val="00437609"/>
    <w:rsid w:val="00440F03"/>
    <w:rsid w:val="0044138A"/>
    <w:rsid w:val="00441D2D"/>
    <w:rsid w:val="0044212C"/>
    <w:rsid w:val="004427E8"/>
    <w:rsid w:val="004442F0"/>
    <w:rsid w:val="00444DE4"/>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F17"/>
    <w:rsid w:val="00465727"/>
    <w:rsid w:val="00465F8E"/>
    <w:rsid w:val="004673C2"/>
    <w:rsid w:val="004677D7"/>
    <w:rsid w:val="004710B5"/>
    <w:rsid w:val="00472278"/>
    <w:rsid w:val="00475129"/>
    <w:rsid w:val="00475C9E"/>
    <w:rsid w:val="004763A6"/>
    <w:rsid w:val="004767BF"/>
    <w:rsid w:val="00477605"/>
    <w:rsid w:val="004776B7"/>
    <w:rsid w:val="004776C1"/>
    <w:rsid w:val="0048091C"/>
    <w:rsid w:val="00481BF2"/>
    <w:rsid w:val="00481DB1"/>
    <w:rsid w:val="00482028"/>
    <w:rsid w:val="0048379B"/>
    <w:rsid w:val="004837C0"/>
    <w:rsid w:val="00483A0C"/>
    <w:rsid w:val="00483C55"/>
    <w:rsid w:val="0048485C"/>
    <w:rsid w:val="00484902"/>
    <w:rsid w:val="00484B44"/>
    <w:rsid w:val="00484BC0"/>
    <w:rsid w:val="004853FB"/>
    <w:rsid w:val="0048595A"/>
    <w:rsid w:val="004859D2"/>
    <w:rsid w:val="0048645F"/>
    <w:rsid w:val="00487020"/>
    <w:rsid w:val="00487869"/>
    <w:rsid w:val="00487E7E"/>
    <w:rsid w:val="00490007"/>
    <w:rsid w:val="00490A74"/>
    <w:rsid w:val="0049114C"/>
    <w:rsid w:val="004913C6"/>
    <w:rsid w:val="004924C8"/>
    <w:rsid w:val="004926D5"/>
    <w:rsid w:val="00492A15"/>
    <w:rsid w:val="00492B7B"/>
    <w:rsid w:val="004932E0"/>
    <w:rsid w:val="00493B30"/>
    <w:rsid w:val="00494930"/>
    <w:rsid w:val="00495007"/>
    <w:rsid w:val="00495357"/>
    <w:rsid w:val="0049652F"/>
    <w:rsid w:val="00497799"/>
    <w:rsid w:val="00497C2D"/>
    <w:rsid w:val="00497F50"/>
    <w:rsid w:val="004A078C"/>
    <w:rsid w:val="004A1474"/>
    <w:rsid w:val="004A1A2D"/>
    <w:rsid w:val="004A21F7"/>
    <w:rsid w:val="004A313B"/>
    <w:rsid w:val="004A385B"/>
    <w:rsid w:val="004A3CB2"/>
    <w:rsid w:val="004A490A"/>
    <w:rsid w:val="004A55C3"/>
    <w:rsid w:val="004A5E15"/>
    <w:rsid w:val="004A6161"/>
    <w:rsid w:val="004A6A35"/>
    <w:rsid w:val="004A7BAB"/>
    <w:rsid w:val="004A7E56"/>
    <w:rsid w:val="004B01D2"/>
    <w:rsid w:val="004B0605"/>
    <w:rsid w:val="004B0C9C"/>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D7C"/>
    <w:rsid w:val="004C1EE2"/>
    <w:rsid w:val="004C2527"/>
    <w:rsid w:val="004C26D3"/>
    <w:rsid w:val="004C2803"/>
    <w:rsid w:val="004C2D0D"/>
    <w:rsid w:val="004C4308"/>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482"/>
    <w:rsid w:val="004D6A65"/>
    <w:rsid w:val="004D6A93"/>
    <w:rsid w:val="004D7C60"/>
    <w:rsid w:val="004E1438"/>
    <w:rsid w:val="004E15F8"/>
    <w:rsid w:val="004E2477"/>
    <w:rsid w:val="004E579F"/>
    <w:rsid w:val="004E58DF"/>
    <w:rsid w:val="004E6A04"/>
    <w:rsid w:val="004E78CF"/>
    <w:rsid w:val="004F01E2"/>
    <w:rsid w:val="004F1503"/>
    <w:rsid w:val="004F187B"/>
    <w:rsid w:val="004F33D7"/>
    <w:rsid w:val="004F36CA"/>
    <w:rsid w:val="004F399D"/>
    <w:rsid w:val="004F3E39"/>
    <w:rsid w:val="004F44F6"/>
    <w:rsid w:val="004F4769"/>
    <w:rsid w:val="004F5641"/>
    <w:rsid w:val="004F5FCC"/>
    <w:rsid w:val="004F68CC"/>
    <w:rsid w:val="004F7295"/>
    <w:rsid w:val="004F754F"/>
    <w:rsid w:val="004F77F7"/>
    <w:rsid w:val="004F7CC5"/>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201B"/>
    <w:rsid w:val="005126F5"/>
    <w:rsid w:val="00513D1A"/>
    <w:rsid w:val="00513DB0"/>
    <w:rsid w:val="00513F52"/>
    <w:rsid w:val="005141A6"/>
    <w:rsid w:val="00517209"/>
    <w:rsid w:val="00517592"/>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0BC"/>
    <w:rsid w:val="005345C3"/>
    <w:rsid w:val="005359D2"/>
    <w:rsid w:val="00535B73"/>
    <w:rsid w:val="00535F15"/>
    <w:rsid w:val="0053707F"/>
    <w:rsid w:val="00537164"/>
    <w:rsid w:val="0053754E"/>
    <w:rsid w:val="005375DF"/>
    <w:rsid w:val="0053790E"/>
    <w:rsid w:val="00537BF7"/>
    <w:rsid w:val="00537D59"/>
    <w:rsid w:val="00540174"/>
    <w:rsid w:val="0054131D"/>
    <w:rsid w:val="005426B8"/>
    <w:rsid w:val="00542975"/>
    <w:rsid w:val="005438EF"/>
    <w:rsid w:val="00543F60"/>
    <w:rsid w:val="00544B51"/>
    <w:rsid w:val="00544F22"/>
    <w:rsid w:val="00544F8B"/>
    <w:rsid w:val="0054509C"/>
    <w:rsid w:val="0054559D"/>
    <w:rsid w:val="00546594"/>
    <w:rsid w:val="00546DAD"/>
    <w:rsid w:val="00546F91"/>
    <w:rsid w:val="00547A9C"/>
    <w:rsid w:val="00547C76"/>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2EE0"/>
    <w:rsid w:val="005632B8"/>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6CD"/>
    <w:rsid w:val="00585DEB"/>
    <w:rsid w:val="005866BB"/>
    <w:rsid w:val="0058674B"/>
    <w:rsid w:val="00586D00"/>
    <w:rsid w:val="005870C5"/>
    <w:rsid w:val="005904A9"/>
    <w:rsid w:val="0059075B"/>
    <w:rsid w:val="00590BD9"/>
    <w:rsid w:val="005914CD"/>
    <w:rsid w:val="00591E0A"/>
    <w:rsid w:val="00591ED0"/>
    <w:rsid w:val="0059259F"/>
    <w:rsid w:val="00592BC9"/>
    <w:rsid w:val="00593688"/>
    <w:rsid w:val="00594067"/>
    <w:rsid w:val="005944F3"/>
    <w:rsid w:val="005945FA"/>
    <w:rsid w:val="0059476D"/>
    <w:rsid w:val="0059488E"/>
    <w:rsid w:val="00594B41"/>
    <w:rsid w:val="00595450"/>
    <w:rsid w:val="00595CA6"/>
    <w:rsid w:val="00595E94"/>
    <w:rsid w:val="00596049"/>
    <w:rsid w:val="00596F3D"/>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6537"/>
    <w:rsid w:val="005B6637"/>
    <w:rsid w:val="005B7398"/>
    <w:rsid w:val="005B74F6"/>
    <w:rsid w:val="005B7A58"/>
    <w:rsid w:val="005B7EC8"/>
    <w:rsid w:val="005C005F"/>
    <w:rsid w:val="005C04F1"/>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B7E"/>
    <w:rsid w:val="005D0E49"/>
    <w:rsid w:val="005D1584"/>
    <w:rsid w:val="005D31E0"/>
    <w:rsid w:val="005D32B8"/>
    <w:rsid w:val="005D32DB"/>
    <w:rsid w:val="005D480F"/>
    <w:rsid w:val="005D77F1"/>
    <w:rsid w:val="005E00ED"/>
    <w:rsid w:val="005E030F"/>
    <w:rsid w:val="005E07B7"/>
    <w:rsid w:val="005E13F0"/>
    <w:rsid w:val="005E1BD7"/>
    <w:rsid w:val="005E2073"/>
    <w:rsid w:val="005E2280"/>
    <w:rsid w:val="005E237F"/>
    <w:rsid w:val="005E3039"/>
    <w:rsid w:val="005E3D5A"/>
    <w:rsid w:val="005E3F73"/>
    <w:rsid w:val="005E4784"/>
    <w:rsid w:val="005E4E69"/>
    <w:rsid w:val="005E4F1A"/>
    <w:rsid w:val="005E577E"/>
    <w:rsid w:val="005E581D"/>
    <w:rsid w:val="005E59B8"/>
    <w:rsid w:val="005E5FA0"/>
    <w:rsid w:val="005E7096"/>
    <w:rsid w:val="005E759A"/>
    <w:rsid w:val="005E7F86"/>
    <w:rsid w:val="005F04F1"/>
    <w:rsid w:val="005F1476"/>
    <w:rsid w:val="005F1642"/>
    <w:rsid w:val="005F397E"/>
    <w:rsid w:val="005F39D4"/>
    <w:rsid w:val="005F521E"/>
    <w:rsid w:val="005F6009"/>
    <w:rsid w:val="005F6272"/>
    <w:rsid w:val="005F648E"/>
    <w:rsid w:val="005F7261"/>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07FE4"/>
    <w:rsid w:val="0061098F"/>
    <w:rsid w:val="00611533"/>
    <w:rsid w:val="0061185E"/>
    <w:rsid w:val="00611A84"/>
    <w:rsid w:val="006120D7"/>
    <w:rsid w:val="00612480"/>
    <w:rsid w:val="006126FB"/>
    <w:rsid w:val="00613036"/>
    <w:rsid w:val="006138F3"/>
    <w:rsid w:val="00613D10"/>
    <w:rsid w:val="006142A2"/>
    <w:rsid w:val="00614356"/>
    <w:rsid w:val="0061436B"/>
    <w:rsid w:val="006150EF"/>
    <w:rsid w:val="00615A09"/>
    <w:rsid w:val="00615D9C"/>
    <w:rsid w:val="00616B65"/>
    <w:rsid w:val="00617A6B"/>
    <w:rsid w:val="006201C4"/>
    <w:rsid w:val="00620C05"/>
    <w:rsid w:val="00620E66"/>
    <w:rsid w:val="006211B0"/>
    <w:rsid w:val="006215A3"/>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9CF"/>
    <w:rsid w:val="00631ADE"/>
    <w:rsid w:val="006321D2"/>
    <w:rsid w:val="006328FF"/>
    <w:rsid w:val="00632C20"/>
    <w:rsid w:val="00632DCA"/>
    <w:rsid w:val="00633284"/>
    <w:rsid w:val="006332E6"/>
    <w:rsid w:val="006336BB"/>
    <w:rsid w:val="00634049"/>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BA6"/>
    <w:rsid w:val="00642018"/>
    <w:rsid w:val="00643D8C"/>
    <w:rsid w:val="0064463E"/>
    <w:rsid w:val="00644FD3"/>
    <w:rsid w:val="0064512B"/>
    <w:rsid w:val="006454E5"/>
    <w:rsid w:val="006455E1"/>
    <w:rsid w:val="00645EB6"/>
    <w:rsid w:val="0064639E"/>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504"/>
    <w:rsid w:val="00661BFF"/>
    <w:rsid w:val="00662B00"/>
    <w:rsid w:val="0066330F"/>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67842"/>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4C7"/>
    <w:rsid w:val="0068350D"/>
    <w:rsid w:val="0068375B"/>
    <w:rsid w:val="006851F3"/>
    <w:rsid w:val="00685EA4"/>
    <w:rsid w:val="00687977"/>
    <w:rsid w:val="00687F0B"/>
    <w:rsid w:val="00691000"/>
    <w:rsid w:val="0069101F"/>
    <w:rsid w:val="006911BD"/>
    <w:rsid w:val="006928E5"/>
    <w:rsid w:val="00692FEA"/>
    <w:rsid w:val="006932C7"/>
    <w:rsid w:val="0069363B"/>
    <w:rsid w:val="00693B5E"/>
    <w:rsid w:val="00693BE2"/>
    <w:rsid w:val="00694B3E"/>
    <w:rsid w:val="0069538E"/>
    <w:rsid w:val="006954F4"/>
    <w:rsid w:val="00695946"/>
    <w:rsid w:val="006970B5"/>
    <w:rsid w:val="00697D2B"/>
    <w:rsid w:val="00697FB8"/>
    <w:rsid w:val="006A207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E74F6"/>
    <w:rsid w:val="006F0131"/>
    <w:rsid w:val="006F04D9"/>
    <w:rsid w:val="006F088D"/>
    <w:rsid w:val="006F0ABA"/>
    <w:rsid w:val="006F10C2"/>
    <w:rsid w:val="006F1406"/>
    <w:rsid w:val="006F1824"/>
    <w:rsid w:val="006F1D2B"/>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5C2"/>
    <w:rsid w:val="00704624"/>
    <w:rsid w:val="007047E8"/>
    <w:rsid w:val="007054CF"/>
    <w:rsid w:val="00705513"/>
    <w:rsid w:val="0070701D"/>
    <w:rsid w:val="007070C0"/>
    <w:rsid w:val="00707CB7"/>
    <w:rsid w:val="00707E80"/>
    <w:rsid w:val="0071000E"/>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C91"/>
    <w:rsid w:val="007243D4"/>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30"/>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3E"/>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20E"/>
    <w:rsid w:val="007C254C"/>
    <w:rsid w:val="007C2895"/>
    <w:rsid w:val="007C3124"/>
    <w:rsid w:val="007C3EC7"/>
    <w:rsid w:val="007C3F40"/>
    <w:rsid w:val="007C4034"/>
    <w:rsid w:val="007C5520"/>
    <w:rsid w:val="007C5647"/>
    <w:rsid w:val="007C5914"/>
    <w:rsid w:val="007C6AA4"/>
    <w:rsid w:val="007C6BEC"/>
    <w:rsid w:val="007C6D51"/>
    <w:rsid w:val="007C7966"/>
    <w:rsid w:val="007C7983"/>
    <w:rsid w:val="007D0EE4"/>
    <w:rsid w:val="007D1094"/>
    <w:rsid w:val="007D113B"/>
    <w:rsid w:val="007D19BE"/>
    <w:rsid w:val="007D250D"/>
    <w:rsid w:val="007D2983"/>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BCE"/>
    <w:rsid w:val="007E2E66"/>
    <w:rsid w:val="007E3133"/>
    <w:rsid w:val="007E36F4"/>
    <w:rsid w:val="007E39F3"/>
    <w:rsid w:val="007E3A1A"/>
    <w:rsid w:val="007E3D63"/>
    <w:rsid w:val="007E406B"/>
    <w:rsid w:val="007E4451"/>
    <w:rsid w:val="007E4A29"/>
    <w:rsid w:val="007E4D57"/>
    <w:rsid w:val="007E5CD6"/>
    <w:rsid w:val="007E5E3D"/>
    <w:rsid w:val="007E60AF"/>
    <w:rsid w:val="007E6C5B"/>
    <w:rsid w:val="007F0AEC"/>
    <w:rsid w:val="007F0C66"/>
    <w:rsid w:val="007F1085"/>
    <w:rsid w:val="007F413E"/>
    <w:rsid w:val="007F43BE"/>
    <w:rsid w:val="007F51FB"/>
    <w:rsid w:val="007F53B7"/>
    <w:rsid w:val="007F57E7"/>
    <w:rsid w:val="007F5B26"/>
    <w:rsid w:val="007F5C77"/>
    <w:rsid w:val="007F660B"/>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1F"/>
    <w:rsid w:val="0080505A"/>
    <w:rsid w:val="00805857"/>
    <w:rsid w:val="00806A00"/>
    <w:rsid w:val="00806BEF"/>
    <w:rsid w:val="00807133"/>
    <w:rsid w:val="00807674"/>
    <w:rsid w:val="00807748"/>
    <w:rsid w:val="00810E7B"/>
    <w:rsid w:val="00811AAC"/>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9BC"/>
    <w:rsid w:val="00826318"/>
    <w:rsid w:val="00826BB1"/>
    <w:rsid w:val="00827654"/>
    <w:rsid w:val="00827FAC"/>
    <w:rsid w:val="00830150"/>
    <w:rsid w:val="00830A14"/>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21F1"/>
    <w:rsid w:val="008425CC"/>
    <w:rsid w:val="008426FE"/>
    <w:rsid w:val="0084273B"/>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DDB"/>
    <w:rsid w:val="00852A52"/>
    <w:rsid w:val="00852C08"/>
    <w:rsid w:val="00852F38"/>
    <w:rsid w:val="00853274"/>
    <w:rsid w:val="00853402"/>
    <w:rsid w:val="0085383E"/>
    <w:rsid w:val="00854177"/>
    <w:rsid w:val="00854484"/>
    <w:rsid w:val="008544F1"/>
    <w:rsid w:val="00854509"/>
    <w:rsid w:val="008545F2"/>
    <w:rsid w:val="008554B2"/>
    <w:rsid w:val="00855927"/>
    <w:rsid w:val="00855FE2"/>
    <w:rsid w:val="00856D86"/>
    <w:rsid w:val="008572BF"/>
    <w:rsid w:val="00857355"/>
    <w:rsid w:val="008576D6"/>
    <w:rsid w:val="00857B01"/>
    <w:rsid w:val="0086041B"/>
    <w:rsid w:val="008605CA"/>
    <w:rsid w:val="008609DF"/>
    <w:rsid w:val="0086139D"/>
    <w:rsid w:val="00861DF3"/>
    <w:rsid w:val="008620D0"/>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76D"/>
    <w:rsid w:val="008717A9"/>
    <w:rsid w:val="00871913"/>
    <w:rsid w:val="00871DE8"/>
    <w:rsid w:val="00871EE5"/>
    <w:rsid w:val="00872049"/>
    <w:rsid w:val="00872077"/>
    <w:rsid w:val="0087230D"/>
    <w:rsid w:val="00872AE1"/>
    <w:rsid w:val="008732BE"/>
    <w:rsid w:val="00873AD4"/>
    <w:rsid w:val="00873EE8"/>
    <w:rsid w:val="0087419F"/>
    <w:rsid w:val="0087421F"/>
    <w:rsid w:val="008743DA"/>
    <w:rsid w:val="00875BC2"/>
    <w:rsid w:val="0087652C"/>
    <w:rsid w:val="0087738A"/>
    <w:rsid w:val="00880A5A"/>
    <w:rsid w:val="00881244"/>
    <w:rsid w:val="00881958"/>
    <w:rsid w:val="00881D13"/>
    <w:rsid w:val="00882F46"/>
    <w:rsid w:val="008832C9"/>
    <w:rsid w:val="00883724"/>
    <w:rsid w:val="00883BBC"/>
    <w:rsid w:val="00883E45"/>
    <w:rsid w:val="008845A4"/>
    <w:rsid w:val="008847D7"/>
    <w:rsid w:val="00884DD6"/>
    <w:rsid w:val="00885834"/>
    <w:rsid w:val="00885AAB"/>
    <w:rsid w:val="0088672F"/>
    <w:rsid w:val="0088732F"/>
    <w:rsid w:val="00887730"/>
    <w:rsid w:val="00887982"/>
    <w:rsid w:val="00887B13"/>
    <w:rsid w:val="00887B8B"/>
    <w:rsid w:val="00887F02"/>
    <w:rsid w:val="008911E7"/>
    <w:rsid w:val="008921ED"/>
    <w:rsid w:val="008925B4"/>
    <w:rsid w:val="0089263E"/>
    <w:rsid w:val="00892818"/>
    <w:rsid w:val="008930A1"/>
    <w:rsid w:val="00893AE6"/>
    <w:rsid w:val="00893D00"/>
    <w:rsid w:val="008953AE"/>
    <w:rsid w:val="00895821"/>
    <w:rsid w:val="008966EE"/>
    <w:rsid w:val="00896939"/>
    <w:rsid w:val="00896B0B"/>
    <w:rsid w:val="0089713D"/>
    <w:rsid w:val="00897DDE"/>
    <w:rsid w:val="008A0013"/>
    <w:rsid w:val="008A0732"/>
    <w:rsid w:val="008A13A1"/>
    <w:rsid w:val="008A14CE"/>
    <w:rsid w:val="008A226D"/>
    <w:rsid w:val="008A2580"/>
    <w:rsid w:val="008A3011"/>
    <w:rsid w:val="008A41BD"/>
    <w:rsid w:val="008A429C"/>
    <w:rsid w:val="008A4A25"/>
    <w:rsid w:val="008A4E37"/>
    <w:rsid w:val="008A4F03"/>
    <w:rsid w:val="008A6AEF"/>
    <w:rsid w:val="008A6EDB"/>
    <w:rsid w:val="008A7355"/>
    <w:rsid w:val="008A74A1"/>
    <w:rsid w:val="008A764C"/>
    <w:rsid w:val="008A7756"/>
    <w:rsid w:val="008A7C2F"/>
    <w:rsid w:val="008B0253"/>
    <w:rsid w:val="008B24CD"/>
    <w:rsid w:val="008B35A4"/>
    <w:rsid w:val="008B4016"/>
    <w:rsid w:val="008B5197"/>
    <w:rsid w:val="008B521D"/>
    <w:rsid w:val="008B5739"/>
    <w:rsid w:val="008B57C7"/>
    <w:rsid w:val="008B618E"/>
    <w:rsid w:val="008B650D"/>
    <w:rsid w:val="008B6AE7"/>
    <w:rsid w:val="008C12DE"/>
    <w:rsid w:val="008C1F88"/>
    <w:rsid w:val="008C2020"/>
    <w:rsid w:val="008C35A8"/>
    <w:rsid w:val="008C3B37"/>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B04"/>
    <w:rsid w:val="008D3E42"/>
    <w:rsid w:val="008D5104"/>
    <w:rsid w:val="008D547E"/>
    <w:rsid w:val="008D573C"/>
    <w:rsid w:val="008D580D"/>
    <w:rsid w:val="008D611E"/>
    <w:rsid w:val="008D6603"/>
    <w:rsid w:val="008D6C04"/>
    <w:rsid w:val="008D7861"/>
    <w:rsid w:val="008E050D"/>
    <w:rsid w:val="008E0527"/>
    <w:rsid w:val="008E2012"/>
    <w:rsid w:val="008E230B"/>
    <w:rsid w:val="008E2612"/>
    <w:rsid w:val="008E2BC7"/>
    <w:rsid w:val="008E3031"/>
    <w:rsid w:val="008E35A6"/>
    <w:rsid w:val="008E3A56"/>
    <w:rsid w:val="008E4156"/>
    <w:rsid w:val="008E4174"/>
    <w:rsid w:val="008E4243"/>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5010"/>
    <w:rsid w:val="0090711E"/>
    <w:rsid w:val="00907B63"/>
    <w:rsid w:val="0091033E"/>
    <w:rsid w:val="00910687"/>
    <w:rsid w:val="009115D7"/>
    <w:rsid w:val="009115EA"/>
    <w:rsid w:val="00911F75"/>
    <w:rsid w:val="00913A02"/>
    <w:rsid w:val="009141B2"/>
    <w:rsid w:val="0091438D"/>
    <w:rsid w:val="0091490A"/>
    <w:rsid w:val="00914F45"/>
    <w:rsid w:val="009153EE"/>
    <w:rsid w:val="0091599B"/>
    <w:rsid w:val="00915C83"/>
    <w:rsid w:val="009163BD"/>
    <w:rsid w:val="009164D9"/>
    <w:rsid w:val="0091671E"/>
    <w:rsid w:val="0091768F"/>
    <w:rsid w:val="00917742"/>
    <w:rsid w:val="0092068F"/>
    <w:rsid w:val="00920CAB"/>
    <w:rsid w:val="00921E6E"/>
    <w:rsid w:val="009225B4"/>
    <w:rsid w:val="009226E2"/>
    <w:rsid w:val="00922C00"/>
    <w:rsid w:val="009245DE"/>
    <w:rsid w:val="00925B09"/>
    <w:rsid w:val="00925BCB"/>
    <w:rsid w:val="00930C72"/>
    <w:rsid w:val="00931B76"/>
    <w:rsid w:val="00932133"/>
    <w:rsid w:val="0093238B"/>
    <w:rsid w:val="00933547"/>
    <w:rsid w:val="00933795"/>
    <w:rsid w:val="00933B88"/>
    <w:rsid w:val="00933D31"/>
    <w:rsid w:val="009348B0"/>
    <w:rsid w:val="009360A2"/>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502"/>
    <w:rsid w:val="00945AB7"/>
    <w:rsid w:val="00946093"/>
    <w:rsid w:val="00946EC7"/>
    <w:rsid w:val="009478DD"/>
    <w:rsid w:val="009508D9"/>
    <w:rsid w:val="00950B5A"/>
    <w:rsid w:val="00951BAE"/>
    <w:rsid w:val="009533D0"/>
    <w:rsid w:val="00953514"/>
    <w:rsid w:val="00953B95"/>
    <w:rsid w:val="00954362"/>
    <w:rsid w:val="00955109"/>
    <w:rsid w:val="0095572F"/>
    <w:rsid w:val="009559F6"/>
    <w:rsid w:val="00955FF1"/>
    <w:rsid w:val="00956614"/>
    <w:rsid w:val="00956836"/>
    <w:rsid w:val="00956EF2"/>
    <w:rsid w:val="00957FE9"/>
    <w:rsid w:val="00960399"/>
    <w:rsid w:val="0096098F"/>
    <w:rsid w:val="0096120B"/>
    <w:rsid w:val="0096135F"/>
    <w:rsid w:val="00961389"/>
    <w:rsid w:val="00961A66"/>
    <w:rsid w:val="009624AD"/>
    <w:rsid w:val="00962796"/>
    <w:rsid w:val="009629D0"/>
    <w:rsid w:val="00962FA2"/>
    <w:rsid w:val="00963041"/>
    <w:rsid w:val="00963106"/>
    <w:rsid w:val="00964761"/>
    <w:rsid w:val="00965772"/>
    <w:rsid w:val="00965A2B"/>
    <w:rsid w:val="00966F73"/>
    <w:rsid w:val="009671DE"/>
    <w:rsid w:val="009672F9"/>
    <w:rsid w:val="00967778"/>
    <w:rsid w:val="00967C8F"/>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8D8"/>
    <w:rsid w:val="00975CE8"/>
    <w:rsid w:val="00976521"/>
    <w:rsid w:val="009765D8"/>
    <w:rsid w:val="00976C82"/>
    <w:rsid w:val="00977C46"/>
    <w:rsid w:val="009804FE"/>
    <w:rsid w:val="00981761"/>
    <w:rsid w:val="00981D2E"/>
    <w:rsid w:val="00981D67"/>
    <w:rsid w:val="00981F55"/>
    <w:rsid w:val="009821E6"/>
    <w:rsid w:val="00982273"/>
    <w:rsid w:val="009828A2"/>
    <w:rsid w:val="00983257"/>
    <w:rsid w:val="00983489"/>
    <w:rsid w:val="009834B6"/>
    <w:rsid w:val="00983AD7"/>
    <w:rsid w:val="009849F5"/>
    <w:rsid w:val="00986C63"/>
    <w:rsid w:val="00986FE7"/>
    <w:rsid w:val="00987002"/>
    <w:rsid w:val="00987504"/>
    <w:rsid w:val="00987665"/>
    <w:rsid w:val="00987D15"/>
    <w:rsid w:val="00990805"/>
    <w:rsid w:val="00991B3E"/>
    <w:rsid w:val="00992B7B"/>
    <w:rsid w:val="00992C10"/>
    <w:rsid w:val="00993580"/>
    <w:rsid w:val="0099402E"/>
    <w:rsid w:val="00994D2A"/>
    <w:rsid w:val="00995233"/>
    <w:rsid w:val="0099669C"/>
    <w:rsid w:val="00997295"/>
    <w:rsid w:val="009978F0"/>
    <w:rsid w:val="00997957"/>
    <w:rsid w:val="009A004D"/>
    <w:rsid w:val="009A0248"/>
    <w:rsid w:val="009A0A42"/>
    <w:rsid w:val="009A0DBD"/>
    <w:rsid w:val="009A1133"/>
    <w:rsid w:val="009A187A"/>
    <w:rsid w:val="009A1DDA"/>
    <w:rsid w:val="009A25F5"/>
    <w:rsid w:val="009A2C17"/>
    <w:rsid w:val="009A3AE7"/>
    <w:rsid w:val="009A3C06"/>
    <w:rsid w:val="009A4109"/>
    <w:rsid w:val="009A4947"/>
    <w:rsid w:val="009A4F13"/>
    <w:rsid w:val="009A5D7A"/>
    <w:rsid w:val="009A6692"/>
    <w:rsid w:val="009A72E1"/>
    <w:rsid w:val="009A7DB4"/>
    <w:rsid w:val="009B006D"/>
    <w:rsid w:val="009B0764"/>
    <w:rsid w:val="009B0873"/>
    <w:rsid w:val="009B09DB"/>
    <w:rsid w:val="009B114D"/>
    <w:rsid w:val="009B1181"/>
    <w:rsid w:val="009B230D"/>
    <w:rsid w:val="009B3013"/>
    <w:rsid w:val="009B3380"/>
    <w:rsid w:val="009B377E"/>
    <w:rsid w:val="009B5276"/>
    <w:rsid w:val="009B5925"/>
    <w:rsid w:val="009B69FD"/>
    <w:rsid w:val="009B7402"/>
    <w:rsid w:val="009B78A9"/>
    <w:rsid w:val="009B7C39"/>
    <w:rsid w:val="009C026C"/>
    <w:rsid w:val="009C1419"/>
    <w:rsid w:val="009C1D91"/>
    <w:rsid w:val="009C1E4D"/>
    <w:rsid w:val="009C1E81"/>
    <w:rsid w:val="009C20E3"/>
    <w:rsid w:val="009C293F"/>
    <w:rsid w:val="009C3048"/>
    <w:rsid w:val="009C3C05"/>
    <w:rsid w:val="009C3C8E"/>
    <w:rsid w:val="009C488F"/>
    <w:rsid w:val="009C51FC"/>
    <w:rsid w:val="009C5DFA"/>
    <w:rsid w:val="009C7CE2"/>
    <w:rsid w:val="009D097B"/>
    <w:rsid w:val="009D1664"/>
    <w:rsid w:val="009D2986"/>
    <w:rsid w:val="009D31C0"/>
    <w:rsid w:val="009D3316"/>
    <w:rsid w:val="009D34D8"/>
    <w:rsid w:val="009D369B"/>
    <w:rsid w:val="009D6376"/>
    <w:rsid w:val="009D6A9F"/>
    <w:rsid w:val="009D6D66"/>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761"/>
    <w:rsid w:val="00A02C9B"/>
    <w:rsid w:val="00A036E1"/>
    <w:rsid w:val="00A03CC1"/>
    <w:rsid w:val="00A03EE8"/>
    <w:rsid w:val="00A04039"/>
    <w:rsid w:val="00A0404F"/>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A20"/>
    <w:rsid w:val="00A140FC"/>
    <w:rsid w:val="00A14106"/>
    <w:rsid w:val="00A1521E"/>
    <w:rsid w:val="00A152A7"/>
    <w:rsid w:val="00A1547F"/>
    <w:rsid w:val="00A16F66"/>
    <w:rsid w:val="00A17B17"/>
    <w:rsid w:val="00A17D7F"/>
    <w:rsid w:val="00A17D9F"/>
    <w:rsid w:val="00A2046F"/>
    <w:rsid w:val="00A20A03"/>
    <w:rsid w:val="00A20F1C"/>
    <w:rsid w:val="00A21115"/>
    <w:rsid w:val="00A21250"/>
    <w:rsid w:val="00A21628"/>
    <w:rsid w:val="00A21D19"/>
    <w:rsid w:val="00A2306D"/>
    <w:rsid w:val="00A233EF"/>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40711"/>
    <w:rsid w:val="00A40A6E"/>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12CE"/>
    <w:rsid w:val="00A5234C"/>
    <w:rsid w:val="00A52F5F"/>
    <w:rsid w:val="00A531EE"/>
    <w:rsid w:val="00A54268"/>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3DFB"/>
    <w:rsid w:val="00A643F6"/>
    <w:rsid w:val="00A64D69"/>
    <w:rsid w:val="00A64F2F"/>
    <w:rsid w:val="00A65090"/>
    <w:rsid w:val="00A65123"/>
    <w:rsid w:val="00A656DF"/>
    <w:rsid w:val="00A6700E"/>
    <w:rsid w:val="00A675FD"/>
    <w:rsid w:val="00A67AD9"/>
    <w:rsid w:val="00A67CCE"/>
    <w:rsid w:val="00A70A5E"/>
    <w:rsid w:val="00A70D08"/>
    <w:rsid w:val="00A71E62"/>
    <w:rsid w:val="00A71F3C"/>
    <w:rsid w:val="00A724ED"/>
    <w:rsid w:val="00A72951"/>
    <w:rsid w:val="00A7303D"/>
    <w:rsid w:val="00A73781"/>
    <w:rsid w:val="00A737BD"/>
    <w:rsid w:val="00A73A04"/>
    <w:rsid w:val="00A754CE"/>
    <w:rsid w:val="00A76447"/>
    <w:rsid w:val="00A775C8"/>
    <w:rsid w:val="00A80B48"/>
    <w:rsid w:val="00A820F9"/>
    <w:rsid w:val="00A8257D"/>
    <w:rsid w:val="00A83562"/>
    <w:rsid w:val="00A835D1"/>
    <w:rsid w:val="00A85FB2"/>
    <w:rsid w:val="00A8636C"/>
    <w:rsid w:val="00A87023"/>
    <w:rsid w:val="00A87B00"/>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3BDB"/>
    <w:rsid w:val="00AB3C41"/>
    <w:rsid w:val="00AB3FD6"/>
    <w:rsid w:val="00AB4211"/>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D99"/>
    <w:rsid w:val="00AD5EEB"/>
    <w:rsid w:val="00AD5F6B"/>
    <w:rsid w:val="00AD664B"/>
    <w:rsid w:val="00AD6E56"/>
    <w:rsid w:val="00AD70BE"/>
    <w:rsid w:val="00AD7938"/>
    <w:rsid w:val="00AE0433"/>
    <w:rsid w:val="00AE06F7"/>
    <w:rsid w:val="00AE122F"/>
    <w:rsid w:val="00AE1E89"/>
    <w:rsid w:val="00AE247F"/>
    <w:rsid w:val="00AE27A0"/>
    <w:rsid w:val="00AE2912"/>
    <w:rsid w:val="00AE2A12"/>
    <w:rsid w:val="00AE2A61"/>
    <w:rsid w:val="00AE3D06"/>
    <w:rsid w:val="00AE5552"/>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861"/>
    <w:rsid w:val="00AF414E"/>
    <w:rsid w:val="00AF46C4"/>
    <w:rsid w:val="00AF5530"/>
    <w:rsid w:val="00AF5FE3"/>
    <w:rsid w:val="00AF658D"/>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435"/>
    <w:rsid w:val="00B16026"/>
    <w:rsid w:val="00B16105"/>
    <w:rsid w:val="00B16182"/>
    <w:rsid w:val="00B162AD"/>
    <w:rsid w:val="00B167AC"/>
    <w:rsid w:val="00B1738F"/>
    <w:rsid w:val="00B20A09"/>
    <w:rsid w:val="00B210ED"/>
    <w:rsid w:val="00B213A2"/>
    <w:rsid w:val="00B21510"/>
    <w:rsid w:val="00B2219F"/>
    <w:rsid w:val="00B231DE"/>
    <w:rsid w:val="00B2325E"/>
    <w:rsid w:val="00B24B90"/>
    <w:rsid w:val="00B2528C"/>
    <w:rsid w:val="00B258B0"/>
    <w:rsid w:val="00B25ABF"/>
    <w:rsid w:val="00B26022"/>
    <w:rsid w:val="00B261F0"/>
    <w:rsid w:val="00B26325"/>
    <w:rsid w:val="00B26430"/>
    <w:rsid w:val="00B26A71"/>
    <w:rsid w:val="00B2753E"/>
    <w:rsid w:val="00B27C7D"/>
    <w:rsid w:val="00B30152"/>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6EA"/>
    <w:rsid w:val="00B377E6"/>
    <w:rsid w:val="00B403AB"/>
    <w:rsid w:val="00B41249"/>
    <w:rsid w:val="00B4125E"/>
    <w:rsid w:val="00B417C3"/>
    <w:rsid w:val="00B419E1"/>
    <w:rsid w:val="00B41A38"/>
    <w:rsid w:val="00B41B25"/>
    <w:rsid w:val="00B42587"/>
    <w:rsid w:val="00B427E9"/>
    <w:rsid w:val="00B429DC"/>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3D5"/>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21"/>
    <w:rsid w:val="00B70CCA"/>
    <w:rsid w:val="00B724B5"/>
    <w:rsid w:val="00B72AD3"/>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C18"/>
    <w:rsid w:val="00B850F5"/>
    <w:rsid w:val="00B851AF"/>
    <w:rsid w:val="00B85DCA"/>
    <w:rsid w:val="00B85E00"/>
    <w:rsid w:val="00B864D3"/>
    <w:rsid w:val="00B901B5"/>
    <w:rsid w:val="00B9030E"/>
    <w:rsid w:val="00B903D4"/>
    <w:rsid w:val="00B90485"/>
    <w:rsid w:val="00B90813"/>
    <w:rsid w:val="00B91063"/>
    <w:rsid w:val="00B9114C"/>
    <w:rsid w:val="00B91AE8"/>
    <w:rsid w:val="00B928CC"/>
    <w:rsid w:val="00B92A0C"/>
    <w:rsid w:val="00B92BD9"/>
    <w:rsid w:val="00B93448"/>
    <w:rsid w:val="00B93936"/>
    <w:rsid w:val="00B93CCB"/>
    <w:rsid w:val="00B94617"/>
    <w:rsid w:val="00B95B80"/>
    <w:rsid w:val="00B95E3E"/>
    <w:rsid w:val="00B96259"/>
    <w:rsid w:val="00B96321"/>
    <w:rsid w:val="00B964A0"/>
    <w:rsid w:val="00BA04E7"/>
    <w:rsid w:val="00BA0F27"/>
    <w:rsid w:val="00BA16D5"/>
    <w:rsid w:val="00BA1F7B"/>
    <w:rsid w:val="00BA2B57"/>
    <w:rsid w:val="00BA34B7"/>
    <w:rsid w:val="00BA3E52"/>
    <w:rsid w:val="00BA4830"/>
    <w:rsid w:val="00BA496E"/>
    <w:rsid w:val="00BA6054"/>
    <w:rsid w:val="00BA6E33"/>
    <w:rsid w:val="00BA7498"/>
    <w:rsid w:val="00BB00C8"/>
    <w:rsid w:val="00BB06EC"/>
    <w:rsid w:val="00BB1346"/>
    <w:rsid w:val="00BB1403"/>
    <w:rsid w:val="00BB1CDD"/>
    <w:rsid w:val="00BB296D"/>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5193"/>
    <w:rsid w:val="00BD5950"/>
    <w:rsid w:val="00BD5B18"/>
    <w:rsid w:val="00BD5C09"/>
    <w:rsid w:val="00BD60F6"/>
    <w:rsid w:val="00BD6A9D"/>
    <w:rsid w:val="00BD76B3"/>
    <w:rsid w:val="00BD7F4C"/>
    <w:rsid w:val="00BE00DE"/>
    <w:rsid w:val="00BE01E6"/>
    <w:rsid w:val="00BE0A1B"/>
    <w:rsid w:val="00BE0C1F"/>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70C"/>
    <w:rsid w:val="00C019D6"/>
    <w:rsid w:val="00C02093"/>
    <w:rsid w:val="00C02770"/>
    <w:rsid w:val="00C0295C"/>
    <w:rsid w:val="00C02E6E"/>
    <w:rsid w:val="00C03D93"/>
    <w:rsid w:val="00C047F5"/>
    <w:rsid w:val="00C055EE"/>
    <w:rsid w:val="00C05FDD"/>
    <w:rsid w:val="00C06471"/>
    <w:rsid w:val="00C067B0"/>
    <w:rsid w:val="00C0689F"/>
    <w:rsid w:val="00C070F4"/>
    <w:rsid w:val="00C076F9"/>
    <w:rsid w:val="00C10416"/>
    <w:rsid w:val="00C1056A"/>
    <w:rsid w:val="00C10DBF"/>
    <w:rsid w:val="00C111E5"/>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31333"/>
    <w:rsid w:val="00C3205B"/>
    <w:rsid w:val="00C32514"/>
    <w:rsid w:val="00C32B0A"/>
    <w:rsid w:val="00C32E16"/>
    <w:rsid w:val="00C33097"/>
    <w:rsid w:val="00C34274"/>
    <w:rsid w:val="00C346EE"/>
    <w:rsid w:val="00C3500D"/>
    <w:rsid w:val="00C357C6"/>
    <w:rsid w:val="00C35A65"/>
    <w:rsid w:val="00C35EC2"/>
    <w:rsid w:val="00C36B5E"/>
    <w:rsid w:val="00C409C4"/>
    <w:rsid w:val="00C410FC"/>
    <w:rsid w:val="00C415BA"/>
    <w:rsid w:val="00C4278A"/>
    <w:rsid w:val="00C437B5"/>
    <w:rsid w:val="00C4387E"/>
    <w:rsid w:val="00C4449B"/>
    <w:rsid w:val="00C453C5"/>
    <w:rsid w:val="00C45723"/>
    <w:rsid w:val="00C45B6B"/>
    <w:rsid w:val="00C46013"/>
    <w:rsid w:val="00C46099"/>
    <w:rsid w:val="00C46801"/>
    <w:rsid w:val="00C46892"/>
    <w:rsid w:val="00C46A8F"/>
    <w:rsid w:val="00C46DCA"/>
    <w:rsid w:val="00C4712C"/>
    <w:rsid w:val="00C47A8F"/>
    <w:rsid w:val="00C500BD"/>
    <w:rsid w:val="00C5013F"/>
    <w:rsid w:val="00C5014D"/>
    <w:rsid w:val="00C502CE"/>
    <w:rsid w:val="00C50AC8"/>
    <w:rsid w:val="00C5168B"/>
    <w:rsid w:val="00C51C06"/>
    <w:rsid w:val="00C5204B"/>
    <w:rsid w:val="00C52091"/>
    <w:rsid w:val="00C52420"/>
    <w:rsid w:val="00C52E31"/>
    <w:rsid w:val="00C548B2"/>
    <w:rsid w:val="00C54E72"/>
    <w:rsid w:val="00C552F5"/>
    <w:rsid w:val="00C556C5"/>
    <w:rsid w:val="00C567FB"/>
    <w:rsid w:val="00C57870"/>
    <w:rsid w:val="00C60DC8"/>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1F1A"/>
    <w:rsid w:val="00C82B5E"/>
    <w:rsid w:val="00C83418"/>
    <w:rsid w:val="00C838AE"/>
    <w:rsid w:val="00C845B8"/>
    <w:rsid w:val="00C84714"/>
    <w:rsid w:val="00C8531F"/>
    <w:rsid w:val="00C853BF"/>
    <w:rsid w:val="00C855D6"/>
    <w:rsid w:val="00C86CE0"/>
    <w:rsid w:val="00C8752A"/>
    <w:rsid w:val="00C876AF"/>
    <w:rsid w:val="00C87BD8"/>
    <w:rsid w:val="00C90B4C"/>
    <w:rsid w:val="00C90E4C"/>
    <w:rsid w:val="00C91C3B"/>
    <w:rsid w:val="00C91D78"/>
    <w:rsid w:val="00C921CB"/>
    <w:rsid w:val="00C93045"/>
    <w:rsid w:val="00C934F0"/>
    <w:rsid w:val="00C93C7E"/>
    <w:rsid w:val="00C950A0"/>
    <w:rsid w:val="00C960AC"/>
    <w:rsid w:val="00C960F1"/>
    <w:rsid w:val="00C9632C"/>
    <w:rsid w:val="00C964AC"/>
    <w:rsid w:val="00C96922"/>
    <w:rsid w:val="00C97717"/>
    <w:rsid w:val="00C97843"/>
    <w:rsid w:val="00C97C4A"/>
    <w:rsid w:val="00CA02A0"/>
    <w:rsid w:val="00CA085E"/>
    <w:rsid w:val="00CA0E3E"/>
    <w:rsid w:val="00CA0F09"/>
    <w:rsid w:val="00CA1334"/>
    <w:rsid w:val="00CA18E5"/>
    <w:rsid w:val="00CA1CDB"/>
    <w:rsid w:val="00CA220B"/>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565A"/>
    <w:rsid w:val="00CB5CC9"/>
    <w:rsid w:val="00CB5D1A"/>
    <w:rsid w:val="00CB5F9D"/>
    <w:rsid w:val="00CB6A19"/>
    <w:rsid w:val="00CB73EA"/>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2C6"/>
    <w:rsid w:val="00CD784F"/>
    <w:rsid w:val="00CD7B57"/>
    <w:rsid w:val="00CD7EA5"/>
    <w:rsid w:val="00CE0450"/>
    <w:rsid w:val="00CE04A2"/>
    <w:rsid w:val="00CE067F"/>
    <w:rsid w:val="00CE0B9F"/>
    <w:rsid w:val="00CE0FF4"/>
    <w:rsid w:val="00CE14FC"/>
    <w:rsid w:val="00CE22B6"/>
    <w:rsid w:val="00CE2E08"/>
    <w:rsid w:val="00CE3642"/>
    <w:rsid w:val="00CE3F8A"/>
    <w:rsid w:val="00CE41BE"/>
    <w:rsid w:val="00CE4474"/>
    <w:rsid w:val="00CE4970"/>
    <w:rsid w:val="00CE49F0"/>
    <w:rsid w:val="00CE4A24"/>
    <w:rsid w:val="00CE4E25"/>
    <w:rsid w:val="00CE5783"/>
    <w:rsid w:val="00CE5887"/>
    <w:rsid w:val="00CE5910"/>
    <w:rsid w:val="00CE6674"/>
    <w:rsid w:val="00CE67CA"/>
    <w:rsid w:val="00CE7868"/>
    <w:rsid w:val="00CE7ADB"/>
    <w:rsid w:val="00CF0239"/>
    <w:rsid w:val="00CF0589"/>
    <w:rsid w:val="00CF0823"/>
    <w:rsid w:val="00CF0B29"/>
    <w:rsid w:val="00CF1897"/>
    <w:rsid w:val="00CF19AE"/>
    <w:rsid w:val="00CF1FF4"/>
    <w:rsid w:val="00CF2848"/>
    <w:rsid w:val="00CF39FD"/>
    <w:rsid w:val="00CF3E19"/>
    <w:rsid w:val="00CF4803"/>
    <w:rsid w:val="00CF4B09"/>
    <w:rsid w:val="00CF580C"/>
    <w:rsid w:val="00CF5FA7"/>
    <w:rsid w:val="00CF61D0"/>
    <w:rsid w:val="00CF6D81"/>
    <w:rsid w:val="00CF791A"/>
    <w:rsid w:val="00CF7BEC"/>
    <w:rsid w:val="00D000B5"/>
    <w:rsid w:val="00D00375"/>
    <w:rsid w:val="00D003A5"/>
    <w:rsid w:val="00D00448"/>
    <w:rsid w:val="00D00BE3"/>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ACE"/>
    <w:rsid w:val="00D12C44"/>
    <w:rsid w:val="00D13197"/>
    <w:rsid w:val="00D14BA4"/>
    <w:rsid w:val="00D14D20"/>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3CFC"/>
    <w:rsid w:val="00D242C3"/>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A1"/>
    <w:rsid w:val="00D402A7"/>
    <w:rsid w:val="00D40528"/>
    <w:rsid w:val="00D405E7"/>
    <w:rsid w:val="00D40D81"/>
    <w:rsid w:val="00D40DBA"/>
    <w:rsid w:val="00D4257E"/>
    <w:rsid w:val="00D42E1C"/>
    <w:rsid w:val="00D43154"/>
    <w:rsid w:val="00D43D7B"/>
    <w:rsid w:val="00D43EFF"/>
    <w:rsid w:val="00D44FA5"/>
    <w:rsid w:val="00D45FF2"/>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79A"/>
    <w:rsid w:val="00D66B7A"/>
    <w:rsid w:val="00D67208"/>
    <w:rsid w:val="00D679BE"/>
    <w:rsid w:val="00D70A66"/>
    <w:rsid w:val="00D70C4A"/>
    <w:rsid w:val="00D70D95"/>
    <w:rsid w:val="00D71D69"/>
    <w:rsid w:val="00D7237A"/>
    <w:rsid w:val="00D7258C"/>
    <w:rsid w:val="00D72B72"/>
    <w:rsid w:val="00D73075"/>
    <w:rsid w:val="00D73B48"/>
    <w:rsid w:val="00D74439"/>
    <w:rsid w:val="00D745DD"/>
    <w:rsid w:val="00D74676"/>
    <w:rsid w:val="00D749D1"/>
    <w:rsid w:val="00D74F58"/>
    <w:rsid w:val="00D75194"/>
    <w:rsid w:val="00D75820"/>
    <w:rsid w:val="00D76761"/>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2C7"/>
    <w:rsid w:val="00D94618"/>
    <w:rsid w:val="00D9518D"/>
    <w:rsid w:val="00D95C11"/>
    <w:rsid w:val="00D95E6A"/>
    <w:rsid w:val="00D95FE3"/>
    <w:rsid w:val="00D96D28"/>
    <w:rsid w:val="00D97630"/>
    <w:rsid w:val="00D97C05"/>
    <w:rsid w:val="00DA0382"/>
    <w:rsid w:val="00DA0D99"/>
    <w:rsid w:val="00DA13A0"/>
    <w:rsid w:val="00DA276B"/>
    <w:rsid w:val="00DA2D10"/>
    <w:rsid w:val="00DA322C"/>
    <w:rsid w:val="00DA3617"/>
    <w:rsid w:val="00DA3C49"/>
    <w:rsid w:val="00DA3F3A"/>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0DD1"/>
    <w:rsid w:val="00DB39DC"/>
    <w:rsid w:val="00DB3E96"/>
    <w:rsid w:val="00DB4431"/>
    <w:rsid w:val="00DB47AD"/>
    <w:rsid w:val="00DB56A8"/>
    <w:rsid w:val="00DB5C5E"/>
    <w:rsid w:val="00DB5E79"/>
    <w:rsid w:val="00DB66E8"/>
    <w:rsid w:val="00DB6BE6"/>
    <w:rsid w:val="00DB6D34"/>
    <w:rsid w:val="00DB6F88"/>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C7D53"/>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3B3"/>
    <w:rsid w:val="00DD5448"/>
    <w:rsid w:val="00DD54AC"/>
    <w:rsid w:val="00DD55A3"/>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B96"/>
    <w:rsid w:val="00DF3E9A"/>
    <w:rsid w:val="00DF5306"/>
    <w:rsid w:val="00DF57BF"/>
    <w:rsid w:val="00DF5ADF"/>
    <w:rsid w:val="00DF6415"/>
    <w:rsid w:val="00DF6C78"/>
    <w:rsid w:val="00DF6F73"/>
    <w:rsid w:val="00DF7106"/>
    <w:rsid w:val="00DF744D"/>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4043"/>
    <w:rsid w:val="00E2550A"/>
    <w:rsid w:val="00E25C49"/>
    <w:rsid w:val="00E30048"/>
    <w:rsid w:val="00E30448"/>
    <w:rsid w:val="00E30566"/>
    <w:rsid w:val="00E31C0B"/>
    <w:rsid w:val="00E32287"/>
    <w:rsid w:val="00E3271D"/>
    <w:rsid w:val="00E32AAD"/>
    <w:rsid w:val="00E3375A"/>
    <w:rsid w:val="00E35272"/>
    <w:rsid w:val="00E356F0"/>
    <w:rsid w:val="00E35A76"/>
    <w:rsid w:val="00E360AA"/>
    <w:rsid w:val="00E369FE"/>
    <w:rsid w:val="00E36BF1"/>
    <w:rsid w:val="00E36C89"/>
    <w:rsid w:val="00E37174"/>
    <w:rsid w:val="00E373CA"/>
    <w:rsid w:val="00E37F83"/>
    <w:rsid w:val="00E37F98"/>
    <w:rsid w:val="00E40593"/>
    <w:rsid w:val="00E40B9E"/>
    <w:rsid w:val="00E40CC9"/>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34DB"/>
    <w:rsid w:val="00E53AF5"/>
    <w:rsid w:val="00E5412F"/>
    <w:rsid w:val="00E548F0"/>
    <w:rsid w:val="00E54F17"/>
    <w:rsid w:val="00E55866"/>
    <w:rsid w:val="00E56D28"/>
    <w:rsid w:val="00E56D83"/>
    <w:rsid w:val="00E56DA1"/>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608E"/>
    <w:rsid w:val="00E66407"/>
    <w:rsid w:val="00E66681"/>
    <w:rsid w:val="00E6698F"/>
    <w:rsid w:val="00E674EE"/>
    <w:rsid w:val="00E6779E"/>
    <w:rsid w:val="00E67A25"/>
    <w:rsid w:val="00E70297"/>
    <w:rsid w:val="00E70B33"/>
    <w:rsid w:val="00E70F80"/>
    <w:rsid w:val="00E711CE"/>
    <w:rsid w:val="00E7127D"/>
    <w:rsid w:val="00E71338"/>
    <w:rsid w:val="00E71972"/>
    <w:rsid w:val="00E71BBB"/>
    <w:rsid w:val="00E72BFD"/>
    <w:rsid w:val="00E73046"/>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ED3"/>
    <w:rsid w:val="00E83FC6"/>
    <w:rsid w:val="00E84AE0"/>
    <w:rsid w:val="00E84FB4"/>
    <w:rsid w:val="00E85013"/>
    <w:rsid w:val="00E853ED"/>
    <w:rsid w:val="00E85F05"/>
    <w:rsid w:val="00E872E7"/>
    <w:rsid w:val="00E90324"/>
    <w:rsid w:val="00E90B2E"/>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08A2"/>
    <w:rsid w:val="00EA1412"/>
    <w:rsid w:val="00EA2CA6"/>
    <w:rsid w:val="00EA31F2"/>
    <w:rsid w:val="00EA37B0"/>
    <w:rsid w:val="00EA396E"/>
    <w:rsid w:val="00EA3C40"/>
    <w:rsid w:val="00EA409D"/>
    <w:rsid w:val="00EA454B"/>
    <w:rsid w:val="00EA5168"/>
    <w:rsid w:val="00EA58D0"/>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3F2"/>
    <w:rsid w:val="00EC47A8"/>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D7F36"/>
    <w:rsid w:val="00EE028D"/>
    <w:rsid w:val="00EE0810"/>
    <w:rsid w:val="00EE1122"/>
    <w:rsid w:val="00EE165F"/>
    <w:rsid w:val="00EE235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5EBC"/>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D55"/>
    <w:rsid w:val="00F26905"/>
    <w:rsid w:val="00F26C4C"/>
    <w:rsid w:val="00F26D7E"/>
    <w:rsid w:val="00F27448"/>
    <w:rsid w:val="00F276FE"/>
    <w:rsid w:val="00F3006D"/>
    <w:rsid w:val="00F300A5"/>
    <w:rsid w:val="00F3066F"/>
    <w:rsid w:val="00F3069B"/>
    <w:rsid w:val="00F30B99"/>
    <w:rsid w:val="00F31DA7"/>
    <w:rsid w:val="00F31F86"/>
    <w:rsid w:val="00F3272A"/>
    <w:rsid w:val="00F33103"/>
    <w:rsid w:val="00F33901"/>
    <w:rsid w:val="00F33EC0"/>
    <w:rsid w:val="00F34CD1"/>
    <w:rsid w:val="00F35D13"/>
    <w:rsid w:val="00F36369"/>
    <w:rsid w:val="00F36E66"/>
    <w:rsid w:val="00F37214"/>
    <w:rsid w:val="00F373B5"/>
    <w:rsid w:val="00F3740F"/>
    <w:rsid w:val="00F37453"/>
    <w:rsid w:val="00F37693"/>
    <w:rsid w:val="00F379DE"/>
    <w:rsid w:val="00F40593"/>
    <w:rsid w:val="00F41043"/>
    <w:rsid w:val="00F41A75"/>
    <w:rsid w:val="00F41DD1"/>
    <w:rsid w:val="00F4255F"/>
    <w:rsid w:val="00F42580"/>
    <w:rsid w:val="00F4262D"/>
    <w:rsid w:val="00F43003"/>
    <w:rsid w:val="00F436F2"/>
    <w:rsid w:val="00F43A45"/>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825"/>
    <w:rsid w:val="00F51B65"/>
    <w:rsid w:val="00F51BC5"/>
    <w:rsid w:val="00F51E3B"/>
    <w:rsid w:val="00F51F68"/>
    <w:rsid w:val="00F521A4"/>
    <w:rsid w:val="00F52F59"/>
    <w:rsid w:val="00F5337D"/>
    <w:rsid w:val="00F53E9C"/>
    <w:rsid w:val="00F54054"/>
    <w:rsid w:val="00F541B0"/>
    <w:rsid w:val="00F545E8"/>
    <w:rsid w:val="00F549F9"/>
    <w:rsid w:val="00F55CCF"/>
    <w:rsid w:val="00F5631B"/>
    <w:rsid w:val="00F56917"/>
    <w:rsid w:val="00F56B38"/>
    <w:rsid w:val="00F57862"/>
    <w:rsid w:val="00F57D7F"/>
    <w:rsid w:val="00F60260"/>
    <w:rsid w:val="00F6045D"/>
    <w:rsid w:val="00F606B9"/>
    <w:rsid w:val="00F60E86"/>
    <w:rsid w:val="00F61155"/>
    <w:rsid w:val="00F61299"/>
    <w:rsid w:val="00F61AFB"/>
    <w:rsid w:val="00F61B48"/>
    <w:rsid w:val="00F628C0"/>
    <w:rsid w:val="00F63833"/>
    <w:rsid w:val="00F63B55"/>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84E"/>
    <w:rsid w:val="00F71AF5"/>
    <w:rsid w:val="00F71D48"/>
    <w:rsid w:val="00F72B3B"/>
    <w:rsid w:val="00F738AD"/>
    <w:rsid w:val="00F73B97"/>
    <w:rsid w:val="00F746F3"/>
    <w:rsid w:val="00F74747"/>
    <w:rsid w:val="00F7498A"/>
    <w:rsid w:val="00F7537A"/>
    <w:rsid w:val="00F75E95"/>
    <w:rsid w:val="00F762D9"/>
    <w:rsid w:val="00F76735"/>
    <w:rsid w:val="00F76742"/>
    <w:rsid w:val="00F76814"/>
    <w:rsid w:val="00F77D58"/>
    <w:rsid w:val="00F77F46"/>
    <w:rsid w:val="00F80ED8"/>
    <w:rsid w:val="00F817FE"/>
    <w:rsid w:val="00F81E9D"/>
    <w:rsid w:val="00F82026"/>
    <w:rsid w:val="00F8282C"/>
    <w:rsid w:val="00F82EA4"/>
    <w:rsid w:val="00F82EDB"/>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E49"/>
    <w:rsid w:val="00FB49F5"/>
    <w:rsid w:val="00FB4FBC"/>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1AF1"/>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047"/>
    <w:rsid w:val="00FF51B1"/>
    <w:rsid w:val="00FF5430"/>
    <w:rsid w:val="00FF724C"/>
    <w:rsid w:val="00FF73BA"/>
    <w:rsid w:val="00FF7C59"/>
    <w:rsid w:val="01203EBB"/>
    <w:rsid w:val="01313D31"/>
    <w:rsid w:val="015C7914"/>
    <w:rsid w:val="01D950F6"/>
    <w:rsid w:val="01E04836"/>
    <w:rsid w:val="029F5F18"/>
    <w:rsid w:val="02A00B38"/>
    <w:rsid w:val="02C45A7F"/>
    <w:rsid w:val="032D2E20"/>
    <w:rsid w:val="03BA2CC2"/>
    <w:rsid w:val="03DC6F4C"/>
    <w:rsid w:val="03E8696D"/>
    <w:rsid w:val="03F321CD"/>
    <w:rsid w:val="047B4ECF"/>
    <w:rsid w:val="05096C07"/>
    <w:rsid w:val="05612CD8"/>
    <w:rsid w:val="05CA442E"/>
    <w:rsid w:val="06085010"/>
    <w:rsid w:val="064B1AB4"/>
    <w:rsid w:val="06644225"/>
    <w:rsid w:val="06662DE7"/>
    <w:rsid w:val="0693639D"/>
    <w:rsid w:val="06E421F4"/>
    <w:rsid w:val="06F05404"/>
    <w:rsid w:val="07661DA8"/>
    <w:rsid w:val="07802151"/>
    <w:rsid w:val="079D704C"/>
    <w:rsid w:val="07B42177"/>
    <w:rsid w:val="07F92796"/>
    <w:rsid w:val="0814708D"/>
    <w:rsid w:val="08311597"/>
    <w:rsid w:val="08520C4B"/>
    <w:rsid w:val="08A41AD2"/>
    <w:rsid w:val="08C4286C"/>
    <w:rsid w:val="08D60635"/>
    <w:rsid w:val="08DA2C94"/>
    <w:rsid w:val="08EA5D3A"/>
    <w:rsid w:val="098E15D7"/>
    <w:rsid w:val="09DB4F16"/>
    <w:rsid w:val="0A41496A"/>
    <w:rsid w:val="0A960E3D"/>
    <w:rsid w:val="0AA24E0E"/>
    <w:rsid w:val="0AD752DF"/>
    <w:rsid w:val="0B083334"/>
    <w:rsid w:val="0B11336B"/>
    <w:rsid w:val="0B676CF1"/>
    <w:rsid w:val="0C480E8B"/>
    <w:rsid w:val="0C917B0E"/>
    <w:rsid w:val="0CA24165"/>
    <w:rsid w:val="0D044784"/>
    <w:rsid w:val="0D3B5CCB"/>
    <w:rsid w:val="0DE20392"/>
    <w:rsid w:val="0DE83D19"/>
    <w:rsid w:val="0E0C54EB"/>
    <w:rsid w:val="0E3B00A7"/>
    <w:rsid w:val="0E3D12C7"/>
    <w:rsid w:val="0E417312"/>
    <w:rsid w:val="0E751FB0"/>
    <w:rsid w:val="0EBC6F03"/>
    <w:rsid w:val="0F2759E5"/>
    <w:rsid w:val="0F64082D"/>
    <w:rsid w:val="0F645CC4"/>
    <w:rsid w:val="0F7E3778"/>
    <w:rsid w:val="0FB35FED"/>
    <w:rsid w:val="10123D50"/>
    <w:rsid w:val="102C333C"/>
    <w:rsid w:val="10785BBD"/>
    <w:rsid w:val="10914FFE"/>
    <w:rsid w:val="10E10378"/>
    <w:rsid w:val="113D0909"/>
    <w:rsid w:val="115B1D80"/>
    <w:rsid w:val="118C4DC7"/>
    <w:rsid w:val="11BD1B2F"/>
    <w:rsid w:val="11CD1C9B"/>
    <w:rsid w:val="11DF3786"/>
    <w:rsid w:val="11F30DC5"/>
    <w:rsid w:val="12241022"/>
    <w:rsid w:val="124268B7"/>
    <w:rsid w:val="129D6012"/>
    <w:rsid w:val="12B140E6"/>
    <w:rsid w:val="12B9066A"/>
    <w:rsid w:val="12C70F62"/>
    <w:rsid w:val="12F57DD8"/>
    <w:rsid w:val="138A5951"/>
    <w:rsid w:val="13932969"/>
    <w:rsid w:val="13B54A2A"/>
    <w:rsid w:val="1403295B"/>
    <w:rsid w:val="14105EB0"/>
    <w:rsid w:val="145C5959"/>
    <w:rsid w:val="1469212A"/>
    <w:rsid w:val="14894E98"/>
    <w:rsid w:val="14A423A8"/>
    <w:rsid w:val="14CE5904"/>
    <w:rsid w:val="15056155"/>
    <w:rsid w:val="150768AB"/>
    <w:rsid w:val="15087518"/>
    <w:rsid w:val="153B771B"/>
    <w:rsid w:val="154178B8"/>
    <w:rsid w:val="15A9570C"/>
    <w:rsid w:val="15E8125F"/>
    <w:rsid w:val="15F588AB"/>
    <w:rsid w:val="161E3CC0"/>
    <w:rsid w:val="16233599"/>
    <w:rsid w:val="16DF1C51"/>
    <w:rsid w:val="17023A08"/>
    <w:rsid w:val="175E1012"/>
    <w:rsid w:val="17732CA7"/>
    <w:rsid w:val="17CC40F0"/>
    <w:rsid w:val="186F5470"/>
    <w:rsid w:val="188C7278"/>
    <w:rsid w:val="18F9672F"/>
    <w:rsid w:val="192F6693"/>
    <w:rsid w:val="19314B52"/>
    <w:rsid w:val="193833A0"/>
    <w:rsid w:val="19B4231B"/>
    <w:rsid w:val="1A2B120E"/>
    <w:rsid w:val="1A6B04CE"/>
    <w:rsid w:val="1ADA0F59"/>
    <w:rsid w:val="1B20217C"/>
    <w:rsid w:val="1B626D17"/>
    <w:rsid w:val="1B913062"/>
    <w:rsid w:val="1BAC17FC"/>
    <w:rsid w:val="1C1320C8"/>
    <w:rsid w:val="1C6E25B2"/>
    <w:rsid w:val="1C724901"/>
    <w:rsid w:val="1C7E3F1D"/>
    <w:rsid w:val="1CD000BF"/>
    <w:rsid w:val="1D1564AE"/>
    <w:rsid w:val="1D3F38AC"/>
    <w:rsid w:val="1E4C3C14"/>
    <w:rsid w:val="1E6269DF"/>
    <w:rsid w:val="1E66A71B"/>
    <w:rsid w:val="1E817A1C"/>
    <w:rsid w:val="1EA145F0"/>
    <w:rsid w:val="1EC23455"/>
    <w:rsid w:val="1F6E3CDF"/>
    <w:rsid w:val="1FC5284C"/>
    <w:rsid w:val="1FCF11E4"/>
    <w:rsid w:val="20011B1F"/>
    <w:rsid w:val="20692052"/>
    <w:rsid w:val="20872AE2"/>
    <w:rsid w:val="20E029BA"/>
    <w:rsid w:val="21A365EF"/>
    <w:rsid w:val="21BC51D5"/>
    <w:rsid w:val="2277734E"/>
    <w:rsid w:val="22DB1410"/>
    <w:rsid w:val="230928E4"/>
    <w:rsid w:val="23522F0A"/>
    <w:rsid w:val="239C1688"/>
    <w:rsid w:val="23D707B0"/>
    <w:rsid w:val="23DD2180"/>
    <w:rsid w:val="24867E54"/>
    <w:rsid w:val="24E9242A"/>
    <w:rsid w:val="250638FD"/>
    <w:rsid w:val="25535E50"/>
    <w:rsid w:val="255B217F"/>
    <w:rsid w:val="2594076B"/>
    <w:rsid w:val="25A75DA4"/>
    <w:rsid w:val="261C2121"/>
    <w:rsid w:val="264C228B"/>
    <w:rsid w:val="26754647"/>
    <w:rsid w:val="267A3D0A"/>
    <w:rsid w:val="26A10D04"/>
    <w:rsid w:val="26BA17FE"/>
    <w:rsid w:val="26C14FAF"/>
    <w:rsid w:val="270B22EB"/>
    <w:rsid w:val="271C75C9"/>
    <w:rsid w:val="27457A1B"/>
    <w:rsid w:val="27A67A03"/>
    <w:rsid w:val="282332D2"/>
    <w:rsid w:val="28991976"/>
    <w:rsid w:val="289E23F3"/>
    <w:rsid w:val="2941010F"/>
    <w:rsid w:val="299841B2"/>
    <w:rsid w:val="29C71A6E"/>
    <w:rsid w:val="29E047B9"/>
    <w:rsid w:val="2A0E2346"/>
    <w:rsid w:val="2AF375B8"/>
    <w:rsid w:val="2AFA1016"/>
    <w:rsid w:val="2B3C2EE3"/>
    <w:rsid w:val="2B432AE4"/>
    <w:rsid w:val="2B6247FB"/>
    <w:rsid w:val="2B861593"/>
    <w:rsid w:val="2BCC4CCE"/>
    <w:rsid w:val="2BE63B1E"/>
    <w:rsid w:val="2C537758"/>
    <w:rsid w:val="2C6C05EC"/>
    <w:rsid w:val="2C9E37D8"/>
    <w:rsid w:val="2D1B7F2A"/>
    <w:rsid w:val="2D445A50"/>
    <w:rsid w:val="2DA0591D"/>
    <w:rsid w:val="2DB63420"/>
    <w:rsid w:val="2DF26FE8"/>
    <w:rsid w:val="2E346402"/>
    <w:rsid w:val="2ECE40F3"/>
    <w:rsid w:val="2F110E32"/>
    <w:rsid w:val="2F217151"/>
    <w:rsid w:val="2F5DC30E"/>
    <w:rsid w:val="2F7761FA"/>
    <w:rsid w:val="2F95496C"/>
    <w:rsid w:val="2FBE480E"/>
    <w:rsid w:val="30397468"/>
    <w:rsid w:val="31583ABF"/>
    <w:rsid w:val="315F16D9"/>
    <w:rsid w:val="31EB642D"/>
    <w:rsid w:val="3236068C"/>
    <w:rsid w:val="329D43A8"/>
    <w:rsid w:val="32D625E2"/>
    <w:rsid w:val="32D65A16"/>
    <w:rsid w:val="33593A3B"/>
    <w:rsid w:val="33845A2F"/>
    <w:rsid w:val="33926D77"/>
    <w:rsid w:val="33AF2683"/>
    <w:rsid w:val="341674CA"/>
    <w:rsid w:val="342B6606"/>
    <w:rsid w:val="342F4D61"/>
    <w:rsid w:val="345C4FB9"/>
    <w:rsid w:val="347E50D5"/>
    <w:rsid w:val="34931DC5"/>
    <w:rsid w:val="34D16D92"/>
    <w:rsid w:val="34E42611"/>
    <w:rsid w:val="350D02F0"/>
    <w:rsid w:val="351D1FD7"/>
    <w:rsid w:val="352D3F74"/>
    <w:rsid w:val="353C2C80"/>
    <w:rsid w:val="355E0668"/>
    <w:rsid w:val="35822132"/>
    <w:rsid w:val="37051F71"/>
    <w:rsid w:val="37882F80"/>
    <w:rsid w:val="37C404BD"/>
    <w:rsid w:val="37DD4E89"/>
    <w:rsid w:val="383D7640"/>
    <w:rsid w:val="384C6E5B"/>
    <w:rsid w:val="38666BB4"/>
    <w:rsid w:val="38BF3566"/>
    <w:rsid w:val="39186FDF"/>
    <w:rsid w:val="39213309"/>
    <w:rsid w:val="39244598"/>
    <w:rsid w:val="39EA0EF8"/>
    <w:rsid w:val="39FD0F95"/>
    <w:rsid w:val="3A25250F"/>
    <w:rsid w:val="3A2E54C5"/>
    <w:rsid w:val="3A8316C7"/>
    <w:rsid w:val="3ADF279D"/>
    <w:rsid w:val="3AF76FE6"/>
    <w:rsid w:val="3B0B0354"/>
    <w:rsid w:val="3B256C4E"/>
    <w:rsid w:val="3B780F28"/>
    <w:rsid w:val="3B983D42"/>
    <w:rsid w:val="3BC568AB"/>
    <w:rsid w:val="3BE57EF2"/>
    <w:rsid w:val="3C0E4427"/>
    <w:rsid w:val="3C1D3E46"/>
    <w:rsid w:val="3C6B1DA2"/>
    <w:rsid w:val="3CF230F2"/>
    <w:rsid w:val="3D580EC1"/>
    <w:rsid w:val="3D99A70A"/>
    <w:rsid w:val="3DD933CB"/>
    <w:rsid w:val="3E35213F"/>
    <w:rsid w:val="3E4D043E"/>
    <w:rsid w:val="3E5C6C61"/>
    <w:rsid w:val="3E8C7A26"/>
    <w:rsid w:val="3EA652C5"/>
    <w:rsid w:val="3EBC4B9B"/>
    <w:rsid w:val="3EFF0344"/>
    <w:rsid w:val="3F055894"/>
    <w:rsid w:val="3F293E6C"/>
    <w:rsid w:val="3F4470DE"/>
    <w:rsid w:val="3FDF3389"/>
    <w:rsid w:val="3FE7FE1A"/>
    <w:rsid w:val="3FFEA5A3"/>
    <w:rsid w:val="3FFF3DD8"/>
    <w:rsid w:val="406D7300"/>
    <w:rsid w:val="407841FF"/>
    <w:rsid w:val="410461E8"/>
    <w:rsid w:val="41804D4D"/>
    <w:rsid w:val="41AD22D4"/>
    <w:rsid w:val="42614D21"/>
    <w:rsid w:val="426D74C6"/>
    <w:rsid w:val="427C033D"/>
    <w:rsid w:val="42825877"/>
    <w:rsid w:val="429A0303"/>
    <w:rsid w:val="42BD6FF1"/>
    <w:rsid w:val="43304232"/>
    <w:rsid w:val="43332FE8"/>
    <w:rsid w:val="43511F37"/>
    <w:rsid w:val="43F5746C"/>
    <w:rsid w:val="446614F8"/>
    <w:rsid w:val="44AD5F4F"/>
    <w:rsid w:val="45080DB5"/>
    <w:rsid w:val="45CA1C2F"/>
    <w:rsid w:val="45CC15DB"/>
    <w:rsid w:val="45E85CE9"/>
    <w:rsid w:val="460C4C0C"/>
    <w:rsid w:val="46127227"/>
    <w:rsid w:val="46290337"/>
    <w:rsid w:val="4629583F"/>
    <w:rsid w:val="468821CC"/>
    <w:rsid w:val="47110EC9"/>
    <w:rsid w:val="472114D9"/>
    <w:rsid w:val="47385A50"/>
    <w:rsid w:val="47F75EBD"/>
    <w:rsid w:val="48681505"/>
    <w:rsid w:val="4891428A"/>
    <w:rsid w:val="489E205A"/>
    <w:rsid w:val="489F0449"/>
    <w:rsid w:val="48BB1D99"/>
    <w:rsid w:val="498A76AB"/>
    <w:rsid w:val="499F46D9"/>
    <w:rsid w:val="49B20AE8"/>
    <w:rsid w:val="49E1317B"/>
    <w:rsid w:val="49E4276A"/>
    <w:rsid w:val="4AF40DEB"/>
    <w:rsid w:val="4B082FDE"/>
    <w:rsid w:val="4B103655"/>
    <w:rsid w:val="4B441DD8"/>
    <w:rsid w:val="4B582233"/>
    <w:rsid w:val="4B8C2A00"/>
    <w:rsid w:val="4C9E19C0"/>
    <w:rsid w:val="4CB465E9"/>
    <w:rsid w:val="4CCA3ED6"/>
    <w:rsid w:val="4D51587D"/>
    <w:rsid w:val="4D5D442D"/>
    <w:rsid w:val="4D8277EB"/>
    <w:rsid w:val="4DC64030"/>
    <w:rsid w:val="4DC71B74"/>
    <w:rsid w:val="4DCA5C1C"/>
    <w:rsid w:val="4E305B9F"/>
    <w:rsid w:val="4E30647F"/>
    <w:rsid w:val="4E475364"/>
    <w:rsid w:val="4E4C4F10"/>
    <w:rsid w:val="4E4F78C9"/>
    <w:rsid w:val="4E65783B"/>
    <w:rsid w:val="4E672E0D"/>
    <w:rsid w:val="4E697EEC"/>
    <w:rsid w:val="4E9439E0"/>
    <w:rsid w:val="4FCB2904"/>
    <w:rsid w:val="4FFF2D04"/>
    <w:rsid w:val="50802D5F"/>
    <w:rsid w:val="509727E6"/>
    <w:rsid w:val="51212C45"/>
    <w:rsid w:val="516C4956"/>
    <w:rsid w:val="51710677"/>
    <w:rsid w:val="51722FF6"/>
    <w:rsid w:val="51BB3490"/>
    <w:rsid w:val="51DA7627"/>
    <w:rsid w:val="524F6EC3"/>
    <w:rsid w:val="525B41CB"/>
    <w:rsid w:val="528B6F1A"/>
    <w:rsid w:val="52D21D5D"/>
    <w:rsid w:val="530A1B55"/>
    <w:rsid w:val="5310591A"/>
    <w:rsid w:val="53106DAB"/>
    <w:rsid w:val="531D18BC"/>
    <w:rsid w:val="5326373A"/>
    <w:rsid w:val="53301FB1"/>
    <w:rsid w:val="536F1A94"/>
    <w:rsid w:val="53AB48F5"/>
    <w:rsid w:val="53AD32A4"/>
    <w:rsid w:val="544850BC"/>
    <w:rsid w:val="545F6C51"/>
    <w:rsid w:val="547E6196"/>
    <w:rsid w:val="5485004B"/>
    <w:rsid w:val="549348F3"/>
    <w:rsid w:val="54E92E00"/>
    <w:rsid w:val="54ED1452"/>
    <w:rsid w:val="554F3374"/>
    <w:rsid w:val="555940F5"/>
    <w:rsid w:val="55673C30"/>
    <w:rsid w:val="55AA1F5A"/>
    <w:rsid w:val="55BA312D"/>
    <w:rsid w:val="55DC3579"/>
    <w:rsid w:val="56504801"/>
    <w:rsid w:val="56554EBA"/>
    <w:rsid w:val="56A50CDA"/>
    <w:rsid w:val="56AE2637"/>
    <w:rsid w:val="56EF5D07"/>
    <w:rsid w:val="570B1184"/>
    <w:rsid w:val="576356D2"/>
    <w:rsid w:val="57994685"/>
    <w:rsid w:val="579B0009"/>
    <w:rsid w:val="57E30BED"/>
    <w:rsid w:val="57F019D6"/>
    <w:rsid w:val="57FBA24D"/>
    <w:rsid w:val="584E2326"/>
    <w:rsid w:val="58C46105"/>
    <w:rsid w:val="58E65E4A"/>
    <w:rsid w:val="592B1B73"/>
    <w:rsid w:val="595E0345"/>
    <w:rsid w:val="597E3072"/>
    <w:rsid w:val="59A162A3"/>
    <w:rsid w:val="59A17A7A"/>
    <w:rsid w:val="59BA1FB3"/>
    <w:rsid w:val="5A061760"/>
    <w:rsid w:val="5A0F25CF"/>
    <w:rsid w:val="5A2E7D17"/>
    <w:rsid w:val="5AF70A51"/>
    <w:rsid w:val="5AFC2873"/>
    <w:rsid w:val="5B4A316D"/>
    <w:rsid w:val="5BB63AFA"/>
    <w:rsid w:val="5C001DAC"/>
    <w:rsid w:val="5C2A4293"/>
    <w:rsid w:val="5C4C0005"/>
    <w:rsid w:val="5C574AC3"/>
    <w:rsid w:val="5C7F6ACD"/>
    <w:rsid w:val="5C9C023C"/>
    <w:rsid w:val="5D4A4C0E"/>
    <w:rsid w:val="5D5448B9"/>
    <w:rsid w:val="5D5D08DC"/>
    <w:rsid w:val="5D7C0323"/>
    <w:rsid w:val="5E145FE7"/>
    <w:rsid w:val="5E4915C3"/>
    <w:rsid w:val="5E4D7F51"/>
    <w:rsid w:val="5E6847AF"/>
    <w:rsid w:val="5EDB5F93"/>
    <w:rsid w:val="5F0279C4"/>
    <w:rsid w:val="5F3E26F8"/>
    <w:rsid w:val="5F4B3119"/>
    <w:rsid w:val="5F6D12E1"/>
    <w:rsid w:val="5F712150"/>
    <w:rsid w:val="5FBE38EB"/>
    <w:rsid w:val="5FC41C75"/>
    <w:rsid w:val="5FDD42D4"/>
    <w:rsid w:val="5FF1C375"/>
    <w:rsid w:val="5FF2F37E"/>
    <w:rsid w:val="5FF87C72"/>
    <w:rsid w:val="601C4299"/>
    <w:rsid w:val="604149B5"/>
    <w:rsid w:val="604631A7"/>
    <w:rsid w:val="605B3EA0"/>
    <w:rsid w:val="60606896"/>
    <w:rsid w:val="60714E01"/>
    <w:rsid w:val="608245F5"/>
    <w:rsid w:val="609B1E7E"/>
    <w:rsid w:val="60EB1C49"/>
    <w:rsid w:val="610B690B"/>
    <w:rsid w:val="61734508"/>
    <w:rsid w:val="620333B0"/>
    <w:rsid w:val="62880827"/>
    <w:rsid w:val="62B96FE1"/>
    <w:rsid w:val="62CA05DA"/>
    <w:rsid w:val="63585E05"/>
    <w:rsid w:val="63702777"/>
    <w:rsid w:val="63A10E0E"/>
    <w:rsid w:val="63A54F9A"/>
    <w:rsid w:val="63B50D4D"/>
    <w:rsid w:val="63CF422B"/>
    <w:rsid w:val="63CF7B03"/>
    <w:rsid w:val="641779B6"/>
    <w:rsid w:val="64571E7C"/>
    <w:rsid w:val="64672A6B"/>
    <w:rsid w:val="64911106"/>
    <w:rsid w:val="64B809E2"/>
    <w:rsid w:val="64BF5D65"/>
    <w:rsid w:val="650C7CF3"/>
    <w:rsid w:val="65174361"/>
    <w:rsid w:val="65D843C9"/>
    <w:rsid w:val="65E2470D"/>
    <w:rsid w:val="65FE8E5A"/>
    <w:rsid w:val="664D77F1"/>
    <w:rsid w:val="66E01023"/>
    <w:rsid w:val="67157A1D"/>
    <w:rsid w:val="67B21283"/>
    <w:rsid w:val="67DD419D"/>
    <w:rsid w:val="681F0FBE"/>
    <w:rsid w:val="68581B13"/>
    <w:rsid w:val="68BB285B"/>
    <w:rsid w:val="69982FAE"/>
    <w:rsid w:val="69E3083D"/>
    <w:rsid w:val="6A082C13"/>
    <w:rsid w:val="6A126ECE"/>
    <w:rsid w:val="6AC53691"/>
    <w:rsid w:val="6AE831D2"/>
    <w:rsid w:val="6B173EB2"/>
    <w:rsid w:val="6B1E2DBA"/>
    <w:rsid w:val="6B272CF2"/>
    <w:rsid w:val="6B6A29A2"/>
    <w:rsid w:val="6B923E7E"/>
    <w:rsid w:val="6BD30EF1"/>
    <w:rsid w:val="6BF61983"/>
    <w:rsid w:val="6C354F35"/>
    <w:rsid w:val="6C4671C6"/>
    <w:rsid w:val="6E4A0AB4"/>
    <w:rsid w:val="6E6733CC"/>
    <w:rsid w:val="6EA501C4"/>
    <w:rsid w:val="6EDC3118"/>
    <w:rsid w:val="6F3654CB"/>
    <w:rsid w:val="6F6447C8"/>
    <w:rsid w:val="6FBE8A8E"/>
    <w:rsid w:val="6FE767F1"/>
    <w:rsid w:val="6FEEA8EA"/>
    <w:rsid w:val="7007678B"/>
    <w:rsid w:val="701D3DDF"/>
    <w:rsid w:val="702A0B29"/>
    <w:rsid w:val="70433E4A"/>
    <w:rsid w:val="709355D8"/>
    <w:rsid w:val="70FC0F00"/>
    <w:rsid w:val="71042B07"/>
    <w:rsid w:val="713A7708"/>
    <w:rsid w:val="71642515"/>
    <w:rsid w:val="71655232"/>
    <w:rsid w:val="71AC4B85"/>
    <w:rsid w:val="71EA5B48"/>
    <w:rsid w:val="71F159DB"/>
    <w:rsid w:val="723A4284"/>
    <w:rsid w:val="724C4D86"/>
    <w:rsid w:val="72563E57"/>
    <w:rsid w:val="72890BD0"/>
    <w:rsid w:val="72AA0597"/>
    <w:rsid w:val="72C42A56"/>
    <w:rsid w:val="72D30D83"/>
    <w:rsid w:val="72F02B78"/>
    <w:rsid w:val="731008AE"/>
    <w:rsid w:val="73120606"/>
    <w:rsid w:val="733879CC"/>
    <w:rsid w:val="734D525A"/>
    <w:rsid w:val="736609D7"/>
    <w:rsid w:val="73881965"/>
    <w:rsid w:val="73A60330"/>
    <w:rsid w:val="73A612D7"/>
    <w:rsid w:val="73B1673D"/>
    <w:rsid w:val="73D35A3A"/>
    <w:rsid w:val="7419513C"/>
    <w:rsid w:val="74F602B1"/>
    <w:rsid w:val="74FD64BD"/>
    <w:rsid w:val="75090359"/>
    <w:rsid w:val="75121DDA"/>
    <w:rsid w:val="7575C0E6"/>
    <w:rsid w:val="75897D5B"/>
    <w:rsid w:val="75913708"/>
    <w:rsid w:val="759C09C3"/>
    <w:rsid w:val="75C5050B"/>
    <w:rsid w:val="763254C5"/>
    <w:rsid w:val="76327880"/>
    <w:rsid w:val="76432C8F"/>
    <w:rsid w:val="7646002F"/>
    <w:rsid w:val="766C1E9B"/>
    <w:rsid w:val="76CC2CFF"/>
    <w:rsid w:val="76D0171F"/>
    <w:rsid w:val="772B1ABB"/>
    <w:rsid w:val="7733722C"/>
    <w:rsid w:val="775E120B"/>
    <w:rsid w:val="776287E0"/>
    <w:rsid w:val="77846810"/>
    <w:rsid w:val="77A313C4"/>
    <w:rsid w:val="77CF364F"/>
    <w:rsid w:val="78470FC0"/>
    <w:rsid w:val="78AF42C1"/>
    <w:rsid w:val="78CF04BF"/>
    <w:rsid w:val="78D14809"/>
    <w:rsid w:val="79297BCF"/>
    <w:rsid w:val="7942768C"/>
    <w:rsid w:val="794C6494"/>
    <w:rsid w:val="794E7636"/>
    <w:rsid w:val="7966337A"/>
    <w:rsid w:val="797F20E1"/>
    <w:rsid w:val="79CB5C60"/>
    <w:rsid w:val="79EF853A"/>
    <w:rsid w:val="79F226B7"/>
    <w:rsid w:val="79FD0799"/>
    <w:rsid w:val="7A0868C3"/>
    <w:rsid w:val="7A3562E6"/>
    <w:rsid w:val="7A4B32C7"/>
    <w:rsid w:val="7A7C9156"/>
    <w:rsid w:val="7AE91D0C"/>
    <w:rsid w:val="7AF31F62"/>
    <w:rsid w:val="7BAA05B4"/>
    <w:rsid w:val="7BF51EAC"/>
    <w:rsid w:val="7C183F2B"/>
    <w:rsid w:val="7C372603"/>
    <w:rsid w:val="7C393826"/>
    <w:rsid w:val="7CBD5229"/>
    <w:rsid w:val="7D4E22FA"/>
    <w:rsid w:val="7D5F1FA6"/>
    <w:rsid w:val="7D8F66D2"/>
    <w:rsid w:val="7DC160A2"/>
    <w:rsid w:val="7E175928"/>
    <w:rsid w:val="7E6D3C3E"/>
    <w:rsid w:val="7E717A18"/>
    <w:rsid w:val="7E7C6352"/>
    <w:rsid w:val="7E89142D"/>
    <w:rsid w:val="7F1B6ECB"/>
    <w:rsid w:val="7F3854D3"/>
    <w:rsid w:val="7F3C32F9"/>
    <w:rsid w:val="7F572AE8"/>
    <w:rsid w:val="7F6FCBD4"/>
    <w:rsid w:val="7F7A41C0"/>
    <w:rsid w:val="7FDDCA27"/>
    <w:rsid w:val="7FED2AC1"/>
    <w:rsid w:val="7FF74299"/>
    <w:rsid w:val="7FFF0CD0"/>
    <w:rsid w:val="7FFF4784"/>
    <w:rsid w:val="9CDD04DC"/>
    <w:rsid w:val="AFDEACB7"/>
    <w:rsid w:val="AFFD4237"/>
    <w:rsid w:val="BBF76769"/>
    <w:rsid w:val="BF530594"/>
    <w:rsid w:val="BFE5E3CD"/>
    <w:rsid w:val="CECB4BCE"/>
    <w:rsid w:val="D3E9BB05"/>
    <w:rsid w:val="D77FE500"/>
    <w:rsid w:val="DAFF79AB"/>
    <w:rsid w:val="DEAFA279"/>
    <w:rsid w:val="E77B9C96"/>
    <w:rsid w:val="EBFAEFE1"/>
    <w:rsid w:val="EDF2DC57"/>
    <w:rsid w:val="EFB75934"/>
    <w:rsid w:val="EFBECF68"/>
    <w:rsid w:val="F3DD78A6"/>
    <w:rsid w:val="F7E7DB82"/>
    <w:rsid w:val="F9F8497E"/>
    <w:rsid w:val="FADF59C6"/>
    <w:rsid w:val="FB79626F"/>
    <w:rsid w:val="FBFFDA2B"/>
    <w:rsid w:val="FDBF3744"/>
    <w:rsid w:val="FFEE4D1E"/>
    <w:rsid w:val="FFF3DAC2"/>
    <w:rsid w:val="FFFB33B6"/>
    <w:rsid w:val="FFFFA1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139"/>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link w:val="140"/>
    <w:qFormat/>
    <w:uiPriority w:val="0"/>
    <w:pPr>
      <w:keepNext/>
      <w:keepLines/>
      <w:spacing w:before="260" w:beforeLines="0" w:after="260" w:afterLines="0" w:line="413" w:lineRule="auto"/>
      <w:outlineLvl w:val="1"/>
    </w:pPr>
    <w:rPr>
      <w:rFonts w:ascii="Arial" w:hAnsi="Arial" w:eastAsia="黑体"/>
      <w:b/>
      <w:bCs/>
      <w:kern w:val="2"/>
      <w:sz w:val="32"/>
      <w:szCs w:val="32"/>
    </w:rPr>
  </w:style>
  <w:style w:type="paragraph" w:styleId="4">
    <w:name w:val="heading 3"/>
    <w:basedOn w:val="1"/>
    <w:next w:val="1"/>
    <w:link w:val="141"/>
    <w:qFormat/>
    <w:uiPriority w:val="0"/>
    <w:pPr>
      <w:keepNext/>
      <w:keepLines/>
      <w:spacing w:before="260" w:beforeLines="0" w:after="260" w:afterLines="0" w:line="413" w:lineRule="auto"/>
      <w:outlineLvl w:val="2"/>
    </w:pPr>
    <w:rPr>
      <w:b/>
      <w:bCs/>
      <w:kern w:val="2"/>
      <w:sz w:val="32"/>
      <w:szCs w:val="32"/>
    </w:rPr>
  </w:style>
  <w:style w:type="paragraph" w:styleId="5">
    <w:name w:val="heading 4"/>
    <w:basedOn w:val="1"/>
    <w:next w:val="1"/>
    <w:link w:val="142"/>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143"/>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144"/>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145"/>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146"/>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147"/>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6">
    <w:name w:val="Default Paragraph Font"/>
    <w:qFormat/>
    <w:uiPriority w:val="0"/>
  </w:style>
  <w:style w:type="table" w:default="1" w:styleId="44">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sz w:val="18"/>
      <w:szCs w:val="18"/>
    </w:rPr>
  </w:style>
  <w:style w:type="paragraph" w:styleId="12">
    <w:name w:val="Normal Indent"/>
    <w:basedOn w:val="1"/>
    <w:link w:val="148"/>
    <w:qFormat/>
    <w:uiPriority w:val="0"/>
    <w:pPr>
      <w:adjustRightInd w:val="0"/>
      <w:spacing w:line="312" w:lineRule="atLeast"/>
      <w:ind w:firstLine="420"/>
      <w:textAlignment w:val="baseline"/>
    </w:pPr>
    <w:rPr>
      <w:szCs w:val="20"/>
    </w:rPr>
  </w:style>
  <w:style w:type="paragraph" w:styleId="13">
    <w:name w:val="caption"/>
    <w:basedOn w:val="1"/>
    <w:next w:val="1"/>
    <w:qFormat/>
    <w:uiPriority w:val="0"/>
    <w:rPr>
      <w:rFonts w:ascii="Calibri Light" w:hAnsi="Calibri Light" w:eastAsia="黑体" w:cs="Times New Roman"/>
      <w:sz w:val="20"/>
      <w:szCs w:val="20"/>
    </w:rPr>
  </w:style>
  <w:style w:type="paragraph" w:styleId="14">
    <w:name w:val="List Bullet"/>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149"/>
    <w:qFormat/>
    <w:uiPriority w:val="0"/>
    <w:pPr>
      <w:shd w:val="clear" w:color="auto" w:fill="000080"/>
    </w:pPr>
    <w:rPr>
      <w:kern w:val="2"/>
    </w:rPr>
  </w:style>
  <w:style w:type="paragraph" w:styleId="16">
    <w:name w:val="annotation text"/>
    <w:basedOn w:val="1"/>
    <w:link w:val="150"/>
    <w:qFormat/>
    <w:uiPriority w:val="99"/>
    <w:pPr>
      <w:jc w:val="left"/>
    </w:pPr>
    <w:rPr>
      <w:kern w:val="2"/>
    </w:rPr>
  </w:style>
  <w:style w:type="paragraph" w:styleId="17">
    <w:name w:val="Salutation"/>
    <w:basedOn w:val="1"/>
    <w:next w:val="1"/>
    <w:link w:val="151"/>
    <w:qFormat/>
    <w:uiPriority w:val="0"/>
    <w:rPr>
      <w:kern w:val="2"/>
      <w:sz w:val="24"/>
    </w:rPr>
  </w:style>
  <w:style w:type="paragraph" w:styleId="18">
    <w:name w:val="Body Text"/>
    <w:basedOn w:val="1"/>
    <w:next w:val="1"/>
    <w:link w:val="138"/>
    <w:qFormat/>
    <w:uiPriority w:val="0"/>
    <w:pPr>
      <w:spacing w:after="120" w:afterLines="0"/>
    </w:pPr>
    <w:rPr>
      <w:kern w:val="2"/>
    </w:rPr>
  </w:style>
  <w:style w:type="paragraph" w:styleId="19">
    <w:name w:val="Body Text Indent"/>
    <w:basedOn w:val="1"/>
    <w:next w:val="1"/>
    <w:link w:val="152"/>
    <w:qFormat/>
    <w:uiPriority w:val="0"/>
    <w:pPr>
      <w:ind w:left="480" w:hanging="480" w:hangingChars="200"/>
    </w:pPr>
    <w:rPr>
      <w:kern w:val="2"/>
      <w:sz w:val="24"/>
    </w:rPr>
  </w:style>
  <w:style w:type="paragraph" w:styleId="20">
    <w:name w:val="Block Text"/>
    <w:basedOn w:val="1"/>
    <w:unhideWhenUsed/>
    <w:qFormat/>
    <w:uiPriority w:val="99"/>
    <w:pPr>
      <w:adjustRightInd w:val="0"/>
      <w:spacing w:after="160" w:line="300" w:lineRule="auto"/>
      <w:ind w:left="958" w:right="-120" w:rightChars="-120"/>
      <w:jc w:val="left"/>
    </w:pPr>
    <w:rPr>
      <w:rFonts w:ascii="宋体" w:hAnsi="宋体"/>
      <w:kern w:val="2"/>
      <w:sz w:val="28"/>
      <w:szCs w:val="20"/>
    </w:rPr>
  </w:style>
  <w:style w:type="paragraph" w:styleId="21">
    <w:name w:val="List Bullet 2"/>
    <w:basedOn w:val="1"/>
    <w:qFormat/>
    <w:uiPriority w:val="0"/>
    <w:pPr>
      <w:tabs>
        <w:tab w:val="left" w:pos="780"/>
      </w:tabs>
      <w:ind w:left="780" w:hanging="360"/>
    </w:pPr>
    <w:rPr>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unhideWhenUsed/>
    <w:qFormat/>
    <w:uiPriority w:val="39"/>
    <w:pPr>
      <w:ind w:left="420"/>
      <w:jc w:val="left"/>
    </w:pPr>
    <w:rPr>
      <w:i/>
      <w:iCs/>
      <w:sz w:val="20"/>
      <w:szCs w:val="20"/>
    </w:rPr>
  </w:style>
  <w:style w:type="paragraph" w:styleId="24">
    <w:name w:val="Plain Text"/>
    <w:basedOn w:val="1"/>
    <w:link w:val="153"/>
    <w:qFormat/>
    <w:uiPriority w:val="0"/>
    <w:pPr>
      <w:widowControl/>
      <w:overflowPunct w:val="0"/>
      <w:autoSpaceDE w:val="0"/>
      <w:autoSpaceDN w:val="0"/>
      <w:adjustRightInd w:val="0"/>
      <w:jc w:val="left"/>
      <w:textAlignment w:val="baseline"/>
    </w:pPr>
    <w:rPr>
      <w:rFonts w:ascii="宋体" w:hAnsi="Courier New"/>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link w:val="154"/>
    <w:qFormat/>
    <w:uiPriority w:val="0"/>
    <w:pPr>
      <w:ind w:left="100" w:leftChars="2500"/>
    </w:pPr>
    <w:rPr>
      <w:kern w:val="2"/>
      <w:szCs w:val="20"/>
    </w:rPr>
  </w:style>
  <w:style w:type="paragraph" w:styleId="27">
    <w:name w:val="Body Text Indent 2"/>
    <w:basedOn w:val="1"/>
    <w:link w:val="155"/>
    <w:qFormat/>
    <w:uiPriority w:val="0"/>
    <w:pPr>
      <w:spacing w:line="500" w:lineRule="exact"/>
      <w:ind w:firstLine="511" w:firstLineChars="213"/>
    </w:pPr>
    <w:rPr>
      <w:kern w:val="2"/>
      <w:sz w:val="24"/>
    </w:rPr>
  </w:style>
  <w:style w:type="paragraph" w:styleId="28">
    <w:name w:val="Balloon Text"/>
    <w:basedOn w:val="1"/>
    <w:link w:val="156"/>
    <w:qFormat/>
    <w:uiPriority w:val="0"/>
    <w:rPr>
      <w:kern w:val="2"/>
      <w:sz w:val="18"/>
      <w:szCs w:val="18"/>
    </w:rPr>
  </w:style>
  <w:style w:type="paragraph" w:styleId="29">
    <w:name w:val="footer"/>
    <w:basedOn w:val="1"/>
    <w:link w:val="157"/>
    <w:qFormat/>
    <w:uiPriority w:val="99"/>
    <w:pPr>
      <w:tabs>
        <w:tab w:val="center" w:pos="4153"/>
        <w:tab w:val="right" w:pos="8306"/>
      </w:tabs>
      <w:snapToGrid w:val="0"/>
      <w:jc w:val="left"/>
    </w:pPr>
    <w:rPr>
      <w:kern w:val="2"/>
      <w:sz w:val="18"/>
      <w:szCs w:val="18"/>
    </w:rPr>
  </w:style>
  <w:style w:type="paragraph" w:styleId="30">
    <w:name w:val="header"/>
    <w:basedOn w:val="1"/>
    <w:link w:val="158"/>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List"/>
    <w:basedOn w:val="1"/>
    <w:qFormat/>
    <w:uiPriority w:val="0"/>
    <w:pPr>
      <w:ind w:left="200" w:hanging="200" w:hangingChars="200"/>
    </w:pPr>
  </w:style>
  <w:style w:type="paragraph" w:styleId="34">
    <w:name w:val="footnote text"/>
    <w:basedOn w:val="1"/>
    <w:qFormat/>
    <w:uiPriority w:val="0"/>
    <w:pPr>
      <w:snapToGrid w:val="0"/>
      <w:jc w:val="left"/>
    </w:pPr>
    <w:rPr>
      <w:sz w:val="18"/>
    </w:rPr>
  </w:style>
  <w:style w:type="paragraph" w:styleId="35">
    <w:name w:val="toc 6"/>
    <w:basedOn w:val="1"/>
    <w:next w:val="1"/>
    <w:semiHidden/>
    <w:qFormat/>
    <w:uiPriority w:val="0"/>
    <w:pPr>
      <w:ind w:left="1050"/>
      <w:jc w:val="left"/>
    </w:pPr>
    <w:rPr>
      <w:sz w:val="18"/>
      <w:szCs w:val="18"/>
    </w:rPr>
  </w:style>
  <w:style w:type="paragraph" w:styleId="36">
    <w:name w:val="Body Text Indent 3"/>
    <w:basedOn w:val="1"/>
    <w:link w:val="159"/>
    <w:qFormat/>
    <w:uiPriority w:val="0"/>
    <w:pPr>
      <w:spacing w:line="500" w:lineRule="exact"/>
      <w:ind w:left="511" w:hanging="511" w:hangingChars="213"/>
    </w:pPr>
    <w:rPr>
      <w:kern w:val="2"/>
      <w:sz w:val="24"/>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0">
    <w:name w:val="Title"/>
    <w:basedOn w:val="1"/>
    <w:next w:val="1"/>
    <w:link w:val="160"/>
    <w:qFormat/>
    <w:uiPriority w:val="0"/>
    <w:pPr>
      <w:spacing w:before="240" w:after="60" w:line="460" w:lineRule="exact"/>
      <w:jc w:val="center"/>
      <w:outlineLvl w:val="0"/>
    </w:pPr>
    <w:rPr>
      <w:rFonts w:ascii="Arial" w:hAnsi="Arial"/>
      <w:b/>
      <w:spacing w:val="14"/>
      <w:kern w:val="24"/>
      <w:sz w:val="32"/>
      <w:szCs w:val="20"/>
    </w:rPr>
  </w:style>
  <w:style w:type="paragraph" w:styleId="41">
    <w:name w:val="annotation subject"/>
    <w:basedOn w:val="16"/>
    <w:next w:val="16"/>
    <w:link w:val="161"/>
    <w:qFormat/>
    <w:uiPriority w:val="0"/>
    <w:rPr>
      <w:b/>
      <w:bCs/>
    </w:rPr>
  </w:style>
  <w:style w:type="paragraph" w:styleId="42">
    <w:name w:val="Body Text First Indent"/>
    <w:basedOn w:val="18"/>
    <w:next w:val="35"/>
    <w:qFormat/>
    <w:uiPriority w:val="0"/>
    <w:pPr>
      <w:adjustRightInd/>
      <w:ind w:firstLine="420"/>
      <w:jc w:val="both"/>
    </w:pPr>
    <w:rPr>
      <w:rFonts w:ascii="Times New Roman"/>
      <w:kern w:val="2"/>
      <w:sz w:val="21"/>
      <w:szCs w:val="24"/>
    </w:rPr>
  </w:style>
  <w:style w:type="paragraph" w:styleId="43">
    <w:name w:val="Body Text First Indent 2"/>
    <w:basedOn w:val="19"/>
    <w:next w:val="42"/>
    <w:link w:val="162"/>
    <w:qFormat/>
    <w:uiPriority w:val="0"/>
    <w:pPr>
      <w:widowControl w:val="0"/>
      <w:spacing w:after="120"/>
      <w:ind w:left="420" w:leftChars="200" w:firstLine="420" w:firstLineChars="200"/>
      <w:jc w:val="both"/>
    </w:pPr>
    <w:rPr>
      <w:rFonts w:ascii="仿宋_GB2312" w:eastAsia="仿宋_GB2312"/>
      <w:kern w:val="2"/>
      <w:sz w:val="28"/>
      <w:szCs w:val="28"/>
      <w:lang w:val="en-US" w:eastAsia="zh-CN" w:bidi="ar-SA"/>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unhideWhenUsed/>
    <w:qFormat/>
    <w:uiPriority w:val="99"/>
    <w:rPr>
      <w:color w:val="000000"/>
      <w:sz w:val="21"/>
      <w:szCs w:val="21"/>
      <w:u w:val="none"/>
    </w:rPr>
  </w:style>
  <w:style w:type="character" w:styleId="50">
    <w:name w:val="Emphasis"/>
    <w:qFormat/>
    <w:uiPriority w:val="20"/>
    <w:rPr>
      <w:b/>
    </w:rPr>
  </w:style>
  <w:style w:type="character" w:styleId="51">
    <w:name w:val="HTML Definition"/>
    <w:unhideWhenUsed/>
    <w:qFormat/>
    <w:uiPriority w:val="99"/>
  </w:style>
  <w:style w:type="character" w:styleId="52">
    <w:name w:val="HTML Typewriter"/>
    <w:qFormat/>
    <w:uiPriority w:val="0"/>
    <w:rPr>
      <w:rFonts w:hint="eastAsia" w:ascii="黑体" w:hAnsi="Courier New" w:eastAsia="黑体" w:cs="Times New Roman"/>
      <w:sz w:val="14"/>
      <w:szCs w:val="24"/>
    </w:rPr>
  </w:style>
  <w:style w:type="character" w:styleId="53">
    <w:name w:val="HTML Variable"/>
    <w:unhideWhenUsed/>
    <w:qFormat/>
    <w:uiPriority w:val="99"/>
  </w:style>
  <w:style w:type="character" w:styleId="54">
    <w:name w:val="Hyperlink"/>
    <w:qFormat/>
    <w:uiPriority w:val="99"/>
    <w:rPr>
      <w:color w:val="000000"/>
      <w:sz w:val="21"/>
      <w:szCs w:val="21"/>
      <w:u w:val="none"/>
    </w:rPr>
  </w:style>
  <w:style w:type="character" w:styleId="55">
    <w:name w:val="HTML Code"/>
    <w:unhideWhenUsed/>
    <w:qFormat/>
    <w:uiPriority w:val="99"/>
    <w:rPr>
      <w:rFonts w:ascii="Courier New" w:hAnsi="Courier New"/>
      <w:sz w:val="20"/>
    </w:rPr>
  </w:style>
  <w:style w:type="character" w:styleId="56">
    <w:name w:val="annotation reference"/>
    <w:qFormat/>
    <w:uiPriority w:val="0"/>
    <w:rPr>
      <w:sz w:val="21"/>
      <w:szCs w:val="21"/>
    </w:rPr>
  </w:style>
  <w:style w:type="character" w:styleId="57">
    <w:name w:val="HTML Cite"/>
    <w:unhideWhenUsed/>
    <w:qFormat/>
    <w:uiPriority w:val="99"/>
  </w:style>
  <w:style w:type="character" w:styleId="58">
    <w:name w:val="HTML Keyboard"/>
    <w:unhideWhenUsed/>
    <w:qFormat/>
    <w:uiPriority w:val="99"/>
    <w:rPr>
      <w:rFonts w:ascii="Courier New" w:hAnsi="Courier New"/>
      <w:sz w:val="20"/>
    </w:rPr>
  </w:style>
  <w:style w:type="character" w:styleId="59">
    <w:name w:val="HTML Sample"/>
    <w:unhideWhenUsed/>
    <w:qFormat/>
    <w:uiPriority w:val="99"/>
    <w:rPr>
      <w:rFonts w:ascii="Courier New" w:hAnsi="Courier New"/>
    </w:rPr>
  </w:style>
  <w:style w:type="paragraph" w:customStyle="1" w:styleId="60">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Default"/>
    <w:link w:val="210"/>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paragraph" w:customStyle="1" w:styleId="62">
    <w:name w:val="P正文 Char"/>
    <w:basedOn w:val="1"/>
    <w:link w:val="164"/>
    <w:qFormat/>
    <w:uiPriority w:val="0"/>
    <w:pPr>
      <w:spacing w:before="156" w:beforeLines="50" w:after="156" w:afterLines="50"/>
      <w:ind w:left="540" w:leftChars="257"/>
    </w:pPr>
    <w:rPr>
      <w:kern w:val="2"/>
      <w:sz w:val="24"/>
    </w:rPr>
  </w:style>
  <w:style w:type="paragraph" w:customStyle="1" w:styleId="63">
    <w:name w:val="表格文字"/>
    <w:basedOn w:val="1"/>
    <w:next w:val="18"/>
    <w:link w:val="173"/>
    <w:qFormat/>
    <w:uiPriority w:val="0"/>
    <w:pPr>
      <w:jc w:val="left"/>
    </w:pPr>
    <w:rPr>
      <w:kern w:val="21"/>
      <w:szCs w:val="21"/>
    </w:rPr>
  </w:style>
  <w:style w:type="paragraph" w:customStyle="1" w:styleId="64">
    <w:name w:val="招标正文"/>
    <w:basedOn w:val="1"/>
    <w:link w:val="176"/>
    <w:qFormat/>
    <w:uiPriority w:val="0"/>
    <w:pPr>
      <w:widowControl/>
      <w:spacing w:line="360" w:lineRule="auto"/>
      <w:ind w:firstLine="480" w:firstLineChars="200"/>
    </w:pPr>
    <w:rPr>
      <w:snapToGrid w:val="0"/>
      <w:sz w:val="24"/>
    </w:rPr>
  </w:style>
  <w:style w:type="paragraph" w:customStyle="1" w:styleId="65">
    <w:name w:val="样式 样式3 + 非加粗"/>
    <w:basedOn w:val="1"/>
    <w:link w:val="178"/>
    <w:qFormat/>
    <w:uiPriority w:val="0"/>
    <w:pPr>
      <w:adjustRightInd w:val="0"/>
      <w:snapToGrid w:val="0"/>
      <w:spacing w:line="300" w:lineRule="auto"/>
    </w:pPr>
    <w:rPr>
      <w:rFonts w:ascii="宋体" w:hAnsi="宋体"/>
      <w:b/>
      <w:bCs/>
      <w:color w:val="000000"/>
      <w:kern w:val="2"/>
      <w:sz w:val="24"/>
    </w:rPr>
  </w:style>
  <w:style w:type="paragraph" w:customStyle="1" w:styleId="66">
    <w:name w:val="List Paragraph"/>
    <w:basedOn w:val="1"/>
    <w:link w:val="179"/>
    <w:qFormat/>
    <w:uiPriority w:val="34"/>
    <w:pPr>
      <w:ind w:firstLine="420" w:firstLineChars="200"/>
    </w:pPr>
    <w:rPr>
      <w:rFonts w:ascii="Calibri" w:hAnsi="Calibri"/>
      <w:kern w:val="2"/>
      <w:szCs w:val="22"/>
    </w:rPr>
  </w:style>
  <w:style w:type="paragraph" w:customStyle="1" w:styleId="67">
    <w:name w:val="标准正文格式"/>
    <w:basedOn w:val="1"/>
    <w:link w:val="184"/>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paragraph" w:customStyle="1" w:styleId="68">
    <w:name w:val="_Style 208"/>
    <w:basedOn w:val="19"/>
    <w:next w:val="1"/>
    <w:link w:val="189"/>
    <w:qFormat/>
    <w:uiPriority w:val="0"/>
    <w:pPr>
      <w:spacing w:after="120"/>
      <w:ind w:left="420" w:leftChars="200" w:firstLine="420" w:firstLineChars="200"/>
    </w:pPr>
    <w:rPr>
      <w:rFonts w:ascii="Calibri" w:hAnsi="Calibri" w:cs="Calibri"/>
      <w:sz w:val="21"/>
      <w:szCs w:val="22"/>
    </w:rPr>
  </w:style>
  <w:style w:type="paragraph" w:customStyle="1" w:styleId="69">
    <w:name w:val="我编辑文档正文"/>
    <w:basedOn w:val="1"/>
    <w:link w:val="207"/>
    <w:qFormat/>
    <w:uiPriority w:val="0"/>
    <w:pPr>
      <w:spacing w:line="360" w:lineRule="auto"/>
      <w:ind w:right="69" w:rightChars="33" w:firstLine="360" w:firstLineChars="150"/>
      <w:jc w:val="left"/>
    </w:pPr>
    <w:rPr>
      <w:sz w:val="24"/>
    </w:rPr>
  </w:style>
  <w:style w:type="paragraph" w:customStyle="1" w:styleId="70">
    <w:name w:val="无间隔1"/>
    <w:link w:val="214"/>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paragraph" w:customStyle="1" w:styleId="71">
    <w:name w:val="标书正文样式"/>
    <w:basedOn w:val="1"/>
    <w:link w:val="217"/>
    <w:qFormat/>
    <w:uiPriority w:val="0"/>
    <w:pPr>
      <w:ind w:firstLine="560" w:firstLineChars="200"/>
      <w:jc w:val="left"/>
    </w:pPr>
    <w:rPr>
      <w:rFonts w:ascii="仿宋_GB2312" w:hAnsi="Arial" w:eastAsia="仿宋_GB2312"/>
      <w:kern w:val="2"/>
      <w:sz w:val="28"/>
      <w:szCs w:val="28"/>
    </w:rPr>
  </w:style>
  <w:style w:type="paragraph" w:customStyle="1" w:styleId="72">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3">
    <w:name w:val=" Char1"/>
    <w:basedOn w:val="1"/>
    <w:qFormat/>
    <w:uiPriority w:val="0"/>
    <w:rPr>
      <w:rFonts w:ascii="仿宋_GB2312" w:eastAsia="仿宋_GB2312"/>
      <w:b/>
      <w:sz w:val="32"/>
      <w:szCs w:val="32"/>
    </w:rPr>
  </w:style>
  <w:style w:type="paragraph" w:customStyle="1" w:styleId="74">
    <w:name w:val="_Style 152"/>
    <w:unhideWhenUsed/>
    <w:qFormat/>
    <w:uiPriority w:val="99"/>
    <w:rPr>
      <w:rFonts w:ascii="Times New Roman" w:hAnsi="Times New Roman" w:eastAsia="宋体" w:cs="Times New Roman"/>
      <w:sz w:val="21"/>
      <w:szCs w:val="24"/>
      <w:lang w:val="en-US" w:eastAsia="zh-CN" w:bidi="ar-SA"/>
    </w:rPr>
  </w:style>
  <w:style w:type="paragraph" w:customStyle="1" w:styleId="75">
    <w:name w:val="附录项目"/>
    <w:basedOn w:val="6"/>
    <w:qFormat/>
    <w:uiPriority w:val="0"/>
    <w:pPr>
      <w:tabs>
        <w:tab w:val="clear" w:pos="567"/>
      </w:tabs>
      <w:snapToGrid w:val="0"/>
      <w:spacing w:before="120" w:beforeLines="50"/>
      <w:ind w:left="0" w:firstLine="0"/>
      <w:outlineLvl w:val="9"/>
    </w:pPr>
    <w:rPr>
      <w:rFonts w:ascii="Arial" w:hAnsi="Arial" w:eastAsia="楷体_GB2312" w:cs="Arial"/>
      <w:bCs w:val="0"/>
      <w:snapToGrid w:val="0"/>
      <w:color w:val="FF00FF"/>
      <w:kern w:val="0"/>
      <w:sz w:val="21"/>
      <w:szCs w:val="20"/>
      <w:lang w:val="en-US" w:eastAsia="zh-CN"/>
    </w:rPr>
  </w:style>
  <w:style w:type="paragraph" w:customStyle="1" w:styleId="7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7">
    <w:name w:val="缩进"/>
    <w:basedOn w:val="1"/>
    <w:qFormat/>
    <w:uiPriority w:val="0"/>
    <w:pPr>
      <w:numPr>
        <w:ilvl w:val="0"/>
        <w:numId w:val="1"/>
      </w:numPr>
      <w:adjustRightInd w:val="0"/>
      <w:spacing w:line="300" w:lineRule="auto"/>
      <w:jc w:val="left"/>
    </w:pPr>
    <w:rPr>
      <w:rFonts w:ascii="Calibri" w:hAnsi="Calibri"/>
      <w:sz w:val="24"/>
      <w:szCs w:val="21"/>
    </w:rPr>
  </w:style>
  <w:style w:type="paragraph" w:customStyle="1" w:styleId="78">
    <w:name w:val="列出段落1"/>
    <w:basedOn w:val="1"/>
    <w:qFormat/>
    <w:uiPriority w:val="0"/>
    <w:pPr>
      <w:ind w:firstLine="420" w:firstLineChars="200"/>
    </w:pPr>
    <w:rPr>
      <w:rFonts w:ascii="Calibri" w:hAnsi="Calibri"/>
      <w:szCs w:val="20"/>
    </w:rPr>
  </w:style>
  <w:style w:type="paragraph" w:customStyle="1" w:styleId="79">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80">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81">
    <w:name w:val="默认段落字体 Para Char Char Char Char Char Char Char"/>
    <w:basedOn w:val="1"/>
    <w:qFormat/>
    <w:uiPriority w:val="0"/>
    <w:rPr>
      <w:rFonts w:ascii="Tahoma" w:hAnsi="Tahoma"/>
      <w:sz w:val="24"/>
      <w:szCs w:val="20"/>
    </w:rPr>
  </w:style>
  <w:style w:type="paragraph" w:customStyle="1" w:styleId="82">
    <w:name w:val="Char Char Char Char Char Char"/>
    <w:basedOn w:val="1"/>
    <w:qFormat/>
    <w:uiPriority w:val="0"/>
    <w:pPr>
      <w:ind w:firstLine="200" w:firstLineChars="200"/>
    </w:pPr>
    <w:rPr>
      <w:rFonts w:ascii="Tahoma" w:hAnsi="Tahoma" w:cs="Tahoma"/>
      <w:sz w:val="24"/>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85">
    <w:name w:val="题注4"/>
    <w:basedOn w:val="1"/>
    <w:next w:val="13"/>
    <w:qFormat/>
    <w:uiPriority w:val="0"/>
    <w:pPr>
      <w:ind w:left="-132" w:leftChars="-64" w:right="-105" w:hanging="2"/>
      <w:jc w:val="center"/>
    </w:pPr>
    <w:rPr>
      <w:rFonts w:ascii="宋体"/>
      <w:b/>
      <w:color w:val="FF0000"/>
      <w:sz w:val="24"/>
      <w:szCs w:val="20"/>
    </w:rPr>
  </w:style>
  <w:style w:type="paragraph" w:customStyle="1" w:styleId="86">
    <w:name w:val="列出段落3"/>
    <w:basedOn w:val="1"/>
    <w:unhideWhenUsed/>
    <w:qFormat/>
    <w:uiPriority w:val="99"/>
    <w:pPr>
      <w:ind w:firstLine="420" w:firstLineChars="200"/>
    </w:pPr>
    <w:rPr>
      <w:rFonts w:ascii="Arial" w:hAnsi="Arial" w:cs="Arial"/>
      <w:kern w:val="2"/>
    </w:rPr>
  </w:style>
  <w:style w:type="paragraph" w:customStyle="1" w:styleId="87">
    <w:name w:val=" Char Char Char Char Char Char Char"/>
    <w:basedOn w:val="1"/>
    <w:qFormat/>
    <w:uiPriority w:val="0"/>
    <w:rPr>
      <w:rFonts w:ascii="仿宋_GB2312" w:eastAsia="仿宋_GB2312"/>
      <w:b/>
      <w:sz w:val="32"/>
      <w:szCs w:val="32"/>
    </w:rPr>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2"/>
    <w:basedOn w:val="1"/>
    <w:qFormat/>
    <w:uiPriority w:val="0"/>
    <w:pPr>
      <w:spacing w:before="156" w:beforeLines="0" w:line="360" w:lineRule="auto"/>
      <w:ind w:firstLine="510" w:firstLineChars="200"/>
    </w:pPr>
    <w:rPr>
      <w:sz w:val="24"/>
      <w:szCs w:val="20"/>
    </w:rPr>
  </w:style>
  <w:style w:type="paragraph" w:customStyle="1" w:styleId="91">
    <w:name w:val=" Char Char Char Char Char Char"/>
    <w:basedOn w:val="1"/>
    <w:qFormat/>
    <w:uiPriority w:val="0"/>
    <w:rPr>
      <w:rFonts w:ascii="Tahoma" w:hAnsi="Tahoma"/>
      <w:sz w:val="24"/>
      <w:szCs w:val="20"/>
    </w:rPr>
  </w:style>
  <w:style w:type="paragraph" w:customStyle="1" w:styleId="92">
    <w:name w:val="默认段落字体 Para Char Char Char Char"/>
    <w:basedOn w:val="1"/>
    <w:qFormat/>
    <w:uiPriority w:val="0"/>
    <w:rPr>
      <w:sz w:val="32"/>
      <w:szCs w:val="32"/>
    </w:rPr>
  </w:style>
  <w:style w:type="paragraph" w:customStyle="1" w:styleId="93">
    <w:name w:val="Char"/>
    <w:basedOn w:val="1"/>
    <w:qFormat/>
    <w:uiPriority w:val="0"/>
    <w:rPr>
      <w:rFonts w:eastAsia="仿宋_GB2312"/>
      <w:sz w:val="28"/>
    </w:rPr>
  </w:style>
  <w:style w:type="paragraph" w:customStyle="1" w:styleId="94">
    <w:name w:val=" Char3"/>
    <w:basedOn w:val="15"/>
    <w:qFormat/>
    <w:uiPriority w:val="0"/>
  </w:style>
  <w:style w:type="paragraph" w:customStyle="1" w:styleId="95">
    <w:name w:val="table_1stline"/>
    <w:basedOn w:val="1"/>
    <w:qFormat/>
    <w:uiPriority w:val="0"/>
    <w:pPr>
      <w:widowControl/>
      <w:spacing w:before="120" w:beforeLines="0"/>
      <w:jc w:val="left"/>
    </w:pPr>
    <w:rPr>
      <w:bCs/>
      <w:kern w:val="0"/>
      <w:sz w:val="20"/>
      <w:szCs w:val="20"/>
    </w:rPr>
  </w:style>
  <w:style w:type="paragraph" w:customStyle="1" w:styleId="96">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8">
    <w:name w:val="Char Char"/>
    <w:basedOn w:val="1"/>
    <w:qFormat/>
    <w:uiPriority w:val="0"/>
    <w:rPr>
      <w:rFonts w:ascii="仿宋_GB2312" w:eastAsia="仿宋_GB2312"/>
      <w:b/>
      <w:sz w:val="32"/>
      <w:szCs w:val="32"/>
    </w:rPr>
  </w:style>
  <w:style w:type="paragraph" w:customStyle="1" w:styleId="99">
    <w:name w:val="编号，小四"/>
    <w:basedOn w:val="1"/>
    <w:qFormat/>
    <w:uiPriority w:val="0"/>
    <w:pPr>
      <w:numPr>
        <w:ilvl w:val="0"/>
        <w:numId w:val="2"/>
      </w:numPr>
      <w:ind w:firstLineChars="0"/>
    </w:pPr>
  </w:style>
  <w:style w:type="paragraph" w:customStyle="1" w:styleId="100">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101">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02">
    <w:name w:val="表"/>
    <w:basedOn w:val="1"/>
    <w:qFormat/>
    <w:uiPriority w:val="99"/>
    <w:pPr>
      <w:adjustRightInd w:val="0"/>
      <w:snapToGrid w:val="0"/>
      <w:spacing w:line="312" w:lineRule="auto"/>
    </w:pPr>
    <w:rPr>
      <w:rFonts w:cs="宋体"/>
    </w:rPr>
  </w:style>
  <w:style w:type="paragraph" w:customStyle="1" w:styleId="10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4">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0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彩色列表1"/>
    <w:basedOn w:val="1"/>
    <w:qFormat/>
    <w:uiPriority w:val="34"/>
    <w:pPr>
      <w:ind w:firstLine="420" w:firstLineChars="200"/>
    </w:pPr>
    <w:rPr>
      <w:rFonts w:ascii="Calibri" w:hAnsi="Calibri"/>
    </w:rPr>
  </w:style>
  <w:style w:type="paragraph" w:customStyle="1" w:styleId="107">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行间12_5号"/>
    <w:basedOn w:val="1"/>
    <w:qFormat/>
    <w:uiPriority w:val="0"/>
    <w:pPr>
      <w:adjustRightInd w:val="0"/>
      <w:spacing w:line="240" w:lineRule="exact"/>
      <w:jc w:val="center"/>
      <w:textAlignment w:val="baseline"/>
    </w:pPr>
    <w:rPr>
      <w:kern w:val="0"/>
      <w:szCs w:val="20"/>
    </w:rPr>
  </w:style>
  <w:style w:type="paragraph" w:customStyle="1" w:styleId="109">
    <w:name w:val="表内文字"/>
    <w:basedOn w:val="1"/>
    <w:qFormat/>
    <w:uiPriority w:val="0"/>
    <w:pPr>
      <w:spacing w:line="240" w:lineRule="atLeast"/>
      <w:jc w:val="center"/>
    </w:pPr>
    <w:rPr>
      <w:rFonts w:ascii="Arial" w:hAnsi="Arial" w:cs="Arial"/>
      <w:b/>
      <w:bCs/>
    </w:rPr>
  </w:style>
  <w:style w:type="paragraph" w:customStyle="1" w:styleId="110">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1111"/>
    <w:basedOn w:val="1"/>
    <w:qFormat/>
    <w:uiPriority w:val="0"/>
    <w:rPr>
      <w:rFonts w:ascii="Calibri" w:hAnsi="Calibri"/>
      <w:sz w:val="18"/>
    </w:rPr>
  </w:style>
  <w:style w:type="paragraph" w:customStyle="1" w:styleId="112">
    <w:name w:val="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14">
    <w:name w:val=" Char Char2 Char"/>
    <w:basedOn w:val="1"/>
    <w:qFormat/>
    <w:uiPriority w:val="0"/>
    <w:pPr>
      <w:keepNext/>
      <w:keepLines/>
      <w:pageBreakBefore/>
      <w:tabs>
        <w:tab w:val="left" w:pos="845"/>
      </w:tabs>
      <w:ind w:left="845" w:hanging="420"/>
    </w:pPr>
    <w:rPr>
      <w:szCs w:val="20"/>
    </w:rPr>
  </w:style>
  <w:style w:type="paragraph" w:customStyle="1" w:styleId="115">
    <w:name w:val="正文－恩普"/>
    <w:basedOn w:val="12"/>
    <w:qFormat/>
    <w:uiPriority w:val="0"/>
    <w:pPr>
      <w:widowControl/>
      <w:adjustRightInd/>
      <w:spacing w:before="100" w:beforeAutospacing="1" w:after="100"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16">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7">
    <w:name w:val=" Char Char Char Char Char Char Char Char Char1 Char"/>
    <w:basedOn w:val="1"/>
    <w:qFormat/>
    <w:uiPriority w:val="0"/>
    <w:pPr>
      <w:widowControl/>
      <w:jc w:val="left"/>
    </w:pPr>
    <w:rPr>
      <w:rFonts w:ascii="仿宋_GB2312" w:hAnsi="Calibri" w:eastAsia="仿宋_GB2312"/>
      <w:b/>
      <w:kern w:val="0"/>
      <w:sz w:val="32"/>
      <w:szCs w:val="32"/>
    </w:rPr>
  </w:style>
  <w:style w:type="paragraph" w:customStyle="1" w:styleId="118">
    <w:name w:val="保留正文"/>
    <w:basedOn w:val="18"/>
    <w:qFormat/>
    <w:uiPriority w:val="0"/>
    <w:pPr>
      <w:keepNext/>
      <w:spacing w:after="160" w:afterLines="0"/>
    </w:pPr>
    <w:rPr>
      <w:szCs w:val="20"/>
    </w:rPr>
  </w:style>
  <w:style w:type="paragraph" w:customStyle="1" w:styleId="119">
    <w:name w:val=" Char2"/>
    <w:basedOn w:val="15"/>
    <w:next w:val="1"/>
    <w:qFormat/>
    <w:uiPriority w:val="0"/>
    <w:rPr>
      <w:rFonts w:ascii="宋体" w:hAnsi="宋体"/>
    </w:rPr>
  </w:style>
  <w:style w:type="paragraph" w:customStyle="1" w:styleId="120">
    <w:name w:val="Heading4"/>
    <w:basedOn w:val="1"/>
    <w:next w:val="1"/>
    <w:qFormat/>
    <w:uiPriority w:val="0"/>
    <w:pPr>
      <w:keepNext/>
      <w:keepLines/>
      <w:spacing w:before="280" w:after="290" w:line="372" w:lineRule="auto"/>
      <w:jc w:val="center"/>
    </w:pPr>
    <w:rPr>
      <w:rFonts w:ascii="Arial" w:hAnsi="Arial"/>
      <w:b/>
      <w:sz w:val="36"/>
    </w:rPr>
  </w:style>
  <w:style w:type="paragraph" w:customStyle="1" w:styleId="121">
    <w:name w:val="_Style 13"/>
    <w:basedOn w:val="1"/>
    <w:next w:val="66"/>
    <w:qFormat/>
    <w:uiPriority w:val="7"/>
    <w:pPr>
      <w:ind w:firstLine="420"/>
    </w:pPr>
    <w:rPr>
      <w:rFonts w:ascii="Calibri" w:hAnsi="Calibri"/>
      <w:color w:val="000000"/>
      <w:kern w:val="1"/>
    </w:rPr>
  </w:style>
  <w:style w:type="paragraph" w:customStyle="1" w:styleId="122">
    <w:name w:val="Char Char Char"/>
    <w:basedOn w:val="1"/>
    <w:qFormat/>
    <w:uiPriority w:val="0"/>
    <w:rPr>
      <w:rFonts w:ascii="Tahoma" w:hAnsi="Tahoma"/>
      <w:sz w:val="24"/>
      <w:szCs w:val="20"/>
    </w:rPr>
  </w:style>
  <w:style w:type="paragraph" w:customStyle="1" w:styleId="12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24">
    <w:name w:val=" Char"/>
    <w:basedOn w:val="1"/>
    <w:qFormat/>
    <w:uiPriority w:val="0"/>
    <w:rPr>
      <w:szCs w:val="20"/>
    </w:rPr>
  </w:style>
  <w:style w:type="paragraph" w:customStyle="1" w:styleId="12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26">
    <w:name w:val="默认段落字体 Para Char"/>
    <w:basedOn w:val="1"/>
    <w:qFormat/>
    <w:uiPriority w:val="0"/>
    <w:rPr>
      <w:rFonts w:ascii="Calibri" w:hAnsi="Calibri"/>
      <w:szCs w:val="20"/>
    </w:rPr>
  </w:style>
  <w:style w:type="paragraph" w:customStyle="1" w:styleId="127">
    <w:name w:val="样式 正文缩进 + 首行缩进:  2 字符"/>
    <w:basedOn w:val="12"/>
    <w:qFormat/>
    <w:uiPriority w:val="0"/>
    <w:pPr>
      <w:adjustRightInd/>
      <w:spacing w:line="360" w:lineRule="auto"/>
      <w:ind w:firstLine="200" w:firstLineChars="200"/>
      <w:textAlignment w:val="auto"/>
    </w:pPr>
    <w:rPr>
      <w:rFonts w:cs="宋体"/>
      <w:kern w:val="2"/>
      <w:sz w:val="24"/>
    </w:rPr>
  </w:style>
  <w:style w:type="paragraph" w:customStyle="1" w:styleId="12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29">
    <w:name w:val=" Char Char Char Char Char Char Char Char Char Char Char Char Char"/>
    <w:basedOn w:val="1"/>
    <w:qFormat/>
    <w:uiPriority w:val="0"/>
    <w:rPr>
      <w:rFonts w:ascii="Tahoma" w:hAnsi="Tahoma"/>
      <w:sz w:val="24"/>
      <w:szCs w:val="20"/>
    </w:rPr>
  </w:style>
  <w:style w:type="paragraph" w:customStyle="1" w:styleId="130">
    <w:name w:val="样式1"/>
    <w:qFormat/>
    <w:uiPriority w:val="0"/>
    <w:pPr>
      <w:keepNext/>
      <w:keepLines/>
      <w:widowControl w:val="0"/>
      <w:numPr>
        <w:ilvl w:val="0"/>
        <w:numId w:val="3"/>
      </w:numPr>
      <w:tabs>
        <w:tab w:val="left" w:pos="425"/>
      </w:tabs>
      <w:spacing w:before="156" w:beforeLines="50"/>
      <w:jc w:val="center"/>
      <w:outlineLvl w:val="0"/>
    </w:pPr>
    <w:rPr>
      <w:rFonts w:ascii="宋体" w:hAnsi="宋体" w:eastAsia="宋体" w:cs="Times New Roman"/>
      <w:kern w:val="44"/>
      <w:sz w:val="21"/>
      <w:szCs w:val="36"/>
      <w:lang w:val="en-US" w:eastAsia="zh-CN" w:bidi="ar-SA"/>
    </w:rPr>
  </w:style>
  <w:style w:type="paragraph" w:customStyle="1" w:styleId="131">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32">
    <w:name w:val="Fließtext"/>
    <w:basedOn w:val="1"/>
    <w:qFormat/>
    <w:uiPriority w:val="0"/>
    <w:pPr>
      <w:overflowPunct w:val="0"/>
      <w:autoSpaceDE w:val="0"/>
      <w:autoSpaceDN w:val="0"/>
      <w:adjustRightInd w:val="0"/>
      <w:textAlignment w:val="baseline"/>
    </w:pPr>
    <w:rPr>
      <w:kern w:val="28"/>
      <w:szCs w:val="20"/>
    </w:rPr>
  </w:style>
  <w:style w:type="paragraph" w:customStyle="1" w:styleId="133">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134">
    <w:name w:val="null3"/>
    <w:qFormat/>
    <w:uiPriority w:val="0"/>
    <w:rPr>
      <w:rFonts w:hint="eastAsia" w:ascii="Calibri" w:hAnsi="Calibri" w:eastAsia="宋体" w:cs="Times New Roman"/>
      <w:lang w:val="en-US" w:eastAsia="zh-CN" w:bidi="ar-SA"/>
    </w:rPr>
  </w:style>
  <w:style w:type="paragraph" w:customStyle="1" w:styleId="135">
    <w:name w:val="纯文本1"/>
    <w:basedOn w:val="136"/>
    <w:qFormat/>
    <w:uiPriority w:val="0"/>
    <w:pPr>
      <w:widowControl/>
      <w:jc w:val="left"/>
    </w:pPr>
    <w:rPr>
      <w:rFonts w:ascii="宋体" w:hAnsi="Courier New"/>
    </w:rPr>
  </w:style>
  <w:style w:type="paragraph" w:customStyle="1" w:styleId="13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Table Text"/>
    <w:basedOn w:val="1"/>
    <w:semiHidden/>
    <w:qFormat/>
    <w:uiPriority w:val="0"/>
    <w:rPr>
      <w:rFonts w:ascii="宋体" w:hAnsi="宋体" w:eastAsia="宋体" w:cs="宋体"/>
      <w:sz w:val="24"/>
      <w:szCs w:val="24"/>
      <w:lang w:val="en-US" w:eastAsia="en-US" w:bidi="ar-SA"/>
    </w:rPr>
  </w:style>
  <w:style w:type="character" w:customStyle="1" w:styleId="138">
    <w:name w:val="正文文本 Char1"/>
    <w:link w:val="18"/>
    <w:qFormat/>
    <w:uiPriority w:val="0"/>
    <w:rPr>
      <w:kern w:val="2"/>
      <w:sz w:val="21"/>
      <w:szCs w:val="24"/>
    </w:rPr>
  </w:style>
  <w:style w:type="character" w:customStyle="1" w:styleId="139">
    <w:name w:val="标题 1 Char"/>
    <w:link w:val="2"/>
    <w:qFormat/>
    <w:uiPriority w:val="6"/>
    <w:rPr>
      <w:rFonts w:ascii="宋体"/>
      <w:b/>
      <w:kern w:val="44"/>
      <w:sz w:val="24"/>
    </w:rPr>
  </w:style>
  <w:style w:type="character" w:customStyle="1" w:styleId="140">
    <w:name w:val="标题 2 Char1"/>
    <w:link w:val="3"/>
    <w:qFormat/>
    <w:uiPriority w:val="0"/>
    <w:rPr>
      <w:rFonts w:ascii="Arial" w:hAnsi="Arial" w:eastAsia="黑体"/>
      <w:b/>
      <w:bCs/>
      <w:kern w:val="2"/>
      <w:sz w:val="32"/>
      <w:szCs w:val="32"/>
    </w:rPr>
  </w:style>
  <w:style w:type="character" w:customStyle="1" w:styleId="141">
    <w:name w:val="标题 3 Char"/>
    <w:link w:val="4"/>
    <w:qFormat/>
    <w:uiPriority w:val="0"/>
    <w:rPr>
      <w:rFonts w:eastAsia="宋体"/>
      <w:b/>
      <w:bCs/>
      <w:kern w:val="2"/>
      <w:sz w:val="32"/>
      <w:szCs w:val="32"/>
      <w:lang w:val="en-US" w:eastAsia="zh-CN" w:bidi="ar-SA"/>
    </w:rPr>
  </w:style>
  <w:style w:type="character" w:customStyle="1" w:styleId="142">
    <w:name w:val="标题 4 Char"/>
    <w:link w:val="5"/>
    <w:qFormat/>
    <w:uiPriority w:val="0"/>
    <w:rPr>
      <w:rFonts w:ascii="Arial" w:hAnsi="Arial" w:eastAsia="Times New Roman"/>
      <w:b/>
      <w:bCs/>
      <w:kern w:val="2"/>
      <w:sz w:val="28"/>
      <w:szCs w:val="28"/>
    </w:rPr>
  </w:style>
  <w:style w:type="character" w:customStyle="1" w:styleId="143">
    <w:name w:val="标题 5 Char"/>
    <w:link w:val="6"/>
    <w:qFormat/>
    <w:uiPriority w:val="0"/>
    <w:rPr>
      <w:b/>
      <w:bCs/>
      <w:kern w:val="2"/>
      <w:sz w:val="28"/>
      <w:szCs w:val="28"/>
      <w:lang w:bidi="ar-SA"/>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标题 7 Char"/>
    <w:link w:val="8"/>
    <w:qFormat/>
    <w:uiPriority w:val="0"/>
    <w:rPr>
      <w:rFonts w:eastAsia="仿宋_GB2312"/>
      <w:b/>
      <w:bCs/>
      <w:kern w:val="2"/>
      <w:sz w:val="24"/>
      <w:szCs w:val="24"/>
    </w:rPr>
  </w:style>
  <w:style w:type="character" w:customStyle="1" w:styleId="146">
    <w:name w:val="标题 8 Char"/>
    <w:link w:val="9"/>
    <w:qFormat/>
    <w:uiPriority w:val="0"/>
    <w:rPr>
      <w:rFonts w:ascii="Arial" w:hAnsi="Arial" w:eastAsia="黑体"/>
      <w:kern w:val="2"/>
      <w:sz w:val="24"/>
      <w:szCs w:val="24"/>
    </w:rPr>
  </w:style>
  <w:style w:type="character" w:customStyle="1" w:styleId="147">
    <w:name w:val="标题 9 Char"/>
    <w:link w:val="10"/>
    <w:qFormat/>
    <w:uiPriority w:val="0"/>
    <w:rPr>
      <w:rFonts w:ascii="Arial" w:hAnsi="Arial" w:eastAsia="黑体"/>
      <w:kern w:val="2"/>
      <w:sz w:val="21"/>
      <w:szCs w:val="21"/>
    </w:rPr>
  </w:style>
  <w:style w:type="character" w:customStyle="1" w:styleId="148">
    <w:name w:val="正文缩进 Char"/>
    <w:link w:val="12"/>
    <w:qFormat/>
    <w:uiPriority w:val="0"/>
    <w:rPr>
      <w:rFonts w:eastAsia="宋体"/>
      <w:sz w:val="21"/>
      <w:lang w:val="en-US" w:eastAsia="zh-CN" w:bidi="ar-SA"/>
    </w:rPr>
  </w:style>
  <w:style w:type="character" w:customStyle="1" w:styleId="149">
    <w:name w:val="文档结构图 Char"/>
    <w:link w:val="15"/>
    <w:qFormat/>
    <w:uiPriority w:val="0"/>
    <w:rPr>
      <w:kern w:val="2"/>
      <w:sz w:val="21"/>
      <w:szCs w:val="24"/>
      <w:shd w:val="clear" w:color="auto" w:fill="000080"/>
    </w:rPr>
  </w:style>
  <w:style w:type="character" w:customStyle="1" w:styleId="150">
    <w:name w:val="批注文字 Char"/>
    <w:link w:val="16"/>
    <w:qFormat/>
    <w:uiPriority w:val="0"/>
    <w:rPr>
      <w:kern w:val="2"/>
      <w:sz w:val="21"/>
      <w:szCs w:val="24"/>
    </w:rPr>
  </w:style>
  <w:style w:type="character" w:customStyle="1" w:styleId="151">
    <w:name w:val="称呼 Char"/>
    <w:link w:val="17"/>
    <w:qFormat/>
    <w:uiPriority w:val="0"/>
    <w:rPr>
      <w:kern w:val="2"/>
      <w:sz w:val="24"/>
      <w:szCs w:val="24"/>
    </w:rPr>
  </w:style>
  <w:style w:type="character" w:customStyle="1" w:styleId="152">
    <w:name w:val="正文文本缩进 Char"/>
    <w:link w:val="19"/>
    <w:qFormat/>
    <w:uiPriority w:val="0"/>
    <w:rPr>
      <w:sz w:val="21"/>
      <w:szCs w:val="24"/>
    </w:rPr>
  </w:style>
  <w:style w:type="character" w:customStyle="1" w:styleId="153">
    <w:name w:val="纯文本 Char"/>
    <w:link w:val="24"/>
    <w:qFormat/>
    <w:uiPriority w:val="0"/>
    <w:rPr>
      <w:rFonts w:ascii="宋体" w:hAnsi="Courier New" w:eastAsia="宋体"/>
      <w:sz w:val="21"/>
      <w:szCs w:val="21"/>
      <w:lang w:val="en-US" w:eastAsia="zh-CN" w:bidi="ar-SA"/>
    </w:rPr>
  </w:style>
  <w:style w:type="character" w:customStyle="1" w:styleId="154">
    <w:name w:val="日期 Char"/>
    <w:link w:val="26"/>
    <w:qFormat/>
    <w:uiPriority w:val="0"/>
    <w:rPr>
      <w:kern w:val="2"/>
      <w:sz w:val="21"/>
    </w:rPr>
  </w:style>
  <w:style w:type="character" w:customStyle="1" w:styleId="155">
    <w:name w:val="正文文本缩进 2 Char"/>
    <w:link w:val="27"/>
    <w:qFormat/>
    <w:uiPriority w:val="0"/>
    <w:rPr>
      <w:rFonts w:eastAsia="宋体"/>
      <w:kern w:val="2"/>
      <w:sz w:val="24"/>
      <w:szCs w:val="24"/>
      <w:lang w:val="en-US" w:eastAsia="zh-CN" w:bidi="ar-SA"/>
    </w:rPr>
  </w:style>
  <w:style w:type="character" w:customStyle="1" w:styleId="156">
    <w:name w:val="批注框文本 Char"/>
    <w:link w:val="28"/>
    <w:qFormat/>
    <w:uiPriority w:val="0"/>
    <w:rPr>
      <w:kern w:val="2"/>
      <w:sz w:val="18"/>
      <w:szCs w:val="18"/>
    </w:rPr>
  </w:style>
  <w:style w:type="character" w:customStyle="1" w:styleId="157">
    <w:name w:val="页脚 Char"/>
    <w:link w:val="29"/>
    <w:qFormat/>
    <w:uiPriority w:val="99"/>
    <w:rPr>
      <w:kern w:val="2"/>
      <w:sz w:val="18"/>
      <w:szCs w:val="18"/>
    </w:rPr>
  </w:style>
  <w:style w:type="character" w:customStyle="1" w:styleId="158">
    <w:name w:val="页眉 Char"/>
    <w:link w:val="30"/>
    <w:qFormat/>
    <w:uiPriority w:val="0"/>
    <w:rPr>
      <w:kern w:val="2"/>
      <w:sz w:val="18"/>
      <w:szCs w:val="18"/>
    </w:rPr>
  </w:style>
  <w:style w:type="character" w:customStyle="1" w:styleId="159">
    <w:name w:val="正文文本缩进 3 Char"/>
    <w:link w:val="36"/>
    <w:qFormat/>
    <w:uiPriority w:val="0"/>
    <w:rPr>
      <w:kern w:val="2"/>
      <w:sz w:val="24"/>
      <w:szCs w:val="24"/>
    </w:rPr>
  </w:style>
  <w:style w:type="character" w:customStyle="1" w:styleId="160">
    <w:name w:val="标题 Char"/>
    <w:link w:val="40"/>
    <w:qFormat/>
    <w:uiPriority w:val="0"/>
    <w:rPr>
      <w:rFonts w:ascii="Arial" w:hAnsi="Arial"/>
      <w:b/>
      <w:spacing w:val="14"/>
      <w:kern w:val="24"/>
      <w:sz w:val="32"/>
    </w:rPr>
  </w:style>
  <w:style w:type="character" w:customStyle="1" w:styleId="161">
    <w:name w:val="批注主题 Char"/>
    <w:link w:val="41"/>
    <w:qFormat/>
    <w:uiPriority w:val="0"/>
    <w:rPr>
      <w:b/>
      <w:bCs/>
      <w:kern w:val="2"/>
      <w:sz w:val="21"/>
      <w:szCs w:val="24"/>
    </w:rPr>
  </w:style>
  <w:style w:type="character" w:customStyle="1" w:styleId="162">
    <w:name w:val="正文首行缩进 2 Char1"/>
    <w:link w:val="43"/>
    <w:qFormat/>
    <w:uiPriority w:val="0"/>
    <w:rPr>
      <w:sz w:val="21"/>
      <w:szCs w:val="24"/>
    </w:rPr>
  </w:style>
  <w:style w:type="character" w:customStyle="1" w:styleId="163">
    <w:name w:val="标题 2 Char"/>
    <w:qFormat/>
    <w:uiPriority w:val="0"/>
    <w:rPr>
      <w:rFonts w:ascii="Arial" w:hAnsi="Arial" w:eastAsia="黑体"/>
      <w:b/>
      <w:bCs/>
      <w:kern w:val="2"/>
      <w:sz w:val="32"/>
      <w:szCs w:val="32"/>
    </w:rPr>
  </w:style>
  <w:style w:type="character" w:customStyle="1" w:styleId="164">
    <w:name w:val="P正文 Char Char"/>
    <w:link w:val="62"/>
    <w:qFormat/>
    <w:uiPriority w:val="0"/>
    <w:rPr>
      <w:kern w:val="2"/>
      <w:sz w:val="24"/>
      <w:szCs w:val="24"/>
    </w:rPr>
  </w:style>
  <w:style w:type="character" w:customStyle="1" w:styleId="165">
    <w:name w:val="NormalCharacter"/>
    <w:qFormat/>
    <w:uiPriority w:val="0"/>
  </w:style>
  <w:style w:type="character" w:customStyle="1" w:styleId="166">
    <w:name w:val="bt11"/>
    <w:qFormat/>
    <w:uiPriority w:val="3"/>
    <w:rPr>
      <w:rFonts w:eastAsia="仿宋_GB2312"/>
      <w:b/>
      <w:color w:val="000000"/>
      <w:sz w:val="30"/>
      <w:szCs w:val="20"/>
      <w:u w:val="none"/>
    </w:rPr>
  </w:style>
  <w:style w:type="character" w:customStyle="1" w:styleId="167">
    <w:name w:val="font41"/>
    <w:qFormat/>
    <w:uiPriority w:val="0"/>
    <w:rPr>
      <w:rFonts w:hint="eastAsia" w:ascii="宋体" w:hAnsi="宋体" w:eastAsia="宋体" w:cs="宋体"/>
      <w:b/>
      <w:color w:val="000000"/>
      <w:sz w:val="28"/>
      <w:szCs w:val="28"/>
      <w:u w:val="none"/>
    </w:rPr>
  </w:style>
  <w:style w:type="character" w:customStyle="1" w:styleId="168">
    <w:name w:val="标题2"/>
    <w:qFormat/>
    <w:uiPriority w:val="0"/>
    <w:rPr>
      <w:rFonts w:ascii="微软雅黑" w:hAnsi="微软雅黑" w:eastAsia="微软雅黑"/>
      <w:b/>
      <w:bCs/>
      <w:color w:val="0D0D0D"/>
      <w:sz w:val="24"/>
    </w:rPr>
  </w:style>
  <w:style w:type="character" w:customStyle="1" w:styleId="169">
    <w:name w:val="_Style 90"/>
    <w:qFormat/>
    <w:uiPriority w:val="32"/>
    <w:rPr>
      <w:b/>
      <w:bCs/>
      <w:smallCaps/>
      <w:color w:val="C0504D"/>
      <w:spacing w:val="5"/>
      <w:u w:val="single"/>
    </w:rPr>
  </w:style>
  <w:style w:type="character" w:customStyle="1" w:styleId="170">
    <w:name w:val="font01"/>
    <w:basedOn w:val="46"/>
    <w:qFormat/>
    <w:uiPriority w:val="0"/>
    <w:rPr>
      <w:rFonts w:hint="eastAsia" w:ascii="宋体" w:hAnsi="宋体" w:eastAsia="宋体" w:cs="宋体"/>
      <w:b/>
      <w:color w:val="000000"/>
      <w:sz w:val="28"/>
      <w:szCs w:val="28"/>
      <w:u w:val="none"/>
    </w:rPr>
  </w:style>
  <w:style w:type="character" w:customStyle="1" w:styleId="171">
    <w:name w:val="未处理的提及"/>
    <w:unhideWhenUsed/>
    <w:qFormat/>
    <w:uiPriority w:val="99"/>
    <w:rPr>
      <w:color w:val="605E5C"/>
      <w:shd w:val="clear" w:color="auto" w:fill="E1DFDD"/>
    </w:rPr>
  </w:style>
  <w:style w:type="character" w:customStyle="1" w:styleId="172">
    <w:name w:val="f16b1"/>
    <w:qFormat/>
    <w:uiPriority w:val="0"/>
    <w:rPr>
      <w:b/>
      <w:bCs/>
      <w:color w:val="333333"/>
      <w:sz w:val="22"/>
      <w:szCs w:val="22"/>
    </w:rPr>
  </w:style>
  <w:style w:type="character" w:customStyle="1" w:styleId="173">
    <w:name w:val="表格文字 Char Char"/>
    <w:link w:val="63"/>
    <w:qFormat/>
    <w:uiPriority w:val="0"/>
    <w:rPr>
      <w:kern w:val="21"/>
      <w:sz w:val="21"/>
      <w:szCs w:val="21"/>
    </w:rPr>
  </w:style>
  <w:style w:type="character" w:customStyle="1" w:styleId="174">
    <w:name w:val="chs1"/>
    <w:qFormat/>
    <w:uiPriority w:val="0"/>
    <w:rPr>
      <w:rFonts w:hint="default" w:ascii="_x000B__x000C_" w:hAnsi="_x000B__x000C_"/>
      <w:sz w:val="18"/>
      <w:szCs w:val="18"/>
    </w:rPr>
  </w:style>
  <w:style w:type="character" w:customStyle="1" w:styleId="175">
    <w:name w:val="日期 Char1"/>
    <w:qFormat/>
    <w:uiPriority w:val="0"/>
    <w:rPr>
      <w:kern w:val="2"/>
      <w:sz w:val="21"/>
      <w:szCs w:val="24"/>
    </w:rPr>
  </w:style>
  <w:style w:type="character" w:customStyle="1" w:styleId="176">
    <w:name w:val="招标正文 Char Char"/>
    <w:link w:val="64"/>
    <w:qFormat/>
    <w:uiPriority w:val="0"/>
    <w:rPr>
      <w:snapToGrid w:val="0"/>
      <w:sz w:val="24"/>
      <w:szCs w:val="24"/>
      <w:lang w:bidi="ar-SA"/>
    </w:rPr>
  </w:style>
  <w:style w:type="character" w:customStyle="1" w:styleId="177">
    <w:name w:val="b2"/>
    <w:qFormat/>
    <w:uiPriority w:val="0"/>
  </w:style>
  <w:style w:type="character" w:customStyle="1" w:styleId="178">
    <w:name w:val="样式 样式3 + 非加粗 Char"/>
    <w:link w:val="65"/>
    <w:qFormat/>
    <w:uiPriority w:val="0"/>
    <w:rPr>
      <w:rFonts w:ascii="宋体" w:hAnsi="宋体" w:eastAsia="宋体"/>
      <w:b/>
      <w:bCs/>
      <w:color w:val="000000"/>
      <w:kern w:val="2"/>
      <w:sz w:val="24"/>
      <w:szCs w:val="24"/>
      <w:lang w:val="en-US" w:eastAsia="zh-CN" w:bidi="ar-SA"/>
    </w:rPr>
  </w:style>
  <w:style w:type="character" w:customStyle="1" w:styleId="179">
    <w:name w:val="列出段落 Char"/>
    <w:link w:val="66"/>
    <w:qFormat/>
    <w:uiPriority w:val="34"/>
    <w:rPr>
      <w:rFonts w:ascii="Calibri" w:hAnsi="Calibri"/>
      <w:kern w:val="2"/>
      <w:sz w:val="21"/>
      <w:szCs w:val="22"/>
    </w:rPr>
  </w:style>
  <w:style w:type="character" w:customStyle="1" w:styleId="180">
    <w:name w:val="unnamed51"/>
    <w:qFormat/>
    <w:uiPriority w:val="0"/>
    <w:rPr>
      <w:sz w:val="22"/>
      <w:szCs w:val="22"/>
    </w:rPr>
  </w:style>
  <w:style w:type="character" w:customStyle="1" w:styleId="181">
    <w:name w:val="question-title2"/>
    <w:qFormat/>
    <w:uiPriority w:val="0"/>
    <w:rPr>
      <w:rFonts w:ascii="Times New Roman" w:hAnsi="Times New Roman" w:eastAsia="宋体" w:cs="Times New Roman"/>
    </w:rPr>
  </w:style>
  <w:style w:type="character" w:customStyle="1" w:styleId="182">
    <w:name w:val=" Char Char Char"/>
    <w:qFormat/>
    <w:uiPriority w:val="0"/>
    <w:rPr>
      <w:rFonts w:ascii="宋体" w:hAnsi="Courier New" w:eastAsia="宋体"/>
      <w:sz w:val="21"/>
      <w:szCs w:val="21"/>
      <w:lang w:val="en-US" w:eastAsia="zh-CN" w:bidi="ar-SA"/>
    </w:rPr>
  </w:style>
  <w:style w:type="character" w:customStyle="1" w:styleId="183">
    <w:name w:val="font101"/>
    <w:qFormat/>
    <w:uiPriority w:val="0"/>
    <w:rPr>
      <w:rFonts w:hint="eastAsia" w:ascii="宋体" w:hAnsi="宋体" w:eastAsia="宋体" w:cs="宋体"/>
      <w:b/>
      <w:color w:val="000000"/>
      <w:sz w:val="22"/>
      <w:szCs w:val="22"/>
      <w:u w:val="none"/>
    </w:rPr>
  </w:style>
  <w:style w:type="character" w:customStyle="1" w:styleId="184">
    <w:name w:val="标准正文格式 Char"/>
    <w:link w:val="67"/>
    <w:qFormat/>
    <w:uiPriority w:val="0"/>
    <w:rPr>
      <w:rFonts w:ascii="宋体" w:eastAsia="仿宋_GB2312" w:cs="宋体"/>
      <w:color w:val="000000"/>
      <w:sz w:val="24"/>
    </w:rPr>
  </w:style>
  <w:style w:type="character" w:customStyle="1" w:styleId="185">
    <w:name w:val="style13"/>
    <w:qFormat/>
    <w:uiPriority w:val="0"/>
  </w:style>
  <w:style w:type="character" w:customStyle="1" w:styleId="186">
    <w:name w:val="批注文字 字符1"/>
    <w:qFormat/>
    <w:uiPriority w:val="0"/>
    <w:rPr>
      <w:kern w:val="2"/>
      <w:sz w:val="21"/>
      <w:szCs w:val="24"/>
    </w:rPr>
  </w:style>
  <w:style w:type="character" w:customStyle="1" w:styleId="187">
    <w:name w:val="font61"/>
    <w:qFormat/>
    <w:uiPriority w:val="0"/>
    <w:rPr>
      <w:rFonts w:hint="eastAsia" w:ascii="宋体" w:hAnsi="宋体" w:eastAsia="宋体" w:cs="宋体"/>
      <w:color w:val="000000"/>
      <w:sz w:val="22"/>
      <w:szCs w:val="22"/>
      <w:u w:val="none"/>
    </w:rPr>
  </w:style>
  <w:style w:type="character" w:customStyle="1" w:styleId="188">
    <w:name w:val="正文（首行缩进两字） Char1"/>
    <w:qFormat/>
    <w:uiPriority w:val="0"/>
    <w:rPr>
      <w:rFonts w:eastAsia="仿宋_GB2312"/>
      <w:kern w:val="2"/>
      <w:sz w:val="28"/>
      <w:szCs w:val="24"/>
    </w:rPr>
  </w:style>
  <w:style w:type="character" w:customStyle="1" w:styleId="189">
    <w:name w:val="正文首行缩进 2 Char"/>
    <w:link w:val="68"/>
    <w:qFormat/>
    <w:uiPriority w:val="0"/>
    <w:rPr>
      <w:rFonts w:hint="default" w:ascii="Calibri" w:hAnsi="Calibri" w:cs="Calibri"/>
      <w:kern w:val="2"/>
      <w:sz w:val="21"/>
      <w:szCs w:val="22"/>
    </w:rPr>
  </w:style>
  <w:style w:type="character" w:customStyle="1" w:styleId="190">
    <w:name w:val="纯文本 Char1"/>
    <w:qFormat/>
    <w:uiPriority w:val="0"/>
    <w:rPr>
      <w:rFonts w:ascii="宋体" w:hAnsi="Courier New" w:eastAsia="宋体"/>
      <w:sz w:val="21"/>
      <w:szCs w:val="21"/>
      <w:lang w:val="en-US" w:eastAsia="zh-CN" w:bidi="ar-SA"/>
    </w:rPr>
  </w:style>
  <w:style w:type="character" w:customStyle="1" w:styleId="191">
    <w:name w:val="正文文本 字符"/>
    <w:qFormat/>
    <w:uiPriority w:val="0"/>
    <w:rPr>
      <w:kern w:val="2"/>
      <w:sz w:val="21"/>
      <w:szCs w:val="24"/>
    </w:rPr>
  </w:style>
  <w:style w:type="character" w:customStyle="1" w:styleId="192">
    <w:name w:val="正文文本 Char"/>
    <w:qFormat/>
    <w:uiPriority w:val="0"/>
    <w:rPr>
      <w:kern w:val="2"/>
      <w:sz w:val="21"/>
      <w:szCs w:val="24"/>
    </w:rPr>
  </w:style>
  <w:style w:type="character" w:customStyle="1" w:styleId="193">
    <w:name w:val="textfont"/>
    <w:qFormat/>
    <w:uiPriority w:val="0"/>
  </w:style>
  <w:style w:type="character" w:customStyle="1" w:styleId="194">
    <w:name w:val="15"/>
    <w:qFormat/>
    <w:uiPriority w:val="0"/>
    <w:rPr>
      <w:rFonts w:hint="default" w:ascii="Times New Roman" w:hAnsi="Times New Roman" w:eastAsia="宋体" w:cs="Times New Roman"/>
      <w:b/>
      <w:bCs/>
      <w:spacing w:val="-2"/>
      <w:sz w:val="24"/>
      <w:szCs w:val="24"/>
    </w:rPr>
  </w:style>
  <w:style w:type="character" w:customStyle="1" w:styleId="195">
    <w:name w:val="font11"/>
    <w:qFormat/>
    <w:uiPriority w:val="0"/>
    <w:rPr>
      <w:rFonts w:hint="eastAsia" w:ascii="宋体" w:hAnsi="宋体" w:eastAsia="宋体" w:cs="宋体"/>
      <w:color w:val="000000"/>
      <w:sz w:val="22"/>
      <w:szCs w:val="22"/>
      <w:u w:val="none"/>
    </w:rPr>
  </w:style>
  <w:style w:type="character" w:customStyle="1" w:styleId="196">
    <w:name w:val="font51"/>
    <w:qFormat/>
    <w:uiPriority w:val="0"/>
    <w:rPr>
      <w:rFonts w:hint="eastAsia" w:ascii="宋体" w:hAnsi="宋体" w:eastAsia="宋体" w:cs="宋体"/>
      <w:color w:val="000000"/>
      <w:sz w:val="22"/>
      <w:szCs w:val="22"/>
      <w:u w:val="none"/>
    </w:rPr>
  </w:style>
  <w:style w:type="character" w:customStyle="1" w:styleId="197">
    <w:name w:val="px141"/>
    <w:qFormat/>
    <w:uiPriority w:val="0"/>
    <w:rPr>
      <w:sz w:val="21"/>
      <w:szCs w:val="21"/>
    </w:rPr>
  </w:style>
  <w:style w:type="character" w:customStyle="1" w:styleId="198">
    <w:name w:val="font81"/>
    <w:qFormat/>
    <w:uiPriority w:val="0"/>
    <w:rPr>
      <w:rFonts w:hint="eastAsia" w:ascii="宋体" w:hAnsi="宋体" w:eastAsia="宋体" w:cs="宋体"/>
      <w:b/>
      <w:color w:val="000000"/>
      <w:sz w:val="22"/>
      <w:szCs w:val="22"/>
      <w:u w:val="none"/>
    </w:rPr>
  </w:style>
  <w:style w:type="character" w:customStyle="1" w:styleId="199">
    <w:name w:val="Texte Char Char"/>
    <w:qFormat/>
    <w:uiPriority w:val="0"/>
    <w:rPr>
      <w:rFonts w:ascii="宋体" w:hAnsi="Courier New" w:eastAsia="宋体"/>
      <w:sz w:val="21"/>
      <w:szCs w:val="21"/>
      <w:lang w:val="en-US" w:eastAsia="zh-CN" w:bidi="ar-SA"/>
    </w:rPr>
  </w:style>
  <w:style w:type="character" w:customStyle="1" w:styleId="200">
    <w:name w:val="批注文字 字符"/>
    <w:qFormat/>
    <w:uiPriority w:val="99"/>
    <w:rPr>
      <w:kern w:val="2"/>
      <w:sz w:val="21"/>
      <w:szCs w:val="24"/>
    </w:rPr>
  </w:style>
  <w:style w:type="character" w:customStyle="1" w:styleId="201">
    <w:name w:val="aa1"/>
    <w:qFormat/>
    <w:uiPriority w:val="0"/>
    <w:rPr>
      <w:rFonts w:hint="default" w:ascii="_x000B__x000C_" w:hAnsi="_x000B__x000C_"/>
      <w:color w:val="000000"/>
      <w:sz w:val="20"/>
      <w:szCs w:val="20"/>
      <w:u w:val="none"/>
    </w:rPr>
  </w:style>
  <w:style w:type="character" w:customStyle="1" w:styleId="202">
    <w:name w:val="称呼 Char1"/>
    <w:semiHidden/>
    <w:qFormat/>
    <w:uiPriority w:val="99"/>
    <w:rPr>
      <w:kern w:val="2"/>
      <w:sz w:val="21"/>
      <w:szCs w:val="24"/>
    </w:rPr>
  </w:style>
  <w:style w:type="character" w:customStyle="1" w:styleId="203">
    <w:name w:val="font31"/>
    <w:qFormat/>
    <w:uiPriority w:val="0"/>
    <w:rPr>
      <w:rFonts w:hint="eastAsia" w:ascii="宋体" w:hAnsi="宋体" w:eastAsia="宋体" w:cs="宋体"/>
      <w:color w:val="000000"/>
      <w:sz w:val="20"/>
      <w:szCs w:val="20"/>
      <w:u w:val="none"/>
    </w:rPr>
  </w:style>
  <w:style w:type="character" w:customStyle="1" w:styleId="204">
    <w:name w:val="页眉 Char1"/>
    <w:qFormat/>
    <w:uiPriority w:val="6"/>
    <w:rPr>
      <w:rFonts w:ascii="Times New Roman" w:hAnsi="Times New Roman" w:eastAsia="宋体" w:cs="Times New Roman"/>
      <w:color w:val="000000"/>
      <w:kern w:val="1"/>
      <w:sz w:val="18"/>
      <w:szCs w:val="18"/>
      <w:lang w:val="zh-CN"/>
    </w:rPr>
  </w:style>
  <w:style w:type="character" w:customStyle="1" w:styleId="205">
    <w:name w:val="title1"/>
    <w:qFormat/>
    <w:uiPriority w:val="0"/>
    <w:rPr>
      <w:rFonts w:hint="eastAsia" w:ascii="宋体" w:hAnsi="宋体" w:eastAsia="宋体"/>
      <w:b/>
      <w:bCs/>
      <w:sz w:val="22"/>
      <w:szCs w:val="22"/>
    </w:rPr>
  </w:style>
  <w:style w:type="character" w:customStyle="1" w:styleId="206">
    <w:name w:val="正文文字 Char"/>
    <w:qFormat/>
    <w:uiPriority w:val="0"/>
    <w:rPr>
      <w:rFonts w:eastAsia="宋体"/>
      <w:kern w:val="2"/>
      <w:sz w:val="21"/>
      <w:szCs w:val="24"/>
      <w:lang w:val="en-US" w:eastAsia="zh-CN" w:bidi="ar-SA"/>
    </w:rPr>
  </w:style>
  <w:style w:type="character" w:customStyle="1" w:styleId="207">
    <w:name w:val="我编辑文档正文 Char"/>
    <w:link w:val="69"/>
    <w:qFormat/>
    <w:uiPriority w:val="0"/>
    <w:rPr>
      <w:sz w:val="24"/>
      <w:szCs w:val="24"/>
    </w:rPr>
  </w:style>
  <w:style w:type="character" w:customStyle="1" w:styleId="208">
    <w:name w:val="正文文本首行缩进 2 字符"/>
    <w:qFormat/>
    <w:uiPriority w:val="0"/>
    <w:rPr>
      <w:rFonts w:ascii="仿宋_GB2312" w:eastAsia="仿宋_GB2312"/>
      <w:kern w:val="2"/>
      <w:sz w:val="28"/>
      <w:szCs w:val="28"/>
      <w:lang w:val="en-US" w:eastAsia="zh-CN" w:bidi="ar-SA"/>
    </w:rPr>
  </w:style>
  <w:style w:type="character" w:customStyle="1" w:styleId="209">
    <w:name w:val="标题 Char1"/>
    <w:qFormat/>
    <w:uiPriority w:val="10"/>
    <w:rPr>
      <w:rFonts w:ascii="Calibri Light" w:hAnsi="Calibri Light" w:cs="Times New Roman"/>
      <w:b/>
      <w:bCs/>
      <w:kern w:val="2"/>
      <w:sz w:val="32"/>
      <w:szCs w:val="32"/>
    </w:rPr>
  </w:style>
  <w:style w:type="character" w:customStyle="1" w:styleId="210">
    <w:name w:val="Default Char"/>
    <w:link w:val="61"/>
    <w:qFormat/>
    <w:uiPriority w:val="0"/>
    <w:rPr>
      <w:rFonts w:ascii="宋体" w:hAnsi="Tahoma" w:cs="宋体"/>
      <w:b/>
      <w:bCs/>
      <w:color w:val="000000"/>
      <w:sz w:val="24"/>
      <w:szCs w:val="24"/>
      <w:lang w:val="en-US" w:eastAsia="zh-CN" w:bidi="ar-SA"/>
    </w:rPr>
  </w:style>
  <w:style w:type="character" w:customStyle="1" w:styleId="211">
    <w:name w:val="日期 字符"/>
    <w:qFormat/>
    <w:uiPriority w:val="0"/>
    <w:rPr>
      <w:color w:val="000000"/>
      <w:kern w:val="1"/>
      <w:sz w:val="30"/>
    </w:rPr>
  </w:style>
  <w:style w:type="character" w:customStyle="1" w:styleId="212">
    <w:name w:val="正文文本缩进 字符"/>
    <w:qFormat/>
    <w:uiPriority w:val="0"/>
    <w:rPr>
      <w:kern w:val="2"/>
      <w:sz w:val="24"/>
      <w:szCs w:val="24"/>
    </w:rPr>
  </w:style>
  <w:style w:type="character" w:customStyle="1" w:styleId="213">
    <w:name w:val="称呼 字符1"/>
    <w:qFormat/>
    <w:uiPriority w:val="0"/>
    <w:rPr>
      <w:kern w:val="2"/>
      <w:sz w:val="21"/>
      <w:szCs w:val="24"/>
    </w:rPr>
  </w:style>
  <w:style w:type="character" w:customStyle="1" w:styleId="214">
    <w:name w:val="无间隔 Char"/>
    <w:link w:val="70"/>
    <w:qFormat/>
    <w:locked/>
    <w:uiPriority w:val="0"/>
    <w:rPr>
      <w:sz w:val="24"/>
      <w:szCs w:val="24"/>
      <w:lang w:val="en-US" w:eastAsia="zh-CN" w:bidi="ar-SA"/>
    </w:rPr>
  </w:style>
  <w:style w:type="character" w:customStyle="1" w:styleId="215">
    <w:name w:val="纯文本 字符"/>
    <w:qFormat/>
    <w:uiPriority w:val="0"/>
    <w:rPr>
      <w:rFonts w:ascii="宋体" w:hAnsi="Courier New" w:eastAsia="宋体"/>
      <w:sz w:val="21"/>
      <w:szCs w:val="21"/>
      <w:lang w:val="en-US" w:eastAsia="zh-CN" w:bidi="ar-SA"/>
    </w:rPr>
  </w:style>
  <w:style w:type="character" w:customStyle="1" w:styleId="216">
    <w:name w:val="普通文字 Char"/>
    <w:qFormat/>
    <w:uiPriority w:val="0"/>
    <w:rPr>
      <w:rFonts w:ascii="宋体" w:hAnsi="Courier New"/>
      <w:kern w:val="2"/>
      <w:sz w:val="21"/>
      <w:lang w:bidi="ar-SA"/>
    </w:rPr>
  </w:style>
  <w:style w:type="character" w:customStyle="1" w:styleId="217">
    <w:name w:val="标书正文样式 Char"/>
    <w:link w:val="71"/>
    <w:qFormat/>
    <w:uiPriority w:val="0"/>
    <w:rPr>
      <w:rFonts w:ascii="仿宋_GB2312" w:hAnsi="Arial" w:eastAsia="仿宋_GB2312"/>
      <w:kern w:val="2"/>
      <w:sz w:val="28"/>
      <w:szCs w:val="28"/>
      <w:lang w:bidi="ar-SA"/>
    </w:rPr>
  </w:style>
  <w:style w:type="character" w:customStyle="1" w:styleId="218">
    <w:name w:val="font21"/>
    <w:qFormat/>
    <w:uiPriority w:val="0"/>
    <w:rPr>
      <w:rFonts w:hint="eastAsia" w:ascii="宋体" w:hAnsi="宋体" w:eastAsia="宋体" w:cs="宋体"/>
      <w:color w:val="000000"/>
      <w:sz w:val="18"/>
      <w:szCs w:val="18"/>
      <w:u w:val="none"/>
    </w:rPr>
  </w:style>
  <w:style w:type="table" w:customStyle="1" w:styleId="2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1" textRotate="1"/>
    <customShpInfo spid="_x0000_s4102"/>
    <customShpInfo spid="_x0000_s4103"/>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106</Pages>
  <Words>75942</Words>
  <Characters>84577</Characters>
  <Lines>368</Lines>
  <Paragraphs>103</Paragraphs>
  <TotalTime>13</TotalTime>
  <ScaleCrop>false</ScaleCrop>
  <LinksUpToDate>false</LinksUpToDate>
  <CharactersWithSpaces>90425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2022-05-01T16:36:00Z</dcterms:created>
  <dc:creator>hp</dc:creator>
  <cp:lastModifiedBy>迟到的清晨</cp:lastModifiedBy>
  <cp:lastPrinted>2024-11-18T08:13:00Z</cp:lastPrinted>
  <dcterms:modified xsi:type="dcterms:W3CDTF">2024-11-18T12:07:13Z</dcterms:modified>
  <dc:title>温州市政府（分散）采购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577908237B3745CAB38B29B6B001FFEB_13</vt:lpwstr>
  </property>
</Properties>
</file>