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sz w:val="44"/>
          <w:szCs w:val="44"/>
        </w:rPr>
      </w:pPr>
    </w:p>
    <w:p>
      <w:pPr>
        <w:tabs>
          <w:tab w:val="left" w:pos="3153"/>
        </w:tabs>
        <w:adjustRightInd/>
        <w:spacing w:line="360" w:lineRule="auto"/>
        <w:jc w:val="center"/>
        <w:rPr>
          <w:rFonts w:hint="eastAsia" w:ascii="宋体" w:hAnsi="宋体" w:eastAsia="宋体" w:cs="宋体"/>
          <w:b/>
          <w:bCs/>
          <w:color w:val="auto"/>
          <w:w w:val="95"/>
          <w:sz w:val="72"/>
          <w:szCs w:val="72"/>
          <w:lang w:val="zh-CN"/>
        </w:rPr>
      </w:pPr>
      <w:r>
        <w:rPr>
          <w:rFonts w:hint="eastAsia" w:ascii="宋体" w:hAnsi="宋体" w:cs="宋体"/>
          <w:b/>
          <w:color w:val="auto"/>
          <w:sz w:val="56"/>
          <w:szCs w:val="56"/>
          <w:lang w:eastAsia="zh-CN"/>
        </w:rPr>
        <w:t>建德市农业水价综合改革2024年度技术支撑项目</w:t>
      </w:r>
    </w:p>
    <w:p>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JJD2024BF-130</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color w:val="000000" w:themeColor="text1"/>
          <w:sz w:val="32"/>
          <w:szCs w:val="32"/>
          <w14:textFill>
            <w14:solidFill>
              <w14:schemeClr w14:val="tx1"/>
            </w14:solidFill>
          </w14:textFill>
        </w:rPr>
      </w:pPr>
    </w:p>
    <w:p>
      <w:pPr>
        <w:snapToGrid w:val="0"/>
        <w:spacing w:line="360" w:lineRule="auto"/>
        <w:ind w:firstLine="2560" w:firstLineChars="800"/>
        <w:jc w:val="both"/>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建德市水利局</w:t>
      </w:r>
    </w:p>
    <w:p>
      <w:pPr>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采购代理机构：</w:t>
      </w:r>
      <w:r>
        <w:rPr>
          <w:rFonts w:hint="eastAsia" w:ascii="宋体" w:hAnsi="宋体" w:cs="宋体"/>
          <w:bCs/>
          <w:color w:val="000000" w:themeColor="text1"/>
          <w:sz w:val="32"/>
          <w:szCs w:val="32"/>
          <w:lang w:eastAsia="zh-CN"/>
          <w14:textFill>
            <w14:solidFill>
              <w14:schemeClr w14:val="tx1"/>
            </w14:solidFill>
          </w14:textFill>
        </w:rPr>
        <w:t>浙江同欣工程管理有限公司</w:t>
      </w:r>
    </w:p>
    <w:p>
      <w:pPr>
        <w:snapToGrid w:val="0"/>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四</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二十七</w:t>
      </w:r>
      <w:r>
        <w:rPr>
          <w:rFonts w:hint="eastAsia" w:ascii="宋体" w:hAnsi="宋体" w:eastAsia="宋体" w:cs="宋体"/>
          <w:bCs/>
          <w:color w:val="000000" w:themeColor="text1"/>
          <w:sz w:val="32"/>
          <w:szCs w:val="32"/>
          <w14:textFill>
            <w14:solidFill>
              <w14:schemeClr w14:val="tx1"/>
            </w14:solidFill>
          </w14:textFill>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pStyle w:val="639"/>
        <w:rPr>
          <w:rFonts w:hint="eastAsia" w:ascii="宋体" w:hAnsi="宋体" w:eastAsia="宋体" w:cs="宋体"/>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80"/>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Style w:val="80"/>
          <w:rFonts w:hint="eastAsia" w:ascii="宋体" w:hAnsi="宋体" w:cs="宋体"/>
          <w:snapToGrid/>
          <w:color w:val="000000" w:themeColor="text1"/>
          <w:kern w:val="2"/>
          <w:sz w:val="24"/>
          <w:szCs w:val="24"/>
          <w:lang w:eastAsia="zh-CN"/>
          <w14:textFill>
            <w14:solidFill>
              <w14:schemeClr w14:val="tx1"/>
            </w14:solidFill>
          </w14:textFill>
        </w:rPr>
        <w:t>2024</w:t>
      </w:r>
      <w:r>
        <w:rPr>
          <w:rStyle w:val="80"/>
          <w:rFonts w:hint="eastAsia" w:ascii="宋体" w:hAnsi="宋体" w:eastAsia="宋体" w:cs="宋体"/>
          <w:snapToGrid/>
          <w:color w:val="0000FF"/>
          <w:kern w:val="2"/>
          <w:sz w:val="24"/>
          <w:szCs w:val="24"/>
        </w:rPr>
        <w:t>年</w:t>
      </w:r>
      <w:r>
        <w:rPr>
          <w:rStyle w:val="80"/>
          <w:rFonts w:hint="eastAsia" w:ascii="宋体" w:hAnsi="宋体" w:cs="宋体"/>
          <w:snapToGrid/>
          <w:color w:val="0000FF"/>
          <w:kern w:val="2"/>
          <w:sz w:val="24"/>
          <w:szCs w:val="24"/>
          <w:lang w:val="en-US" w:eastAsia="zh-CN"/>
        </w:rPr>
        <w:t>10</w:t>
      </w:r>
      <w:r>
        <w:rPr>
          <w:rStyle w:val="80"/>
          <w:rFonts w:hint="eastAsia" w:ascii="宋体" w:hAnsi="宋体" w:eastAsia="宋体" w:cs="宋体"/>
          <w:snapToGrid/>
          <w:color w:val="0000FF"/>
          <w:kern w:val="2"/>
          <w:sz w:val="24"/>
          <w:szCs w:val="24"/>
        </w:rPr>
        <w:t>月</w:t>
      </w:r>
      <w:r>
        <w:rPr>
          <w:rStyle w:val="80"/>
          <w:rFonts w:hint="eastAsia" w:ascii="宋体" w:hAnsi="宋体" w:cs="宋体"/>
          <w:snapToGrid/>
          <w:color w:val="0000FF"/>
          <w:kern w:val="2"/>
          <w:sz w:val="24"/>
          <w:szCs w:val="24"/>
          <w:lang w:val="en-US" w:eastAsia="zh-CN"/>
        </w:rPr>
        <w:t>24</w:t>
      </w:r>
      <w:r>
        <w:rPr>
          <w:rStyle w:val="80"/>
          <w:rFonts w:hint="eastAsia" w:ascii="宋体" w:hAnsi="宋体" w:eastAsia="宋体" w:cs="宋体"/>
          <w:snapToGrid/>
          <w:color w:val="0000FF"/>
          <w:kern w:val="2"/>
          <w:sz w:val="24"/>
          <w:szCs w:val="24"/>
        </w:rPr>
        <w:t>日</w:t>
      </w:r>
      <w:r>
        <w:rPr>
          <w:rStyle w:val="80"/>
          <w:rFonts w:hint="eastAsia" w:ascii="宋体" w:hAnsi="宋体" w:eastAsia="宋体" w:cs="宋体"/>
          <w:snapToGrid/>
          <w:color w:val="0000FF"/>
          <w:kern w:val="2"/>
          <w:sz w:val="24"/>
          <w:szCs w:val="24"/>
          <w:lang w:val="en-US" w:eastAsia="zh-CN"/>
        </w:rPr>
        <w:t>9</w:t>
      </w:r>
      <w:r>
        <w:rPr>
          <w:rStyle w:val="80"/>
          <w:rFonts w:hint="eastAsia" w:ascii="宋体" w:hAnsi="宋体" w:eastAsia="宋体" w:cs="宋体"/>
          <w:snapToGrid/>
          <w:color w:val="0000FF"/>
          <w:kern w:val="2"/>
          <w:sz w:val="24"/>
          <w:szCs w:val="24"/>
        </w:rPr>
        <w:t>点</w:t>
      </w:r>
      <w:r>
        <w:rPr>
          <w:rStyle w:val="80"/>
          <w:rFonts w:hint="eastAsia" w:ascii="宋体" w:hAnsi="宋体" w:eastAsia="宋体" w:cs="宋体"/>
          <w:snapToGrid/>
          <w:color w:val="0000FF"/>
          <w:kern w:val="2"/>
          <w:sz w:val="24"/>
          <w:szCs w:val="24"/>
          <w:lang w:val="en-US" w:eastAsia="zh-CN"/>
        </w:rPr>
        <w:t>00</w:t>
      </w:r>
      <w:r>
        <w:rPr>
          <w:rStyle w:val="80"/>
          <w:rFonts w:hint="eastAsia" w:ascii="宋体" w:hAnsi="宋体" w:eastAsia="宋体" w:cs="宋体"/>
          <w:snapToGrid/>
          <w:color w:val="0000FF"/>
          <w:kern w:val="2"/>
          <w:sz w:val="24"/>
          <w:szCs w:val="24"/>
        </w:rPr>
        <w:t xml:space="preserve"> 分</w:t>
      </w:r>
      <w:r>
        <w:rPr>
          <w:rStyle w:val="80"/>
          <w:rFonts w:hint="eastAsia" w:ascii="宋体" w:hAnsi="宋体" w:eastAsia="宋体" w:cs="宋体"/>
          <w:bCs/>
          <w:snapToGrid/>
          <w:color w:val="0000FF"/>
          <w:kern w:val="2"/>
          <w:sz w:val="24"/>
          <w:szCs w:val="24"/>
        </w:rPr>
        <w:t>00秒</w:t>
      </w:r>
      <w:r>
        <w:rPr>
          <w:rStyle w:val="80"/>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JJD2024BF-130</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cs="宋体"/>
          <w:b w:val="0"/>
          <w:bCs/>
          <w:color w:val="000000" w:themeColor="text1"/>
          <w:sz w:val="24"/>
          <w:lang w:eastAsia="zh-CN"/>
          <w14:textFill>
            <w14:solidFill>
              <w14:schemeClr w14:val="tx1"/>
            </w14:solidFill>
          </w14:textFill>
        </w:rPr>
        <w:t>500000</w:t>
      </w:r>
      <w:r>
        <w:rPr>
          <w:rFonts w:hint="eastAsia" w:ascii="宋体" w:hAnsi="宋体" w:eastAsia="宋体" w:cs="宋体"/>
          <w:b w:val="0"/>
          <w:bCs/>
          <w:color w:val="000000" w:themeColor="text1"/>
          <w:sz w:val="24"/>
          <w:lang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b w:val="0"/>
          <w:bCs/>
          <w:color w:val="000000" w:themeColor="text1"/>
          <w:sz w:val="24"/>
          <w:lang w:eastAsia="zh-CN"/>
          <w14:textFill>
            <w14:solidFill>
              <w14:schemeClr w14:val="tx1"/>
            </w14:solidFill>
          </w14:textFill>
        </w:rPr>
        <w:t>500000</w:t>
      </w:r>
      <w:r>
        <w:rPr>
          <w:rFonts w:hint="eastAsia" w:ascii="宋体" w:hAnsi="宋体" w:eastAsia="宋体" w:cs="宋体"/>
          <w:b w:val="0"/>
          <w:bCs/>
          <w:color w:val="000000" w:themeColor="text1"/>
          <w:sz w:val="24"/>
          <w:lang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p>
    <w:p>
      <w:pPr>
        <w:pStyle w:val="7"/>
        <w:spacing w:line="360" w:lineRule="auto"/>
        <w:ind w:firstLine="480"/>
        <w:rPr>
          <w:rFonts w:hint="eastAsia" w:ascii="宋体" w:hAnsi="宋体" w:eastAsia="宋体" w:cs="宋体"/>
          <w:b w:val="0"/>
          <w:bCs/>
          <w:snapToGrid/>
          <w:color w:val="auto"/>
          <w:kern w:val="2"/>
          <w:sz w:val="24"/>
          <w:szCs w:val="24"/>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cs="宋体"/>
          <w:sz w:val="24"/>
          <w:u w:val="single"/>
        </w:rPr>
        <w:t>按照省水利厅、省发改委、省财政厅、省农业农村厅《关于印发浙江省农业水价综合改革2024年工作计划的通知》（浙水农电〔2024〕9号）和《浙江省农业水价综合改革年度绩效考评表（2024年修订）》、《浙江省农业水价综合改革“五个一百”创建活动评定办法》等文件精神，结合建德市的实际，经研究决定委托实施建德市农业水价综合改革2024年度技术支撑项目。</w:t>
      </w:r>
    </w:p>
    <w:p>
      <w:pPr>
        <w:pStyle w:val="133"/>
        <w:ind w:firstLine="482"/>
        <w:outlineLvl w:val="2"/>
        <w:rPr>
          <w:rFonts w:hint="eastAsia" w:ascii="宋体" w:hAnsi="宋体" w:eastAsia="宋体" w:cs="宋体"/>
          <w:b w:val="0"/>
          <w:bCs/>
        </w:rPr>
      </w:pPr>
      <w:r>
        <w:rPr>
          <w:rFonts w:hint="eastAsia" w:ascii="宋体" w:hAnsi="宋体" w:eastAsia="宋体" w:cs="宋体"/>
          <w:b/>
        </w:rPr>
        <w:t>合同履约期限：</w:t>
      </w:r>
      <w:r>
        <w:rPr>
          <w:rFonts w:hint="eastAsia" w:ascii="宋体" w:hAnsi="宋体"/>
          <w:color w:val="auto"/>
          <w:sz w:val="24"/>
          <w:szCs w:val="24"/>
          <w:highlight w:val="none"/>
        </w:rPr>
        <w:t>服务期为1年，自合同签订生效之日起计算。</w:t>
      </w:r>
    </w:p>
    <w:p>
      <w:pPr>
        <w:pStyle w:val="7"/>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44183695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w:t>
      </w:r>
      <w:r>
        <w:rPr>
          <w:rFonts w:hint="eastAsia" w:ascii="宋体" w:hAnsi="宋体" w:eastAsia="宋体" w:cs="宋体"/>
          <w:snapToGrid w:val="0"/>
          <w:kern w:val="28"/>
          <w:sz w:val="24"/>
          <w:szCs w:val="20"/>
          <w:highlight w:val="none"/>
        </w:rPr>
        <w:t xml:space="preserve">(本项目不接受联合体投标或者投标人不以联合体形式投标的，则不需要提供) </w:t>
      </w:r>
      <w:r>
        <w:rPr>
          <w:rFonts w:hint="eastAsia" w:ascii="宋体" w:hAnsi="宋体" w:eastAsia="宋体" w:cs="宋体"/>
          <w:snapToGrid w:val="0"/>
          <w:kern w:val="28"/>
          <w:sz w:val="24"/>
          <w:szCs w:val="20"/>
        </w:rPr>
        <w:t>；</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FF"/>
            <w:kern w:val="0"/>
            <w:sz w:val="24"/>
          </w:rPr>
          <w:id w:val="1928616923"/>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无</w:t>
      </w:r>
      <w:r>
        <w:rPr>
          <w:rFonts w:hint="eastAsia" w:ascii="宋体" w:hAnsi="宋体" w:eastAsia="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024704304"/>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auto"/>
                <w:kern w:val="0"/>
                <w:sz w:val="24"/>
              </w:rPr>
              <w:id w:val="-44183695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000000" w:themeColor="text1"/>
          <w:kern w:val="0"/>
          <w:sz w:val="24"/>
          <w14:textFill>
            <w14:solidFill>
              <w14:schemeClr w14:val="tx1"/>
            </w14:solidFill>
          </w14:textFill>
        </w:rPr>
        <w:t>专</w:t>
      </w:r>
      <w:r>
        <w:rPr>
          <w:rFonts w:hint="eastAsia" w:ascii="宋体" w:hAnsi="宋体" w:eastAsia="宋体" w:cs="宋体"/>
          <w:color w:val="000000" w:themeColor="text1"/>
          <w:sz w:val="24"/>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33685401"/>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auto"/>
                <w:kern w:val="0"/>
                <w:sz w:val="24"/>
              </w:rPr>
              <w:id w:val="-44183695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41025358"/>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98560779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463064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w:t>
      </w:r>
      <w:r>
        <w:rPr>
          <w:rFonts w:hint="eastAsia" w:ascii="宋体" w:hAnsi="宋体" w:eastAsia="宋体" w:cs="宋体"/>
          <w:b w:val="0"/>
          <w:bCs w:val="0"/>
          <w:color w:val="000000" w:themeColor="text1"/>
          <w:sz w:val="24"/>
          <w:lang w:val="en-US" w:eastAsia="zh-CN"/>
          <w14:textFill>
            <w14:solidFill>
              <w14:schemeClr w14:val="tx1"/>
            </w14:solidFill>
          </w14:textFill>
        </w:rPr>
        <w:t>无</w:t>
      </w:r>
      <w:r>
        <w:rPr>
          <w:rFonts w:hint="eastAsia" w:ascii="宋体" w:hAnsi="宋体" w:eastAsia="宋体" w:cs="宋体"/>
          <w:b w:val="0"/>
          <w:bCs w:val="0"/>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FF"/>
          <w:sz w:val="24"/>
        </w:rPr>
        <w:t>至</w:t>
      </w:r>
      <w:r>
        <w:rPr>
          <w:rFonts w:hint="eastAsia" w:ascii="宋体" w:hAnsi="宋体" w:cs="宋体"/>
          <w:color w:val="0000FF"/>
          <w:sz w:val="24"/>
          <w:lang w:eastAsia="zh-CN"/>
        </w:rPr>
        <w:t>2024</w:t>
      </w:r>
      <w:r>
        <w:rPr>
          <w:rFonts w:hint="eastAsia" w:ascii="宋体" w:hAnsi="宋体" w:eastAsia="宋体" w:cs="宋体"/>
          <w:color w:val="0000FF"/>
          <w:sz w:val="24"/>
        </w:rPr>
        <w:t>年</w:t>
      </w:r>
      <w:r>
        <w:rPr>
          <w:rFonts w:hint="eastAsia" w:ascii="宋体" w:hAnsi="宋体" w:cs="宋体"/>
          <w:color w:val="0000FF"/>
          <w:sz w:val="24"/>
          <w:lang w:val="en-US" w:eastAsia="zh-CN"/>
        </w:rPr>
        <w:t>10</w:t>
      </w:r>
      <w:r>
        <w:rPr>
          <w:rFonts w:hint="eastAsia" w:ascii="宋体" w:hAnsi="宋体" w:eastAsia="宋体" w:cs="宋体"/>
          <w:color w:val="0000FF"/>
          <w:sz w:val="24"/>
        </w:rPr>
        <w:t>月</w:t>
      </w:r>
      <w:r>
        <w:rPr>
          <w:rFonts w:hint="eastAsia" w:ascii="宋体" w:hAnsi="宋体" w:cs="宋体"/>
          <w:color w:val="0000FF"/>
          <w:sz w:val="24"/>
          <w:lang w:val="en-US" w:eastAsia="zh-CN"/>
        </w:rPr>
        <w:t>24</w:t>
      </w:r>
      <w:r>
        <w:rPr>
          <w:rFonts w:hint="eastAsia" w:ascii="宋体" w:hAnsi="宋体" w:eastAsia="宋体" w:cs="宋体"/>
          <w:color w:val="0000FF"/>
          <w:sz w:val="24"/>
        </w:rPr>
        <w:t>日</w:t>
      </w:r>
      <w:r>
        <w:rPr>
          <w:rFonts w:hint="eastAsia" w:ascii="宋体" w:hAnsi="宋体" w:eastAsia="宋体" w:cs="宋体"/>
          <w:color w:val="0000FF"/>
          <w:sz w:val="24"/>
          <w:lang w:val="en-US" w:eastAsia="zh-CN"/>
        </w:rPr>
        <w:t>9</w:t>
      </w:r>
      <w:r>
        <w:rPr>
          <w:rFonts w:hint="eastAsia" w:ascii="宋体" w:hAnsi="宋体" w:eastAsia="宋体" w:cs="宋体"/>
          <w:color w:val="0000FF"/>
          <w:sz w:val="24"/>
        </w:rPr>
        <w:t>点</w:t>
      </w:r>
      <w:r>
        <w:rPr>
          <w:rFonts w:hint="eastAsia" w:ascii="宋体" w:hAnsi="宋体" w:eastAsia="宋体" w:cs="宋体"/>
          <w:color w:val="0000FF"/>
          <w:sz w:val="24"/>
          <w:lang w:val="en-US" w:eastAsia="zh-CN"/>
        </w:rPr>
        <w:t>00</w:t>
      </w:r>
      <w:r>
        <w:rPr>
          <w:rFonts w:hint="eastAsia" w:ascii="宋体" w:hAnsi="宋体" w:eastAsia="宋体" w:cs="宋体"/>
          <w:color w:val="0000FF"/>
          <w:sz w:val="24"/>
        </w:rPr>
        <w:t xml:space="preserve"> 分</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FF"/>
          <w:sz w:val="24"/>
          <w:u w:val="single"/>
        </w:rPr>
        <w:t>202</w:t>
      </w:r>
      <w:r>
        <w:rPr>
          <w:rFonts w:hint="eastAsia" w:ascii="宋体" w:hAnsi="宋体" w:cs="宋体"/>
          <w:color w:val="0000FF"/>
          <w:sz w:val="24"/>
          <w:u w:val="single"/>
          <w:lang w:val="en-US" w:eastAsia="zh-CN"/>
        </w:rPr>
        <w:t>4</w:t>
      </w:r>
      <w:r>
        <w:rPr>
          <w:rFonts w:hint="eastAsia" w:ascii="宋体" w:hAnsi="宋体" w:eastAsia="宋体" w:cs="宋体"/>
          <w:color w:val="0000FF"/>
          <w:sz w:val="24"/>
          <w:u w:val="single"/>
        </w:rPr>
        <w:t>年</w:t>
      </w:r>
      <w:r>
        <w:rPr>
          <w:rFonts w:hint="eastAsia" w:ascii="宋体" w:hAnsi="宋体" w:cs="宋体"/>
          <w:color w:val="0000FF"/>
          <w:sz w:val="24"/>
          <w:u w:val="single"/>
          <w:lang w:val="en-US" w:eastAsia="zh-CN"/>
        </w:rPr>
        <w:t>10</w:t>
      </w:r>
      <w:r>
        <w:rPr>
          <w:rFonts w:hint="eastAsia" w:ascii="宋体" w:hAnsi="宋体" w:eastAsia="宋体" w:cs="宋体"/>
          <w:color w:val="0000FF"/>
          <w:sz w:val="24"/>
          <w:u w:val="single"/>
        </w:rPr>
        <w:t>月</w:t>
      </w:r>
      <w:r>
        <w:rPr>
          <w:rFonts w:hint="eastAsia" w:ascii="宋体" w:hAnsi="宋体" w:cs="宋体"/>
          <w:color w:val="0000FF"/>
          <w:sz w:val="24"/>
          <w:u w:val="single"/>
          <w:lang w:val="en-US" w:eastAsia="zh-CN"/>
        </w:rPr>
        <w:t>24</w:t>
      </w:r>
      <w:r>
        <w:rPr>
          <w:rFonts w:hint="eastAsia" w:ascii="宋体" w:hAnsi="宋体" w:eastAsia="宋体" w:cs="宋体"/>
          <w:color w:val="0000FF"/>
          <w:sz w:val="24"/>
          <w:u w:val="single"/>
        </w:rPr>
        <w:t>日</w:t>
      </w:r>
      <w:r>
        <w:rPr>
          <w:rFonts w:hint="eastAsia" w:ascii="宋体" w:hAnsi="宋体" w:eastAsia="宋体" w:cs="宋体"/>
          <w:color w:val="0000FF"/>
          <w:sz w:val="24"/>
          <w:u w:val="single"/>
          <w:lang w:val="en-US" w:eastAsia="zh-CN"/>
        </w:rPr>
        <w:t>9</w:t>
      </w:r>
      <w:r>
        <w:rPr>
          <w:rFonts w:hint="eastAsia" w:ascii="宋体" w:hAnsi="宋体" w:eastAsia="宋体" w:cs="宋体"/>
          <w:color w:val="0000FF"/>
          <w:sz w:val="24"/>
          <w:u w:val="single"/>
        </w:rPr>
        <w:t>点</w:t>
      </w:r>
      <w:r>
        <w:rPr>
          <w:rFonts w:hint="eastAsia" w:ascii="宋体" w:hAnsi="宋体" w:eastAsia="宋体" w:cs="宋体"/>
          <w:color w:val="0000FF"/>
          <w:sz w:val="24"/>
          <w:u w:val="single"/>
          <w:lang w:val="en-US" w:eastAsia="zh-CN"/>
        </w:rPr>
        <w:t>00</w:t>
      </w:r>
      <w:r>
        <w:rPr>
          <w:rFonts w:hint="eastAsia" w:ascii="宋体" w:hAnsi="宋体" w:eastAsia="宋体" w:cs="宋体"/>
          <w:color w:val="0000FF"/>
          <w:sz w:val="24"/>
          <w:u w:val="single"/>
        </w:rPr>
        <w:t xml:space="preserve"> 分00秒</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（北京时间）</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b w:val="0"/>
          <w:bCs/>
          <w:color w:val="0000FF"/>
          <w:sz w:val="24"/>
          <w:u w:val="single"/>
        </w:rPr>
        <w:t>202</w:t>
      </w:r>
      <w:r>
        <w:rPr>
          <w:rFonts w:hint="eastAsia" w:ascii="宋体" w:hAnsi="宋体" w:cs="宋体"/>
          <w:b w:val="0"/>
          <w:bCs/>
          <w:color w:val="0000FF"/>
          <w:sz w:val="24"/>
          <w:u w:val="single"/>
          <w:lang w:val="en-US" w:eastAsia="zh-CN"/>
        </w:rPr>
        <w:t>4</w:t>
      </w:r>
      <w:r>
        <w:rPr>
          <w:rFonts w:hint="eastAsia" w:ascii="宋体" w:hAnsi="宋体" w:eastAsia="宋体" w:cs="宋体"/>
          <w:b w:val="0"/>
          <w:bCs/>
          <w:color w:val="0000FF"/>
          <w:sz w:val="24"/>
          <w:u w:val="single"/>
        </w:rPr>
        <w:t>年</w:t>
      </w:r>
      <w:r>
        <w:rPr>
          <w:rFonts w:hint="eastAsia" w:ascii="宋体" w:hAnsi="宋体" w:cs="宋体"/>
          <w:b w:val="0"/>
          <w:bCs/>
          <w:color w:val="0000FF"/>
          <w:sz w:val="24"/>
          <w:u w:val="single"/>
          <w:lang w:val="en-US" w:eastAsia="zh-CN"/>
        </w:rPr>
        <w:t>10</w:t>
      </w:r>
      <w:r>
        <w:rPr>
          <w:rFonts w:hint="eastAsia" w:ascii="宋体" w:hAnsi="宋体" w:eastAsia="宋体" w:cs="宋体"/>
          <w:b w:val="0"/>
          <w:bCs/>
          <w:color w:val="0000FF"/>
          <w:sz w:val="24"/>
          <w:u w:val="single"/>
        </w:rPr>
        <w:t>月</w:t>
      </w:r>
      <w:r>
        <w:rPr>
          <w:rFonts w:hint="eastAsia" w:ascii="宋体" w:hAnsi="宋体" w:cs="宋体"/>
          <w:b w:val="0"/>
          <w:bCs/>
          <w:color w:val="0000FF"/>
          <w:sz w:val="24"/>
          <w:u w:val="single"/>
          <w:lang w:val="en-US" w:eastAsia="zh-CN"/>
        </w:rPr>
        <w:t>24</w:t>
      </w:r>
      <w:r>
        <w:rPr>
          <w:rFonts w:hint="eastAsia" w:ascii="宋体" w:hAnsi="宋体" w:eastAsia="宋体" w:cs="宋体"/>
          <w:b w:val="0"/>
          <w:bCs/>
          <w:color w:val="0000FF"/>
          <w:sz w:val="24"/>
          <w:u w:val="single"/>
        </w:rPr>
        <w:t>日</w:t>
      </w:r>
      <w:r>
        <w:rPr>
          <w:rFonts w:hint="eastAsia" w:ascii="宋体" w:hAnsi="宋体" w:eastAsia="宋体" w:cs="宋体"/>
          <w:b w:val="0"/>
          <w:bCs/>
          <w:color w:val="0000FF"/>
          <w:sz w:val="24"/>
          <w:u w:val="single"/>
          <w:lang w:val="en-US" w:eastAsia="zh-CN"/>
        </w:rPr>
        <w:t>9</w:t>
      </w:r>
      <w:r>
        <w:rPr>
          <w:rFonts w:hint="eastAsia" w:ascii="宋体" w:hAnsi="宋体" w:eastAsia="宋体" w:cs="宋体"/>
          <w:b w:val="0"/>
          <w:bCs/>
          <w:color w:val="0000FF"/>
          <w:sz w:val="24"/>
          <w:u w:val="single"/>
        </w:rPr>
        <w:t>点</w:t>
      </w:r>
      <w:r>
        <w:rPr>
          <w:rFonts w:hint="eastAsia" w:ascii="宋体" w:hAnsi="宋体" w:eastAsia="宋体" w:cs="宋体"/>
          <w:b w:val="0"/>
          <w:bCs/>
          <w:color w:val="0000FF"/>
          <w:sz w:val="24"/>
          <w:u w:val="single"/>
          <w:lang w:val="en-US" w:eastAsia="zh-CN"/>
        </w:rPr>
        <w:t>00</w:t>
      </w:r>
      <w:r>
        <w:rPr>
          <w:rFonts w:hint="eastAsia" w:ascii="宋体" w:hAnsi="宋体" w:eastAsia="宋体" w:cs="宋体"/>
          <w:b w:val="0"/>
          <w:bCs/>
          <w:color w:val="0000FF"/>
          <w:sz w:val="24"/>
          <w:u w:val="single"/>
        </w:rPr>
        <w:t xml:space="preserve"> 分00秒 </w:t>
      </w:r>
      <w:r>
        <w:rPr>
          <w:rFonts w:hint="eastAsia" w:ascii="宋体" w:hAnsi="宋体" w:eastAsia="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开标地点（网址）：</w:t>
      </w:r>
      <w:r>
        <w:rPr>
          <w:rFonts w:hint="eastAsia" w:ascii="宋体" w:hAnsi="宋体" w:eastAsia="宋体" w:cs="宋体"/>
          <w:color w:val="000000" w:themeColor="text1"/>
          <w:sz w:val="24"/>
          <w14:textFill>
            <w14:solidFill>
              <w14:schemeClr w14:val="tx1"/>
            </w14:solidFill>
          </w14:textFill>
        </w:rPr>
        <w:t>政采云平台（https://www.zcygov.cn/）</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自本公告发布之日起5个工作日。</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 xml:space="preserve"> 1.《浙江省财政厅关于进一步发挥政府采购政策功能全力推动经济稳进提质的通知》 （浙财采监（</w:t>
      </w:r>
      <w:r>
        <w:rPr>
          <w:rFonts w:hint="eastAsia" w:ascii="宋体" w:hAnsi="宋体" w:eastAsia="宋体" w:cs="宋体"/>
          <w:color w:val="000000" w:themeColor="text1"/>
          <w:sz w:val="24"/>
          <w:lang w:eastAsia="zh-CN"/>
          <w14:textFill>
            <w14:solidFill>
              <w14:schemeClr w14:val="tx1"/>
            </w14:solidFill>
          </w14:textFill>
        </w:rPr>
        <w:t>2023</w:t>
      </w:r>
      <w:r>
        <w:rPr>
          <w:rFonts w:hint="eastAsia" w:ascii="宋体" w:hAnsi="宋体" w:eastAsia="宋体" w:cs="宋体"/>
          <w:color w:val="000000" w:themeColor="text1"/>
          <w:sz w:val="24"/>
          <w14:textFill>
            <w14:solidFill>
              <w14:schemeClr w14:val="tx1"/>
            </w14:solidFill>
          </w14:textFill>
        </w:rPr>
        <w:t>）3号）、《浙江省财政厅关于进一步促进政府采购公平竞争打造最优营商环境的通知》（浙财采监（2021）22号））、《浙</w:t>
      </w:r>
      <w:r>
        <w:rPr>
          <w:rFonts w:hint="eastAsia" w:ascii="宋体" w:hAnsi="宋体" w:eastAsia="宋体" w:cs="宋体"/>
          <w:sz w:val="24"/>
        </w:rPr>
        <w:t>江省财政厅关于进一步加大政府采购支持中小企业力度助力扎实稳住经济的通知》 （浙财采监（</w:t>
      </w:r>
      <w:r>
        <w:rPr>
          <w:rFonts w:hint="eastAsia" w:ascii="宋体" w:hAnsi="宋体" w:eastAsia="宋体" w:cs="宋体"/>
          <w:sz w:val="24"/>
          <w:lang w:eastAsia="zh-CN"/>
        </w:rPr>
        <w:t>202</w:t>
      </w:r>
      <w:r>
        <w:rPr>
          <w:rFonts w:hint="eastAsia" w:ascii="宋体" w:hAnsi="宋体" w:cs="宋体"/>
          <w:sz w:val="24"/>
          <w:lang w:val="en-US" w:eastAsia="zh-CN"/>
        </w:rPr>
        <w:t>2</w:t>
      </w:r>
      <w:r>
        <w:rPr>
          <w:rFonts w:hint="eastAsia" w:ascii="宋体" w:hAnsi="宋体" w:eastAsia="宋体" w:cs="宋体"/>
          <w:sz w:val="24"/>
        </w:rPr>
        <w:t>）8号）已分别于</w:t>
      </w:r>
      <w:r>
        <w:rPr>
          <w:rFonts w:hint="eastAsia" w:ascii="宋体" w:hAnsi="宋体" w:eastAsia="宋体" w:cs="宋体"/>
          <w:sz w:val="24"/>
          <w:lang w:eastAsia="zh-CN"/>
        </w:rPr>
        <w:t>202</w:t>
      </w:r>
      <w:r>
        <w:rPr>
          <w:rFonts w:hint="eastAsia" w:ascii="宋体" w:hAnsi="宋体" w:cs="宋体"/>
          <w:sz w:val="24"/>
          <w:lang w:val="en-US" w:eastAsia="zh-CN"/>
        </w:rPr>
        <w:t>2</w:t>
      </w:r>
      <w:r>
        <w:rPr>
          <w:rFonts w:hint="eastAsia" w:ascii="宋体" w:hAnsi="宋体" w:eastAsia="宋体" w:cs="宋体"/>
          <w:sz w:val="24"/>
        </w:rPr>
        <w:t>年1月29日、</w:t>
      </w:r>
      <w:r>
        <w:rPr>
          <w:rFonts w:hint="eastAsia" w:ascii="宋体" w:hAnsi="宋体" w:eastAsia="宋体" w:cs="宋体"/>
          <w:sz w:val="24"/>
          <w:lang w:eastAsia="zh-CN"/>
        </w:rPr>
        <w:t>202</w:t>
      </w:r>
      <w:r>
        <w:rPr>
          <w:rFonts w:hint="eastAsia" w:ascii="宋体" w:hAnsi="宋体" w:cs="宋体"/>
          <w:sz w:val="24"/>
          <w:lang w:val="en-US" w:eastAsia="zh-CN"/>
        </w:rPr>
        <w:t>2</w:t>
      </w:r>
      <w:r>
        <w:rPr>
          <w:rFonts w:hint="eastAsia" w:ascii="宋体" w:hAnsi="宋体" w:eastAsia="宋体" w:cs="宋体"/>
          <w:sz w:val="24"/>
        </w:rPr>
        <w:t>年2月1日和</w:t>
      </w:r>
      <w:r>
        <w:rPr>
          <w:rFonts w:hint="eastAsia" w:ascii="宋体" w:hAnsi="宋体" w:eastAsia="宋体" w:cs="宋体"/>
          <w:sz w:val="24"/>
          <w:lang w:eastAsia="zh-CN"/>
        </w:rPr>
        <w:t>202</w:t>
      </w:r>
      <w:r>
        <w:rPr>
          <w:rFonts w:hint="eastAsia" w:ascii="宋体" w:hAnsi="宋体" w:cs="宋体"/>
          <w:sz w:val="24"/>
          <w:lang w:val="en-US" w:eastAsia="zh-CN"/>
        </w:rPr>
        <w:t>2</w:t>
      </w:r>
      <w:r>
        <w:rPr>
          <w:rFonts w:hint="eastAsia" w:ascii="宋体" w:hAnsi="宋体" w:eastAsia="宋体" w:cs="宋体"/>
          <w:sz w:val="24"/>
        </w:rPr>
        <w:t>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napToGrid/>
        <w:spacing w:line="336" w:lineRule="auto"/>
        <w:textAlignment w:val="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pStyle w:val="5"/>
        <w:pageBreakBefore w:val="0"/>
        <w:widowControl w:val="0"/>
        <w:numPr>
          <w:ilvl w:val="0"/>
          <w:numId w:val="0"/>
        </w:numPr>
        <w:kinsoku/>
        <w:wordWrap/>
        <w:overflowPunct/>
        <w:topLinePunct w:val="0"/>
        <w:autoSpaceDE/>
        <w:autoSpaceDN/>
        <w:bidi w:val="0"/>
        <w:snapToGrid/>
        <w:spacing w:line="336" w:lineRule="auto"/>
        <w:ind w:left="432" w:hanging="432"/>
        <w:textAlignment w:val="auto"/>
        <w:rPr>
          <w:rFonts w:hint="eastAsia" w:ascii="宋体" w:hAnsi="宋体" w:eastAsia="宋体" w:cs="宋体"/>
          <w:color w:val="auto"/>
          <w:sz w:val="24"/>
          <w:szCs w:val="24"/>
        </w:rPr>
      </w:pPr>
      <w:r>
        <w:rPr>
          <w:rFonts w:hint="eastAsia" w:ascii="宋体" w:hAnsi="宋体" w:eastAsia="宋体" w:cs="宋体"/>
          <w:sz w:val="24"/>
          <w:highlight w:val="none"/>
        </w:rPr>
        <w:t xml:space="preserve"> </w:t>
      </w:r>
      <w:bookmarkStart w:id="11" w:name="_Toc35393806"/>
      <w:bookmarkStart w:id="12" w:name="_Toc35393637"/>
      <w:bookmarkStart w:id="13" w:name="_Toc28359019"/>
      <w:bookmarkStart w:id="14" w:name="_Toc28359096"/>
      <w:r>
        <w:rPr>
          <w:rFonts w:hint="eastAsia" w:ascii="宋体" w:hAnsi="宋体" w:eastAsia="宋体" w:cs="宋体"/>
          <w:color w:val="auto"/>
          <w:sz w:val="24"/>
          <w:szCs w:val="24"/>
        </w:rPr>
        <w:t>1.采购人信息</w:t>
      </w:r>
      <w:bookmarkEnd w:id="11"/>
      <w:bookmarkEnd w:id="12"/>
      <w:bookmarkEnd w:id="13"/>
      <w:bookmarkEnd w:id="14"/>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w:t>
      </w:r>
      <w:r>
        <w:rPr>
          <w:rFonts w:hint="eastAsia" w:ascii="宋体" w:hAnsi="宋体" w:cs="宋体"/>
          <w:color w:val="auto"/>
          <w:sz w:val="24"/>
          <w:highlight w:val="none"/>
          <w:lang w:eastAsia="zh-CN"/>
        </w:rPr>
        <w:t>建德市水利局</w:t>
      </w:r>
    </w:p>
    <w:p>
      <w:pPr>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w:t>
      </w: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"https://ditu.so.com/?pid=c8afba2093b72016&amp;new=1&amp;src=onebox" \o "建德市人民政府洋溪街道办事处" \t "https://www.so.com/_blank" </w:instrText>
      </w:r>
      <w:r>
        <w:rPr>
          <w:rFonts w:hint="eastAsia" w:ascii="宋体" w:hAnsi="宋体" w:eastAsia="宋体" w:cs="宋体"/>
          <w:color w:val="auto"/>
          <w:sz w:val="24"/>
          <w:highlight w:val="none"/>
          <w:lang w:eastAsia="zh-CN"/>
        </w:rPr>
        <w:fldChar w:fldCharType="separate"/>
      </w:r>
      <w:r>
        <w:rPr>
          <w:rFonts w:hint="eastAsia" w:ascii="宋体" w:hAnsi="宋体" w:cs="宋体"/>
          <w:color w:val="auto"/>
          <w:sz w:val="24"/>
          <w:highlight w:val="none"/>
          <w:lang w:eastAsia="zh-CN"/>
        </w:rPr>
        <w:t>建德市新安江街道新安东路555号</w:t>
      </w:r>
    </w:p>
    <w:p>
      <w:pPr>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end"/>
      </w:r>
      <w:r>
        <w:rPr>
          <w:rFonts w:hint="eastAsia" w:ascii="宋体" w:hAnsi="宋体" w:eastAsia="宋体" w:cs="宋体"/>
          <w:color w:val="auto"/>
          <w:sz w:val="24"/>
          <w:highlight w:val="none"/>
          <w:lang w:eastAsia="zh-CN"/>
        </w:rPr>
        <w:t xml:space="preserve">传    真：/ </w:t>
      </w:r>
    </w:p>
    <w:p>
      <w:pPr>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eastAsia="zh-CN"/>
        </w:rPr>
        <w:t>方</w:t>
      </w:r>
      <w:r>
        <w:rPr>
          <w:rFonts w:hint="eastAsia" w:ascii="宋体" w:hAnsi="宋体" w:eastAsia="宋体" w:cs="宋体"/>
          <w:color w:val="auto"/>
          <w:sz w:val="24"/>
          <w:highlight w:val="none"/>
          <w:lang w:eastAsia="zh-CN"/>
        </w:rPr>
        <w:t>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pPr>
        <w:pageBreakBefore w:val="0"/>
        <w:widowControl w:val="0"/>
        <w:kinsoku/>
        <w:wordWrap/>
        <w:overflowPunct/>
        <w:topLinePunct w:val="0"/>
        <w:autoSpaceDE/>
        <w:autoSpaceDN/>
        <w:bidi w:val="0"/>
        <w:snapToGrid/>
        <w:spacing w:line="336"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0571-64722485</w:t>
      </w:r>
    </w:p>
    <w:p>
      <w:pPr>
        <w:pStyle w:val="5"/>
        <w:pageBreakBefore w:val="0"/>
        <w:widowControl w:val="0"/>
        <w:numPr>
          <w:ilvl w:val="0"/>
          <w:numId w:val="0"/>
        </w:numPr>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质疑联系人：余工</w:t>
      </w:r>
    </w:p>
    <w:p>
      <w:pPr>
        <w:pStyle w:val="5"/>
        <w:pageBreakBefore w:val="0"/>
        <w:widowControl w:val="0"/>
        <w:numPr>
          <w:ilvl w:val="0"/>
          <w:numId w:val="0"/>
        </w:numPr>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质疑联系方式：0571-64722428 </w:t>
      </w:r>
      <w:r>
        <w:rPr>
          <w:rFonts w:hint="eastAsia" w:ascii="宋体" w:hAnsi="宋体" w:eastAsia="宋体" w:cs="宋体"/>
          <w:b w:val="0"/>
          <w:bCs w:val="0"/>
          <w:color w:val="auto"/>
          <w:sz w:val="24"/>
          <w:highlight w:val="none"/>
          <w:lang w:val="en-US" w:eastAsia="zh-CN"/>
        </w:rPr>
        <w:t xml:space="preserve"> </w:t>
      </w:r>
    </w:p>
    <w:p>
      <w:pPr>
        <w:pageBreakBefore w:val="0"/>
        <w:widowControl w:val="0"/>
        <w:kinsoku/>
        <w:wordWrap/>
        <w:overflowPunct/>
        <w:topLinePunct w:val="0"/>
        <w:autoSpaceDE/>
        <w:autoSpaceDN/>
        <w:bidi w:val="0"/>
        <w:snapToGrid/>
        <w:spacing w:line="336" w:lineRule="auto"/>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 2.采购代理机构信息 </w:t>
      </w:r>
      <w:r>
        <w:rPr>
          <w:rFonts w:hint="eastAsia" w:ascii="宋体" w:hAnsi="宋体" w:eastAsia="宋体" w:cs="宋体"/>
          <w:color w:val="auto"/>
          <w:sz w:val="24"/>
        </w:rPr>
        <w:t xml:space="preserve">           </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浙江同欣工程管理有限公司</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cs="宋体"/>
          <w:color w:val="auto"/>
          <w:sz w:val="24"/>
          <w:lang w:val="en-US" w:eastAsia="zh-CN"/>
        </w:rPr>
      </w:pPr>
      <w:r>
        <w:rPr>
          <w:rFonts w:hint="eastAsia" w:ascii="宋体" w:hAnsi="宋体" w:eastAsia="宋体" w:cs="宋体"/>
          <w:color w:val="auto"/>
          <w:sz w:val="24"/>
        </w:rPr>
        <w:t>地    址：建德市</w:t>
      </w:r>
      <w:r>
        <w:rPr>
          <w:rFonts w:hint="eastAsia" w:ascii="宋体" w:hAnsi="宋体" w:cs="宋体"/>
          <w:color w:val="auto"/>
          <w:sz w:val="24"/>
          <w:lang w:eastAsia="zh-CN"/>
        </w:rPr>
        <w:t>洋溪街道白沙滩大酒店</w:t>
      </w:r>
      <w:r>
        <w:rPr>
          <w:rFonts w:hint="eastAsia" w:ascii="宋体" w:hAnsi="宋体" w:cs="宋体"/>
          <w:color w:val="auto"/>
          <w:sz w:val="24"/>
          <w:lang w:val="en-US" w:eastAsia="zh-CN"/>
        </w:rPr>
        <w:t>1406室</w:t>
      </w:r>
    </w:p>
    <w:p>
      <w:pPr>
        <w:pageBreakBefore w:val="0"/>
        <w:widowControl w:val="0"/>
        <w:kinsoku/>
        <w:wordWrap/>
        <w:overflowPunct/>
        <w:topLinePunct w:val="0"/>
        <w:autoSpaceDE/>
        <w:autoSpaceDN/>
        <w:bidi w:val="0"/>
        <w:snapToGrid/>
        <w:spacing w:line="336" w:lineRule="auto"/>
        <w:ind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传    真：0571-</w:t>
      </w:r>
      <w:r>
        <w:rPr>
          <w:rFonts w:hint="eastAsia" w:ascii="宋体" w:hAnsi="宋体" w:cs="宋体"/>
          <w:color w:val="auto"/>
          <w:sz w:val="24"/>
          <w:lang w:val="en-US" w:eastAsia="zh-CN"/>
        </w:rPr>
        <w:t>64170669</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项目联系人（询问）： </w:t>
      </w:r>
      <w:r>
        <w:rPr>
          <w:rFonts w:hint="eastAsia" w:ascii="宋体" w:hAnsi="宋体" w:cs="宋体"/>
          <w:color w:val="auto"/>
          <w:sz w:val="24"/>
          <w:lang w:eastAsia="zh-CN"/>
        </w:rPr>
        <w:t>张忠华</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项目联系方式（询问）：</w:t>
      </w:r>
      <w:r>
        <w:rPr>
          <w:rFonts w:hint="eastAsia" w:ascii="宋体" w:hAnsi="宋体" w:cs="宋体"/>
          <w:color w:val="auto"/>
          <w:sz w:val="24"/>
          <w:lang w:eastAsia="zh-CN"/>
        </w:rPr>
        <w:t>13073641530</w:t>
      </w:r>
      <w:r>
        <w:rPr>
          <w:rFonts w:hint="eastAsia" w:ascii="宋体" w:hAnsi="宋体" w:eastAsia="宋体" w:cs="宋体"/>
          <w:color w:val="auto"/>
          <w:sz w:val="24"/>
        </w:rPr>
        <w:t xml:space="preserve">  </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eastAsia="zh-CN"/>
        </w:rPr>
        <w:t>张建云</w:t>
      </w:r>
      <w:r>
        <w:rPr>
          <w:rFonts w:hint="eastAsia" w:ascii="宋体" w:hAnsi="宋体" w:eastAsia="宋体" w:cs="宋体"/>
          <w:color w:val="auto"/>
          <w:sz w:val="24"/>
        </w:rPr>
        <w:t xml:space="preserve"> </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质疑联系方式：</w:t>
      </w:r>
      <w:r>
        <w:rPr>
          <w:rFonts w:hint="eastAsia" w:ascii="宋体" w:hAnsi="宋体" w:cs="宋体"/>
          <w:color w:val="auto"/>
          <w:sz w:val="24"/>
          <w:lang w:eastAsia="zh-CN"/>
        </w:rPr>
        <w:t>15068842227</w:t>
      </w:r>
    </w:p>
    <w:p>
      <w:pPr>
        <w:pageBreakBefore w:val="0"/>
        <w:widowControl w:val="0"/>
        <w:kinsoku/>
        <w:wordWrap/>
        <w:overflowPunct/>
        <w:topLinePunct w:val="0"/>
        <w:autoSpaceDE/>
        <w:autoSpaceDN/>
        <w:bidi w:val="0"/>
        <w:snapToGrid/>
        <w:spacing w:line="336" w:lineRule="auto"/>
        <w:textAlignment w:val="auto"/>
        <w:rPr>
          <w:rFonts w:hint="eastAsia" w:ascii="宋体" w:hAnsi="宋体" w:eastAsia="宋体" w:cs="宋体"/>
          <w:sz w:val="24"/>
        </w:rPr>
      </w:pPr>
      <w:r>
        <w:rPr>
          <w:rFonts w:hint="eastAsia" w:ascii="宋体" w:hAnsi="宋体" w:eastAsia="宋体" w:cs="宋体"/>
          <w:b/>
          <w:bCs/>
          <w:sz w:val="24"/>
        </w:rPr>
        <w:t xml:space="preserve"> 3.同级政府采购监督管理部门 </w:t>
      </w:r>
      <w:r>
        <w:rPr>
          <w:rFonts w:hint="eastAsia" w:ascii="宋体" w:hAnsi="宋体" w:eastAsia="宋体" w:cs="宋体"/>
          <w:sz w:val="24"/>
        </w:rPr>
        <w:t xml:space="preserve">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sz w:val="24"/>
        </w:rPr>
        <w:t xml:space="preserve">  </w:t>
      </w:r>
      <w:r>
        <w:rPr>
          <w:rFonts w:hint="eastAsia" w:ascii="宋体" w:hAnsi="宋体" w:eastAsia="宋体" w:cs="宋体"/>
          <w:color w:val="auto"/>
          <w:sz w:val="24"/>
        </w:rPr>
        <w:t>名    称：建德市财政局、浙江省政府采购行政裁决服务中心（杭州）</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址：杭州市上城区四季青街道新业路市民之家G03办公室（快递仅限ems或顺丰）</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传    真： /</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w:t>
      </w:r>
    </w:p>
    <w:p>
      <w:pPr>
        <w:pageBreakBefore w:val="0"/>
        <w:widowControl w:val="0"/>
        <w:kinsoku/>
        <w:wordWrap/>
        <w:overflowPunct/>
        <w:topLinePunct w:val="0"/>
        <w:autoSpaceDE/>
        <w:autoSpaceDN/>
        <w:bidi w:val="0"/>
        <w:snapToGrid/>
        <w:spacing w:line="336"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 xml:space="preserve">监督投诉电话：电话：0571-64718168 </w:t>
      </w:r>
    </w:p>
    <w:p>
      <w:pPr>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pPr>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cs="宋体"/>
                <w:color w:val="auto"/>
                <w:kern w:val="0"/>
                <w:sz w:val="24"/>
                <w:u w:val="single"/>
                <w:lang w:eastAsia="zh-CN"/>
              </w:rPr>
              <w:t>建德市农业水价综合改革2024年度技术支撑项目</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lang w:val="en-US" w:eastAsia="zh-CN"/>
                <w14:textFill>
                  <w14:solidFill>
                    <w14:schemeClr w14:val="tx1"/>
                  </w14:solidFill>
                </w14:textFill>
              </w:rPr>
              <w:t>其他未列明</w:t>
            </w:r>
            <w:r>
              <w:rPr>
                <w:rFonts w:hint="eastAsia" w:ascii="宋体" w:hAnsi="宋体" w:eastAsia="宋体" w:cs="宋体"/>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本项目不允许采购进口产品。</w:t>
            </w:r>
          </w:p>
          <w:p>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5285282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可以就</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00A8"/>
                </w:r>
              </w:sdtContent>
            </w:sdt>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w:t>
            </w:r>
            <w:r>
              <w:rPr>
                <w:rFonts w:hint="eastAsia" w:ascii="宋体" w:hAnsi="宋体" w:eastAsia="宋体" w:cs="宋体"/>
                <w:color w:val="000000" w:themeColor="text1"/>
                <w:sz w:val="24"/>
                <w14:textFill>
                  <w14:solidFill>
                    <w14:schemeClr w14:val="tx1"/>
                  </w14:solidFill>
                </w14:textFill>
              </w:rPr>
              <w:t>分包。</w:t>
            </w:r>
            <w:sdt>
              <w:sdtPr>
                <w:rPr>
                  <w:rFonts w:hint="eastAsia" w:ascii="宋体" w:hAnsi="宋体" w:eastAsia="宋体" w:cs="宋体"/>
                  <w:color w:val="000000" w:themeColor="text1"/>
                  <w:kern w:val="0"/>
                  <w:sz w:val="24"/>
                  <w14:textFill>
                    <w14:solidFill>
                      <w14:schemeClr w14:val="tx1"/>
                    </w14:solidFill>
                  </w14:textFill>
                </w:rPr>
                <w:id w:val="-1276331357"/>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auto"/>
                      <w:kern w:val="0"/>
                      <w:sz w:val="24"/>
                    </w:rPr>
                    <w:id w:val="-44183695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r>
              <w:rPr>
                <w:rFonts w:hint="eastAsia" w:ascii="宋体" w:hAnsi="宋体" w:eastAsia="宋体" w:cs="宋体"/>
                <w:color w:val="000000" w:themeColor="text1"/>
                <w:kern w:val="0"/>
                <w:sz w:val="24"/>
                <w14:textFill>
                  <w14:solidFill>
                    <w14:schemeClr w14:val="tx1"/>
                  </w14:solidFill>
                </w14:textFill>
              </w:rPr>
              <w:t xml:space="preserve"> B</w:t>
            </w:r>
            <w:r>
              <w:rPr>
                <w:rFonts w:hint="eastAsia" w:ascii="宋体" w:hAnsi="宋体" w:eastAsia="宋体" w:cs="宋体"/>
                <w:color w:val="000000" w:themeColor="text1"/>
                <w:sz w:val="24"/>
                <w14:textFill>
                  <w14:solidFill>
                    <w14:schemeClr w14:val="tx1"/>
                  </w14:solidFill>
                </w14:textFill>
              </w:rPr>
              <w:t>不同意分包。</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sdtContent>
                </w:sdt>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85934854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color w:val="FF0000"/>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6"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rPr>
              <w:t>具体可咨询建德市财政局采购办，联系电话：0571-64718168</w:t>
            </w:r>
            <w:r>
              <w:rPr>
                <w:rFonts w:hint="eastAsia" w:ascii="宋体" w:hAnsi="宋体" w:eastAsia="宋体" w:cs="宋体"/>
                <w:snapToGrid w:val="0"/>
                <w:color w:val="auto"/>
                <w:kern w:val="28"/>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hAnsi="宋体" w:cs="宋体"/>
                <w:kern w:val="28"/>
                <w:sz w:val="24"/>
                <w:szCs w:val="24"/>
                <w:highlight w:val="none"/>
                <w:u w:val="single"/>
                <w:lang w:eastAsia="zh-CN"/>
              </w:rPr>
              <w:t>建德市洋溪街道白沙滩大酒店1406室</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hAnsi="宋体" w:cs="宋体"/>
                <w:sz w:val="24"/>
                <w:u w:val="single"/>
                <w:lang w:val="en-US" w:eastAsia="zh-CN"/>
              </w:rPr>
              <w:t>张忠华</w:t>
            </w:r>
            <w:r>
              <w:rPr>
                <w:rFonts w:hint="eastAsia" w:ascii="宋体" w:hAnsi="宋体" w:eastAsia="宋体" w:cs="宋体"/>
                <w:sz w:val="24"/>
                <w:u w:val="single"/>
                <w:lang w:eastAsia="zh-CN"/>
              </w:rPr>
              <w:t>：</w:t>
            </w:r>
            <w:r>
              <w:rPr>
                <w:rFonts w:hint="eastAsia" w:hAnsi="宋体" w:cs="宋体"/>
                <w:sz w:val="24"/>
                <w:u w:val="single"/>
                <w:lang w:val="en-US" w:eastAsia="zh-CN"/>
              </w:rPr>
              <w:t>13073641530</w:t>
            </w:r>
            <w:r>
              <w:rPr>
                <w:rFonts w:hint="eastAsia" w:ascii="宋体" w:hAnsi="宋体" w:eastAsia="宋体" w:cs="宋体"/>
                <w:color w:val="FF0000"/>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876584110"/>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A</w:t>
            </w:r>
            <w:r>
              <w:rPr>
                <w:rFonts w:hint="eastAsia" w:ascii="宋体" w:hAnsi="宋体" w:eastAsia="宋体" w:cs="宋体"/>
                <w:sz w:val="24"/>
              </w:rPr>
              <w:t>本项目不收取采购代理服务费。</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876584111"/>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
                      <w:sdtPr>
                        <w:rPr>
                          <w:rFonts w:hint="eastAsia" w:ascii="宋体" w:hAnsi="宋体" w:eastAsia="宋体" w:cs="宋体"/>
                          <w:color w:val="000000" w:themeColor="text1"/>
                          <w:kern w:val="0"/>
                          <w:sz w:val="24"/>
                          <w14:textFill>
                            <w14:solidFill>
                              <w14:schemeClr w14:val="tx1"/>
                            </w14:solidFill>
                          </w14:textFill>
                        </w:rPr>
                        <w:id w:val="-182842570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sdtContent>
                </w:sdt>
              </w:sdtContent>
            </w:sdt>
            <w:r>
              <w:rPr>
                <w:rFonts w:hint="eastAsia" w:ascii="宋体" w:hAnsi="宋体" w:eastAsia="宋体" w:cs="宋体"/>
                <w:kern w:val="0"/>
                <w:sz w:val="24"/>
              </w:rPr>
              <w:t>B</w:t>
            </w:r>
            <w:r>
              <w:rPr>
                <w:rFonts w:hint="eastAsia" w:ascii="宋体" w:hAnsi="宋体" w:eastAsia="宋体" w:cs="宋体"/>
                <w:sz w:val="24"/>
              </w:rPr>
              <w:t>本项目收取采购代理服务费。</w:t>
            </w:r>
            <w:r>
              <w:rPr>
                <w:rFonts w:hint="eastAsia" w:ascii="宋体" w:hAnsi="宋体" w:eastAsia="宋体" w:cs="宋体"/>
                <w:snapToGrid w:val="0"/>
                <w:kern w:val="28"/>
                <w:sz w:val="24"/>
              </w:rPr>
              <w:t>响应总报价应包含采购服务费，采购服务费</w:t>
            </w:r>
            <w:r>
              <w:rPr>
                <w:rFonts w:hint="eastAsia" w:ascii="宋体" w:hAnsi="宋体" w:eastAsia="宋体" w:cs="宋体"/>
                <w:snapToGrid w:val="0"/>
                <w:kern w:val="28"/>
                <w:sz w:val="24"/>
                <w:szCs w:val="24"/>
                <w:highlight w:val="none"/>
                <w:lang w:val="en-US" w:eastAsia="zh-CN" w:bidi="ar-SA"/>
              </w:rPr>
              <w:t>按照</w:t>
            </w:r>
            <w:r>
              <w:rPr>
                <w:rFonts w:hint="eastAsia" w:ascii="宋体" w:hAnsi="宋体" w:eastAsia="宋体" w:cs="宋体"/>
                <w:snapToGrid w:val="0"/>
                <w:kern w:val="28"/>
                <w:sz w:val="24"/>
                <w:szCs w:val="24"/>
                <w:highlight w:val="none"/>
              </w:rPr>
              <w:t>国家发展计划委员会计价格[2002]1980号文《招标代理服务费管理暂行办法》及发改办价格[2003]857号文的</w:t>
            </w:r>
            <w:r>
              <w:rPr>
                <w:rFonts w:hint="eastAsia" w:ascii="宋体" w:hAnsi="宋体" w:eastAsia="宋体" w:cs="宋体"/>
                <w:snapToGrid w:val="0"/>
                <w:kern w:val="28"/>
                <w:sz w:val="24"/>
                <w:szCs w:val="24"/>
                <w:highlight w:val="none"/>
                <w:u w:val="none"/>
                <w:lang w:val="en-US" w:eastAsia="zh-CN" w:bidi="ar-SA"/>
              </w:rPr>
              <w:t>收费标准</w:t>
            </w:r>
            <w:r>
              <w:rPr>
                <w:rFonts w:hint="eastAsia" w:ascii="宋体" w:hAnsi="宋体" w:eastAsia="宋体" w:cs="宋体"/>
                <w:snapToGrid w:val="0"/>
                <w:kern w:val="28"/>
                <w:sz w:val="24"/>
                <w:szCs w:val="24"/>
                <w:highlight w:val="none"/>
                <w:lang w:val="en-US" w:eastAsia="zh-CN" w:bidi="ar-SA"/>
              </w:rPr>
              <w:t>（</w:t>
            </w:r>
            <w:r>
              <w:rPr>
                <w:rFonts w:hint="eastAsia" w:ascii="宋体" w:hAnsi="宋体" w:eastAsia="宋体" w:cs="宋体"/>
                <w:sz w:val="24"/>
                <w:highlight w:val="none"/>
                <w:u w:val="single"/>
                <w:lang w:eastAsia="zh-CN"/>
              </w:rPr>
              <w:t>服务</w:t>
            </w:r>
            <w:r>
              <w:rPr>
                <w:rFonts w:hint="eastAsia" w:ascii="宋体" w:hAnsi="宋体" w:eastAsia="宋体" w:cs="宋体"/>
                <w:snapToGrid w:val="0"/>
                <w:kern w:val="28"/>
                <w:sz w:val="24"/>
                <w:szCs w:val="24"/>
                <w:highlight w:val="none"/>
                <w:lang w:val="en-US" w:eastAsia="zh-CN" w:bidi="ar-SA"/>
              </w:rPr>
              <w:t>类）计取，人民币</w:t>
            </w:r>
            <w:r>
              <w:rPr>
                <w:rFonts w:hint="eastAsia" w:ascii="宋体" w:hAnsi="宋体" w:cs="宋体"/>
                <w:snapToGrid w:val="0"/>
                <w:kern w:val="28"/>
                <w:sz w:val="24"/>
                <w:szCs w:val="24"/>
                <w:highlight w:val="none"/>
                <w:lang w:val="en-US" w:eastAsia="zh-CN" w:bidi="ar-SA"/>
              </w:rPr>
              <w:t>伍仟贰佰伍拾</w:t>
            </w:r>
            <w:r>
              <w:rPr>
                <w:rFonts w:hint="eastAsia" w:ascii="宋体" w:hAnsi="宋体" w:eastAsia="宋体" w:cs="宋体"/>
                <w:snapToGrid w:val="0"/>
                <w:kern w:val="28"/>
                <w:sz w:val="24"/>
                <w:szCs w:val="24"/>
                <w:highlight w:val="none"/>
                <w:lang w:val="en-US" w:eastAsia="zh-CN" w:bidi="ar-SA"/>
              </w:rPr>
              <w:fldChar w:fldCharType="begin"/>
            </w:r>
            <w:r>
              <w:rPr>
                <w:rFonts w:hint="eastAsia" w:ascii="宋体" w:hAnsi="宋体" w:eastAsia="宋体" w:cs="宋体"/>
                <w:snapToGrid w:val="0"/>
                <w:kern w:val="28"/>
                <w:sz w:val="24"/>
                <w:szCs w:val="24"/>
                <w:highlight w:val="none"/>
                <w:lang w:val="en-US" w:eastAsia="zh-CN" w:bidi="ar-SA"/>
              </w:rPr>
              <w:instrText xml:space="preserve"> = 6900 \* CHINESENUM4 \* MERGEFORMAT </w:instrText>
            </w:r>
            <w:r>
              <w:rPr>
                <w:rFonts w:hint="eastAsia" w:ascii="宋体" w:hAnsi="宋体" w:eastAsia="宋体" w:cs="宋体"/>
                <w:snapToGrid w:val="0"/>
                <w:kern w:val="28"/>
                <w:sz w:val="24"/>
                <w:szCs w:val="24"/>
                <w:highlight w:val="none"/>
                <w:lang w:val="en-US" w:eastAsia="zh-CN" w:bidi="ar-SA"/>
              </w:rPr>
              <w:fldChar w:fldCharType="separate"/>
            </w:r>
            <w:r>
              <w:rPr>
                <w:rFonts w:hint="eastAsia" w:ascii="宋体" w:hAnsi="宋体" w:eastAsia="宋体" w:cs="宋体"/>
                <w:snapToGrid w:val="0"/>
                <w:kern w:val="28"/>
                <w:sz w:val="24"/>
                <w:szCs w:val="24"/>
                <w:highlight w:val="none"/>
                <w:lang w:val="en-US" w:eastAsia="zh-CN" w:bidi="ar-SA"/>
              </w:rPr>
              <w:t>元整</w:t>
            </w:r>
            <w:r>
              <w:rPr>
                <w:rFonts w:hint="eastAsia" w:ascii="宋体" w:hAnsi="宋体" w:eastAsia="宋体" w:cs="宋体"/>
                <w:snapToGrid w:val="0"/>
                <w:kern w:val="28"/>
                <w:sz w:val="24"/>
                <w:szCs w:val="24"/>
                <w:highlight w:val="none"/>
                <w:lang w:val="en-US" w:eastAsia="zh-CN" w:bidi="ar-SA"/>
              </w:rPr>
              <w:fldChar w:fldCharType="end"/>
            </w:r>
            <w:r>
              <w:rPr>
                <w:rFonts w:hint="eastAsia" w:ascii="宋体" w:hAnsi="宋体" w:eastAsia="宋体" w:cs="宋体"/>
                <w:snapToGrid w:val="0"/>
                <w:kern w:val="28"/>
                <w:sz w:val="24"/>
                <w:szCs w:val="24"/>
                <w:highlight w:val="none"/>
                <w:lang w:val="en-US" w:eastAsia="zh-CN" w:bidi="ar-SA"/>
              </w:rPr>
              <w:t>（¥：</w:t>
            </w:r>
            <w:r>
              <w:rPr>
                <w:rFonts w:hint="eastAsia" w:ascii="宋体" w:hAnsi="宋体" w:cs="宋体"/>
                <w:snapToGrid w:val="0"/>
                <w:kern w:val="28"/>
                <w:sz w:val="24"/>
                <w:szCs w:val="24"/>
                <w:highlight w:val="none"/>
                <w:lang w:val="en-US" w:eastAsia="zh-CN" w:bidi="ar-SA"/>
              </w:rPr>
              <w:t>5250</w:t>
            </w:r>
            <w:r>
              <w:rPr>
                <w:rFonts w:hint="eastAsia" w:ascii="宋体" w:hAnsi="宋体" w:eastAsia="宋体" w:cs="宋体"/>
                <w:snapToGrid w:val="0"/>
                <w:kern w:val="28"/>
                <w:sz w:val="24"/>
                <w:szCs w:val="24"/>
                <w:highlight w:val="none"/>
                <w:lang w:val="en-US" w:eastAsia="zh-CN" w:bidi="ar-SA"/>
              </w:rPr>
              <w:t>.00 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6" w:hRule="atLeast"/>
          <w:tblHeader/>
        </w:trPr>
        <w:tc>
          <w:tcPr>
            <w:tcW w:w="629" w:type="dxa"/>
            <w:vMerge w:val="continue"/>
            <w:tcBorders>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816336663"/>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232311894"/>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6" w:hRule="atLeast"/>
          <w:tblHeader/>
        </w:trPr>
        <w:tc>
          <w:tcPr>
            <w:tcW w:w="629" w:type="dxa"/>
            <w:tcBorders>
              <w:top w:val="single" w:color="000000" w:sz="8" w:space="0"/>
              <w:left w:val="single" w:color="000000" w:sz="8" w:space="0"/>
              <w:bottom w:val="single" w:color="000000" w:sz="8" w:space="0"/>
              <w:right w:val="single" w:color="000000"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cs="宋体"/>
                <w:sz w:val="24"/>
              </w:rPr>
              <w:t>15</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cs="宋体"/>
                <w:b/>
                <w:sz w:val="24"/>
              </w:rPr>
              <w:t>备注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pPr>
        <w:snapToGrid w:val="0"/>
        <w:spacing w:line="360" w:lineRule="auto"/>
        <w:jc w:val="center"/>
        <w:rPr>
          <w:rFonts w:hint="eastAsia" w:ascii="宋体" w:hAnsi="宋体" w:eastAsia="宋体" w:cs="宋体"/>
          <w:b/>
          <w:sz w:val="32"/>
          <w:szCs w:val="20"/>
        </w:rPr>
      </w:pPr>
    </w:p>
    <w:bookmarkEnd w:id="10"/>
    <w:p>
      <w:pPr>
        <w:adjustRightInd/>
        <w:spacing w:line="360" w:lineRule="auto"/>
        <w:ind w:firstLine="3845" w:firstLineChars="1197"/>
        <w:outlineLvl w:val="0"/>
        <w:rPr>
          <w:rFonts w:hint="eastAsia" w:ascii="宋体" w:hAnsi="宋体" w:eastAsia="宋体" w:cs="宋体"/>
          <w:b/>
          <w:sz w:val="32"/>
          <w:szCs w:val="20"/>
        </w:rPr>
      </w:pPr>
      <w:bookmarkStart w:id="15" w:name="_Toc164416483"/>
      <w:bookmarkStart w:id="16" w:name="第三部分"/>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sz w:val="24"/>
          </w:rPr>
          <w:id w:val="-232311894"/>
        </w:sdtPr>
        <w:sdtEndPr>
          <w:rPr>
            <w:rFonts w:hint="eastAsia" w:ascii="宋体" w:hAnsi="宋体" w:eastAsia="宋体" w:cs="宋体"/>
            <w:sz w:val="24"/>
          </w:rPr>
        </w:sdtEndPr>
        <w:sdtContent>
          <w:r>
            <w:rPr>
              <w:rFonts w:hint="eastAsia" w:ascii="宋体" w:hAnsi="宋体" w:eastAsia="宋体" w:cs="宋体"/>
              <w:sz w:val="24"/>
            </w:rPr>
            <w:sym w:font="Wingdings" w:char="F0FE"/>
          </w:r>
        </w:sdtContent>
      </w:sdt>
      <w:sdt>
        <w:sdtPr>
          <w:rPr>
            <w:rFonts w:hint="eastAsia" w:ascii="宋体" w:hAnsi="宋体" w:eastAsia="宋体" w:cs="宋体"/>
            <w:kern w:val="0"/>
            <w:sz w:val="24"/>
          </w:rPr>
          <w:id w:val="512970236"/>
          <w:showingPlcHdr/>
        </w:sdtPr>
        <w:sdtEndPr>
          <w:rPr>
            <w:rFonts w:hint="eastAsia" w:ascii="宋体" w:hAnsi="宋体" w:eastAsia="宋体" w:cs="宋体"/>
            <w:kern w:val="0"/>
            <w:sz w:val="24"/>
          </w:rPr>
        </w:sdtEndP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rPr>
        <w:t>20%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7"/>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7"/>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3"/>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3"/>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pPr>
        <w:pStyle w:val="133"/>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11.1.2</w:t>
      </w:r>
      <w:r>
        <w:rPr>
          <w:rFonts w:hint="eastAsia" w:ascii="宋体" w:hAnsi="宋体" w:eastAsia="宋体" w:cs="宋体"/>
          <w:snapToGrid w:val="0"/>
          <w:kern w:val="28"/>
          <w:sz w:val="24"/>
          <w:szCs w:val="20"/>
        </w:rPr>
        <w:t>联合协议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11.2.1投标函；</w:t>
      </w:r>
      <w:r>
        <w:rPr>
          <w:rFonts w:hint="eastAsia" w:ascii="宋体" w:hAnsi="宋体" w:eastAsia="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33"/>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3"/>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3"/>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3"/>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7"/>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pPr>
        <w:pStyle w:val="3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8"/>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3"/>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3"/>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hint="eastAsia" w:ascii="宋体" w:hAnsi="宋体" w:eastAsia="宋体" w:cs="宋体"/>
          <w:b/>
          <w:sz w:val="32"/>
        </w:rPr>
      </w:pPr>
    </w:p>
    <w:p>
      <w:pPr>
        <w:pStyle w:val="133"/>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9"/>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9"/>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pPr>
        <w:pStyle w:val="133"/>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3"/>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pPr>
        <w:pStyle w:val="133"/>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33"/>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7"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3"/>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8" w:name="_Hlk101184471"/>
      <w:r>
        <w:rPr>
          <w:rFonts w:hint="eastAsia" w:ascii="宋体" w:hAnsi="宋体" w:eastAsia="宋体" w:cs="宋体"/>
          <w:sz w:val="24"/>
        </w:rPr>
        <w:t>资格审查情况、评审专家抽取规则、符合性审查情况、</w:t>
      </w:r>
      <w:bookmarkEnd w:id="18"/>
      <w:r>
        <w:rPr>
          <w:rFonts w:hint="eastAsia" w:ascii="宋体" w:hAnsi="宋体" w:eastAsia="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3"/>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8"/>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rPr>
      </w:pP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133"/>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33"/>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33"/>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33"/>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33"/>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33"/>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8"/>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403820"/>
      <w:bookmarkEnd w:id="19"/>
      <w:bookmarkStart w:id="20" w:name="_Hlt68072990"/>
      <w:bookmarkEnd w:id="20"/>
      <w:bookmarkStart w:id="21" w:name="_Hlt75236011"/>
      <w:bookmarkEnd w:id="21"/>
      <w:bookmarkStart w:id="22" w:name="_Hlt74714665"/>
      <w:bookmarkEnd w:id="22"/>
      <w:bookmarkStart w:id="23" w:name="_Hlt74729768"/>
      <w:bookmarkEnd w:id="23"/>
      <w:bookmarkStart w:id="24" w:name="_Hlt68057669"/>
      <w:bookmarkEnd w:id="24"/>
      <w:bookmarkStart w:id="25" w:name="_Hlt68072998"/>
      <w:bookmarkEnd w:id="25"/>
      <w:bookmarkStart w:id="26" w:name="_Hlt74730295"/>
      <w:bookmarkEnd w:id="26"/>
      <w:bookmarkStart w:id="27" w:name="_Hlt68073093"/>
      <w:bookmarkEnd w:id="27"/>
      <w:bookmarkStart w:id="28" w:name="_Hlt75236101"/>
      <w:bookmarkEnd w:id="28"/>
      <w:bookmarkStart w:id="29" w:name="_Hlt74707468"/>
      <w:bookmarkEnd w:id="29"/>
      <w:bookmarkStart w:id="30" w:name="_Hlt75236290"/>
      <w:bookmarkEnd w:id="30"/>
    </w:p>
    <w:bookmarkEnd w:id="15"/>
    <w:bookmarkEnd w:id="16"/>
    <w:p>
      <w:pPr>
        <w:adjustRightInd/>
        <w:spacing w:line="360" w:lineRule="auto"/>
        <w:jc w:val="center"/>
        <w:outlineLvl w:val="0"/>
        <w:rPr>
          <w:rFonts w:hint="eastAsia" w:ascii="宋体" w:hAnsi="宋体" w:eastAsia="宋体" w:cs="宋体"/>
          <w:b/>
          <w:color w:val="auto"/>
          <w:sz w:val="36"/>
          <w:szCs w:val="36"/>
        </w:rPr>
      </w:pPr>
      <w:bookmarkStart w:id="31" w:name="第四部分"/>
      <w:r>
        <w:rPr>
          <w:rFonts w:hint="eastAsia" w:ascii="宋体" w:hAnsi="宋体" w:eastAsia="宋体" w:cs="宋体"/>
          <w:b/>
          <w:sz w:val="36"/>
          <w:szCs w:val="36"/>
        </w:rPr>
        <w:t xml:space="preserve">第三部分   </w:t>
      </w:r>
      <w:r>
        <w:rPr>
          <w:rFonts w:hint="eastAsia" w:ascii="宋体" w:hAnsi="宋体" w:eastAsia="宋体" w:cs="宋体"/>
          <w:b/>
          <w:color w:val="auto"/>
          <w:sz w:val="36"/>
          <w:szCs w:val="36"/>
        </w:rPr>
        <w:t>采购需求</w:t>
      </w:r>
    </w:p>
    <w:p>
      <w:pPr>
        <w:pStyle w:val="8"/>
        <w:adjustRightInd w:val="0"/>
        <w:snapToGrid w:val="0"/>
        <w:spacing w:line="360" w:lineRule="auto"/>
        <w:ind w:left="0" w:leftChars="0" w:firstLine="0" w:firstLineChars="0"/>
        <w:outlineLvl w:val="1"/>
        <w:rPr>
          <w:rFonts w:hint="eastAsia" w:ascii="宋体" w:hAnsi="宋体" w:eastAsia="宋体" w:cs="宋体"/>
          <w:b/>
          <w:sz w:val="30"/>
          <w:szCs w:val="30"/>
        </w:rPr>
      </w:pPr>
      <w:r>
        <w:rPr>
          <w:rFonts w:hint="eastAsia" w:ascii="宋体" w:hAnsi="宋体" w:eastAsia="宋体" w:cs="宋体"/>
          <w:b/>
          <w:sz w:val="30"/>
          <w:szCs w:val="30"/>
        </w:rPr>
        <w:t>一、采购内容及数量</w:t>
      </w:r>
    </w:p>
    <w:tbl>
      <w:tblPr>
        <w:tblStyle w:val="6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060"/>
        <w:gridCol w:w="2217"/>
        <w:gridCol w:w="637"/>
        <w:gridCol w:w="748"/>
        <w:gridCol w:w="116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689"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bookmarkStart w:id="32" w:name="_Toc488302347"/>
            <w:r>
              <w:rPr>
                <w:rFonts w:hint="eastAsia" w:ascii="宋体" w:hAnsi="宋体" w:eastAsia="宋体" w:cs="宋体"/>
                <w:color w:val="auto"/>
                <w:kern w:val="0"/>
                <w:sz w:val="21"/>
                <w:szCs w:val="21"/>
                <w:highlight w:val="none"/>
              </w:rPr>
              <w:t>序号</w:t>
            </w:r>
          </w:p>
        </w:tc>
        <w:tc>
          <w:tcPr>
            <w:tcW w:w="3060"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2217"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主要服务技术要求</w:t>
            </w:r>
          </w:p>
        </w:tc>
        <w:tc>
          <w:tcPr>
            <w:tcW w:w="637"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48"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166"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预算价</w:t>
            </w:r>
          </w:p>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c>
          <w:tcPr>
            <w:tcW w:w="540"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w:t>
            </w:r>
          </w:p>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89"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060" w:type="dxa"/>
            <w:noWrap w:val="0"/>
            <w:vAlign w:val="center"/>
          </w:tcPr>
          <w:p>
            <w:pPr>
              <w:widowControl/>
              <w:tabs>
                <w:tab w:val="left" w:pos="360"/>
              </w:tabs>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建德市农业水价综合改革2024年度技术支撑项目</w:t>
            </w:r>
          </w:p>
        </w:tc>
        <w:tc>
          <w:tcPr>
            <w:tcW w:w="2217"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详见“二、采购需求”</w:t>
            </w:r>
          </w:p>
        </w:tc>
        <w:tc>
          <w:tcPr>
            <w:tcW w:w="637"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748"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66"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0000.00</w:t>
            </w:r>
          </w:p>
        </w:tc>
        <w:tc>
          <w:tcPr>
            <w:tcW w:w="540" w:type="dxa"/>
            <w:noWrap w:val="0"/>
            <w:vAlign w:val="center"/>
          </w:tcPr>
          <w:p>
            <w:pPr>
              <w:widowControl/>
              <w:tabs>
                <w:tab w:val="left" w:pos="360"/>
              </w:tabs>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57" w:type="dxa"/>
            <w:gridSpan w:val="7"/>
            <w:noWrap w:val="0"/>
            <w:vAlign w:val="center"/>
          </w:tcPr>
          <w:p>
            <w:pPr>
              <w:widowControl/>
              <w:tabs>
                <w:tab w:val="left" w:pos="360"/>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预算价：人民币（大写）</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伍拾万</w:t>
            </w:r>
            <w:r>
              <w:rPr>
                <w:rFonts w:hint="eastAsia" w:ascii="宋体" w:hAnsi="宋体" w:eastAsia="宋体" w:cs="宋体"/>
                <w:color w:val="auto"/>
                <w:kern w:val="0"/>
                <w:sz w:val="21"/>
                <w:szCs w:val="21"/>
                <w:highlight w:val="none"/>
              </w:rPr>
              <w:t>元整</w:t>
            </w:r>
          </w:p>
        </w:tc>
      </w:tr>
      <w:bookmarkEnd w:id="32"/>
    </w:tbl>
    <w:p>
      <w:pPr>
        <w:pStyle w:val="968"/>
        <w:spacing w:before="0" w:afterLines="0" w:line="360" w:lineRule="auto"/>
        <w:ind w:left="0" w:leftChars="0" w:firstLine="0" w:firstLineChars="0"/>
        <w:rPr>
          <w:rFonts w:hint="eastAsia" w:ascii="宋体" w:hAnsi="宋体" w:eastAsia="宋体" w:cs="宋体"/>
          <w:b w:val="0"/>
          <w:bCs w:val="0"/>
          <w:color w:val="auto"/>
          <w:sz w:val="22"/>
          <w:szCs w:val="18"/>
          <w:highlight w:val="none"/>
        </w:rPr>
      </w:pPr>
      <w:r>
        <w:rPr>
          <w:rFonts w:hint="eastAsia" w:ascii="宋体" w:hAnsi="宋体" w:eastAsia="宋体" w:cs="宋体"/>
          <w:b w:val="0"/>
          <w:bCs w:val="0"/>
          <w:color w:val="auto"/>
          <w:sz w:val="22"/>
          <w:szCs w:val="18"/>
          <w:highlight w:val="none"/>
        </w:rPr>
        <w:t>注：以上金额是指综合费用，包括人员工资、</w:t>
      </w:r>
      <w:r>
        <w:rPr>
          <w:rFonts w:hint="eastAsia" w:ascii="宋体" w:hAnsi="宋体" w:eastAsia="宋体" w:cs="宋体"/>
          <w:b w:val="0"/>
          <w:bCs w:val="0"/>
          <w:color w:val="auto"/>
          <w:sz w:val="22"/>
          <w:szCs w:val="18"/>
          <w:highlight w:val="none"/>
          <w:lang w:val="en-US" w:eastAsia="zh-CN"/>
        </w:rPr>
        <w:t>服务费、</w:t>
      </w:r>
      <w:r>
        <w:rPr>
          <w:rFonts w:hint="eastAsia" w:ascii="宋体" w:hAnsi="宋体" w:eastAsia="宋体" w:cs="宋体"/>
          <w:b w:val="0"/>
          <w:bCs w:val="0"/>
          <w:color w:val="auto"/>
          <w:sz w:val="22"/>
          <w:szCs w:val="18"/>
          <w:highlight w:val="none"/>
        </w:rPr>
        <w:t>交通、住宿、税金、保险、管理费、辅助工作及售后服务等完成本项目所需的相关费用。</w:t>
      </w:r>
    </w:p>
    <w:p>
      <w:pPr>
        <w:widowControl/>
        <w:numPr>
          <w:ilvl w:val="0"/>
          <w:numId w:val="1"/>
        </w:numPr>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采购需求</w:t>
      </w:r>
    </w:p>
    <w:p>
      <w:pPr>
        <w:pStyle w:val="2"/>
        <w:numPr>
          <w:ilvl w:val="0"/>
          <w:numId w:val="0"/>
        </w:numPr>
        <w:rPr>
          <w:rFonts w:hint="eastAsia"/>
        </w:rPr>
      </w:pPr>
    </w:p>
    <w:p>
      <w:pPr>
        <w:spacing w:line="360" w:lineRule="auto"/>
        <w:ind w:firstLine="480" w:firstLineChars="200"/>
        <w:jc w:val="left"/>
        <w:rPr>
          <w:rFonts w:ascii="宋体" w:hAnsi="宋体" w:cs="宋体"/>
          <w:sz w:val="24"/>
        </w:rPr>
      </w:pPr>
      <w:r>
        <w:rPr>
          <w:rFonts w:hint="eastAsia" w:ascii="宋体" w:hAnsi="宋体" w:cs="宋体"/>
          <w:sz w:val="24"/>
        </w:rPr>
        <w:t>遵照省水利厅、省发改委、省财政厅、省农业农村厅《关于印发浙江省农业水价综合改革2024年工作计划的通知》（浙水农电〔2024〕9号）和《浙江省农业水价综合改革年度绩效考评表（2024年修订）》、《浙江省农业水价综合改革“五个一百”创建活动评定办法》等文件精神，并满足省级、杭州市、建德市水利部门的相关要求。</w:t>
      </w:r>
    </w:p>
    <w:p>
      <w:pPr>
        <w:spacing w:line="360" w:lineRule="auto"/>
        <w:jc w:val="left"/>
        <w:rPr>
          <w:rFonts w:ascii="宋体" w:hAnsi="宋体" w:cs="宋体"/>
          <w:sz w:val="24"/>
        </w:rPr>
      </w:pPr>
      <w:r>
        <w:rPr>
          <w:rFonts w:hint="eastAsia" w:ascii="宋体" w:hAnsi="宋体" w:cs="宋体"/>
          <w:sz w:val="24"/>
        </w:rPr>
        <w:t>1. 2024年度农业水价综合改革日常技术服务</w:t>
      </w:r>
    </w:p>
    <w:p>
      <w:pPr>
        <w:spacing w:line="360" w:lineRule="auto"/>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）农业用水主体用水控制指标分解</w:t>
      </w:r>
    </w:p>
    <w:p>
      <w:pPr>
        <w:spacing w:line="360" w:lineRule="auto"/>
        <w:jc w:val="left"/>
        <w:rPr>
          <w:rFonts w:ascii="宋体" w:hAnsi="宋体" w:cs="宋体"/>
          <w:sz w:val="24"/>
        </w:rPr>
      </w:pPr>
      <w:r>
        <w:rPr>
          <w:rFonts w:hint="eastAsia" w:ascii="宋体" w:hAnsi="宋体" w:cs="宋体"/>
          <w:sz w:val="24"/>
        </w:rPr>
        <w:t>①调查建德市已建计量设施灌区农业种植结构、种植面积，协助建德优化终端农业用水计量布局，合理细化计量单元；</w:t>
      </w:r>
    </w:p>
    <w:p>
      <w:pPr>
        <w:spacing w:line="360" w:lineRule="auto"/>
        <w:jc w:val="left"/>
        <w:rPr>
          <w:rFonts w:ascii="宋体" w:hAnsi="宋体" w:cs="宋体"/>
          <w:sz w:val="24"/>
        </w:rPr>
      </w:pPr>
      <w:r>
        <w:rPr>
          <w:rFonts w:hint="eastAsia" w:ascii="宋体" w:hAnsi="宋体" w:cs="宋体"/>
          <w:sz w:val="24"/>
        </w:rPr>
        <w:t>②根据建德市农业种植结构及《浙江省农业用水定额（2022年）》，确定全市农业用水控制指标，分解202</w:t>
      </w:r>
      <w:r>
        <w:rPr>
          <w:rFonts w:hint="eastAsia" w:ascii="宋体" w:hAnsi="宋体" w:cs="宋体"/>
          <w:sz w:val="24"/>
          <w:lang w:val="en-US" w:eastAsia="zh-CN"/>
        </w:rPr>
        <w:t>4</w:t>
      </w:r>
      <w:r>
        <w:rPr>
          <w:rFonts w:hint="eastAsia" w:ascii="宋体" w:hAnsi="宋体" w:cs="宋体"/>
          <w:sz w:val="24"/>
        </w:rPr>
        <w:t>年农业用水指标至灌区、乡镇、村及已建计量的其他灌区。</w:t>
      </w:r>
    </w:p>
    <w:p>
      <w:pPr>
        <w:spacing w:line="360" w:lineRule="auto"/>
        <w:jc w:val="left"/>
        <w:rPr>
          <w:rFonts w:ascii="宋体" w:hAnsi="宋体" w:cs="宋体"/>
          <w:sz w:val="24"/>
        </w:rPr>
      </w:pPr>
      <w:r>
        <w:rPr>
          <w:rFonts w:hint="eastAsia" w:ascii="宋体" w:hAnsi="宋体" w:cs="宋体"/>
          <w:sz w:val="24"/>
        </w:rPr>
        <w:t>③协助业主加强农业用水总量控制和定额管理。</w:t>
      </w:r>
    </w:p>
    <w:p>
      <w:pPr>
        <w:spacing w:line="360" w:lineRule="auto"/>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）绩效评价工作</w:t>
      </w:r>
    </w:p>
    <w:p>
      <w:pPr>
        <w:spacing w:line="360" w:lineRule="auto"/>
        <w:jc w:val="left"/>
        <w:rPr>
          <w:rFonts w:ascii="宋体" w:hAnsi="宋体" w:cs="宋体"/>
          <w:sz w:val="24"/>
        </w:rPr>
      </w:pPr>
      <w:r>
        <w:rPr>
          <w:rFonts w:hint="eastAsia" w:ascii="宋体" w:hAnsi="宋体" w:cs="宋体"/>
          <w:sz w:val="24"/>
        </w:rPr>
        <w:t>①协助业主指导乡镇开展“八个一”村级改革工作；</w:t>
      </w:r>
    </w:p>
    <w:p>
      <w:pPr>
        <w:spacing w:line="360" w:lineRule="auto"/>
        <w:jc w:val="left"/>
        <w:rPr>
          <w:rFonts w:ascii="宋体" w:hAnsi="宋体" w:cs="宋体"/>
          <w:sz w:val="24"/>
        </w:rPr>
      </w:pPr>
      <w:r>
        <w:rPr>
          <w:rFonts w:hint="eastAsia" w:ascii="宋体" w:hAnsi="宋体" w:cs="宋体"/>
          <w:sz w:val="24"/>
        </w:rPr>
        <w:t>②按照最新的省农业水价综合改革绩效评价办法各项指标要求，编制完成建德市2024年度农业水价综合改革绩效评价成果和考核台账。</w:t>
      </w:r>
    </w:p>
    <w:p>
      <w:pPr>
        <w:spacing w:line="360" w:lineRule="auto"/>
        <w:jc w:val="left"/>
        <w:rPr>
          <w:rFonts w:ascii="宋体" w:hAnsi="宋体" w:cs="宋体"/>
          <w:sz w:val="24"/>
        </w:rPr>
      </w:pPr>
      <w:r>
        <w:rPr>
          <w:rFonts w:hint="eastAsia" w:ascii="宋体" w:hAnsi="宋体" w:cs="宋体"/>
          <w:sz w:val="24"/>
        </w:rPr>
        <w:t>（3）水价改革四项机制“回头看”检查</w:t>
      </w:r>
    </w:p>
    <w:p>
      <w:pPr>
        <w:spacing w:line="360" w:lineRule="auto"/>
        <w:jc w:val="left"/>
        <w:rPr>
          <w:rFonts w:ascii="宋体" w:hAnsi="宋体" w:cs="宋体"/>
          <w:sz w:val="24"/>
        </w:rPr>
      </w:pPr>
      <w:r>
        <w:rPr>
          <w:rFonts w:hint="eastAsia" w:ascii="宋体" w:hAnsi="宋体" w:cs="宋体"/>
          <w:sz w:val="24"/>
        </w:rPr>
        <w:t>协助做好四项机制自查，提出各项机制完善的工作任务，并出具核查报告。核查主要内容包括：①已全面完成改革任务的面积；②农业供水计量设施配套完善；③农业用水总量指标分解到用水主体；④田间工程落实管护主体和管护责任；⑤农业水价调整到不低于运行维护成本；⑥精准补贴和节水奖励兑现情况。</w:t>
      </w:r>
    </w:p>
    <w:p>
      <w:pPr>
        <w:spacing w:line="360" w:lineRule="auto"/>
        <w:jc w:val="left"/>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农业水价测算</w:t>
      </w:r>
    </w:p>
    <w:p>
      <w:pPr>
        <w:spacing w:line="360" w:lineRule="auto"/>
        <w:jc w:val="left"/>
        <w:rPr>
          <w:rFonts w:ascii="宋体" w:hAnsi="宋体" w:cs="宋体"/>
          <w:sz w:val="24"/>
        </w:rPr>
      </w:pPr>
      <w:r>
        <w:rPr>
          <w:rFonts w:hint="eastAsia" w:ascii="宋体" w:hAnsi="宋体" w:cs="宋体"/>
          <w:sz w:val="24"/>
        </w:rPr>
        <w:t>重新拟定</w:t>
      </w:r>
      <w:r>
        <w:rPr>
          <w:rFonts w:hint="eastAsia" w:ascii="宋体" w:hAnsi="宋体" w:cs="宋体"/>
          <w:sz w:val="24"/>
          <w:lang w:eastAsia="zh-CN"/>
        </w:rPr>
        <w:t>建德市</w:t>
      </w:r>
      <w:r>
        <w:rPr>
          <w:rFonts w:hint="eastAsia" w:ascii="宋体" w:hAnsi="宋体" w:cs="宋体"/>
          <w:sz w:val="24"/>
        </w:rPr>
        <w:t>农业水价成本测算报告并由</w:t>
      </w:r>
      <w:r>
        <w:rPr>
          <w:rFonts w:hint="eastAsia" w:ascii="宋体" w:hAnsi="宋体" w:cs="宋体"/>
          <w:sz w:val="24"/>
          <w:lang w:eastAsia="zh-CN"/>
        </w:rPr>
        <w:t>市</w:t>
      </w:r>
      <w:r>
        <w:rPr>
          <w:rFonts w:hint="eastAsia" w:ascii="宋体" w:hAnsi="宋体" w:cs="宋体"/>
          <w:sz w:val="24"/>
        </w:rPr>
        <w:t>发改局出具监审报告，实行按方水价。</w:t>
      </w:r>
    </w:p>
    <w:p>
      <w:pPr>
        <w:spacing w:line="360" w:lineRule="auto"/>
        <w:jc w:val="left"/>
        <w:rPr>
          <w:rFonts w:ascii="宋体" w:hAnsi="宋体" w:cs="宋体"/>
          <w:sz w:val="24"/>
        </w:rPr>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修订完善制度办法</w:t>
      </w:r>
    </w:p>
    <w:p>
      <w:pPr>
        <w:spacing w:line="360" w:lineRule="auto"/>
        <w:jc w:val="left"/>
        <w:rPr>
          <w:rFonts w:ascii="宋体" w:hAnsi="宋体" w:cs="宋体"/>
          <w:sz w:val="24"/>
        </w:rPr>
      </w:pPr>
      <w:r>
        <w:rPr>
          <w:rFonts w:hint="eastAsia" w:ascii="宋体" w:hAnsi="宋体" w:cs="宋体"/>
          <w:sz w:val="24"/>
        </w:rPr>
        <w:t>①</w:t>
      </w:r>
      <w:r>
        <w:rPr>
          <w:rFonts w:ascii="宋体" w:hAnsi="宋体" w:cs="宋体"/>
          <w:sz w:val="24"/>
        </w:rPr>
        <w:t>明确节水奖励以节水量为依据，且奖励对象细化到放水员或农业用水主题，修订完善精准补贴和节水奖励办法</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②明确田间工程落实管护主体和管护责任，拟定区级农田水利设施管护制度办法。</w:t>
      </w:r>
    </w:p>
    <w:p>
      <w:pPr>
        <w:spacing w:line="360" w:lineRule="auto"/>
        <w:jc w:val="left"/>
        <w:rPr>
          <w:rFonts w:ascii="宋体" w:hAnsi="宋体" w:cs="宋体"/>
          <w:sz w:val="24"/>
        </w:rPr>
      </w:pPr>
      <w:r>
        <w:rPr>
          <w:rFonts w:hint="eastAsia" w:ascii="宋体" w:hAnsi="宋体" w:cs="宋体"/>
          <w:sz w:val="24"/>
        </w:rPr>
        <w:t>③修订完善农田水利设施检查巡查、运行维护、用水管理等制度办法。</w:t>
      </w:r>
    </w:p>
    <w:p>
      <w:pPr>
        <w:spacing w:line="360" w:lineRule="auto"/>
        <w:jc w:val="left"/>
        <w:rPr>
          <w:rFonts w:ascii="宋体" w:hAnsi="宋体" w:cs="宋体"/>
          <w:sz w:val="24"/>
        </w:rPr>
      </w:pPr>
      <w:r>
        <w:rPr>
          <w:rFonts w:hint="eastAsia" w:ascii="宋体" w:hAnsi="宋体" w:cs="宋体"/>
          <w:sz w:val="24"/>
        </w:rPr>
        <w:t>④</w:t>
      </w:r>
      <w:r>
        <w:rPr>
          <w:rFonts w:ascii="宋体" w:hAnsi="宋体" w:cs="宋体"/>
          <w:sz w:val="24"/>
        </w:rPr>
        <w:t>制定田间工程维修养护、灌溉管理等具体办法或操作规程</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 “五个一百”创建及灌溉工程更新升级项目技术支撑与服务</w:t>
      </w:r>
    </w:p>
    <w:p>
      <w:pPr>
        <w:spacing w:line="360" w:lineRule="auto"/>
        <w:jc w:val="left"/>
        <w:rPr>
          <w:rFonts w:ascii="宋体" w:hAnsi="宋体" w:cs="宋体"/>
          <w:sz w:val="24"/>
        </w:rPr>
      </w:pPr>
      <w:r>
        <w:rPr>
          <w:rFonts w:hint="eastAsia" w:ascii="宋体" w:hAnsi="宋体" w:cs="宋体"/>
          <w:sz w:val="24"/>
        </w:rPr>
        <w:t>（1）“五个一百”创建技术服务</w:t>
      </w:r>
    </w:p>
    <w:p>
      <w:pPr>
        <w:spacing w:line="360" w:lineRule="auto"/>
        <w:jc w:val="left"/>
        <w:rPr>
          <w:rFonts w:ascii="宋体" w:hAnsi="宋体" w:cs="宋体"/>
          <w:sz w:val="24"/>
        </w:rPr>
      </w:pPr>
      <w:r>
        <w:rPr>
          <w:rFonts w:hint="eastAsia" w:ascii="宋体" w:hAnsi="宋体" w:cs="宋体"/>
          <w:sz w:val="24"/>
        </w:rPr>
        <w:t>①</w:t>
      </w:r>
      <w:r>
        <w:rPr>
          <w:rFonts w:ascii="宋体" w:hAnsi="宋体" w:cs="宋体"/>
          <w:sz w:val="24"/>
        </w:rPr>
        <w:t>根据省农业水价综合改革“五个一百”创建要求，经现场踏勘，明确</w:t>
      </w:r>
      <w:r>
        <w:rPr>
          <w:rFonts w:hint="eastAsia" w:ascii="宋体" w:hAnsi="宋体" w:cs="宋体"/>
          <w:sz w:val="24"/>
        </w:rPr>
        <w:t>建德</w:t>
      </w:r>
      <w:r>
        <w:rPr>
          <w:rFonts w:ascii="宋体" w:hAnsi="宋体" w:cs="宋体"/>
          <w:sz w:val="24"/>
        </w:rPr>
        <w:t>市202</w:t>
      </w:r>
      <w:r>
        <w:rPr>
          <w:rFonts w:hint="eastAsia" w:ascii="宋体" w:hAnsi="宋体" w:cs="宋体"/>
          <w:sz w:val="24"/>
        </w:rPr>
        <w:t>4</w:t>
      </w:r>
      <w:r>
        <w:rPr>
          <w:rFonts w:ascii="宋体" w:hAnsi="宋体" w:cs="宋体"/>
          <w:sz w:val="24"/>
        </w:rPr>
        <w:t>年度“五个一百”灌区灌片、示范村和农民用水主体等</w:t>
      </w:r>
      <w:r>
        <w:rPr>
          <w:rFonts w:hint="eastAsia" w:ascii="宋体" w:hAnsi="宋体" w:cs="宋体"/>
          <w:sz w:val="24"/>
        </w:rPr>
        <w:t>三</w:t>
      </w:r>
      <w:r>
        <w:rPr>
          <w:rFonts w:ascii="宋体" w:hAnsi="宋体" w:cs="宋体"/>
          <w:sz w:val="24"/>
        </w:rPr>
        <w:t>类主体名录</w:t>
      </w:r>
      <w:r>
        <w:rPr>
          <w:rFonts w:hint="eastAsia" w:ascii="宋体" w:hAnsi="宋体" w:cs="宋体"/>
          <w:sz w:val="24"/>
        </w:rPr>
        <w:t>，并编制</w:t>
      </w:r>
      <w:r>
        <w:rPr>
          <w:rFonts w:ascii="宋体" w:hAnsi="宋体" w:cs="宋体"/>
          <w:sz w:val="24"/>
        </w:rPr>
        <w:t>6个项目创建任务清单，明确各个组织的创建任务。</w:t>
      </w:r>
    </w:p>
    <w:p>
      <w:pPr>
        <w:spacing w:line="360" w:lineRule="auto"/>
        <w:jc w:val="left"/>
        <w:rPr>
          <w:rFonts w:ascii="宋体" w:hAnsi="宋体" w:cs="宋体"/>
          <w:sz w:val="24"/>
        </w:rPr>
      </w:pPr>
      <w:r>
        <w:rPr>
          <w:rFonts w:hint="eastAsia" w:ascii="宋体" w:hAnsi="宋体" w:cs="宋体"/>
          <w:sz w:val="24"/>
        </w:rPr>
        <w:t>②开展10个项目的现场技术指导。做好与设计单位、乡镇、村的创建任务对接，对拟申报“五个一百”典型案例的机埠泵站、堰坝水闸、灌区灌片、农民用水管理主体、示范村五大类共10个项目载体，每个项目开展现场指导2-3次。</w:t>
      </w:r>
    </w:p>
    <w:p>
      <w:pPr>
        <w:spacing w:line="360" w:lineRule="auto"/>
        <w:jc w:val="left"/>
        <w:rPr>
          <w:rFonts w:ascii="宋体" w:hAnsi="宋体" w:cs="宋体"/>
          <w:sz w:val="24"/>
        </w:rPr>
      </w:pPr>
      <w:r>
        <w:rPr>
          <w:rFonts w:hint="eastAsia" w:ascii="宋体" w:hAnsi="宋体" w:cs="宋体"/>
          <w:sz w:val="24"/>
        </w:rPr>
        <w:t>③做好</w:t>
      </w:r>
      <w:r>
        <w:rPr>
          <w:rFonts w:ascii="宋体" w:hAnsi="宋体" w:cs="宋体"/>
          <w:sz w:val="24"/>
        </w:rPr>
        <w:t>6</w:t>
      </w:r>
      <w:r>
        <w:rPr>
          <w:rFonts w:hint="eastAsia" w:ascii="宋体" w:hAnsi="宋体" w:cs="宋体"/>
          <w:sz w:val="24"/>
        </w:rPr>
        <w:t>个项目的创建主体申报等相关工作。编制机埠泵站、堰坝水闸两类共4个“五个一百”示范创建工程视频拍摄方案，协助“五个一百”示范创建工程视频制作单位拍摄参选项目视频，并出具视频修改意见。编制完成灌区灌片、农民用水管理主体、示范村三类共</w:t>
      </w:r>
      <w:r>
        <w:rPr>
          <w:rFonts w:ascii="宋体" w:hAnsi="宋体" w:cs="宋体"/>
          <w:sz w:val="24"/>
        </w:rPr>
        <w:t>6</w:t>
      </w:r>
      <w:r>
        <w:rPr>
          <w:rFonts w:hint="eastAsia" w:ascii="宋体" w:hAnsi="宋体" w:cs="宋体"/>
          <w:sz w:val="24"/>
        </w:rPr>
        <w:t>个示范工程（主体）项目申报材料。</w:t>
      </w:r>
    </w:p>
    <w:p>
      <w:pPr>
        <w:spacing w:line="360" w:lineRule="auto"/>
        <w:jc w:val="left"/>
        <w:rPr>
          <w:rFonts w:ascii="宋体" w:hAnsi="宋体" w:cs="宋体"/>
          <w:sz w:val="24"/>
        </w:rPr>
      </w:pPr>
      <w:r>
        <w:rPr>
          <w:rFonts w:hint="eastAsia" w:ascii="宋体" w:hAnsi="宋体" w:cs="宋体"/>
          <w:sz w:val="24"/>
        </w:rPr>
        <w:t>（2）灌溉工程更新升级项目技术服务</w:t>
      </w:r>
    </w:p>
    <w:p>
      <w:pPr>
        <w:spacing w:line="360" w:lineRule="auto"/>
        <w:jc w:val="left"/>
        <w:rPr>
          <w:rFonts w:ascii="宋体" w:hAnsi="宋体" w:cs="宋体"/>
          <w:sz w:val="24"/>
        </w:rPr>
      </w:pPr>
      <w:r>
        <w:rPr>
          <w:rFonts w:hint="eastAsia" w:ascii="宋体" w:hAnsi="宋体" w:cs="宋体"/>
          <w:sz w:val="24"/>
        </w:rPr>
        <w:t>①指导做好6</w:t>
      </w:r>
      <w:r>
        <w:rPr>
          <w:rFonts w:hint="eastAsia" w:ascii="宋体" w:hAnsi="宋体" w:cs="宋体"/>
          <w:sz w:val="24"/>
          <w:lang w:val="en-US" w:eastAsia="zh-CN"/>
        </w:rPr>
        <w:t>2</w:t>
      </w:r>
      <w:r>
        <w:rPr>
          <w:rFonts w:hint="eastAsia" w:ascii="宋体" w:hAnsi="宋体" w:cs="宋体"/>
          <w:sz w:val="24"/>
        </w:rPr>
        <w:t>个更新升级项目的验收资料整编工作，重点完成23个民生实事的验收台账整编。</w:t>
      </w:r>
    </w:p>
    <w:p>
      <w:pPr>
        <w:spacing w:line="360" w:lineRule="auto"/>
        <w:jc w:val="left"/>
        <w:rPr>
          <w:rFonts w:hint="eastAsia" w:ascii="宋体" w:hAnsi="宋体" w:cs="宋体"/>
          <w:sz w:val="24"/>
        </w:rPr>
      </w:pPr>
      <w:r>
        <w:rPr>
          <w:rFonts w:hint="eastAsia" w:ascii="宋体" w:hAnsi="宋体" w:cs="宋体"/>
          <w:sz w:val="24"/>
        </w:rPr>
        <w:t>②配合业主打捆分片做好本年度项目验收工作。</w:t>
      </w:r>
    </w:p>
    <w:p>
      <w:pPr>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3.完成杭州市农业水价标准化建设市级试点创建</w:t>
      </w:r>
    </w:p>
    <w:p>
      <w:pPr>
        <w:spacing w:line="360" w:lineRule="auto"/>
        <w:jc w:val="left"/>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项目组成员要求</w:t>
      </w:r>
    </w:p>
    <w:p>
      <w:pPr>
        <w:spacing w:line="360" w:lineRule="auto"/>
        <w:jc w:val="left"/>
        <w:rPr>
          <w:rFonts w:ascii="宋体" w:hAnsi="宋体" w:cs="宋体"/>
          <w:sz w:val="24"/>
        </w:rPr>
      </w:pPr>
      <w:r>
        <w:rPr>
          <w:rFonts w:ascii="宋体" w:hAnsi="宋体" w:cs="宋体"/>
          <w:sz w:val="24"/>
        </w:rPr>
        <w:t>（1）项目负责人具有水利类高级工程师及以上职称，水利类中级工程职称。项目负责人同时具备咨询工程师任职资格。</w:t>
      </w:r>
    </w:p>
    <w:p>
      <w:pPr>
        <w:spacing w:line="360" w:lineRule="auto"/>
        <w:jc w:val="left"/>
        <w:rPr>
          <w:rFonts w:ascii="宋体" w:hAnsi="宋体" w:cs="宋体"/>
          <w:sz w:val="24"/>
        </w:rPr>
      </w:pPr>
      <w:r>
        <w:rPr>
          <w:rFonts w:ascii="宋体" w:hAnsi="宋体" w:cs="宋体"/>
          <w:sz w:val="24"/>
        </w:rPr>
        <w:t>（2）项目组成员（不含项目负责人）具有工程师及以上技术职称</w:t>
      </w:r>
      <w:r>
        <w:rPr>
          <w:rFonts w:hint="eastAsia" w:ascii="宋体" w:hAnsi="宋体" w:cs="宋体"/>
          <w:sz w:val="24"/>
        </w:rPr>
        <w:t>和</w:t>
      </w:r>
      <w:r>
        <w:rPr>
          <w:rFonts w:ascii="宋体" w:hAnsi="宋体" w:cs="宋体"/>
          <w:sz w:val="24"/>
        </w:rPr>
        <w:t>助理工程师。</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240" w:firstLineChars="100"/>
        <w:jc w:val="left"/>
        <w:textAlignment w:val="auto"/>
        <w:rPr>
          <w:rFonts w:ascii="宋体" w:hAnsi="宋体" w:cs="宋体"/>
          <w:sz w:val="24"/>
        </w:rPr>
      </w:pPr>
      <w:r>
        <w:rPr>
          <w:rFonts w:ascii="宋体" w:hAnsi="宋体" w:cs="宋体"/>
          <w:sz w:val="24"/>
        </w:rPr>
        <w:t>（3）项目组成员（不含项目负责人）具有水利工程、农田水利、水文水资源等专业。</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241" w:firstLineChars="100"/>
        <w:jc w:val="left"/>
        <w:textAlignment w:val="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三、商务要求</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1.总体要求：</w:t>
      </w:r>
      <w:r>
        <w:rPr>
          <w:rFonts w:hint="eastAsia" w:ascii="宋体" w:hAnsi="宋体" w:eastAsia="宋体" w:cs="宋体"/>
          <w:color w:val="auto"/>
          <w:sz w:val="24"/>
          <w:highlight w:val="none"/>
        </w:rPr>
        <w:t>必须符合</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文件(包括补充更正，如有)的服务要求，符合国家相关服务标准和</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文件规定标准。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2.付款方式：</w:t>
      </w:r>
      <w:r>
        <w:rPr>
          <w:rFonts w:hint="eastAsia" w:ascii="宋体" w:hAnsi="宋体" w:eastAsia="宋体" w:cs="宋体"/>
          <w:color w:val="auto"/>
          <w:sz w:val="24"/>
          <w:highlight w:val="none"/>
        </w:rPr>
        <w:t>按财务结算要求，通过银行划帐方式结算。</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3.服务期限</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（1）服务期限：本项目服务期为一年，自政府采购合同签订生效之日起。</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（2）标准：符合我国国家有关技术规范要求和技术标准。</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（3）供应商免费提供涉及本项目工作的相关服务。</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（4）供应商应在投标文件中应提供实施计划。</w:t>
      </w:r>
    </w:p>
    <w:p>
      <w:pPr>
        <w:spacing w:line="360" w:lineRule="auto"/>
        <w:ind w:firstLine="48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4.服务要求</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（1）供应商在履行合同义务期间，应遵守国家有关法律、法规、维护采购单位的合法权益。</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（2）供应商应组建能够满足本项目服务需要的项目组，按照工作范围和内容完成技术服务工作，并按约定向采购单位汇报工作进展。</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）供应商应自行承担项目实施过程中的安全责任，采购单位在任何情况下不承担任何责任。</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.项目款的结算</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pPr>
        <w:spacing w:line="360" w:lineRule="auto"/>
        <w:ind w:firstLine="480"/>
        <w:jc w:val="left"/>
        <w:rPr>
          <w:rStyle w:val="357"/>
          <w:rFonts w:hint="eastAsia" w:ascii="宋体" w:hAnsi="宋体" w:cs="宋体"/>
          <w:b w:val="0"/>
          <w:bCs w:val="0"/>
        </w:rPr>
      </w:pPr>
      <w:r>
        <w:rPr>
          <w:rStyle w:val="357"/>
          <w:rFonts w:hint="eastAsia" w:ascii="宋体" w:hAnsi="宋体" w:cs="宋体"/>
          <w:b w:val="0"/>
          <w:bCs w:val="0"/>
        </w:rPr>
        <w:t>签订合同后7个工作日内支付至合同价的70%服务款（中标人需提供相应金额的预付款保函至采购人）；</w:t>
      </w:r>
    </w:p>
    <w:p>
      <w:pPr>
        <w:spacing w:line="360" w:lineRule="auto"/>
        <w:ind w:firstLine="480"/>
        <w:jc w:val="left"/>
        <w:rPr>
          <w:rStyle w:val="357"/>
          <w:rFonts w:hint="eastAsia" w:ascii="宋体" w:hAnsi="宋体" w:cs="宋体"/>
          <w:b w:val="0"/>
          <w:bCs w:val="0"/>
        </w:rPr>
      </w:pPr>
      <w:r>
        <w:rPr>
          <w:rStyle w:val="357"/>
          <w:rFonts w:hint="eastAsia" w:ascii="宋体" w:hAnsi="宋体" w:cs="宋体"/>
          <w:b w:val="0"/>
          <w:bCs w:val="0"/>
        </w:rPr>
        <w:t>通过省级绩效评价，并完成所有服务工作后5个工作日内支付剩余合同价的30%。</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结算时供应商将结款申请1份、发票原件及复印件1份、合同复印件1份和经采购人验收确认的《建德市政府采购验收反馈表》（还需提供验收报告）提交采购人，采购人应自收到发票后5个工作日内支付相应款项。</w:t>
      </w:r>
    </w:p>
    <w:p>
      <w:pPr>
        <w:pStyle w:val="83"/>
        <w:ind w:firstLine="482"/>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rPr>
        <w:t>履约保证金</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采购人免收履约保证金。</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验收：</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（1）按照招标文件和中标</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提供的投标文件及中标</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和采购</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签订的政府采购合同为标准进行验收。</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（2）遵照省水利厅、省发改委、省财政厅、省农业农村厅</w:t>
      </w:r>
      <w:r>
        <w:rPr>
          <w:rFonts w:hint="eastAsia" w:ascii="宋体" w:hAnsi="宋体" w:cs="宋体"/>
          <w:sz w:val="24"/>
        </w:rPr>
        <w:t>《关于印发浙江省农业水价综合改革2024年工作计划的通知》（浙水农电〔2024〕9号）和《浙江省农业水价综合改革年度绩效考评表（2024年修订）》</w:t>
      </w:r>
      <w:r>
        <w:rPr>
          <w:rFonts w:hint="eastAsia" w:ascii="宋体" w:hAnsi="宋体" w:eastAsia="宋体" w:cs="宋体"/>
          <w:color w:val="auto"/>
          <w:kern w:val="2"/>
          <w:sz w:val="24"/>
          <w:szCs w:val="24"/>
          <w:highlight w:val="none"/>
          <w:lang w:val="en-US" w:eastAsia="zh-CN" w:bidi="ar-SA"/>
        </w:rPr>
        <w:t>、《浙江省农业水价综合改革“五个一百”创建活动评定办法》等文件精神，并满足省级、杭州市、建德市水利部门的相关要求。</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）验收费用由供应商承担。</w:t>
      </w:r>
    </w:p>
    <w:p>
      <w:pPr>
        <w:widowControl/>
        <w:adjustRightInd/>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jc w:val="center"/>
        <w:outlineLvl w:val="0"/>
        <w:rPr>
          <w:rFonts w:hint="eastAsia" w:ascii="宋体" w:hAnsi="宋体" w:eastAsia="宋体" w:cs="宋体"/>
          <w:b/>
          <w:sz w:val="24"/>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3" w:name="_Toc184312124"/>
      <w:bookmarkEnd w:id="33"/>
      <w:bookmarkStart w:id="34" w:name="_Toc184314435"/>
      <w:bookmarkEnd w:id="34"/>
      <w:bookmarkStart w:id="35" w:name="_Toc184308038"/>
      <w:bookmarkEnd w:id="35"/>
      <w:bookmarkStart w:id="36" w:name="_Toc184310272"/>
      <w:bookmarkEnd w:id="36"/>
      <w:bookmarkStart w:id="37" w:name="_Toc184314433"/>
      <w:bookmarkEnd w:id="37"/>
      <w:bookmarkStart w:id="38" w:name="_Toc184312138"/>
      <w:bookmarkEnd w:id="38"/>
      <w:bookmarkStart w:id="39" w:name="_Toc184312086"/>
      <w:bookmarkEnd w:id="39"/>
      <w:bookmarkStart w:id="40" w:name="_Toc184313291"/>
      <w:bookmarkEnd w:id="40"/>
      <w:bookmarkStart w:id="41" w:name="_Toc184314467"/>
      <w:bookmarkEnd w:id="41"/>
      <w:bookmarkStart w:id="42" w:name="_Toc184310339"/>
      <w:bookmarkEnd w:id="42"/>
      <w:bookmarkStart w:id="43" w:name="_Toc184308099"/>
      <w:bookmarkEnd w:id="43"/>
      <w:bookmarkStart w:id="44" w:name="_Toc184310275"/>
      <w:bookmarkEnd w:id="44"/>
      <w:bookmarkStart w:id="45" w:name="_Toc184314415"/>
      <w:bookmarkEnd w:id="45"/>
      <w:bookmarkStart w:id="46" w:name="_Toc184314474"/>
      <w:bookmarkEnd w:id="46"/>
      <w:bookmarkStart w:id="47" w:name="_Toc184312134"/>
      <w:bookmarkEnd w:id="47"/>
      <w:bookmarkStart w:id="48" w:name="_Toc184312130"/>
      <w:bookmarkEnd w:id="48"/>
      <w:bookmarkStart w:id="49" w:name="_Toc184308042"/>
      <w:bookmarkEnd w:id="49"/>
      <w:bookmarkStart w:id="50" w:name="_Toc184310297"/>
      <w:bookmarkEnd w:id="50"/>
      <w:bookmarkStart w:id="51" w:name="_Toc184313300"/>
      <w:bookmarkEnd w:id="51"/>
      <w:bookmarkStart w:id="52" w:name="_Toc184312117"/>
      <w:bookmarkEnd w:id="52"/>
      <w:bookmarkStart w:id="53" w:name="_Toc184314424"/>
      <w:bookmarkEnd w:id="53"/>
      <w:bookmarkStart w:id="54" w:name="_Toc184314451"/>
      <w:bookmarkEnd w:id="54"/>
      <w:bookmarkStart w:id="55" w:name="_Toc184313252"/>
      <w:bookmarkEnd w:id="55"/>
      <w:bookmarkStart w:id="56" w:name="_Toc184310336"/>
      <w:bookmarkEnd w:id="56"/>
      <w:bookmarkStart w:id="57" w:name="_Toc184312132"/>
      <w:bookmarkEnd w:id="57"/>
      <w:bookmarkStart w:id="58" w:name="_Toc184310284"/>
      <w:bookmarkEnd w:id="58"/>
      <w:bookmarkStart w:id="59" w:name="_Toc184308078"/>
      <w:bookmarkEnd w:id="59"/>
      <w:bookmarkStart w:id="60" w:name="_Toc184314418"/>
      <w:bookmarkEnd w:id="60"/>
      <w:bookmarkStart w:id="61" w:name="_Toc184314440"/>
      <w:bookmarkEnd w:id="61"/>
      <w:bookmarkStart w:id="62" w:name="_Toc184314429"/>
      <w:bookmarkEnd w:id="62"/>
      <w:bookmarkStart w:id="63" w:name="_Toc184313301"/>
      <w:bookmarkEnd w:id="63"/>
      <w:bookmarkStart w:id="64" w:name="_Toc184310300"/>
      <w:bookmarkEnd w:id="64"/>
      <w:bookmarkStart w:id="65" w:name="_Toc184313298"/>
      <w:bookmarkEnd w:id="65"/>
      <w:bookmarkStart w:id="66" w:name="_Toc184308068"/>
      <w:bookmarkEnd w:id="66"/>
      <w:bookmarkStart w:id="67" w:name="_Toc184310302"/>
      <w:bookmarkEnd w:id="67"/>
      <w:bookmarkStart w:id="68" w:name="_Toc184308059"/>
      <w:bookmarkEnd w:id="68"/>
      <w:bookmarkStart w:id="69" w:name="_Toc184312137"/>
      <w:bookmarkEnd w:id="69"/>
      <w:bookmarkStart w:id="70" w:name="_Toc184313265"/>
      <w:bookmarkEnd w:id="70"/>
      <w:bookmarkStart w:id="71" w:name="_Toc184310324"/>
      <w:bookmarkEnd w:id="71"/>
      <w:bookmarkStart w:id="72" w:name="_Toc184314410"/>
      <w:bookmarkEnd w:id="72"/>
      <w:bookmarkStart w:id="73" w:name="_Toc184310321"/>
      <w:bookmarkEnd w:id="73"/>
      <w:bookmarkStart w:id="74" w:name="_Toc184313263"/>
      <w:bookmarkEnd w:id="74"/>
      <w:bookmarkStart w:id="75" w:name="_Toc184313282"/>
      <w:bookmarkEnd w:id="75"/>
      <w:bookmarkStart w:id="76" w:name="_Toc184314468"/>
      <w:bookmarkEnd w:id="76"/>
      <w:bookmarkStart w:id="77" w:name="_Toc184312112"/>
      <w:bookmarkEnd w:id="77"/>
      <w:bookmarkStart w:id="78" w:name="_Toc184310313"/>
      <w:bookmarkEnd w:id="78"/>
      <w:bookmarkStart w:id="79" w:name="_Toc184313277"/>
      <w:bookmarkEnd w:id="79"/>
      <w:bookmarkStart w:id="80" w:name="_Toc184312113"/>
      <w:bookmarkEnd w:id="80"/>
      <w:bookmarkStart w:id="81" w:name="_Toc184312070"/>
      <w:bookmarkEnd w:id="81"/>
      <w:bookmarkStart w:id="82" w:name="_Toc184313249"/>
      <w:bookmarkEnd w:id="82"/>
      <w:bookmarkStart w:id="83" w:name="_Toc184314472"/>
      <w:bookmarkEnd w:id="83"/>
      <w:bookmarkStart w:id="84" w:name="_Toc184312099"/>
      <w:bookmarkEnd w:id="84"/>
      <w:bookmarkStart w:id="85" w:name="_Toc184313259"/>
      <w:bookmarkEnd w:id="85"/>
      <w:bookmarkStart w:id="86" w:name="_Toc184313260"/>
      <w:bookmarkEnd w:id="86"/>
      <w:bookmarkStart w:id="87" w:name="_Toc184314460"/>
      <w:bookmarkEnd w:id="87"/>
      <w:bookmarkStart w:id="88" w:name="_Toc184310334"/>
      <w:bookmarkEnd w:id="88"/>
      <w:bookmarkStart w:id="89" w:name="_Toc184313258"/>
      <w:bookmarkEnd w:id="89"/>
      <w:bookmarkStart w:id="90" w:name="_Toc184313247"/>
      <w:bookmarkEnd w:id="90"/>
      <w:bookmarkStart w:id="91" w:name="_Toc184314482"/>
      <w:bookmarkEnd w:id="91"/>
      <w:bookmarkStart w:id="92" w:name="_Toc184310330"/>
      <w:bookmarkEnd w:id="92"/>
      <w:bookmarkStart w:id="93" w:name="_Toc184308108"/>
      <w:bookmarkEnd w:id="93"/>
      <w:bookmarkStart w:id="94" w:name="_Toc184312103"/>
      <w:bookmarkEnd w:id="94"/>
      <w:bookmarkStart w:id="95" w:name="_Toc184312139"/>
      <w:bookmarkEnd w:id="95"/>
      <w:bookmarkStart w:id="96" w:name="_Toc184312091"/>
      <w:bookmarkEnd w:id="96"/>
      <w:bookmarkStart w:id="97" w:name="_Toc184308096"/>
      <w:bookmarkEnd w:id="97"/>
      <w:bookmarkStart w:id="98" w:name="_Toc184313254"/>
      <w:bookmarkEnd w:id="98"/>
      <w:bookmarkStart w:id="99" w:name="_Toc184313306"/>
      <w:bookmarkEnd w:id="99"/>
      <w:bookmarkStart w:id="100" w:name="_Toc184308090"/>
      <w:bookmarkEnd w:id="100"/>
      <w:bookmarkStart w:id="101" w:name="_Toc184308048"/>
      <w:bookmarkEnd w:id="101"/>
      <w:bookmarkStart w:id="102" w:name="_Toc184313273"/>
      <w:bookmarkEnd w:id="102"/>
      <w:bookmarkStart w:id="103" w:name="_Toc184308082"/>
      <w:bookmarkEnd w:id="103"/>
      <w:bookmarkStart w:id="104" w:name="_Toc184308071"/>
      <w:bookmarkEnd w:id="104"/>
      <w:bookmarkStart w:id="105" w:name="_Toc184308066"/>
      <w:bookmarkEnd w:id="105"/>
      <w:bookmarkStart w:id="106" w:name="_Toc184313289"/>
      <w:bookmarkEnd w:id="106"/>
      <w:bookmarkStart w:id="107" w:name="_Toc184312131"/>
      <w:bookmarkEnd w:id="107"/>
      <w:bookmarkStart w:id="108" w:name="_Toc184314470"/>
      <w:bookmarkEnd w:id="108"/>
      <w:bookmarkStart w:id="109" w:name="_Toc184308073"/>
      <w:bookmarkEnd w:id="109"/>
      <w:bookmarkStart w:id="110" w:name="_Toc184310280"/>
      <w:bookmarkEnd w:id="110"/>
      <w:bookmarkStart w:id="111" w:name="_Toc184312088"/>
      <w:bookmarkEnd w:id="111"/>
      <w:bookmarkStart w:id="112" w:name="_Toc184308058"/>
      <w:bookmarkEnd w:id="112"/>
      <w:bookmarkStart w:id="113" w:name="_Toc184314438"/>
      <w:bookmarkEnd w:id="113"/>
      <w:bookmarkStart w:id="114" w:name="_Toc184308106"/>
      <w:bookmarkEnd w:id="114"/>
      <w:bookmarkStart w:id="115" w:name="_Toc184310283"/>
      <w:bookmarkEnd w:id="115"/>
      <w:bookmarkStart w:id="116" w:name="_Toc184310308"/>
      <w:bookmarkEnd w:id="116"/>
      <w:bookmarkStart w:id="117" w:name="_Toc184308086"/>
      <w:bookmarkEnd w:id="117"/>
      <w:bookmarkStart w:id="118" w:name="_Toc184314463"/>
      <w:bookmarkEnd w:id="118"/>
      <w:bookmarkStart w:id="119" w:name="_Toc184308075"/>
      <w:bookmarkEnd w:id="119"/>
      <w:bookmarkStart w:id="120" w:name="_Toc184308062"/>
      <w:bookmarkEnd w:id="120"/>
      <w:bookmarkStart w:id="121" w:name="_Toc184313251"/>
      <w:bookmarkEnd w:id="121"/>
      <w:bookmarkStart w:id="122" w:name="_Toc184313274"/>
      <w:bookmarkEnd w:id="122"/>
      <w:bookmarkStart w:id="123" w:name="_Toc184312089"/>
      <w:bookmarkEnd w:id="123"/>
      <w:bookmarkStart w:id="124" w:name="_Toc184310291"/>
      <w:bookmarkEnd w:id="124"/>
      <w:bookmarkStart w:id="125" w:name="_Toc184308063"/>
      <w:bookmarkEnd w:id="125"/>
      <w:bookmarkStart w:id="126" w:name="_Toc184308052"/>
      <w:bookmarkEnd w:id="126"/>
      <w:bookmarkStart w:id="127" w:name="_Toc184313304"/>
      <w:bookmarkEnd w:id="127"/>
      <w:bookmarkStart w:id="128" w:name="_Toc184308084"/>
      <w:bookmarkEnd w:id="128"/>
      <w:bookmarkStart w:id="129" w:name="_Toc184308105"/>
      <w:bookmarkEnd w:id="129"/>
      <w:bookmarkStart w:id="130" w:name="_Toc184312135"/>
      <w:bookmarkEnd w:id="130"/>
      <w:bookmarkStart w:id="131" w:name="_Toc184313269"/>
      <w:bookmarkEnd w:id="131"/>
      <w:bookmarkStart w:id="132" w:name="_Toc184314417"/>
      <w:bookmarkEnd w:id="132"/>
      <w:bookmarkStart w:id="133" w:name="_Toc184312128"/>
      <w:bookmarkEnd w:id="133"/>
      <w:bookmarkStart w:id="134" w:name="_Toc184313296"/>
      <w:bookmarkEnd w:id="134"/>
      <w:bookmarkStart w:id="135" w:name="_Toc184310299"/>
      <w:bookmarkEnd w:id="135"/>
      <w:bookmarkStart w:id="136" w:name="_Toc184310294"/>
      <w:bookmarkEnd w:id="136"/>
      <w:bookmarkStart w:id="137" w:name="_Toc184312127"/>
      <w:bookmarkEnd w:id="137"/>
      <w:bookmarkStart w:id="138" w:name="_Toc184313238"/>
      <w:bookmarkEnd w:id="138"/>
      <w:bookmarkStart w:id="139" w:name="_Toc184308041"/>
      <w:bookmarkEnd w:id="139"/>
      <w:bookmarkStart w:id="140" w:name="_Toc184312126"/>
      <w:bookmarkEnd w:id="140"/>
      <w:bookmarkStart w:id="141" w:name="_Toc184312080"/>
      <w:bookmarkEnd w:id="141"/>
      <w:bookmarkStart w:id="142" w:name="_Toc184313281"/>
      <w:bookmarkEnd w:id="142"/>
      <w:bookmarkStart w:id="143" w:name="_Toc184310303"/>
      <w:bookmarkEnd w:id="143"/>
      <w:bookmarkStart w:id="144" w:name="_Toc184314466"/>
      <w:bookmarkEnd w:id="144"/>
      <w:bookmarkStart w:id="145" w:name="_Toc184308103"/>
      <w:bookmarkEnd w:id="145"/>
      <w:bookmarkStart w:id="146" w:name="_Toc184314471"/>
      <w:bookmarkEnd w:id="146"/>
      <w:bookmarkStart w:id="147" w:name="_Toc184310276"/>
      <w:bookmarkEnd w:id="147"/>
      <w:bookmarkStart w:id="148" w:name="_Toc184310307"/>
      <w:bookmarkEnd w:id="148"/>
      <w:bookmarkStart w:id="149" w:name="_Toc184310327"/>
      <w:bookmarkEnd w:id="149"/>
      <w:bookmarkStart w:id="150" w:name="_Toc184313305"/>
      <w:bookmarkEnd w:id="150"/>
      <w:bookmarkStart w:id="151" w:name="_Toc184308044"/>
      <w:bookmarkEnd w:id="151"/>
      <w:bookmarkStart w:id="152" w:name="_Toc184312118"/>
      <w:bookmarkEnd w:id="152"/>
      <w:bookmarkStart w:id="153" w:name="_Toc184314461"/>
      <w:bookmarkEnd w:id="153"/>
      <w:bookmarkStart w:id="154" w:name="_Toc184314448"/>
      <w:bookmarkEnd w:id="154"/>
      <w:bookmarkStart w:id="155" w:name="_Toc184308098"/>
      <w:bookmarkEnd w:id="155"/>
      <w:bookmarkStart w:id="156" w:name="_Toc184314423"/>
      <w:bookmarkEnd w:id="156"/>
      <w:bookmarkStart w:id="157" w:name="_Toc184310278"/>
      <w:bookmarkEnd w:id="157"/>
      <w:bookmarkStart w:id="158" w:name="_Toc184312076"/>
      <w:bookmarkEnd w:id="158"/>
      <w:bookmarkStart w:id="159" w:name="_Toc184308061"/>
      <w:bookmarkEnd w:id="159"/>
      <w:bookmarkStart w:id="160" w:name="_Toc184314421"/>
      <w:bookmarkEnd w:id="160"/>
      <w:bookmarkStart w:id="161" w:name="_Toc184313283"/>
      <w:bookmarkEnd w:id="161"/>
      <w:bookmarkStart w:id="162" w:name="_Toc184310340"/>
      <w:bookmarkEnd w:id="162"/>
      <w:bookmarkStart w:id="163" w:name="_Toc184312109"/>
      <w:bookmarkEnd w:id="163"/>
      <w:bookmarkStart w:id="164" w:name="_Toc184313255"/>
      <w:bookmarkEnd w:id="164"/>
      <w:bookmarkStart w:id="165" w:name="_Toc184310289"/>
      <w:bookmarkEnd w:id="165"/>
      <w:bookmarkStart w:id="166" w:name="_Toc184314450"/>
      <w:bookmarkEnd w:id="166"/>
      <w:bookmarkStart w:id="167" w:name="_Toc184308089"/>
      <w:bookmarkEnd w:id="167"/>
      <w:bookmarkStart w:id="168" w:name="_Toc184314452"/>
      <w:bookmarkEnd w:id="168"/>
      <w:bookmarkStart w:id="169" w:name="_Toc184312069"/>
      <w:bookmarkEnd w:id="169"/>
      <w:bookmarkStart w:id="170" w:name="_Toc184310282"/>
      <w:bookmarkEnd w:id="170"/>
      <w:bookmarkStart w:id="171" w:name="_Toc184314411"/>
      <w:bookmarkEnd w:id="171"/>
      <w:bookmarkStart w:id="172" w:name="_Toc184310281"/>
      <w:bookmarkEnd w:id="172"/>
      <w:bookmarkStart w:id="173" w:name="_Toc184308079"/>
      <w:bookmarkEnd w:id="173"/>
      <w:bookmarkStart w:id="174" w:name="_Toc184314441"/>
      <w:bookmarkEnd w:id="174"/>
      <w:bookmarkStart w:id="175" w:name="_Toc184313248"/>
      <w:bookmarkEnd w:id="175"/>
      <w:bookmarkStart w:id="176" w:name="_Toc184314416"/>
      <w:bookmarkEnd w:id="176"/>
      <w:bookmarkStart w:id="177" w:name="_Toc184308051"/>
      <w:bookmarkEnd w:id="177"/>
      <w:bookmarkStart w:id="178" w:name="_Toc184310293"/>
      <w:bookmarkEnd w:id="178"/>
      <w:bookmarkStart w:id="179" w:name="_Toc184314479"/>
      <w:bookmarkEnd w:id="179"/>
      <w:bookmarkStart w:id="180" w:name="_Toc184313244"/>
      <w:bookmarkEnd w:id="180"/>
      <w:bookmarkStart w:id="181" w:name="_Toc184312098"/>
      <w:bookmarkEnd w:id="181"/>
      <w:bookmarkStart w:id="182" w:name="_Toc184312119"/>
      <w:bookmarkEnd w:id="182"/>
      <w:bookmarkStart w:id="183" w:name="_Toc184308054"/>
      <w:bookmarkEnd w:id="183"/>
      <w:bookmarkStart w:id="184" w:name="_Toc184310332"/>
      <w:bookmarkEnd w:id="184"/>
      <w:bookmarkStart w:id="185" w:name="_Toc184314437"/>
      <w:bookmarkEnd w:id="185"/>
      <w:bookmarkStart w:id="186" w:name="_Toc184312093"/>
      <w:bookmarkEnd w:id="186"/>
      <w:bookmarkStart w:id="187" w:name="_Toc184314428"/>
      <w:bookmarkEnd w:id="187"/>
      <w:bookmarkStart w:id="188" w:name="_Toc184308049"/>
      <w:bookmarkEnd w:id="188"/>
      <w:bookmarkStart w:id="189" w:name="_Toc184313246"/>
      <w:bookmarkEnd w:id="189"/>
      <w:bookmarkStart w:id="190" w:name="_Toc184313276"/>
      <w:bookmarkEnd w:id="190"/>
      <w:bookmarkStart w:id="191" w:name="_Toc184314475"/>
      <w:bookmarkEnd w:id="191"/>
      <w:bookmarkStart w:id="192" w:name="_Toc184310311"/>
      <w:bookmarkEnd w:id="192"/>
      <w:bookmarkStart w:id="193" w:name="_Toc184308056"/>
      <w:bookmarkEnd w:id="193"/>
      <w:bookmarkStart w:id="194" w:name="_Toc184310329"/>
      <w:bookmarkEnd w:id="194"/>
      <w:bookmarkStart w:id="195" w:name="_Toc184308046"/>
      <w:bookmarkEnd w:id="195"/>
      <w:bookmarkStart w:id="196" w:name="_Toc184308072"/>
      <w:bookmarkEnd w:id="196"/>
      <w:bookmarkStart w:id="197" w:name="_Toc184314413"/>
      <w:bookmarkEnd w:id="197"/>
      <w:bookmarkStart w:id="198" w:name="_Toc184310323"/>
      <w:bookmarkEnd w:id="198"/>
      <w:bookmarkStart w:id="199" w:name="_Toc184310309"/>
      <w:bookmarkEnd w:id="199"/>
      <w:bookmarkStart w:id="200" w:name="_Toc184314481"/>
      <w:bookmarkEnd w:id="200"/>
      <w:bookmarkStart w:id="201" w:name="_Toc184314449"/>
      <w:bookmarkEnd w:id="201"/>
      <w:bookmarkStart w:id="202" w:name="_Toc184314480"/>
      <w:bookmarkEnd w:id="202"/>
      <w:bookmarkStart w:id="203" w:name="_Toc184310319"/>
      <w:bookmarkEnd w:id="203"/>
      <w:bookmarkStart w:id="204" w:name="_Toc184308107"/>
      <w:bookmarkEnd w:id="204"/>
      <w:bookmarkStart w:id="205" w:name="_Toc184312133"/>
      <w:bookmarkEnd w:id="205"/>
      <w:bookmarkStart w:id="206" w:name="_Toc184312106"/>
      <w:bookmarkEnd w:id="206"/>
      <w:bookmarkStart w:id="207" w:name="_Toc184314464"/>
      <w:bookmarkEnd w:id="207"/>
      <w:bookmarkStart w:id="208" w:name="_Toc184312085"/>
      <w:bookmarkEnd w:id="208"/>
      <w:bookmarkStart w:id="209" w:name="_Toc184314414"/>
      <w:bookmarkEnd w:id="209"/>
      <w:bookmarkStart w:id="210" w:name="_Toc184310317"/>
      <w:bookmarkEnd w:id="210"/>
      <w:bookmarkStart w:id="211" w:name="_Toc184312100"/>
      <w:bookmarkEnd w:id="211"/>
      <w:bookmarkStart w:id="212" w:name="_Toc184310335"/>
      <w:bookmarkEnd w:id="212"/>
      <w:bookmarkStart w:id="213" w:name="_Toc184310277"/>
      <w:bookmarkEnd w:id="213"/>
      <w:bookmarkStart w:id="214" w:name="_Toc184310342"/>
      <w:bookmarkEnd w:id="214"/>
      <w:bookmarkStart w:id="215" w:name="_Toc184313240"/>
      <w:bookmarkEnd w:id="215"/>
      <w:bookmarkStart w:id="216" w:name="_Toc184312136"/>
      <w:bookmarkEnd w:id="216"/>
      <w:bookmarkStart w:id="217" w:name="_Toc184310326"/>
      <w:bookmarkEnd w:id="217"/>
      <w:bookmarkStart w:id="218" w:name="_Toc184313262"/>
      <w:bookmarkEnd w:id="218"/>
      <w:bookmarkStart w:id="219" w:name="_Toc184314455"/>
      <w:bookmarkEnd w:id="219"/>
      <w:bookmarkStart w:id="220" w:name="_Toc184312077"/>
      <w:bookmarkEnd w:id="220"/>
      <w:bookmarkStart w:id="221" w:name="_Toc184313268"/>
      <w:bookmarkEnd w:id="221"/>
      <w:bookmarkStart w:id="222" w:name="_Toc184310310"/>
      <w:bookmarkEnd w:id="222"/>
      <w:bookmarkStart w:id="223" w:name="_Toc184314436"/>
      <w:bookmarkEnd w:id="223"/>
      <w:bookmarkStart w:id="224" w:name="_Toc184310344"/>
      <w:bookmarkEnd w:id="224"/>
      <w:bookmarkStart w:id="225" w:name="_Toc184313266"/>
      <w:bookmarkEnd w:id="225"/>
      <w:bookmarkStart w:id="226" w:name="_Toc184312096"/>
      <w:bookmarkEnd w:id="226"/>
      <w:bookmarkStart w:id="227" w:name="_Toc184312104"/>
      <w:bookmarkEnd w:id="227"/>
      <w:bookmarkStart w:id="228" w:name="_Toc184312123"/>
      <w:bookmarkEnd w:id="228"/>
      <w:bookmarkStart w:id="229" w:name="_Toc184314412"/>
      <w:bookmarkEnd w:id="229"/>
      <w:bookmarkStart w:id="230" w:name="_Toc184314425"/>
      <w:bookmarkEnd w:id="230"/>
      <w:bookmarkStart w:id="231" w:name="_Toc184314444"/>
      <w:bookmarkEnd w:id="231"/>
      <w:bookmarkStart w:id="232" w:name="_Toc184314446"/>
      <w:bookmarkEnd w:id="232"/>
      <w:bookmarkStart w:id="233" w:name="_Toc184313309"/>
      <w:bookmarkEnd w:id="233"/>
      <w:bookmarkStart w:id="234" w:name="_Toc184308092"/>
      <w:bookmarkEnd w:id="234"/>
      <w:bookmarkStart w:id="235" w:name="_Toc184314454"/>
      <w:bookmarkEnd w:id="235"/>
      <w:bookmarkStart w:id="236" w:name="_Toc184310337"/>
      <w:bookmarkEnd w:id="236"/>
      <w:bookmarkStart w:id="237" w:name="_Toc184313302"/>
      <w:bookmarkEnd w:id="237"/>
      <w:bookmarkStart w:id="238" w:name="_Toc184314465"/>
      <w:bookmarkEnd w:id="238"/>
      <w:bookmarkStart w:id="239" w:name="_Toc184308039"/>
      <w:bookmarkEnd w:id="239"/>
      <w:bookmarkStart w:id="240" w:name="_Toc184313270"/>
      <w:bookmarkEnd w:id="240"/>
      <w:bookmarkStart w:id="241" w:name="_Toc184314442"/>
      <w:bookmarkEnd w:id="241"/>
      <w:bookmarkStart w:id="242" w:name="_Toc184312081"/>
      <w:bookmarkEnd w:id="242"/>
      <w:bookmarkStart w:id="243" w:name="_Toc184310274"/>
      <w:bookmarkEnd w:id="243"/>
      <w:bookmarkStart w:id="244" w:name="_Toc184312067"/>
      <w:bookmarkEnd w:id="244"/>
      <w:bookmarkStart w:id="245" w:name="_Toc184312097"/>
      <w:bookmarkEnd w:id="245"/>
      <w:bookmarkStart w:id="246" w:name="_Toc184310343"/>
      <w:bookmarkEnd w:id="246"/>
      <w:bookmarkStart w:id="247" w:name="_Toc184313287"/>
      <w:bookmarkEnd w:id="247"/>
      <w:bookmarkStart w:id="248" w:name="_Toc184308057"/>
      <w:bookmarkEnd w:id="248"/>
      <w:bookmarkStart w:id="249" w:name="_Toc184308102"/>
      <w:bookmarkEnd w:id="249"/>
      <w:bookmarkStart w:id="250" w:name="_Toc184312071"/>
      <w:bookmarkEnd w:id="250"/>
      <w:bookmarkStart w:id="251" w:name="_Toc184312068"/>
      <w:bookmarkEnd w:id="251"/>
      <w:bookmarkStart w:id="252" w:name="_Toc184314462"/>
      <w:bookmarkEnd w:id="252"/>
      <w:bookmarkStart w:id="253" w:name="_Toc184314443"/>
      <w:bookmarkEnd w:id="253"/>
      <w:bookmarkStart w:id="254" w:name="_Toc184314439"/>
      <w:bookmarkEnd w:id="254"/>
      <w:bookmarkStart w:id="255" w:name="_Toc184308100"/>
      <w:bookmarkEnd w:id="255"/>
      <w:bookmarkStart w:id="256" w:name="_Toc184312120"/>
      <w:bookmarkEnd w:id="256"/>
      <w:bookmarkStart w:id="257" w:name="_Toc184312116"/>
      <w:bookmarkEnd w:id="257"/>
      <w:bookmarkStart w:id="258" w:name="_Toc184308093"/>
      <w:bookmarkEnd w:id="258"/>
      <w:bookmarkStart w:id="259" w:name="_Toc184312075"/>
      <w:bookmarkEnd w:id="259"/>
      <w:bookmarkStart w:id="260" w:name="_Toc184314459"/>
      <w:bookmarkEnd w:id="260"/>
      <w:bookmarkStart w:id="261" w:name="_Toc184310292"/>
      <w:bookmarkEnd w:id="261"/>
      <w:bookmarkStart w:id="262" w:name="_Toc184313288"/>
      <w:bookmarkEnd w:id="262"/>
      <w:bookmarkStart w:id="263" w:name="_Toc184314457"/>
      <w:bookmarkEnd w:id="263"/>
      <w:bookmarkStart w:id="264" w:name="_Toc184312115"/>
      <w:bookmarkEnd w:id="264"/>
      <w:bookmarkStart w:id="265" w:name="_Toc184314434"/>
      <w:bookmarkEnd w:id="265"/>
      <w:bookmarkStart w:id="266" w:name="_Toc184312092"/>
      <w:bookmarkEnd w:id="266"/>
      <w:bookmarkStart w:id="267" w:name="_Toc184310286"/>
      <w:bookmarkEnd w:id="267"/>
      <w:bookmarkStart w:id="268" w:name="_Toc184310288"/>
      <w:bookmarkEnd w:id="268"/>
      <w:bookmarkStart w:id="269" w:name="_Toc184308069"/>
      <w:bookmarkEnd w:id="269"/>
      <w:bookmarkStart w:id="270" w:name="_Toc184310301"/>
      <w:bookmarkEnd w:id="270"/>
      <w:bookmarkStart w:id="271" w:name="_Toc184313275"/>
      <w:bookmarkEnd w:id="271"/>
      <w:bookmarkStart w:id="272" w:name="_Toc184313299"/>
      <w:bookmarkEnd w:id="272"/>
      <w:bookmarkStart w:id="273" w:name="_Toc184308097"/>
      <w:bookmarkEnd w:id="273"/>
      <w:bookmarkStart w:id="274" w:name="_Toc184314419"/>
      <w:bookmarkEnd w:id="274"/>
      <w:bookmarkStart w:id="275" w:name="_Toc184308083"/>
      <w:bookmarkEnd w:id="275"/>
      <w:bookmarkStart w:id="276" w:name="_Toc184312101"/>
      <w:bookmarkEnd w:id="276"/>
      <w:bookmarkStart w:id="277" w:name="_Toc184308036"/>
      <w:bookmarkEnd w:id="277"/>
      <w:bookmarkStart w:id="278" w:name="_Toc184310285"/>
      <w:bookmarkEnd w:id="278"/>
      <w:bookmarkStart w:id="279" w:name="_Toc184310325"/>
      <w:bookmarkEnd w:id="279"/>
      <w:bookmarkStart w:id="280" w:name="_Toc184313294"/>
      <w:bookmarkEnd w:id="280"/>
      <w:bookmarkStart w:id="281" w:name="_Toc184313256"/>
      <w:bookmarkEnd w:id="281"/>
      <w:bookmarkStart w:id="282" w:name="_Toc184308088"/>
      <w:bookmarkEnd w:id="282"/>
      <w:bookmarkStart w:id="283" w:name="_Toc184313295"/>
      <w:bookmarkEnd w:id="283"/>
      <w:bookmarkStart w:id="284" w:name="_Toc184312079"/>
      <w:bookmarkEnd w:id="284"/>
      <w:bookmarkStart w:id="285" w:name="_Toc184308094"/>
      <w:bookmarkEnd w:id="285"/>
      <w:bookmarkStart w:id="286" w:name="_Toc184308045"/>
      <w:bookmarkEnd w:id="286"/>
      <w:bookmarkStart w:id="287" w:name="_Toc184313280"/>
      <w:bookmarkEnd w:id="287"/>
      <w:bookmarkStart w:id="288" w:name="_Toc184313257"/>
      <w:bookmarkEnd w:id="288"/>
      <w:bookmarkStart w:id="289" w:name="_Toc184310314"/>
      <w:bookmarkEnd w:id="289"/>
      <w:bookmarkStart w:id="290" w:name="_Toc184312084"/>
      <w:bookmarkEnd w:id="290"/>
      <w:bookmarkStart w:id="291" w:name="_Toc184313284"/>
      <w:bookmarkEnd w:id="291"/>
      <w:bookmarkStart w:id="292" w:name="_Toc184314432"/>
      <w:bookmarkEnd w:id="292"/>
      <w:bookmarkStart w:id="293" w:name="_Toc184308047"/>
      <w:bookmarkEnd w:id="293"/>
      <w:bookmarkStart w:id="294" w:name="_Toc184310290"/>
      <w:bookmarkEnd w:id="294"/>
      <w:bookmarkStart w:id="295" w:name="_Toc184313308"/>
      <w:bookmarkEnd w:id="295"/>
      <w:bookmarkStart w:id="296" w:name="_Toc184313310"/>
      <w:bookmarkEnd w:id="296"/>
      <w:bookmarkStart w:id="297" w:name="_Toc184312073"/>
      <w:bookmarkEnd w:id="297"/>
      <w:bookmarkStart w:id="298" w:name="_Toc184314420"/>
      <w:bookmarkEnd w:id="298"/>
      <w:bookmarkStart w:id="299" w:name="_Toc184308037"/>
      <w:bookmarkEnd w:id="299"/>
      <w:bookmarkStart w:id="300" w:name="_Toc184314427"/>
      <w:bookmarkEnd w:id="300"/>
      <w:bookmarkStart w:id="301" w:name="_Toc184310333"/>
      <w:bookmarkEnd w:id="301"/>
      <w:bookmarkStart w:id="302" w:name="_Toc184308074"/>
      <w:bookmarkEnd w:id="302"/>
      <w:bookmarkStart w:id="303" w:name="_Toc184314456"/>
      <w:bookmarkEnd w:id="303"/>
      <w:bookmarkStart w:id="304" w:name="_Toc184313261"/>
      <w:bookmarkEnd w:id="304"/>
      <w:bookmarkStart w:id="305" w:name="_Toc184313243"/>
      <w:bookmarkEnd w:id="305"/>
      <w:bookmarkStart w:id="306" w:name="_Toc184313279"/>
      <w:bookmarkEnd w:id="306"/>
      <w:bookmarkStart w:id="307" w:name="_Toc184312129"/>
      <w:bookmarkEnd w:id="307"/>
      <w:bookmarkStart w:id="308" w:name="_Toc184313307"/>
      <w:bookmarkEnd w:id="308"/>
      <w:bookmarkStart w:id="309" w:name="_Toc184313239"/>
      <w:bookmarkEnd w:id="309"/>
      <w:bookmarkStart w:id="310" w:name="_Toc184308087"/>
      <w:bookmarkEnd w:id="310"/>
      <w:bookmarkStart w:id="311" w:name="_Toc184312102"/>
      <w:bookmarkEnd w:id="311"/>
      <w:bookmarkStart w:id="312" w:name="_Toc184308080"/>
      <w:bookmarkEnd w:id="312"/>
      <w:bookmarkStart w:id="313" w:name="_Toc184308043"/>
      <w:bookmarkEnd w:id="313"/>
      <w:bookmarkStart w:id="314" w:name="_Toc184308070"/>
      <w:bookmarkEnd w:id="314"/>
      <w:bookmarkStart w:id="315" w:name="_Toc184314431"/>
      <w:bookmarkEnd w:id="315"/>
      <w:bookmarkStart w:id="316" w:name="_Toc184312105"/>
      <w:bookmarkEnd w:id="316"/>
      <w:bookmarkStart w:id="317" w:name="_Toc184313286"/>
      <w:bookmarkEnd w:id="317"/>
      <w:bookmarkStart w:id="318" w:name="_Toc184310296"/>
      <w:bookmarkEnd w:id="318"/>
      <w:bookmarkStart w:id="319" w:name="_Toc184308085"/>
      <w:bookmarkEnd w:id="319"/>
      <w:bookmarkStart w:id="320" w:name="_Toc184308077"/>
      <w:bookmarkEnd w:id="320"/>
      <w:bookmarkStart w:id="321" w:name="_Toc184310273"/>
      <w:bookmarkEnd w:id="321"/>
      <w:bookmarkStart w:id="322" w:name="_Toc184308095"/>
      <w:bookmarkEnd w:id="322"/>
      <w:bookmarkStart w:id="323" w:name="_Toc184313292"/>
      <w:bookmarkEnd w:id="323"/>
      <w:bookmarkStart w:id="324" w:name="_Toc184310331"/>
      <w:bookmarkEnd w:id="324"/>
      <w:bookmarkStart w:id="325" w:name="_Toc184308067"/>
      <w:bookmarkEnd w:id="325"/>
      <w:bookmarkStart w:id="326" w:name="_Toc184308104"/>
      <w:bookmarkEnd w:id="326"/>
      <w:bookmarkStart w:id="327" w:name="_Toc184310298"/>
      <w:bookmarkEnd w:id="327"/>
      <w:bookmarkStart w:id="328" w:name="_Toc184314476"/>
      <w:bookmarkEnd w:id="328"/>
      <w:bookmarkStart w:id="329" w:name="_Toc184312078"/>
      <w:bookmarkEnd w:id="329"/>
      <w:bookmarkStart w:id="330" w:name="_Toc184313272"/>
      <w:bookmarkEnd w:id="330"/>
      <w:bookmarkStart w:id="331" w:name="_Toc184312082"/>
      <w:bookmarkEnd w:id="331"/>
      <w:bookmarkStart w:id="332" w:name="_Toc184312083"/>
      <w:bookmarkEnd w:id="332"/>
      <w:bookmarkStart w:id="333" w:name="_Toc184313271"/>
      <w:bookmarkEnd w:id="333"/>
      <w:bookmarkStart w:id="334" w:name="_Toc184310295"/>
      <w:bookmarkEnd w:id="334"/>
      <w:bookmarkStart w:id="335" w:name="_Toc184312125"/>
      <w:bookmarkEnd w:id="335"/>
      <w:bookmarkStart w:id="336" w:name="_Toc184313250"/>
      <w:bookmarkEnd w:id="336"/>
      <w:bookmarkStart w:id="337" w:name="_Toc184308064"/>
      <w:bookmarkEnd w:id="337"/>
      <w:bookmarkStart w:id="338" w:name="_Toc184308065"/>
      <w:bookmarkEnd w:id="338"/>
      <w:bookmarkStart w:id="339" w:name="_Toc184310315"/>
      <w:bookmarkEnd w:id="339"/>
      <w:bookmarkStart w:id="340" w:name="_Toc184310318"/>
      <w:bookmarkEnd w:id="340"/>
      <w:bookmarkStart w:id="341" w:name="_Toc184308040"/>
      <w:bookmarkEnd w:id="341"/>
      <w:bookmarkStart w:id="342" w:name="_Toc184312107"/>
      <w:bookmarkEnd w:id="342"/>
      <w:bookmarkStart w:id="343" w:name="_Toc184313267"/>
      <w:bookmarkEnd w:id="343"/>
      <w:bookmarkStart w:id="344" w:name="_Toc184313297"/>
      <w:bookmarkEnd w:id="344"/>
      <w:bookmarkStart w:id="345" w:name="_Toc184313303"/>
      <w:bookmarkEnd w:id="345"/>
      <w:bookmarkStart w:id="346" w:name="_Toc184310328"/>
      <w:bookmarkEnd w:id="346"/>
      <w:bookmarkStart w:id="347" w:name="_Toc184308055"/>
      <w:bookmarkEnd w:id="347"/>
      <w:bookmarkStart w:id="348" w:name="_Toc184310287"/>
      <w:bookmarkEnd w:id="348"/>
      <w:bookmarkStart w:id="349" w:name="_Toc184312111"/>
      <w:bookmarkEnd w:id="349"/>
      <w:bookmarkStart w:id="350" w:name="_Toc184308050"/>
      <w:bookmarkEnd w:id="350"/>
      <w:bookmarkStart w:id="351" w:name="_Toc184310316"/>
      <w:bookmarkEnd w:id="351"/>
      <w:bookmarkStart w:id="352" w:name="_Toc184314473"/>
      <w:bookmarkEnd w:id="352"/>
      <w:bookmarkStart w:id="353" w:name="_Toc184313253"/>
      <w:bookmarkEnd w:id="353"/>
      <w:bookmarkStart w:id="354" w:name="_Toc184313245"/>
      <w:bookmarkEnd w:id="354"/>
      <w:bookmarkStart w:id="355" w:name="_Toc184308076"/>
      <w:bookmarkEnd w:id="355"/>
      <w:bookmarkStart w:id="356" w:name="_Toc184310341"/>
      <w:bookmarkEnd w:id="356"/>
      <w:bookmarkStart w:id="357" w:name="_Toc184314469"/>
      <w:bookmarkEnd w:id="357"/>
      <w:bookmarkStart w:id="358" w:name="_Toc184312121"/>
      <w:bookmarkEnd w:id="358"/>
      <w:bookmarkStart w:id="359" w:name="_Toc184314447"/>
      <w:bookmarkEnd w:id="359"/>
      <w:bookmarkStart w:id="360" w:name="_Toc184314445"/>
      <w:bookmarkEnd w:id="360"/>
      <w:bookmarkStart w:id="361" w:name="_Toc184314458"/>
      <w:bookmarkEnd w:id="361"/>
      <w:bookmarkStart w:id="362" w:name="_Toc184313278"/>
      <w:bookmarkEnd w:id="362"/>
      <w:bookmarkStart w:id="363" w:name="_Toc184312114"/>
      <w:bookmarkEnd w:id="363"/>
      <w:bookmarkStart w:id="364" w:name="_Toc184310306"/>
      <w:bookmarkEnd w:id="364"/>
      <w:bookmarkStart w:id="365" w:name="_Toc184310312"/>
      <w:bookmarkEnd w:id="365"/>
      <w:bookmarkStart w:id="366" w:name="_Toc184308081"/>
      <w:bookmarkEnd w:id="366"/>
      <w:bookmarkStart w:id="367" w:name="_Toc184314426"/>
      <w:bookmarkEnd w:id="367"/>
      <w:bookmarkStart w:id="368" w:name="_Toc184310322"/>
      <w:bookmarkEnd w:id="368"/>
      <w:bookmarkStart w:id="369" w:name="_Toc184308053"/>
      <w:bookmarkEnd w:id="369"/>
      <w:bookmarkStart w:id="370" w:name="_Toc184313293"/>
      <w:bookmarkEnd w:id="370"/>
      <w:bookmarkStart w:id="371" w:name="_Toc184312094"/>
      <w:bookmarkEnd w:id="371"/>
      <w:bookmarkStart w:id="372" w:name="_Toc184310320"/>
      <w:bookmarkEnd w:id="372"/>
      <w:bookmarkStart w:id="373" w:name="_Toc184314430"/>
      <w:bookmarkEnd w:id="373"/>
      <w:bookmarkStart w:id="374" w:name="_Toc184312087"/>
      <w:bookmarkEnd w:id="374"/>
      <w:bookmarkStart w:id="375" w:name="_Toc184313285"/>
      <w:bookmarkEnd w:id="375"/>
      <w:bookmarkStart w:id="376" w:name="_Toc184310279"/>
      <w:bookmarkEnd w:id="376"/>
      <w:bookmarkStart w:id="377" w:name="_Toc184313264"/>
      <w:bookmarkEnd w:id="377"/>
      <w:bookmarkStart w:id="378" w:name="_Toc184312108"/>
      <w:bookmarkEnd w:id="378"/>
      <w:bookmarkStart w:id="379" w:name="_Toc184313242"/>
      <w:bookmarkEnd w:id="379"/>
      <w:bookmarkStart w:id="380" w:name="_Toc184312110"/>
      <w:bookmarkEnd w:id="380"/>
      <w:bookmarkStart w:id="381" w:name="_Toc184313241"/>
      <w:bookmarkEnd w:id="381"/>
      <w:bookmarkStart w:id="382" w:name="_Toc184312122"/>
      <w:bookmarkEnd w:id="382"/>
      <w:bookmarkStart w:id="383" w:name="_Toc184308091"/>
      <w:bookmarkEnd w:id="383"/>
      <w:bookmarkStart w:id="384" w:name="_Toc184314478"/>
      <w:bookmarkEnd w:id="384"/>
      <w:bookmarkStart w:id="385" w:name="_Toc184310304"/>
      <w:bookmarkEnd w:id="385"/>
      <w:bookmarkStart w:id="386" w:name="_Toc184314422"/>
      <w:bookmarkEnd w:id="386"/>
      <w:bookmarkStart w:id="387" w:name="_Toc184312090"/>
      <w:bookmarkEnd w:id="387"/>
      <w:bookmarkStart w:id="388" w:name="_Toc184312072"/>
      <w:bookmarkEnd w:id="388"/>
      <w:bookmarkStart w:id="389" w:name="_Toc184310338"/>
      <w:bookmarkEnd w:id="389"/>
      <w:bookmarkStart w:id="390" w:name="_Toc184314477"/>
      <w:bookmarkEnd w:id="390"/>
      <w:bookmarkStart w:id="391" w:name="_Toc184314453"/>
      <w:bookmarkEnd w:id="391"/>
      <w:bookmarkStart w:id="392" w:name="_Toc184308060"/>
      <w:bookmarkEnd w:id="392"/>
      <w:bookmarkStart w:id="393" w:name="_Toc184312074"/>
      <w:bookmarkEnd w:id="393"/>
      <w:bookmarkStart w:id="394" w:name="_Toc184310305"/>
      <w:bookmarkEnd w:id="394"/>
      <w:bookmarkStart w:id="395" w:name="_Toc184313290"/>
      <w:bookmarkEnd w:id="395"/>
      <w:bookmarkStart w:id="396" w:name="_Toc184312095"/>
      <w:bookmarkEnd w:id="396"/>
      <w:bookmarkStart w:id="397" w:name="_Toc184308101"/>
      <w:bookmarkEnd w:id="397"/>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6"/>
        <w:tblpPr w:leftFromText="180" w:rightFromText="180" w:vertAnchor="text" w:horzAnchor="page" w:tblpX="1203" w:tblpY="610"/>
        <w:tblOverlap w:val="never"/>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269"/>
        <w:gridCol w:w="466"/>
        <w:gridCol w:w="110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59" w:type="dxa"/>
            <w:vAlign w:val="center"/>
          </w:tcPr>
          <w:p>
            <w:pPr>
              <w:jc w:val="center"/>
              <w:outlineLvl w:val="0"/>
              <w:rPr>
                <w:rFonts w:ascii="宋体" w:hAnsi="宋体" w:cs="宋体"/>
                <w:bCs/>
                <w:color w:val="auto"/>
                <w:sz w:val="22"/>
                <w:szCs w:val="22"/>
              </w:rPr>
            </w:pPr>
            <w:r>
              <w:rPr>
                <w:rFonts w:hint="eastAsia" w:ascii="宋体" w:hAnsi="宋体" w:cs="宋体"/>
                <w:bCs/>
                <w:color w:val="auto"/>
                <w:sz w:val="22"/>
                <w:szCs w:val="22"/>
              </w:rPr>
              <w:t>序号</w:t>
            </w:r>
          </w:p>
        </w:tc>
        <w:tc>
          <w:tcPr>
            <w:tcW w:w="6269" w:type="dxa"/>
            <w:vAlign w:val="center"/>
          </w:tcPr>
          <w:p>
            <w:pPr>
              <w:jc w:val="center"/>
              <w:outlineLvl w:val="0"/>
              <w:rPr>
                <w:rFonts w:ascii="宋体" w:hAnsi="宋体" w:cs="宋体"/>
                <w:bCs/>
                <w:color w:val="auto"/>
                <w:sz w:val="22"/>
                <w:szCs w:val="22"/>
              </w:rPr>
            </w:pPr>
            <w:r>
              <w:rPr>
                <w:rFonts w:hint="eastAsia" w:ascii="宋体" w:hAnsi="宋体" w:cs="宋体"/>
                <w:bCs/>
                <w:color w:val="auto"/>
                <w:sz w:val="22"/>
                <w:szCs w:val="22"/>
              </w:rPr>
              <w:t>评审标准</w:t>
            </w:r>
          </w:p>
        </w:tc>
        <w:tc>
          <w:tcPr>
            <w:tcW w:w="466" w:type="dxa"/>
            <w:vAlign w:val="center"/>
          </w:tcPr>
          <w:p>
            <w:pPr>
              <w:jc w:val="center"/>
              <w:outlineLvl w:val="0"/>
              <w:rPr>
                <w:rFonts w:ascii="宋体" w:hAnsi="宋体" w:cs="宋体"/>
                <w:bCs/>
                <w:color w:val="auto"/>
                <w:sz w:val="22"/>
                <w:szCs w:val="22"/>
              </w:rPr>
            </w:pPr>
            <w:r>
              <w:rPr>
                <w:rFonts w:hint="eastAsia" w:ascii="宋体" w:hAnsi="宋体" w:cs="宋体"/>
                <w:bCs/>
                <w:color w:val="auto"/>
                <w:sz w:val="22"/>
                <w:szCs w:val="22"/>
              </w:rPr>
              <w:t>权重</w:t>
            </w:r>
          </w:p>
        </w:tc>
        <w:tc>
          <w:tcPr>
            <w:tcW w:w="1102" w:type="dxa"/>
          </w:tcPr>
          <w:p>
            <w:pPr>
              <w:jc w:val="center"/>
              <w:outlineLvl w:val="0"/>
              <w:rPr>
                <w:rFonts w:ascii="宋体" w:hAnsi="宋体" w:cs="宋体"/>
                <w:bCs/>
                <w:color w:val="auto"/>
                <w:sz w:val="22"/>
                <w:szCs w:val="22"/>
              </w:rPr>
            </w:pPr>
            <w:r>
              <w:rPr>
                <w:rFonts w:hint="eastAsia" w:ascii="宋体" w:hAnsi="宋体" w:cs="宋体"/>
                <w:bCs/>
                <w:color w:val="auto"/>
                <w:sz w:val="22"/>
                <w:szCs w:val="22"/>
              </w:rPr>
              <w:t>主观分/客观分属性</w:t>
            </w:r>
          </w:p>
        </w:tc>
        <w:tc>
          <w:tcPr>
            <w:tcW w:w="1695" w:type="dxa"/>
          </w:tcPr>
          <w:p>
            <w:pPr>
              <w:outlineLvl w:val="0"/>
              <w:rPr>
                <w:rFonts w:ascii="宋体" w:hAnsi="宋体" w:cs="宋体"/>
                <w:bCs/>
                <w:color w:val="auto"/>
                <w:sz w:val="22"/>
                <w:szCs w:val="22"/>
              </w:rPr>
            </w:pPr>
            <w:r>
              <w:rPr>
                <w:rFonts w:hint="eastAsia" w:ascii="宋体" w:hAnsi="宋体" w:cs="宋体"/>
                <w:bCs/>
                <w:color w:val="auto"/>
                <w:sz w:val="22"/>
                <w:szCs w:val="22"/>
              </w:rPr>
              <w:t>投标文件中评标标准相应的商务技术资料目录</w:t>
            </w:r>
            <w:r>
              <w:rPr>
                <w:rFonts w:hint="eastAsia" w:ascii="宋体" w:hAnsi="宋体" w:cs="宋体"/>
                <w:color w:val="auto"/>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对本项目政策背景、项目区域内农业水价改革现状，存在问题等方面理解情况进行评分，本项最高得</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pacing w:val="2"/>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pacing w:val="2"/>
                <w:sz w:val="22"/>
                <w:szCs w:val="22"/>
              </w:rPr>
              <w:t>对本项目操作实施提出有参考价值</w:t>
            </w:r>
            <w:r>
              <w:rPr>
                <w:rFonts w:hint="eastAsia" w:ascii="宋体" w:hAnsi="宋体" w:cs="宋体"/>
                <w:color w:val="auto"/>
                <w:spacing w:val="2"/>
                <w:sz w:val="22"/>
                <w:szCs w:val="22"/>
                <w:lang w:eastAsia="zh-CN"/>
              </w:rPr>
              <w:t>的</w:t>
            </w:r>
            <w:r>
              <w:rPr>
                <w:rFonts w:hint="eastAsia" w:ascii="宋体" w:hAnsi="宋体" w:cs="宋体"/>
                <w:color w:val="auto"/>
                <w:sz w:val="22"/>
                <w:szCs w:val="22"/>
              </w:rPr>
              <w:t>工作思路</w:t>
            </w:r>
            <w:r>
              <w:rPr>
                <w:rFonts w:hint="eastAsia" w:ascii="宋体" w:hAnsi="宋体" w:cs="宋体"/>
                <w:color w:val="auto"/>
                <w:sz w:val="22"/>
                <w:szCs w:val="22"/>
                <w:lang w:eastAsia="zh-CN"/>
              </w:rPr>
              <w:t>和</w:t>
            </w:r>
            <w:r>
              <w:rPr>
                <w:rFonts w:hint="eastAsia" w:ascii="宋体" w:hAnsi="宋体" w:cs="宋体"/>
                <w:color w:val="auto"/>
                <w:sz w:val="22"/>
                <w:szCs w:val="22"/>
              </w:rPr>
              <w:t>技术路线科</w:t>
            </w:r>
            <w:r>
              <w:rPr>
                <w:rFonts w:hint="eastAsia" w:ascii="宋体" w:hAnsi="宋体" w:cs="宋体"/>
                <w:color w:val="auto"/>
                <w:sz w:val="22"/>
                <w:szCs w:val="22"/>
                <w:lang w:eastAsia="zh-CN"/>
              </w:rPr>
              <w:t>学</w:t>
            </w:r>
            <w:r>
              <w:rPr>
                <w:rFonts w:hint="eastAsia" w:ascii="宋体" w:hAnsi="宋体" w:cs="宋体"/>
                <w:color w:val="auto"/>
                <w:spacing w:val="2"/>
                <w:sz w:val="22"/>
                <w:szCs w:val="22"/>
              </w:rPr>
              <w:t>合理化建议进行打分</w:t>
            </w:r>
            <w:r>
              <w:rPr>
                <w:rFonts w:hint="eastAsia" w:ascii="宋体" w:hAnsi="宋体" w:cs="宋体"/>
                <w:color w:val="auto"/>
                <w:sz w:val="22"/>
                <w:szCs w:val="22"/>
              </w:rPr>
              <w:t>，本项最高得4分。</w:t>
            </w:r>
          </w:p>
        </w:tc>
        <w:tc>
          <w:tcPr>
            <w:tcW w:w="466"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4</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对项目区域内农业水价改革相关资料收集齐全情况进行打分，本项最高得4分。</w:t>
            </w:r>
          </w:p>
        </w:tc>
        <w:tc>
          <w:tcPr>
            <w:tcW w:w="466"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4</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的服务方案</w:t>
            </w:r>
            <w:r>
              <w:rPr>
                <w:rFonts w:hint="eastAsia" w:ascii="宋体" w:hAnsi="宋体" w:cs="宋体"/>
                <w:color w:val="auto"/>
                <w:sz w:val="22"/>
                <w:szCs w:val="22"/>
                <w:lang w:eastAsia="zh-CN"/>
              </w:rPr>
              <w:t>、</w:t>
            </w:r>
            <w:r>
              <w:rPr>
                <w:rFonts w:hint="eastAsia" w:ascii="宋体" w:hAnsi="宋体" w:cs="宋体"/>
                <w:color w:val="auto"/>
                <w:sz w:val="22"/>
                <w:szCs w:val="22"/>
              </w:rPr>
              <w:t>质量与管理措施方案，针对方案的质量保证目标明确性，内部校审制度齐全、质量保证措施等情况进行打分，本项最高得</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tc>
        <w:tc>
          <w:tcPr>
            <w:tcW w:w="466" w:type="dxa"/>
            <w:vAlign w:val="center"/>
          </w:tcPr>
          <w:p>
            <w:pPr>
              <w:widowControl/>
              <w:snapToGrid w:val="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的项目进度方案，针对进度安排与采购需求切合性，节点之间细化合理性，进度控制措施科学合理性等情况进行打分，本项最高得</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tc>
        <w:tc>
          <w:tcPr>
            <w:tcW w:w="466" w:type="dxa"/>
            <w:vAlign w:val="center"/>
          </w:tcPr>
          <w:p>
            <w:pPr>
              <w:widowControl/>
              <w:snapToGrid w:val="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 xml:space="preserve">提供技术服务过程中的安全保障和数据保密措施进行打分，本项最高得4分。 </w:t>
            </w:r>
          </w:p>
        </w:tc>
        <w:tc>
          <w:tcPr>
            <w:tcW w:w="466"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4</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6269" w:type="dxa"/>
            <w:vAlign w:val="center"/>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提供服务的便利性，应急响应制度，遇紧急、特殊项目的应急响应制度、保障措施等方面打分，本项最高得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tc>
        <w:tc>
          <w:tcPr>
            <w:tcW w:w="466" w:type="dxa"/>
            <w:vAlign w:val="center"/>
          </w:tcPr>
          <w:p>
            <w:pPr>
              <w:widowControl/>
              <w:snapToGrid w:val="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1102" w:type="dxa"/>
            <w:vAlign w:val="center"/>
          </w:tcPr>
          <w:p>
            <w:pPr>
              <w:widowControl/>
              <w:snapToGrid w:val="0"/>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kern w:val="0"/>
                <w:sz w:val="22"/>
                <w:szCs w:val="22"/>
              </w:rPr>
              <w:t>拟派项目负责人具有水利类高级工程师及以上职称得2分；项目负责人同时具备咨询工程师任职资格得</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分；本项最高得</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分。</w:t>
            </w:r>
            <w:r>
              <w:rPr>
                <w:rFonts w:hint="eastAsia" w:ascii="宋体" w:hAnsi="宋体" w:cs="宋体"/>
                <w:b/>
                <w:color w:val="auto"/>
                <w:kern w:val="0"/>
                <w:sz w:val="22"/>
                <w:szCs w:val="22"/>
              </w:rPr>
              <w:t>（须提供相关职称证书及近三个月在本单位社保证明材料复印件加盖公章）</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9</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kern w:val="0"/>
                <w:sz w:val="22"/>
                <w:szCs w:val="22"/>
              </w:rPr>
              <w:t>拟派项目负责人承担过农业水价综合改革技术服务项目，且绩效考评结果为省级优秀的，每1个得</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分，最高得</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分。</w:t>
            </w:r>
            <w:r>
              <w:rPr>
                <w:rFonts w:hint="eastAsia" w:ascii="宋体" w:hAnsi="宋体" w:cs="宋体"/>
                <w:b/>
                <w:color w:val="auto"/>
                <w:kern w:val="0"/>
                <w:sz w:val="22"/>
                <w:szCs w:val="22"/>
              </w:rPr>
              <w:t>（须提供绩效考评证明及近三个月在本单位社保证明材料复印件加盖公章）</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kern w:val="0"/>
                <w:sz w:val="22"/>
                <w:szCs w:val="22"/>
              </w:rPr>
              <w:t>拟派项目负责人获得优秀咨询成果奖或水利类科技创新奖，县级每项</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分，市级每项</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分，省级每项</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分，最高得</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分。</w:t>
            </w:r>
            <w:r>
              <w:rPr>
                <w:rFonts w:hint="eastAsia" w:ascii="宋体" w:hAnsi="宋体" w:cs="宋体"/>
                <w:b/>
                <w:color w:val="auto"/>
                <w:kern w:val="0"/>
                <w:sz w:val="22"/>
                <w:szCs w:val="22"/>
              </w:rPr>
              <w:t>（须提供获奖证明及近三个月在本单位社保证明材料复印件加盖公章）</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8</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6269" w:type="dxa"/>
          </w:tcPr>
          <w:p>
            <w:pPr>
              <w:widowControl/>
              <w:snapToGrid w:val="0"/>
              <w:jc w:val="left"/>
              <w:rPr>
                <w:rFonts w:ascii="宋体" w:hAnsi="宋体" w:cs="宋体"/>
                <w:color w:val="auto"/>
                <w:sz w:val="22"/>
                <w:szCs w:val="22"/>
                <w:highlight w:val="none"/>
              </w:rPr>
            </w:pPr>
            <w:r>
              <w:rPr>
                <w:rFonts w:hint="eastAsia" w:ascii="宋体" w:hAnsi="宋体" w:cs="宋体"/>
                <w:color w:val="auto"/>
                <w:kern w:val="0"/>
                <w:sz w:val="22"/>
                <w:szCs w:val="22"/>
                <w:highlight w:val="none"/>
              </w:rPr>
              <w:t>拟派项目组成员（不含项目负责人）具有水利工程、农田水利（农业水利）、水文水资源等专业，且具备工程师及以上职称，每人每专业得1分，最高得</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w:t>
            </w:r>
            <w:r>
              <w:rPr>
                <w:rFonts w:hint="eastAsia" w:ascii="宋体" w:hAnsi="宋体" w:cs="宋体"/>
                <w:b/>
                <w:color w:val="auto"/>
                <w:kern w:val="0"/>
                <w:sz w:val="22"/>
                <w:szCs w:val="22"/>
                <w:highlight w:val="none"/>
              </w:rPr>
              <w:t>（须提供相关证书及近三个月在本单位社保证明材料复印件加盖公章</w:t>
            </w:r>
            <w:r>
              <w:rPr>
                <w:rFonts w:hint="eastAsia" w:ascii="宋体" w:hAnsi="宋体" w:cs="宋体"/>
                <w:b/>
                <w:color w:val="auto"/>
                <w:kern w:val="0"/>
                <w:sz w:val="22"/>
                <w:szCs w:val="22"/>
                <w:highlight w:val="none"/>
                <w:lang w:eastAsia="zh-CN"/>
              </w:rPr>
              <w:t>，</w:t>
            </w:r>
            <w:r>
              <w:rPr>
                <w:rFonts w:hint="eastAsia" w:ascii="宋体" w:hAnsi="宋体" w:cs="宋体"/>
                <w:b/>
                <w:color w:val="auto"/>
                <w:kern w:val="0"/>
                <w:sz w:val="22"/>
                <w:szCs w:val="22"/>
                <w:highlight w:val="none"/>
                <w:lang w:val="en-US" w:eastAsia="zh-CN"/>
              </w:rPr>
              <w:t>一人只计算一类专业，不得重复计算。</w:t>
            </w:r>
            <w:r>
              <w:rPr>
                <w:rFonts w:hint="eastAsia" w:ascii="宋体" w:hAnsi="宋体" w:cs="宋体"/>
                <w:b/>
                <w:color w:val="auto"/>
                <w:kern w:val="0"/>
                <w:sz w:val="22"/>
                <w:szCs w:val="22"/>
                <w:highlight w:val="none"/>
              </w:rPr>
              <w:t>）</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12</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kern w:val="0"/>
                <w:sz w:val="22"/>
                <w:szCs w:val="22"/>
              </w:rPr>
              <w:t>拟派项目组成员（不含项目负责人）获得优秀咨询成果奖或水利类科技创新奖，县级每项</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分，市级每项</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分，省级每项</w:t>
            </w: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分，最高得</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分。</w:t>
            </w:r>
            <w:r>
              <w:rPr>
                <w:rFonts w:hint="eastAsia" w:ascii="宋体" w:hAnsi="宋体" w:cs="宋体"/>
                <w:b/>
                <w:color w:val="auto"/>
                <w:kern w:val="0"/>
                <w:sz w:val="22"/>
                <w:szCs w:val="22"/>
              </w:rPr>
              <w:t>（须提供获奖证明及近三个月在本单位社保证明材料复印件加盖公章）</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8</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13</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lang w:eastAsia="zh-CN"/>
              </w:rPr>
              <w:t>投标供应商</w:t>
            </w:r>
            <w:r>
              <w:rPr>
                <w:rFonts w:hint="eastAsia" w:ascii="宋体" w:hAnsi="宋体" w:cs="宋体"/>
                <w:color w:val="auto"/>
                <w:sz w:val="22"/>
                <w:szCs w:val="22"/>
              </w:rPr>
              <w:t>所承担年度的农业水价改革工作甲方获得上级行政主管部门表彰优秀、先进或示范的，市级每项优秀、先进或示范得</w:t>
            </w:r>
            <w:r>
              <w:rPr>
                <w:rFonts w:hint="eastAsia" w:ascii="宋体" w:hAnsi="宋体" w:cs="宋体"/>
                <w:color w:val="auto"/>
                <w:sz w:val="22"/>
                <w:szCs w:val="22"/>
                <w:lang w:val="en-US" w:eastAsia="zh-CN"/>
              </w:rPr>
              <w:t>1</w:t>
            </w:r>
            <w:r>
              <w:rPr>
                <w:rFonts w:hint="eastAsia" w:ascii="宋体" w:hAnsi="宋体" w:cs="宋体"/>
                <w:color w:val="auto"/>
                <w:sz w:val="22"/>
                <w:szCs w:val="22"/>
              </w:rPr>
              <w:t>分，省级每项优秀、先进或示范得</w:t>
            </w:r>
            <w:r>
              <w:rPr>
                <w:rFonts w:hint="eastAsia" w:ascii="宋体" w:hAnsi="宋体" w:cs="宋体"/>
                <w:color w:val="auto"/>
                <w:sz w:val="22"/>
                <w:szCs w:val="22"/>
                <w:lang w:val="en-US" w:eastAsia="zh-CN"/>
              </w:rPr>
              <w:t>2</w:t>
            </w:r>
            <w:r>
              <w:rPr>
                <w:rFonts w:hint="eastAsia" w:ascii="宋体" w:hAnsi="宋体" w:cs="宋体"/>
                <w:color w:val="auto"/>
                <w:sz w:val="22"/>
                <w:szCs w:val="22"/>
              </w:rPr>
              <w:t>分，最高得</w:t>
            </w:r>
            <w:r>
              <w:rPr>
                <w:rFonts w:hint="eastAsia" w:ascii="宋体" w:hAnsi="宋体" w:cs="宋体"/>
                <w:color w:val="auto"/>
                <w:sz w:val="22"/>
                <w:szCs w:val="22"/>
                <w:lang w:val="en-US" w:eastAsia="zh-CN"/>
              </w:rPr>
              <w:t>6</w:t>
            </w:r>
            <w:r>
              <w:rPr>
                <w:rFonts w:hint="eastAsia" w:ascii="宋体" w:hAnsi="宋体" w:cs="宋体"/>
                <w:color w:val="auto"/>
                <w:sz w:val="22"/>
                <w:szCs w:val="22"/>
              </w:rPr>
              <w:t>分。</w:t>
            </w:r>
            <w:r>
              <w:rPr>
                <w:rFonts w:hint="eastAsia" w:ascii="宋体" w:hAnsi="宋体" w:cs="宋体"/>
                <w:b/>
                <w:color w:val="auto"/>
                <w:kern w:val="0"/>
                <w:sz w:val="22"/>
                <w:szCs w:val="22"/>
              </w:rPr>
              <w:t>（须</w:t>
            </w:r>
            <w:r>
              <w:rPr>
                <w:rFonts w:hint="eastAsia" w:ascii="宋体" w:hAnsi="宋体" w:cs="宋体"/>
                <w:b/>
                <w:bCs/>
                <w:color w:val="auto"/>
                <w:sz w:val="22"/>
                <w:szCs w:val="22"/>
              </w:rPr>
              <w:t>提供表彰文件及承担年度工作证明材料加盖公章</w:t>
            </w:r>
            <w:r>
              <w:rPr>
                <w:rFonts w:hint="eastAsia" w:ascii="宋体" w:hAnsi="宋体" w:cs="宋体"/>
                <w:b/>
                <w:color w:val="auto"/>
                <w:kern w:val="0"/>
                <w:sz w:val="22"/>
                <w:szCs w:val="22"/>
              </w:rPr>
              <w:t>）</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诚信、履约能力、软硬件设施等情况打分，最高得4分。</w:t>
            </w:r>
          </w:p>
        </w:tc>
        <w:tc>
          <w:tcPr>
            <w:tcW w:w="466"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60" w:lineRule="auto"/>
              <w:jc w:val="center"/>
              <w:outlineLvl w:val="0"/>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rPr>
              <w:t>根据</w:t>
            </w:r>
            <w:r>
              <w:rPr>
                <w:rFonts w:hint="eastAsia" w:ascii="宋体" w:hAnsi="宋体" w:cs="宋体"/>
                <w:color w:val="auto"/>
                <w:sz w:val="22"/>
                <w:szCs w:val="22"/>
                <w:lang w:eastAsia="zh-CN"/>
              </w:rPr>
              <w:t>投标供应商</w:t>
            </w:r>
            <w:r>
              <w:rPr>
                <w:rFonts w:hint="eastAsia" w:ascii="宋体" w:hAnsi="宋体" w:cs="宋体"/>
                <w:color w:val="auto"/>
                <w:sz w:val="22"/>
                <w:szCs w:val="22"/>
              </w:rPr>
              <w:t>针对本项目制定的培训方案、计划的可行性及合理性，最高得4分。</w:t>
            </w:r>
          </w:p>
        </w:tc>
        <w:tc>
          <w:tcPr>
            <w:tcW w:w="466"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4</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w:t>
            </w:r>
          </w:p>
        </w:tc>
        <w:tc>
          <w:tcPr>
            <w:tcW w:w="6269" w:type="dxa"/>
          </w:tcPr>
          <w:p>
            <w:pPr>
              <w:widowControl/>
              <w:snapToGrid w:val="0"/>
              <w:jc w:val="left"/>
              <w:rPr>
                <w:rFonts w:ascii="宋体" w:hAnsi="宋体" w:cs="宋体"/>
                <w:color w:val="auto"/>
                <w:sz w:val="22"/>
                <w:szCs w:val="22"/>
                <w:lang w:val="zh-CN"/>
              </w:rPr>
            </w:pPr>
            <w:r>
              <w:rPr>
                <w:rFonts w:hint="eastAsia" w:ascii="宋体" w:hAnsi="宋体" w:cs="宋体"/>
                <w:color w:val="auto"/>
                <w:sz w:val="22"/>
                <w:szCs w:val="22"/>
                <w:lang w:eastAsia="zh-CN"/>
              </w:rPr>
              <w:t>投标供应商</w:t>
            </w:r>
            <w:r>
              <w:rPr>
                <w:rFonts w:hint="eastAsia" w:ascii="宋体" w:hAnsi="宋体" w:cs="宋体"/>
                <w:color w:val="auto"/>
                <w:sz w:val="22"/>
                <w:szCs w:val="22"/>
              </w:rPr>
              <w:t>具有ISO9001质量管理体系认证、ISO14001环境管理体系认证、OHSAS18001职业健康安全管理体系认证证书，每提供1个得1分，最高得3分。</w:t>
            </w:r>
            <w:r>
              <w:rPr>
                <w:rFonts w:hint="eastAsia" w:ascii="宋体" w:hAnsi="宋体" w:cs="宋体"/>
                <w:b/>
                <w:bCs/>
                <w:color w:val="auto"/>
                <w:sz w:val="22"/>
                <w:szCs w:val="22"/>
              </w:rPr>
              <w:t>（须提供有效期内证书复印件加盖公章）</w:t>
            </w:r>
          </w:p>
        </w:tc>
        <w:tc>
          <w:tcPr>
            <w:tcW w:w="466"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3</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lang w:eastAsia="zh-CN"/>
              </w:rPr>
              <w:t>投标供应商</w:t>
            </w:r>
            <w:r>
              <w:rPr>
                <w:rFonts w:hint="eastAsia" w:ascii="宋体" w:hAnsi="宋体" w:cs="宋体"/>
                <w:color w:val="auto"/>
                <w:sz w:val="22"/>
                <w:szCs w:val="22"/>
              </w:rPr>
              <w:t>提供售后服务机构和人员等情况，是否拥有本地化服务和技术支持机构及较强的专业技术队伍，能否提供快速的服务响应，最高得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主观分</w:t>
            </w:r>
          </w:p>
        </w:tc>
        <w:tc>
          <w:tcPr>
            <w:tcW w:w="1695" w:type="dxa"/>
            <w:vAlign w:val="center"/>
          </w:tcPr>
          <w:p>
            <w:pPr>
              <w:spacing w:line="3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18</w:t>
            </w:r>
          </w:p>
        </w:tc>
        <w:tc>
          <w:tcPr>
            <w:tcW w:w="6269" w:type="dxa"/>
          </w:tcPr>
          <w:p>
            <w:pPr>
              <w:widowControl/>
              <w:snapToGrid w:val="0"/>
              <w:jc w:val="left"/>
              <w:rPr>
                <w:rFonts w:ascii="宋体" w:hAnsi="宋体" w:cs="宋体"/>
                <w:color w:val="auto"/>
                <w:sz w:val="22"/>
                <w:szCs w:val="22"/>
              </w:rPr>
            </w:pPr>
            <w:r>
              <w:rPr>
                <w:rFonts w:hint="eastAsia" w:ascii="宋体" w:hAnsi="宋体" w:cs="宋体"/>
                <w:color w:val="auto"/>
                <w:sz w:val="22"/>
                <w:szCs w:val="22"/>
                <w:lang w:eastAsia="zh-CN"/>
              </w:rPr>
              <w:t>投标供应商</w:t>
            </w:r>
            <w:r>
              <w:rPr>
                <w:rFonts w:hint="eastAsia" w:ascii="宋体" w:hAnsi="宋体" w:cs="宋体"/>
                <w:color w:val="auto"/>
                <w:sz w:val="22"/>
                <w:szCs w:val="22"/>
              </w:rPr>
              <w:t>自20</w:t>
            </w:r>
            <w:r>
              <w:rPr>
                <w:rFonts w:hint="eastAsia" w:ascii="宋体" w:hAnsi="宋体" w:cs="宋体"/>
                <w:color w:val="auto"/>
                <w:sz w:val="22"/>
                <w:szCs w:val="22"/>
                <w:lang w:val="en-US" w:eastAsia="zh-CN"/>
              </w:rPr>
              <w:t>21</w:t>
            </w:r>
            <w:r>
              <w:rPr>
                <w:rFonts w:hint="eastAsia" w:ascii="宋体" w:hAnsi="宋体" w:cs="宋体"/>
                <w:color w:val="auto"/>
                <w:sz w:val="22"/>
                <w:szCs w:val="22"/>
              </w:rPr>
              <w:t>年1月1日以来（以合同签订时间为准）同类项目业绩的每提供1个得</w:t>
            </w:r>
            <w:r>
              <w:rPr>
                <w:rFonts w:hint="eastAsia" w:ascii="宋体" w:hAnsi="宋体" w:cs="宋体"/>
                <w:color w:val="auto"/>
                <w:sz w:val="22"/>
                <w:szCs w:val="22"/>
                <w:lang w:val="en-US" w:eastAsia="zh-CN"/>
              </w:rPr>
              <w:t>1</w:t>
            </w:r>
            <w:r>
              <w:rPr>
                <w:rFonts w:hint="eastAsia" w:ascii="宋体" w:hAnsi="宋体" w:cs="宋体"/>
                <w:color w:val="auto"/>
                <w:sz w:val="22"/>
                <w:szCs w:val="22"/>
              </w:rPr>
              <w:t>分，最高得</w:t>
            </w:r>
            <w:r>
              <w:rPr>
                <w:rFonts w:hint="eastAsia" w:ascii="宋体" w:hAnsi="宋体" w:cs="宋体"/>
                <w:color w:val="auto"/>
                <w:sz w:val="22"/>
                <w:szCs w:val="22"/>
                <w:lang w:val="en-US" w:eastAsia="zh-CN"/>
              </w:rPr>
              <w:t>5</w:t>
            </w:r>
            <w:r>
              <w:rPr>
                <w:rFonts w:hint="eastAsia" w:ascii="宋体" w:hAnsi="宋体" w:cs="宋体"/>
                <w:color w:val="auto"/>
                <w:sz w:val="22"/>
                <w:szCs w:val="22"/>
              </w:rPr>
              <w:t>分。</w:t>
            </w:r>
            <w:r>
              <w:rPr>
                <w:rFonts w:hint="eastAsia" w:ascii="宋体" w:hAnsi="宋体" w:cs="宋体"/>
                <w:b/>
                <w:bCs/>
                <w:color w:val="auto"/>
                <w:sz w:val="22"/>
                <w:szCs w:val="22"/>
              </w:rPr>
              <w:t>（须提供合同和验收证明复印件加盖公章 ）</w:t>
            </w:r>
          </w:p>
        </w:tc>
        <w:tc>
          <w:tcPr>
            <w:tcW w:w="466" w:type="dxa"/>
            <w:vAlign w:val="center"/>
          </w:tcPr>
          <w:p>
            <w:pPr>
              <w:spacing w:line="3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5</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客观分</w:t>
            </w:r>
          </w:p>
        </w:tc>
        <w:tc>
          <w:tcPr>
            <w:tcW w:w="1695" w:type="dxa"/>
            <w:vAlign w:val="center"/>
          </w:tcPr>
          <w:p>
            <w:pPr>
              <w:spacing w:line="3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pPr>
              <w:spacing w:line="360" w:lineRule="auto"/>
              <w:jc w:val="center"/>
              <w:outlineLvl w:val="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19</w:t>
            </w:r>
          </w:p>
        </w:tc>
        <w:tc>
          <w:tcPr>
            <w:tcW w:w="6269" w:type="dxa"/>
            <w:vAlign w:val="center"/>
          </w:tcPr>
          <w:p>
            <w:pPr>
              <w:jc w:val="left"/>
              <w:outlineLvl w:val="0"/>
              <w:rPr>
                <w:rFonts w:ascii="宋体" w:hAnsi="宋体" w:cs="宋体"/>
                <w:color w:val="auto"/>
                <w:sz w:val="22"/>
                <w:szCs w:val="22"/>
              </w:rPr>
            </w:pPr>
            <w:r>
              <w:rPr>
                <w:rFonts w:hint="eastAsia" w:ascii="宋体" w:hAnsi="宋体" w:cs="宋体"/>
                <w:color w:val="auto"/>
                <w:sz w:val="22"/>
                <w:szCs w:val="22"/>
              </w:rPr>
              <w:t>有效投标报价的最低价作为评标基准价，其最低报价为满分；按［投标报价得分=（评标基准价/投标报价）*</w:t>
            </w:r>
            <w:r>
              <w:rPr>
                <w:rFonts w:hint="eastAsia" w:ascii="宋体" w:hAnsi="宋体" w:cs="宋体"/>
                <w:color w:val="auto"/>
                <w:sz w:val="22"/>
                <w:szCs w:val="22"/>
                <w:lang w:val="en-US" w:eastAsia="zh-CN"/>
              </w:rPr>
              <w:t>2</w:t>
            </w:r>
            <w:r>
              <w:rPr>
                <w:rFonts w:hint="eastAsia" w:ascii="宋体" w:hAnsi="宋体" w:cs="宋体"/>
                <w:color w:val="auto"/>
                <w:sz w:val="22"/>
                <w:szCs w:val="22"/>
              </w:rPr>
              <w:t>0］的计算公式计算。</w:t>
            </w:r>
          </w:p>
          <w:p>
            <w:pPr>
              <w:jc w:val="left"/>
              <w:outlineLvl w:val="0"/>
              <w:rPr>
                <w:rFonts w:ascii="宋体" w:hAnsi="宋体" w:cs="宋体"/>
                <w:color w:val="auto"/>
                <w:sz w:val="22"/>
                <w:szCs w:val="22"/>
              </w:rPr>
            </w:pPr>
            <w:r>
              <w:rPr>
                <w:rFonts w:hint="eastAsia" w:ascii="宋体" w:hAnsi="宋体" w:cs="宋体"/>
                <w:color w:val="auto"/>
                <w:sz w:val="22"/>
                <w:szCs w:val="22"/>
              </w:rPr>
              <w:t>评标过程中，不得去掉报价中的最高报价和最低报价。</w:t>
            </w:r>
          </w:p>
          <w:p>
            <w:pPr>
              <w:jc w:val="left"/>
              <w:outlineLvl w:val="0"/>
              <w:rPr>
                <w:rFonts w:ascii="宋体" w:hAnsi="宋体" w:cs="宋体"/>
                <w:color w:val="auto"/>
                <w:sz w:val="22"/>
                <w:szCs w:val="22"/>
              </w:rPr>
            </w:pPr>
            <w:r>
              <w:rPr>
                <w:rFonts w:hint="eastAsia" w:ascii="宋体" w:hAnsi="宋体" w:cs="宋体"/>
                <w:color w:val="auto"/>
                <w:sz w:val="22"/>
                <w:szCs w:val="22"/>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66"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20</w:t>
            </w:r>
          </w:p>
        </w:tc>
        <w:tc>
          <w:tcPr>
            <w:tcW w:w="1102"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w:t>
            </w:r>
          </w:p>
        </w:tc>
        <w:tc>
          <w:tcPr>
            <w:tcW w:w="1695" w:type="dxa"/>
            <w:vAlign w:val="center"/>
          </w:tcPr>
          <w:p>
            <w:pPr>
              <w:spacing w:line="300" w:lineRule="exact"/>
              <w:jc w:val="center"/>
              <w:rPr>
                <w:rFonts w:ascii="宋体" w:hAnsi="宋体" w:cs="宋体"/>
                <w:color w:val="auto"/>
                <w:sz w:val="22"/>
                <w:szCs w:val="22"/>
              </w:rPr>
            </w:pPr>
            <w:r>
              <w:rPr>
                <w:rFonts w:hint="eastAsia" w:ascii="宋体" w:hAnsi="宋体" w:cs="宋体"/>
                <w:color w:val="auto"/>
                <w:sz w:val="22"/>
                <w:szCs w:val="22"/>
              </w:rPr>
              <w:t>/</w:t>
            </w:r>
          </w:p>
        </w:tc>
      </w:tr>
    </w:tbl>
    <w:p>
      <w:pPr>
        <w:rPr>
          <w:rFonts w:hint="eastAsia" w:ascii="宋体" w:hAnsi="宋体" w:eastAsia="宋体" w:cs="宋体"/>
          <w:color w:val="000000" w:themeColor="text1"/>
          <w14:textFill>
            <w14:solidFill>
              <w14:schemeClr w14:val="tx1"/>
            </w14:solidFill>
          </w14:textFill>
        </w:rPr>
      </w:pPr>
    </w:p>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70C0"/>
          <w:kern w:val="0"/>
          <w:szCs w:val="24"/>
        </w:rPr>
        <w:t>20%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0070C0"/>
          <w:kern w:val="0"/>
          <w:szCs w:val="24"/>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3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8"/>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pPr>
        <w:pStyle w:val="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8"/>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8"/>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pStyle w:val="8"/>
        <w:snapToGrid w:val="0"/>
        <w:spacing w:line="360" w:lineRule="auto"/>
        <w:ind w:firstLine="0" w:firstLineChars="0"/>
        <w:rPr>
          <w:rFonts w:hint="eastAsia" w:ascii="宋体" w:hAnsi="宋体" w:eastAsia="宋体" w:cs="宋体"/>
        </w:rPr>
      </w:pPr>
    </w:p>
    <w:bookmarkEnd w:id="31"/>
    <w:p>
      <w:pPr>
        <w:spacing w:line="360" w:lineRule="auto"/>
        <w:ind w:left="720" w:leftChars="343" w:firstLine="1084" w:firstLineChars="300"/>
        <w:outlineLvl w:val="0"/>
        <w:rPr>
          <w:rFonts w:hint="eastAsia" w:ascii="宋体" w:hAnsi="宋体" w:eastAsia="宋体" w:cs="宋体"/>
          <w:b/>
          <w:sz w:val="36"/>
          <w:szCs w:val="36"/>
        </w:rPr>
      </w:pPr>
      <w:bookmarkStart w:id="398" w:name="第五部分"/>
      <w:bookmarkStart w:id="399" w:name="_Toc86217003"/>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pStyle w:val="17"/>
        <w:rPr>
          <w:rFonts w:hint="eastAsia" w:ascii="宋体" w:hAnsi="宋体" w:eastAsia="宋体" w:cs="宋体"/>
          <w:b/>
          <w:sz w:val="36"/>
          <w:szCs w:val="36"/>
        </w:rPr>
      </w:pPr>
    </w:p>
    <w:p>
      <w:pPr>
        <w:rPr>
          <w:rFonts w:hint="eastAsia" w:ascii="宋体" w:hAnsi="宋体" w:eastAsia="宋体" w:cs="宋体"/>
          <w:b/>
          <w:sz w:val="36"/>
          <w:szCs w:val="36"/>
        </w:rPr>
      </w:pPr>
    </w:p>
    <w:p>
      <w:pPr>
        <w:pStyle w:val="17"/>
        <w:rPr>
          <w:rFonts w:hint="eastAsia" w:ascii="宋体" w:hAnsi="宋体" w:eastAsia="宋体" w:cs="宋体"/>
          <w:b/>
          <w:sz w:val="36"/>
          <w:szCs w:val="36"/>
        </w:rPr>
      </w:pPr>
    </w:p>
    <w:p>
      <w:pPr>
        <w:rPr>
          <w:rFonts w:hint="eastAsia" w:ascii="宋体" w:hAnsi="宋体" w:eastAsia="宋体" w:cs="宋体"/>
          <w:b/>
          <w:sz w:val="36"/>
          <w:szCs w:val="36"/>
        </w:rPr>
      </w:pPr>
    </w:p>
    <w:p>
      <w:pPr>
        <w:pStyle w:val="17"/>
        <w:rPr>
          <w:rFonts w:hint="eastAsia" w:ascii="宋体" w:hAnsi="宋体" w:eastAsia="宋体" w:cs="宋体"/>
          <w:b/>
          <w:sz w:val="36"/>
          <w:szCs w:val="36"/>
        </w:rPr>
      </w:pPr>
    </w:p>
    <w:p>
      <w:pPr>
        <w:rPr>
          <w:rFonts w:hint="eastAsia" w:ascii="宋体" w:hAnsi="宋体" w:eastAsia="宋体" w:cs="宋体"/>
          <w:b/>
          <w:sz w:val="36"/>
          <w:szCs w:val="36"/>
        </w:rPr>
      </w:pPr>
    </w:p>
    <w:p>
      <w:pPr>
        <w:pStyle w:val="17"/>
        <w:rPr>
          <w:rFonts w:hint="eastAsia" w:ascii="宋体" w:hAnsi="宋体" w:eastAsia="宋体" w:cs="宋体"/>
          <w:b/>
          <w:sz w:val="36"/>
          <w:szCs w:val="36"/>
        </w:rPr>
      </w:pPr>
    </w:p>
    <w:p>
      <w:pPr>
        <w:rPr>
          <w:rFonts w:hint="eastAsia" w:ascii="宋体" w:hAnsi="宋体" w:eastAsia="宋体" w:cs="宋体"/>
          <w:b/>
          <w:sz w:val="36"/>
          <w:szCs w:val="36"/>
        </w:rPr>
      </w:pPr>
    </w:p>
    <w:p>
      <w:pPr>
        <w:pStyle w:val="17"/>
        <w:rPr>
          <w:rFonts w:hint="eastAsia" w:ascii="宋体" w:hAnsi="宋体" w:eastAsia="宋体" w:cs="宋体"/>
          <w:b/>
          <w:sz w:val="36"/>
          <w:szCs w:val="36"/>
        </w:rPr>
      </w:pPr>
    </w:p>
    <w:p>
      <w:pPr>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bookmarkStart w:id="524" w:name="_GoBack"/>
      <w:bookmarkEnd w:id="524"/>
      <w:r>
        <w:rPr>
          <w:rFonts w:hint="eastAsia" w:ascii="宋体" w:hAnsi="宋体" w:eastAsia="宋体" w:cs="宋体"/>
          <w:b/>
          <w:sz w:val="36"/>
          <w:szCs w:val="36"/>
        </w:rPr>
        <w:t>第五部分 拟签订的合同文本</w:t>
      </w: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pPr>
        <w:pStyle w:val="70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hint="eastAsia" w:ascii="宋体" w:hAnsi="宋体" w:eastAsia="宋体" w:cs="宋体"/>
          <w:sz w:val="24"/>
        </w:rPr>
      </w:pPr>
    </w:p>
    <w:p>
      <w:pPr>
        <w:pStyle w:val="5"/>
        <w:rPr>
          <w:rFonts w:hint="eastAsia" w:ascii="宋体" w:hAnsi="宋体" w:eastAsia="宋体" w:cs="宋体"/>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601"/>
        <w:spacing w:before="120" w:line="22" w:lineRule="atLeast"/>
        <w:rPr>
          <w:rFonts w:hint="eastAsia" w:ascii="宋体" w:hAnsi="宋体" w:eastAsia="宋体" w:cs="宋体"/>
          <w:szCs w:val="24"/>
        </w:rPr>
      </w:pPr>
    </w:p>
    <w:p>
      <w:pPr>
        <w:pStyle w:val="601"/>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sz w:val="24"/>
        </w:rPr>
      </w:pPr>
    </w:p>
    <w:p>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建德市水利局</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u w:val="single"/>
          <w14:textFill>
            <w14:solidFill>
              <w14:schemeClr w14:val="tx1"/>
            </w14:solidFill>
          </w14:textFill>
        </w:rPr>
        <w:t xml:space="preserve">   （政府采购方式）  </w:t>
      </w:r>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项目进行了采购。经</w:t>
      </w:r>
      <w:r>
        <w:rPr>
          <w:rFonts w:hint="eastAsia" w:ascii="宋体" w:hAnsi="宋体" w:eastAsia="宋体" w:cs="宋体"/>
          <w:color w:val="000000" w:themeColor="text1"/>
          <w:sz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14:textFill>
            <w14:solidFill>
              <w14:schemeClr w14:val="tx1"/>
            </w14:solidFill>
          </w14:textFill>
        </w:rPr>
        <w:t>评定，</w:t>
      </w:r>
      <w:r>
        <w:rPr>
          <w:rFonts w:hint="eastAsia" w:ascii="宋体" w:hAnsi="宋体" w:eastAsia="宋体" w:cs="宋体"/>
          <w:color w:val="000000" w:themeColor="text1"/>
          <w:sz w:val="24"/>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14:textFill>
            <w14:solidFill>
              <w14:schemeClr w14:val="tx1"/>
            </w14:solidFill>
          </w14:textFill>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建德市水利局</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（中或者成交标供应商名称）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560" w:lineRule="exact"/>
        <w:ind w:firstLine="482" w:firstLineChars="200"/>
        <w:outlineLvl w:val="0"/>
        <w:rPr>
          <w:rFonts w:hint="eastAsia" w:ascii="宋体" w:hAnsi="宋体" w:eastAsia="宋体" w:cs="宋体"/>
          <w:sz w:val="24"/>
        </w:rPr>
      </w:pPr>
      <w:bookmarkStart w:id="400" w:name="_Toc19273"/>
      <w:bookmarkStart w:id="401" w:name="_Toc28855"/>
      <w:bookmarkStart w:id="402" w:name="_Toc15367"/>
      <w:bookmarkStart w:id="403" w:name="_Toc22967"/>
      <w:bookmarkStart w:id="404" w:name="_Toc20421"/>
      <w:r>
        <w:rPr>
          <w:rFonts w:hint="eastAsia" w:ascii="宋体" w:hAnsi="宋体" w:eastAsia="宋体" w:cs="宋体"/>
          <w:b/>
          <w:sz w:val="24"/>
        </w:rPr>
        <w:t>1.1 合同组成部分</w:t>
      </w:r>
      <w:bookmarkEnd w:id="400"/>
      <w:bookmarkEnd w:id="401"/>
      <w:bookmarkEnd w:id="402"/>
      <w:bookmarkEnd w:id="403"/>
      <w:bookmarkEnd w:id="40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405" w:name="_Toc6311"/>
      <w:bookmarkStart w:id="406" w:name="_Toc2918"/>
      <w:bookmarkStart w:id="407" w:name="_Toc18585"/>
      <w:bookmarkStart w:id="408" w:name="_Toc22185"/>
      <w:bookmarkStart w:id="409" w:name="_Toc6773"/>
      <w:r>
        <w:rPr>
          <w:rFonts w:hint="eastAsia" w:ascii="宋体" w:hAnsi="宋体" w:eastAsia="宋体" w:cs="宋体"/>
          <w:b/>
          <w:sz w:val="24"/>
        </w:rPr>
        <w:t>1.2 标的</w:t>
      </w:r>
      <w:bookmarkEnd w:id="405"/>
      <w:bookmarkEnd w:id="406"/>
      <w:bookmarkEnd w:id="407"/>
      <w:bookmarkEnd w:id="408"/>
      <w:bookmarkEnd w:id="409"/>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pPr>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（是/否）涉及货物。若涉及货物的的，则：</w:t>
      </w:r>
    </w:p>
    <w:p>
      <w:pPr>
        <w:spacing w:line="560" w:lineRule="exact"/>
        <w:ind w:firstLine="480" w:firstLineChars="200"/>
        <w:rPr>
          <w:rFonts w:hint="eastAsia" w:ascii="宋体" w:hAnsi="宋体" w:eastAsia="宋体" w:cs="宋体"/>
          <w:sz w:val="24"/>
          <w:u w:val="single"/>
        </w:rPr>
      </w:pPr>
      <w:bookmarkStart w:id="410" w:name="_Toc13918"/>
      <w:bookmarkStart w:id="411" w:name="_Toc21124"/>
      <w:bookmarkStart w:id="412" w:name="_Toc5635"/>
      <w:bookmarkStart w:id="413" w:name="_Toc1386"/>
      <w:bookmarkStart w:id="414" w:name="_Toc4929"/>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10"/>
      <w:bookmarkEnd w:id="411"/>
      <w:bookmarkEnd w:id="412"/>
      <w:bookmarkEnd w:id="413"/>
      <w:bookmarkEnd w:id="41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32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322"/>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sz w:val="24"/>
                <w:szCs w:val="24"/>
              </w:rPr>
            </w:pPr>
          </w:p>
        </w:tc>
        <w:tc>
          <w:tcPr>
            <w:tcW w:w="3402" w:type="dxa"/>
            <w:vAlign w:val="center"/>
          </w:tcPr>
          <w:p>
            <w:pPr>
              <w:pStyle w:val="322"/>
              <w:spacing w:line="560" w:lineRule="exact"/>
              <w:ind w:firstLine="200"/>
              <w:jc w:val="center"/>
              <w:rPr>
                <w:rFonts w:hint="eastAsia" w:ascii="宋体" w:hAnsi="宋体" w:eastAsia="宋体" w:cs="宋体"/>
                <w:sz w:val="24"/>
                <w:szCs w:val="24"/>
              </w:rPr>
            </w:pPr>
          </w:p>
        </w:tc>
        <w:tc>
          <w:tcPr>
            <w:tcW w:w="2552" w:type="dxa"/>
            <w:vAlign w:val="center"/>
          </w:tcPr>
          <w:p>
            <w:pPr>
              <w:pStyle w:val="32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sz w:val="24"/>
                <w:szCs w:val="24"/>
              </w:rPr>
            </w:pPr>
          </w:p>
        </w:tc>
        <w:tc>
          <w:tcPr>
            <w:tcW w:w="3402" w:type="dxa"/>
            <w:vAlign w:val="center"/>
          </w:tcPr>
          <w:p>
            <w:pPr>
              <w:pStyle w:val="322"/>
              <w:spacing w:line="560" w:lineRule="exact"/>
              <w:ind w:firstLine="200"/>
              <w:jc w:val="center"/>
              <w:rPr>
                <w:rFonts w:hint="eastAsia" w:ascii="宋体" w:hAnsi="宋体" w:eastAsia="宋体" w:cs="宋体"/>
                <w:sz w:val="24"/>
                <w:szCs w:val="24"/>
              </w:rPr>
            </w:pPr>
          </w:p>
        </w:tc>
        <w:tc>
          <w:tcPr>
            <w:tcW w:w="2552" w:type="dxa"/>
            <w:vAlign w:val="center"/>
          </w:tcPr>
          <w:p>
            <w:pPr>
              <w:pStyle w:val="32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sz w:val="24"/>
                <w:szCs w:val="24"/>
              </w:rPr>
            </w:pPr>
          </w:p>
        </w:tc>
        <w:tc>
          <w:tcPr>
            <w:tcW w:w="3402" w:type="dxa"/>
            <w:vAlign w:val="center"/>
          </w:tcPr>
          <w:p>
            <w:pPr>
              <w:pStyle w:val="322"/>
              <w:spacing w:line="560" w:lineRule="exact"/>
              <w:ind w:firstLine="200"/>
              <w:jc w:val="center"/>
              <w:rPr>
                <w:rFonts w:hint="eastAsia" w:ascii="宋体" w:hAnsi="宋体" w:eastAsia="宋体" w:cs="宋体"/>
                <w:sz w:val="24"/>
                <w:szCs w:val="24"/>
              </w:rPr>
            </w:pPr>
          </w:p>
        </w:tc>
        <w:tc>
          <w:tcPr>
            <w:tcW w:w="2552" w:type="dxa"/>
            <w:vAlign w:val="center"/>
          </w:tcPr>
          <w:p>
            <w:pPr>
              <w:pStyle w:val="32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sz w:val="24"/>
                <w:szCs w:val="24"/>
              </w:rPr>
            </w:pPr>
          </w:p>
        </w:tc>
        <w:tc>
          <w:tcPr>
            <w:tcW w:w="3402" w:type="dxa"/>
            <w:vAlign w:val="center"/>
          </w:tcPr>
          <w:p>
            <w:pPr>
              <w:pStyle w:val="322"/>
              <w:spacing w:line="560" w:lineRule="exact"/>
              <w:ind w:firstLine="200"/>
              <w:jc w:val="center"/>
              <w:rPr>
                <w:rFonts w:hint="eastAsia" w:ascii="宋体" w:hAnsi="宋体" w:eastAsia="宋体" w:cs="宋体"/>
                <w:sz w:val="24"/>
                <w:szCs w:val="24"/>
              </w:rPr>
            </w:pPr>
          </w:p>
        </w:tc>
        <w:tc>
          <w:tcPr>
            <w:tcW w:w="2552" w:type="dxa"/>
            <w:vAlign w:val="center"/>
          </w:tcPr>
          <w:p>
            <w:pPr>
              <w:pStyle w:val="322"/>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322"/>
              <w:spacing w:line="560" w:lineRule="exact"/>
              <w:ind w:firstLine="200"/>
              <w:jc w:val="center"/>
              <w:rPr>
                <w:rFonts w:hint="eastAsia" w:ascii="宋体" w:hAnsi="宋体" w:eastAsia="宋体" w:cs="宋体"/>
                <w:sz w:val="24"/>
                <w:szCs w:val="24"/>
              </w:rPr>
            </w:pPr>
          </w:p>
        </w:tc>
      </w:tr>
    </w:tbl>
    <w:p>
      <w:pPr>
        <w:spacing w:line="560" w:lineRule="exact"/>
        <w:ind w:firstLine="480" w:firstLineChars="200"/>
        <w:rPr>
          <w:rFonts w:hint="eastAsia" w:ascii="宋体" w:hAnsi="宋体" w:eastAsia="宋体" w:cs="宋体"/>
          <w:sz w:val="24"/>
          <w:lang w:eastAsia="zh-CN"/>
        </w:rPr>
      </w:pPr>
      <w:bookmarkStart w:id="415" w:name="_Toc30158"/>
      <w:bookmarkStart w:id="416" w:name="_Toc26916"/>
      <w:bookmarkStart w:id="417" w:name="_Toc14993"/>
      <w:bookmarkStart w:id="418" w:name="_Toc3654"/>
      <w:bookmarkStart w:id="419" w:name="_Toc30506"/>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lang w:eastAsia="zh-CN"/>
        </w:rPr>
        <w:t>：</w:t>
      </w:r>
    </w:p>
    <w:p>
      <w:pPr>
        <w:pStyle w:val="5"/>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 xml:space="preserve">             </w:t>
      </w:r>
    </w:p>
    <w:p>
      <w:pPr>
        <w:pStyle w:val="5"/>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5"/>
    <w:bookmarkEnd w:id="416"/>
    <w:bookmarkEnd w:id="417"/>
    <w:bookmarkEnd w:id="418"/>
    <w:bookmarkEnd w:id="419"/>
    <w:p>
      <w:pPr>
        <w:pStyle w:val="961"/>
        <w:spacing w:before="0" w:beforeAutospacing="0" w:after="0" w:afterAutospacing="0" w:line="360" w:lineRule="auto"/>
        <w:ind w:firstLine="480"/>
        <w:rPr>
          <w:rFonts w:hint="eastAsia" w:ascii="宋体" w:hAnsi="宋体" w:eastAsia="宋体" w:cs="宋体"/>
          <w:b/>
        </w:rPr>
      </w:pPr>
      <w:bookmarkStart w:id="420" w:name="_Toc1814"/>
      <w:bookmarkStart w:id="421" w:name="_Toc22618"/>
      <w:bookmarkStart w:id="422" w:name="_Toc10340"/>
      <w:bookmarkStart w:id="423" w:name="_Toc8772"/>
      <w:bookmarkStart w:id="424" w:name="_Toc31421"/>
      <w:bookmarkStart w:id="425" w:name="_Toc11108"/>
      <w:bookmarkStart w:id="426" w:name="_Toc3625"/>
      <w:bookmarkStart w:id="427" w:name="_Toc4760"/>
      <w:r>
        <w:rPr>
          <w:rFonts w:hint="eastAsia" w:ascii="宋体" w:hAnsi="宋体" w:eastAsia="宋体" w:cs="宋体"/>
          <w:b/>
        </w:rPr>
        <w:t>1.4履约保证金</w:t>
      </w:r>
    </w:p>
    <w:p>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20"/>
      <w:bookmarkEnd w:id="421"/>
      <w:bookmarkEnd w:id="422"/>
      <w:r>
        <w:rPr>
          <w:rFonts w:hint="eastAsia" w:ascii="宋体" w:hAnsi="宋体" w:eastAsia="宋体" w:cs="宋体"/>
          <w:b/>
          <w:sz w:val="24"/>
        </w:rPr>
        <w:t>预付款</w:t>
      </w:r>
    </w:p>
    <w:p>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bookmarkEnd w:id="423"/>
      <w:bookmarkEnd w:id="424"/>
      <w:bookmarkEnd w:id="425"/>
      <w:bookmarkEnd w:id="426"/>
      <w:bookmarkEnd w:id="427"/>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outlineLvl w:val="0"/>
        <w:rPr>
          <w:rFonts w:hint="eastAsia" w:ascii="宋体" w:hAnsi="宋体" w:eastAsia="宋体" w:cs="宋体"/>
          <w:bCs/>
          <w:sz w:val="24"/>
        </w:rPr>
      </w:pPr>
      <w:bookmarkStart w:id="428" w:name="_Toc24662"/>
      <w:bookmarkStart w:id="429" w:name="_Toc3079"/>
      <w:bookmarkStart w:id="430" w:name="_Toc2375"/>
      <w:bookmarkStart w:id="431" w:name="_Toc8586"/>
      <w:bookmarkStart w:id="432" w:name="_Toc5698"/>
      <w:r>
        <w:rPr>
          <w:rFonts w:hint="eastAsia" w:ascii="宋体" w:hAnsi="宋体" w:eastAsia="宋体" w:cs="宋体"/>
          <w:bCs/>
          <w:sz w:val="24"/>
        </w:rPr>
        <w:t>1.7.4若服务涉及货物的，则货物的：</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bookmarkEnd w:id="428"/>
      <w:bookmarkEnd w:id="429"/>
      <w:bookmarkEnd w:id="430"/>
      <w:bookmarkEnd w:id="431"/>
      <w:bookmarkEnd w:id="43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rPr>
        <w:t xml:space="preserve">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pPr>
        <w:pStyle w:val="5"/>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bookmarkStart w:id="433" w:name="_Toc32454"/>
      <w:bookmarkStart w:id="434" w:name="_Toc26807"/>
      <w:bookmarkStart w:id="435" w:name="_Toc9497"/>
      <w:bookmarkStart w:id="436" w:name="_Toc18683"/>
      <w:bookmarkStart w:id="437" w:name="_Toc30329"/>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433"/>
    <w:bookmarkEnd w:id="434"/>
    <w:bookmarkEnd w:id="435"/>
    <w:bookmarkEnd w:id="436"/>
    <w:bookmarkEnd w:id="437"/>
    <w:p>
      <w:pPr>
        <w:spacing w:line="560" w:lineRule="exact"/>
        <w:ind w:firstLine="482" w:firstLineChars="200"/>
        <w:outlineLvl w:val="0"/>
        <w:rPr>
          <w:rFonts w:hint="eastAsia" w:ascii="宋体" w:hAnsi="宋体" w:eastAsia="宋体" w:cs="宋体"/>
          <w:b/>
          <w:sz w:val="24"/>
        </w:rPr>
      </w:pPr>
      <w:bookmarkStart w:id="438" w:name="_Toc16021"/>
      <w:bookmarkStart w:id="439" w:name="_Toc15583"/>
      <w:bookmarkStart w:id="440" w:name="_Toc28375"/>
      <w:r>
        <w:rPr>
          <w:rFonts w:hint="eastAsia" w:ascii="宋体" w:hAnsi="宋体" w:eastAsia="宋体" w:cs="宋体"/>
          <w:b/>
          <w:sz w:val="24"/>
        </w:rPr>
        <w:t>1.9合同争议的解决</w:t>
      </w:r>
      <w:bookmarkEnd w:id="438"/>
      <w:bookmarkEnd w:id="439"/>
      <w:bookmarkEnd w:id="440"/>
    </w:p>
    <w:p>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bookmarkStart w:id="441" w:name="_Toc7245"/>
      <w:bookmarkStart w:id="442" w:name="_Toc11173"/>
      <w:bookmarkStart w:id="443" w:name="_Toc15322"/>
      <w:r>
        <w:rPr>
          <w:rFonts w:hint="eastAsia" w:ascii="宋体" w:hAnsi="宋体" w:eastAsia="宋体" w:cs="宋体"/>
          <w:b/>
          <w:sz w:val="24"/>
        </w:rPr>
        <w:t>2.0 合同生效</w:t>
      </w:r>
      <w:bookmarkEnd w:id="441"/>
      <w:bookmarkEnd w:id="442"/>
      <w:bookmarkEnd w:id="443"/>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widowControl/>
        <w:adjustRightInd/>
        <w:jc w:val="left"/>
        <w:rPr>
          <w:rFonts w:hint="eastAsia" w:ascii="宋体" w:hAnsi="宋体" w:eastAsia="宋体" w:cs="宋体"/>
          <w:b/>
          <w:sz w:val="24"/>
        </w:rPr>
      </w:pPr>
      <w:r>
        <w:rPr>
          <w:rFonts w:hint="eastAsia" w:ascii="宋体" w:hAnsi="宋体" w:eastAsia="宋体" w:cs="宋体"/>
          <w:b/>
        </w:rPr>
        <w:br w:type="page"/>
      </w:r>
    </w:p>
    <w:p>
      <w:pPr>
        <w:pStyle w:val="703"/>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560" w:lineRule="exact"/>
        <w:ind w:firstLine="482" w:firstLineChars="200"/>
        <w:outlineLvl w:val="0"/>
        <w:rPr>
          <w:rFonts w:hint="eastAsia" w:ascii="宋体" w:hAnsi="宋体" w:eastAsia="宋体" w:cs="宋体"/>
          <w:b/>
          <w:sz w:val="24"/>
        </w:rPr>
      </w:pPr>
      <w:bookmarkStart w:id="444" w:name="_Toc14021"/>
      <w:bookmarkStart w:id="445" w:name="_Toc5228"/>
      <w:bookmarkStart w:id="446" w:name="_Toc19680"/>
      <w:bookmarkStart w:id="447" w:name="_Toc25079"/>
      <w:bookmarkStart w:id="448" w:name="_Toc31297"/>
      <w:r>
        <w:rPr>
          <w:rFonts w:hint="eastAsia" w:ascii="宋体" w:hAnsi="宋体" w:eastAsia="宋体" w:cs="宋体"/>
          <w:b/>
          <w:sz w:val="24"/>
        </w:rPr>
        <w:t>2.1 定义</w:t>
      </w:r>
      <w:bookmarkEnd w:id="444"/>
      <w:bookmarkEnd w:id="445"/>
      <w:bookmarkEnd w:id="446"/>
      <w:bookmarkEnd w:id="447"/>
      <w:bookmarkEnd w:id="44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pPr>
        <w:spacing w:line="560" w:lineRule="exact"/>
        <w:ind w:firstLine="482" w:firstLineChars="200"/>
        <w:outlineLvl w:val="0"/>
        <w:rPr>
          <w:rFonts w:hint="eastAsia" w:ascii="宋体" w:hAnsi="宋体" w:eastAsia="宋体" w:cs="宋体"/>
          <w:b/>
          <w:sz w:val="24"/>
        </w:rPr>
      </w:pPr>
      <w:bookmarkStart w:id="449" w:name="_Toc23289"/>
      <w:bookmarkStart w:id="450" w:name="_Toc31402"/>
      <w:bookmarkStart w:id="451" w:name="_Toc3769"/>
      <w:bookmarkStart w:id="452" w:name="_Toc16752"/>
      <w:bookmarkStart w:id="453" w:name="_Toc19539"/>
      <w:r>
        <w:rPr>
          <w:rFonts w:hint="eastAsia" w:ascii="宋体" w:hAnsi="宋体" w:eastAsia="宋体" w:cs="宋体"/>
          <w:b/>
          <w:sz w:val="24"/>
        </w:rPr>
        <w:t>2.2 技术规范</w:t>
      </w:r>
      <w:bookmarkEnd w:id="449"/>
      <w:bookmarkEnd w:id="450"/>
      <w:bookmarkEnd w:id="451"/>
      <w:bookmarkEnd w:id="452"/>
      <w:bookmarkEnd w:id="45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rPr>
      </w:pPr>
      <w:bookmarkStart w:id="454" w:name="_Toc12412"/>
      <w:bookmarkStart w:id="455" w:name="_Toc4133"/>
      <w:bookmarkStart w:id="456" w:name="_Toc27945"/>
      <w:bookmarkStart w:id="457" w:name="_Toc13673"/>
      <w:bookmarkStart w:id="458" w:name="_Toc9161"/>
      <w:r>
        <w:rPr>
          <w:rFonts w:hint="eastAsia" w:ascii="宋体" w:hAnsi="宋体" w:eastAsia="宋体" w:cs="宋体"/>
          <w:b/>
          <w:sz w:val="24"/>
        </w:rPr>
        <w:t>2.3 知识产权</w:t>
      </w:r>
      <w:bookmarkEnd w:id="454"/>
      <w:bookmarkEnd w:id="455"/>
      <w:bookmarkEnd w:id="456"/>
      <w:bookmarkEnd w:id="457"/>
      <w:bookmarkEnd w:id="45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sz w:val="24"/>
        </w:rPr>
      </w:pPr>
      <w:bookmarkStart w:id="459" w:name="_Toc31233"/>
      <w:bookmarkStart w:id="460" w:name="_Toc15447"/>
      <w:bookmarkStart w:id="461" w:name="_Toc26555"/>
      <w:bookmarkStart w:id="462" w:name="_Toc32670"/>
      <w:bookmarkStart w:id="463" w:name="_Toc22011"/>
      <w:r>
        <w:rPr>
          <w:rFonts w:hint="eastAsia" w:ascii="宋体" w:hAnsi="宋体" w:eastAsia="宋体" w:cs="宋体"/>
          <w:b/>
          <w:sz w:val="24"/>
        </w:rPr>
        <w:t>2.5 结算方式和付款条件</w:t>
      </w:r>
      <w:bookmarkEnd w:id="459"/>
      <w:bookmarkEnd w:id="460"/>
      <w:bookmarkEnd w:id="461"/>
      <w:bookmarkEnd w:id="462"/>
      <w:bookmarkEnd w:id="46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64" w:name="_Toc16163"/>
      <w:bookmarkStart w:id="465" w:name="_Toc18990"/>
      <w:bookmarkStart w:id="466" w:name="_Toc13467"/>
      <w:bookmarkStart w:id="467" w:name="_Toc30507"/>
      <w:bookmarkStart w:id="468" w:name="_Toc13154"/>
      <w:r>
        <w:rPr>
          <w:rFonts w:hint="eastAsia" w:ascii="宋体" w:hAnsi="宋体" w:eastAsia="宋体" w:cs="宋体"/>
          <w:b/>
          <w:sz w:val="24"/>
        </w:rPr>
        <w:t>2.6 技术资料和保密义务</w:t>
      </w:r>
      <w:bookmarkEnd w:id="464"/>
      <w:bookmarkEnd w:id="465"/>
      <w:bookmarkEnd w:id="466"/>
      <w:bookmarkEnd w:id="467"/>
      <w:bookmarkEnd w:id="46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469" w:name="_Toc19069"/>
      <w:r>
        <w:rPr>
          <w:rFonts w:hint="eastAsia" w:ascii="宋体" w:hAnsi="宋体" w:eastAsia="宋体" w:cs="宋体"/>
          <w:b/>
          <w:sz w:val="24"/>
        </w:rPr>
        <w:t>2.7 质量保证</w:t>
      </w:r>
      <w:bookmarkEnd w:id="46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470" w:name="_Toc22267"/>
      <w:r>
        <w:rPr>
          <w:rFonts w:hint="eastAsia" w:ascii="宋体" w:hAnsi="宋体" w:eastAsia="宋体" w:cs="宋体"/>
          <w:b/>
          <w:sz w:val="24"/>
        </w:rPr>
        <w:t>2.8 延迟履行</w:t>
      </w:r>
      <w:bookmarkEnd w:id="47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rPr>
      </w:pPr>
      <w:bookmarkStart w:id="471" w:name="_Toc10611"/>
      <w:r>
        <w:rPr>
          <w:rFonts w:hint="eastAsia" w:ascii="宋体" w:hAnsi="宋体" w:eastAsia="宋体" w:cs="宋体"/>
          <w:b/>
          <w:sz w:val="24"/>
        </w:rPr>
        <w:t>2.9 合同变更</w:t>
      </w:r>
      <w:bookmarkEnd w:id="47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472" w:name="_Toc26689"/>
      <w:bookmarkStart w:id="473" w:name="_Toc23368"/>
      <w:bookmarkStart w:id="474" w:name="_Toc21830"/>
      <w:bookmarkStart w:id="475" w:name="_Toc10663"/>
      <w:bookmarkStart w:id="476" w:name="_Toc42"/>
      <w:r>
        <w:rPr>
          <w:rFonts w:hint="eastAsia" w:ascii="宋体" w:hAnsi="宋体" w:eastAsia="宋体" w:cs="宋体"/>
          <w:b/>
          <w:sz w:val="24"/>
        </w:rPr>
        <w:t>2.10 合同转让和分包</w:t>
      </w:r>
      <w:bookmarkEnd w:id="472"/>
      <w:bookmarkEnd w:id="473"/>
      <w:bookmarkEnd w:id="474"/>
      <w:bookmarkEnd w:id="475"/>
      <w:bookmarkEnd w:id="47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rPr>
      </w:pPr>
      <w:bookmarkStart w:id="477" w:name="_Toc25571"/>
      <w:bookmarkStart w:id="478" w:name="_Toc32494"/>
      <w:bookmarkStart w:id="479" w:name="_Toc26633"/>
      <w:bookmarkStart w:id="480" w:name="_Toc4720"/>
      <w:bookmarkStart w:id="481" w:name="_Toc14371"/>
      <w:r>
        <w:rPr>
          <w:rFonts w:hint="eastAsia" w:ascii="宋体" w:hAnsi="宋体" w:eastAsia="宋体" w:cs="宋体"/>
          <w:b/>
          <w:sz w:val="24"/>
        </w:rPr>
        <w:t>2.11 不可抗力</w:t>
      </w:r>
      <w:bookmarkEnd w:id="477"/>
      <w:bookmarkEnd w:id="478"/>
      <w:bookmarkEnd w:id="479"/>
      <w:bookmarkEnd w:id="480"/>
      <w:bookmarkEnd w:id="48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482" w:name="_Toc3638"/>
      <w:bookmarkStart w:id="483" w:name="_Toc14115"/>
      <w:bookmarkStart w:id="484" w:name="_Toc24465"/>
      <w:bookmarkStart w:id="485" w:name="_Toc25783"/>
      <w:bookmarkStart w:id="486" w:name="_Toc23854"/>
      <w:r>
        <w:rPr>
          <w:rFonts w:hint="eastAsia" w:ascii="宋体" w:hAnsi="宋体" w:eastAsia="宋体" w:cs="宋体"/>
          <w:b/>
          <w:sz w:val="24"/>
        </w:rPr>
        <w:t>2.12 税费</w:t>
      </w:r>
      <w:bookmarkEnd w:id="482"/>
      <w:bookmarkEnd w:id="483"/>
      <w:bookmarkEnd w:id="484"/>
      <w:bookmarkEnd w:id="485"/>
      <w:bookmarkEnd w:id="48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rPr>
      </w:pPr>
      <w:bookmarkStart w:id="487" w:name="_Toc30105"/>
      <w:bookmarkStart w:id="488" w:name="_Toc14814"/>
      <w:bookmarkStart w:id="489" w:name="_Toc26883"/>
      <w:bookmarkStart w:id="490" w:name="_Toc25525"/>
      <w:bookmarkStart w:id="491" w:name="_Toc7315"/>
      <w:r>
        <w:rPr>
          <w:rFonts w:hint="eastAsia" w:ascii="宋体" w:hAnsi="宋体" w:eastAsia="宋体" w:cs="宋体"/>
          <w:b/>
          <w:sz w:val="24"/>
        </w:rPr>
        <w:t>2.13 乙方破产</w:t>
      </w:r>
      <w:bookmarkEnd w:id="487"/>
      <w:bookmarkEnd w:id="488"/>
      <w:bookmarkEnd w:id="489"/>
      <w:bookmarkEnd w:id="490"/>
      <w:bookmarkEnd w:id="49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492" w:name="_Toc1123"/>
      <w:bookmarkStart w:id="493" w:name="_Toc23323"/>
      <w:bookmarkStart w:id="494" w:name="_Toc2016"/>
      <w:r>
        <w:rPr>
          <w:rFonts w:hint="eastAsia" w:ascii="宋体" w:hAnsi="宋体" w:eastAsia="宋体" w:cs="宋体"/>
          <w:b/>
          <w:sz w:val="24"/>
        </w:rPr>
        <w:t>2.14 合同中止、终止</w:t>
      </w:r>
      <w:bookmarkEnd w:id="492"/>
      <w:bookmarkEnd w:id="493"/>
      <w:bookmarkEnd w:id="49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495" w:name="_Toc1969"/>
      <w:bookmarkStart w:id="496" w:name="_Toc17363"/>
      <w:bookmarkStart w:id="497" w:name="_Toc14525"/>
      <w:r>
        <w:rPr>
          <w:rFonts w:hint="eastAsia" w:ascii="宋体" w:hAnsi="宋体" w:eastAsia="宋体" w:cs="宋体"/>
          <w:b/>
          <w:sz w:val="24"/>
        </w:rPr>
        <w:t>2.15 检验和验收</w:t>
      </w:r>
      <w:bookmarkEnd w:id="495"/>
      <w:bookmarkEnd w:id="496"/>
      <w:bookmarkEnd w:id="497"/>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pPr>
        <w:spacing w:line="560" w:lineRule="exact"/>
        <w:ind w:firstLine="482" w:firstLineChars="200"/>
        <w:outlineLvl w:val="0"/>
        <w:rPr>
          <w:rFonts w:hint="eastAsia" w:ascii="宋体" w:hAnsi="宋体" w:eastAsia="宋体" w:cs="宋体"/>
          <w:b/>
          <w:sz w:val="24"/>
        </w:rPr>
      </w:pPr>
      <w:bookmarkStart w:id="498" w:name="_Toc25198"/>
      <w:bookmarkStart w:id="499" w:name="_Toc12666"/>
      <w:bookmarkStart w:id="500" w:name="_Toc31892"/>
      <w:bookmarkStart w:id="501" w:name="_Toc9808"/>
      <w:bookmarkStart w:id="502" w:name="_Toc2308"/>
      <w:r>
        <w:rPr>
          <w:rFonts w:hint="eastAsia" w:ascii="宋体" w:hAnsi="宋体" w:eastAsia="宋体" w:cs="宋体"/>
          <w:b/>
          <w:sz w:val="24"/>
        </w:rPr>
        <w:t>2.16 通知和送达</w:t>
      </w:r>
      <w:bookmarkEnd w:id="498"/>
      <w:bookmarkEnd w:id="499"/>
      <w:bookmarkEnd w:id="500"/>
      <w:bookmarkEnd w:id="501"/>
      <w:bookmarkEnd w:id="502"/>
    </w:p>
    <w:p>
      <w:pPr>
        <w:spacing w:line="560" w:lineRule="exact"/>
        <w:ind w:firstLine="480" w:firstLineChars="200"/>
        <w:rPr>
          <w:rFonts w:hint="eastAsia" w:ascii="宋体" w:hAnsi="宋体" w:eastAsia="宋体" w:cs="宋体"/>
          <w:sz w:val="24"/>
        </w:rPr>
      </w:pPr>
      <w:bookmarkStart w:id="503" w:name="_Toc18401"/>
      <w:bookmarkStart w:id="504" w:name="_Toc27674"/>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82" w:firstLineChars="200"/>
        <w:outlineLvl w:val="0"/>
        <w:rPr>
          <w:rFonts w:hint="eastAsia" w:ascii="宋体" w:hAnsi="宋体" w:eastAsia="宋体" w:cs="宋体"/>
          <w:b/>
          <w:sz w:val="24"/>
        </w:rPr>
      </w:pPr>
      <w:bookmarkStart w:id="505" w:name="_Toc28906"/>
      <w:bookmarkStart w:id="506" w:name="_Toc20808"/>
      <w:bookmarkStart w:id="507" w:name="_Toc5063"/>
      <w:bookmarkStart w:id="508" w:name="_Toc12254"/>
      <w:bookmarkStart w:id="509" w:name="_Toc27644"/>
      <w:r>
        <w:rPr>
          <w:rFonts w:hint="eastAsia" w:ascii="宋体" w:hAnsi="宋体" w:eastAsia="宋体" w:cs="宋体"/>
          <w:b/>
          <w:sz w:val="24"/>
        </w:rPr>
        <w:t>2.17 合同使用的文字和适用的法律</w:t>
      </w:r>
      <w:bookmarkEnd w:id="505"/>
      <w:bookmarkEnd w:id="506"/>
      <w:bookmarkEnd w:id="507"/>
      <w:bookmarkEnd w:id="508"/>
      <w:bookmarkEnd w:id="50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560" w:lineRule="exact"/>
        <w:ind w:firstLine="482" w:firstLineChars="200"/>
        <w:outlineLvl w:val="0"/>
        <w:rPr>
          <w:rFonts w:hint="eastAsia" w:ascii="宋体" w:hAnsi="宋体" w:eastAsia="宋体" w:cs="宋体"/>
          <w:b/>
          <w:sz w:val="24"/>
        </w:rPr>
      </w:pPr>
      <w:bookmarkStart w:id="510" w:name="_Toc18540"/>
      <w:bookmarkStart w:id="511" w:name="_Toc30599"/>
      <w:bookmarkStart w:id="512" w:name="_Toc4355"/>
      <w:r>
        <w:rPr>
          <w:rFonts w:hint="eastAsia" w:ascii="宋体" w:hAnsi="宋体" w:eastAsia="宋体" w:cs="宋体"/>
          <w:b/>
          <w:sz w:val="24"/>
        </w:rPr>
        <w:t>2.18 计量单位</w:t>
      </w:r>
      <w:bookmarkEnd w:id="510"/>
      <w:bookmarkEnd w:id="511"/>
      <w:bookmarkEnd w:id="51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2.19合同份数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513" w:name="_Toc331685784"/>
      <w:r>
        <w:rPr>
          <w:rFonts w:hint="eastAsia" w:ascii="宋体" w:hAnsi="宋体" w:eastAsia="宋体" w:cs="宋体"/>
          <w:b/>
          <w:sz w:val="24"/>
        </w:rPr>
        <w:t xml:space="preserve"> </w:t>
      </w:r>
      <w:bookmarkEnd w:id="513"/>
      <w:r>
        <w:rPr>
          <w:rFonts w:hint="eastAsia" w:ascii="宋体" w:hAnsi="宋体" w:eastAsia="宋体" w:cs="宋体"/>
          <w:b/>
          <w:sz w:val="24"/>
        </w:rPr>
        <w:t>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35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8"/>
        <w:gridCol w:w="8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9" w:type="pct"/>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4530" w:type="pct"/>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1.3.2</w:t>
            </w:r>
          </w:p>
        </w:tc>
        <w:tc>
          <w:tcPr>
            <w:tcW w:w="4530" w:type="pct"/>
            <w:vAlign w:val="center"/>
          </w:tcPr>
          <w:p>
            <w:pPr>
              <w:spacing w:line="360" w:lineRule="auto"/>
              <w:rPr>
                <w:rFonts w:hint="eastAsia" w:ascii="宋体" w:hAnsi="宋体" w:eastAsia="宋体" w:cs="宋体"/>
                <w:sz w:val="24"/>
              </w:rPr>
            </w:pPr>
            <w:r>
              <w:rPr>
                <w:rFonts w:hint="eastAsia" w:ascii="宋体" w:hAnsi="宋体" w:cs="宋体"/>
                <w:color w:val="FF0000"/>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1.4.2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履约保证金支付方式</w:t>
            </w:r>
            <w:r>
              <w:rPr>
                <w:rFonts w:hint="eastAsia" w:ascii="宋体" w:hAnsi="宋体" w:eastAsia="宋体" w:cs="宋体"/>
                <w:sz w:val="24"/>
                <w:lang w:eastAsia="zh-CN"/>
              </w:rPr>
              <w:t>：</w:t>
            </w:r>
            <w:r>
              <w:rPr>
                <w:rFonts w:hint="eastAsia" w:ascii="宋体" w:hAnsi="宋体" w:eastAsia="宋体" w:cs="宋体"/>
                <w:sz w:val="24"/>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4530" w:type="pct"/>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预付款比例、支付方式、时间</w:t>
            </w:r>
            <w:r>
              <w:rPr>
                <w:rFonts w:hint="eastAsia" w:ascii="宋体" w:hAnsi="宋体" w:eastAsia="宋体" w:cs="宋体"/>
                <w:sz w:val="24"/>
                <w:lang w:eastAsia="zh-CN"/>
              </w:rPr>
              <w:t>：</w:t>
            </w:r>
            <w:r>
              <w:rPr>
                <w:rFonts w:hint="eastAsia" w:ascii="宋体" w:hAnsi="宋体" w:eastAsia="宋体" w:cs="宋体"/>
                <w:sz w:val="24"/>
              </w:rPr>
              <w:t>合同生效以及具备实施条件后7个工作日内，由甲方支付标项预算金额的</w:t>
            </w:r>
            <w:r>
              <w:rPr>
                <w:rFonts w:hint="eastAsia" w:ascii="宋体" w:hAnsi="宋体" w:eastAsia="宋体" w:cs="宋体"/>
                <w:sz w:val="24"/>
                <w:lang w:val="en-US" w:eastAsia="zh-CN"/>
              </w:rPr>
              <w:t>50</w:t>
            </w:r>
            <w:r>
              <w:rPr>
                <w:rFonts w:hint="eastAsia" w:ascii="宋体" w:hAnsi="宋体" w:eastAsia="宋体" w:cs="宋体"/>
                <w:sz w:val="24"/>
              </w:rPr>
              <w:t>%作为预付款</w:t>
            </w:r>
            <w:r>
              <w:rPr>
                <w:rFonts w:hint="eastAsia" w:ascii="宋体" w:hAnsi="宋体" w:eastAsia="宋体" w:cs="宋体"/>
                <w:sz w:val="24"/>
                <w:lang w:eastAsia="zh-CN"/>
              </w:rPr>
              <w:t>（</w:t>
            </w:r>
            <w:r>
              <w:rPr>
                <w:rFonts w:hint="eastAsia" w:ascii="宋体" w:hAnsi="宋体" w:eastAsia="宋体" w:cs="宋体"/>
                <w:sz w:val="24"/>
                <w:lang w:val="en-US" w:eastAsia="zh-CN"/>
              </w:rPr>
              <w:t>乙方需提供相应金额的预付款保函至甲方</w:t>
            </w:r>
            <w:r>
              <w:rPr>
                <w:rFonts w:hint="eastAsia" w:ascii="宋体" w:hAnsi="宋体" w:eastAsia="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1.5.2</w:t>
            </w:r>
          </w:p>
        </w:tc>
        <w:tc>
          <w:tcPr>
            <w:tcW w:w="4530" w:type="pct"/>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cs="宋体"/>
                <w:color w:val="auto"/>
                <w:sz w:val="24"/>
                <w:highlight w:val="none"/>
              </w:rPr>
              <w:t>（乙方需提供相应金额的预付款保函至甲方）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lang w:val="en-US" w:eastAsia="zh-CN"/>
              </w:rPr>
            </w:pPr>
            <w:r>
              <w:rPr>
                <w:rFonts w:hint="eastAsia" w:ascii="宋体" w:hAnsi="宋体" w:eastAsia="宋体" w:cs="宋体"/>
                <w:sz w:val="24"/>
                <w:lang w:val="en-US" w:eastAsia="zh-CN"/>
              </w:rPr>
              <w:t>1.6.2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资金支付的方式、时间和条件：</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甲方根据合同、投标文件等资料进行验收。</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（1）政府采购合同签订生效后7个工作日内，甲方向乙方支付预算价的50%预付款（乙方需提供相应金额的预付款保函至甲方）；</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（2）服务期满后5个工作日内根据考核结果和实际完成数量支付剩余费用（验收结果不合格的不予支付）。</w:t>
            </w:r>
          </w:p>
          <w:p>
            <w:pPr>
              <w:spacing w:line="360" w:lineRule="auto"/>
              <w:rPr>
                <w:rFonts w:hint="eastAsia" w:ascii="宋体" w:hAnsi="宋体" w:eastAsia="宋体" w:cs="宋体"/>
                <w:lang w:val="en-US" w:eastAsia="zh-CN"/>
              </w:rPr>
            </w:pPr>
            <w:r>
              <w:rPr>
                <w:rFonts w:hint="eastAsia" w:ascii="宋体" w:hAnsi="宋体" w:eastAsia="宋体" w:cs="宋体"/>
                <w:sz w:val="24"/>
                <w:lang w:val="en-US" w:eastAsia="zh-CN"/>
              </w:rPr>
              <w:t>结算时成交供应商将结款申请1份、发票原件（按当期应付金额开具）及复印件1份、合同复印件1份、工程量清单和经甲方验收确认的《建德市政府采购验收反馈表》和验收报告提交甲方，由甲方向乙方支付相应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1.7.1</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服务交付（实施）的时间（期限）</w:t>
            </w:r>
            <w:r>
              <w:rPr>
                <w:rFonts w:hint="eastAsia" w:ascii="宋体" w:hAnsi="宋体" w:eastAsia="宋体" w:cs="宋体"/>
                <w:sz w:val="24"/>
                <w:lang w:eastAsia="zh-CN"/>
              </w:rPr>
              <w:t>：</w:t>
            </w:r>
            <w:r>
              <w:rPr>
                <w:rFonts w:hint="eastAsia" w:ascii="宋体" w:hAnsi="宋体"/>
                <w:color w:val="auto"/>
                <w:sz w:val="24"/>
                <w:szCs w:val="24"/>
                <w:highlight w:val="none"/>
              </w:rPr>
              <w:t>服务期为1年，自合同签订生效之日起计算。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服务交付（实施）的地点（地域范围</w:t>
            </w:r>
            <w:r>
              <w:rPr>
                <w:rFonts w:hint="eastAsia" w:ascii="宋体" w:hAnsi="宋体" w:eastAsia="宋体" w:cs="宋体"/>
                <w:sz w:val="24"/>
                <w:lang w:eastAsia="zh-CN"/>
              </w:rPr>
              <w:t>）：</w:t>
            </w:r>
            <w:r>
              <w:rPr>
                <w:rFonts w:hint="eastAsia" w:ascii="宋体" w:hAnsi="宋体" w:eastAsia="宋体" w:cs="宋体"/>
                <w:sz w:val="24"/>
                <w:lang w:val="en-US" w:eastAsia="zh-CN"/>
              </w:rPr>
              <w:t>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1.7.3</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服务交付（实施）的方式</w:t>
            </w:r>
            <w:r>
              <w:rPr>
                <w:rFonts w:hint="eastAsia" w:ascii="宋体" w:hAnsi="宋体" w:eastAsia="宋体" w:cs="宋体"/>
                <w:sz w:val="24"/>
                <w:lang w:eastAsia="zh-CN"/>
              </w:rPr>
              <w:t>：</w:t>
            </w:r>
            <w:r>
              <w:rPr>
                <w:rFonts w:hint="eastAsia" w:ascii="宋体" w:hAnsi="宋体" w:eastAsia="宋体" w:cs="宋体"/>
                <w:sz w:val="24"/>
                <w:lang w:val="en-US" w:eastAsia="zh-CN"/>
              </w:rPr>
              <w:t>直接交付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1.7.4.1</w:t>
            </w:r>
          </w:p>
        </w:tc>
        <w:tc>
          <w:tcPr>
            <w:tcW w:w="4530" w:type="pct"/>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交付期限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1.7.4.2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交付地点</w:t>
            </w:r>
            <w:r>
              <w:rPr>
                <w:rFonts w:hint="eastAsia" w:ascii="宋体" w:hAnsi="宋体" w:eastAsia="宋体" w:cs="宋体"/>
                <w:sz w:val="24"/>
                <w:lang w:eastAsia="zh-CN"/>
              </w:rPr>
              <w:t>：</w:t>
            </w:r>
            <w:r>
              <w:rPr>
                <w:rFonts w:hint="eastAsia" w:ascii="宋体" w:hAnsi="宋体" w:eastAsia="宋体" w:cs="宋体"/>
                <w:sz w:val="24"/>
                <w:lang w:val="en-US" w:eastAsia="zh-CN"/>
              </w:rPr>
              <w:t>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1.7.4.3</w:t>
            </w:r>
          </w:p>
        </w:tc>
        <w:tc>
          <w:tcPr>
            <w:tcW w:w="4530" w:type="pct"/>
            <w:vAlign w:val="center"/>
          </w:tcPr>
          <w:p>
            <w:pPr>
              <w:spacing w:line="360" w:lineRule="auto"/>
              <w:rPr>
                <w:rFonts w:hint="eastAsia" w:ascii="宋体" w:hAnsi="宋体" w:eastAsia="宋体" w:cs="宋体"/>
                <w:sz w:val="24"/>
                <w:lang w:val="en-US"/>
              </w:rPr>
            </w:pPr>
            <w:r>
              <w:rPr>
                <w:rFonts w:hint="eastAsia" w:ascii="宋体" w:hAnsi="宋体" w:eastAsia="宋体" w:cs="宋体"/>
                <w:sz w:val="24"/>
              </w:rPr>
              <w:t>交付方式：</w:t>
            </w:r>
            <w:r>
              <w:rPr>
                <w:rFonts w:hint="eastAsia" w:ascii="宋体" w:hAnsi="宋体" w:eastAsia="宋体" w:cs="宋体"/>
                <w:sz w:val="24"/>
                <w:lang w:val="en-US" w:eastAsia="zh-CN"/>
              </w:rPr>
              <w:t>直接交付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1.8.7</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1.9.1</w:t>
            </w:r>
          </w:p>
        </w:tc>
        <w:tc>
          <w:tcPr>
            <w:tcW w:w="4530" w:type="pct"/>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1.9.2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建德市人民法院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4530" w:type="pct"/>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rPr>
              <w:t>技术成果的归属和收益</w:t>
            </w:r>
            <w:r>
              <w:rPr>
                <w:rFonts w:hint="eastAsia" w:ascii="宋体" w:hAnsi="宋体" w:eastAsia="宋体" w:cs="宋体"/>
                <w:sz w:val="24"/>
                <w:lang w:val="en-US" w:eastAsia="zh-CN"/>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2.5</w:t>
            </w:r>
          </w:p>
        </w:tc>
        <w:tc>
          <w:tcPr>
            <w:tcW w:w="4530" w:type="pct"/>
            <w:vAlign w:val="center"/>
          </w:tcPr>
          <w:p>
            <w:pPr>
              <w:spacing w:line="360" w:lineRule="auto"/>
              <w:rPr>
                <w:rFonts w:hint="eastAsia" w:ascii="宋体" w:hAnsi="宋体" w:eastAsia="宋体" w:cs="宋体"/>
                <w:sz w:val="24"/>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2.11.3</w:t>
            </w:r>
          </w:p>
        </w:tc>
        <w:tc>
          <w:tcPr>
            <w:tcW w:w="4530" w:type="pct"/>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因不可抗力致使合同有变更必要的，双方当事人应在</w:t>
            </w:r>
            <w:r>
              <w:rPr>
                <w:rFonts w:hint="eastAsia" w:ascii="宋体" w:hAnsi="宋体" w:eastAsia="宋体" w:cs="宋体"/>
                <w:sz w:val="24"/>
                <w:lang w:val="en-US" w:eastAsia="zh-CN"/>
              </w:rPr>
              <w:t>30日内</w:t>
            </w:r>
            <w:r>
              <w:rPr>
                <w:rFonts w:hint="eastAsia" w:ascii="宋体" w:hAnsi="宋体" w:eastAsia="宋体" w:cs="宋体"/>
                <w:sz w:val="24"/>
              </w:rPr>
              <w:t>内以书面形式变更合同</w:t>
            </w:r>
            <w:r>
              <w:rPr>
                <w:rFonts w:hint="eastAsia" w:ascii="宋体" w:hAnsi="宋体" w:eastAsia="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4530" w:type="pct"/>
          </w:tcPr>
          <w:p>
            <w:pPr>
              <w:spacing w:line="360" w:lineRule="auto"/>
              <w:rPr>
                <w:rFonts w:hint="eastAsia" w:ascii="宋体" w:hAnsi="宋体" w:eastAsia="宋体" w:cs="宋体"/>
                <w:sz w:val="24"/>
              </w:rPr>
            </w:pPr>
            <w:r>
              <w:rPr>
                <w:rFonts w:hint="eastAsia" w:ascii="宋体" w:hAnsi="宋体" w:eastAsia="宋体" w:cs="宋体"/>
                <w:sz w:val="24"/>
              </w:rPr>
              <w:t>受不可抗力影响的一方在不可抗力发生后，应在</w:t>
            </w:r>
            <w:r>
              <w:rPr>
                <w:rFonts w:hint="eastAsia" w:ascii="宋体" w:hAnsi="宋体" w:eastAsia="宋体" w:cs="宋体"/>
                <w:sz w:val="24"/>
                <w:lang w:val="en-US" w:eastAsia="zh-CN"/>
              </w:rPr>
              <w:t>7日</w:t>
            </w:r>
            <w:r>
              <w:rPr>
                <w:rFonts w:hint="eastAsia" w:ascii="宋体" w:hAnsi="宋体" w:eastAsia="宋体" w:cs="宋体"/>
                <w:sz w:val="24"/>
              </w:rPr>
              <w:t>内以书面形式通知对方当事人，并在</w:t>
            </w:r>
            <w:r>
              <w:rPr>
                <w:rFonts w:hint="eastAsia" w:ascii="宋体" w:hAnsi="宋体" w:eastAsia="宋体" w:cs="宋体"/>
                <w:sz w:val="24"/>
                <w:lang w:val="en-US" w:eastAsia="zh-CN"/>
              </w:rPr>
              <w:t>14日内</w:t>
            </w:r>
            <w:r>
              <w:rPr>
                <w:rFonts w:hint="eastAsia" w:ascii="宋体" w:hAnsi="宋体" w:eastAsia="宋体" w:cs="宋体"/>
                <w:sz w:val="24"/>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2.15.1</w:t>
            </w:r>
          </w:p>
        </w:tc>
        <w:tc>
          <w:tcPr>
            <w:tcW w:w="4530" w:type="pct"/>
            <w:vAlign w:val="center"/>
          </w:tcPr>
          <w:p>
            <w:pPr>
              <w:spacing w:line="360" w:lineRule="auto"/>
              <w:rPr>
                <w:rFonts w:hint="eastAsia" w:ascii="宋体" w:hAnsi="宋体" w:eastAsia="宋体" w:cs="宋体"/>
                <w:sz w:val="24"/>
              </w:rPr>
            </w:pPr>
            <w:r>
              <w:rPr>
                <w:rFonts w:hint="eastAsia" w:ascii="宋体" w:hAnsi="宋体" w:eastAsia="宋体" w:cs="宋体"/>
                <w:sz w:val="24"/>
              </w:rPr>
              <w:t>乙方按照</w:t>
            </w:r>
            <w:r>
              <w:rPr>
                <w:rFonts w:hint="eastAsia" w:ascii="宋体" w:hAnsi="宋体" w:eastAsia="宋体" w:cs="宋体"/>
                <w:sz w:val="24"/>
                <w:lang w:val="en-US" w:eastAsia="zh-CN"/>
              </w:rPr>
              <w:t>采购单位要求</w:t>
            </w:r>
            <w:r>
              <w:rPr>
                <w:rFonts w:hint="eastAsia" w:ascii="宋体" w:hAnsi="宋体" w:eastAsia="宋体" w:cs="宋体"/>
                <w:sz w:val="24"/>
              </w:rPr>
              <w:t>，定期提交服务报告，甲方</w:t>
            </w:r>
            <w:r>
              <w:rPr>
                <w:rFonts w:hint="eastAsia" w:ascii="宋体" w:hAnsi="宋体" w:eastAsia="宋体" w:cs="宋体"/>
                <w:sz w:val="24"/>
                <w:lang w:val="en-US" w:eastAsia="zh-CN"/>
              </w:rPr>
              <w:t>在7日内</w:t>
            </w:r>
            <w:r>
              <w:rPr>
                <w:rFonts w:hint="eastAsia" w:ascii="宋体" w:hAnsi="宋体" w:eastAsia="宋体" w:cs="宋体"/>
                <w:sz w:val="24"/>
              </w:rPr>
              <w:t>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4" w:hRule="atLeast"/>
        </w:trPr>
        <w:tc>
          <w:tcPr>
            <w:tcW w:w="469"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2.15.3</w:t>
            </w:r>
          </w:p>
        </w:tc>
        <w:tc>
          <w:tcPr>
            <w:tcW w:w="4530" w:type="pct"/>
            <w:vAlign w:val="center"/>
          </w:tcPr>
          <w:p>
            <w:pPr>
              <w:spacing w:line="360" w:lineRule="auto"/>
              <w:rPr>
                <w:rFonts w:hint="eastAsia" w:ascii="宋体" w:hAnsi="宋体" w:eastAsia="宋体" w:cs="宋体"/>
                <w:sz w:val="24"/>
              </w:rPr>
            </w:pPr>
            <w:r>
              <w:rPr>
                <w:rFonts w:hint="eastAsia" w:ascii="宋体" w:hAnsi="宋体" w:eastAsia="宋体" w:cs="宋体"/>
                <w:sz w:val="24"/>
              </w:rPr>
              <w:t>检验和验收标准、程序等具体内容以及前述验收书的效力详见合同专用条款。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9" w:type="pct"/>
            <w:tcBorders>
              <w:lef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2.19</w:t>
            </w:r>
          </w:p>
        </w:tc>
        <w:tc>
          <w:tcPr>
            <w:tcW w:w="4530" w:type="pct"/>
          </w:tcPr>
          <w:p>
            <w:pPr>
              <w:spacing w:line="360" w:lineRule="auto"/>
              <w:rPr>
                <w:rFonts w:hint="eastAsia" w:ascii="宋体" w:hAnsi="宋体" w:eastAsia="宋体" w:cs="宋体"/>
                <w:sz w:val="24"/>
                <w:lang w:eastAsia="zh-CN"/>
              </w:rPr>
            </w:pPr>
            <w:r>
              <w:rPr>
                <w:rFonts w:hint="eastAsia" w:ascii="宋体" w:hAnsi="宋体" w:eastAsia="宋体" w:cs="宋体"/>
                <w:sz w:val="24"/>
              </w:rPr>
              <w:t>本合同壹式伍份，甲、乙双方各执贰份，采购代理机构壹份</w:t>
            </w:r>
            <w:r>
              <w:rPr>
                <w:rFonts w:hint="eastAsia" w:ascii="宋体" w:hAnsi="宋体" w:eastAsia="宋体" w:cs="宋体"/>
                <w:sz w:val="24"/>
                <w:lang w:eastAsia="zh-CN"/>
              </w:rPr>
              <w:t>。</w:t>
            </w:r>
          </w:p>
        </w:tc>
      </w:tr>
    </w:tbl>
    <w:p>
      <w:pPr>
        <w:spacing w:line="360" w:lineRule="auto"/>
        <w:ind w:left="-420" w:leftChars="-200" w:right="-420" w:rightChars="-200" w:firstLine="480" w:firstLineChars="200"/>
        <w:rPr>
          <w:rFonts w:hint="eastAsia" w:ascii="宋体" w:hAnsi="宋体" w:eastAsia="宋体" w:cs="宋体"/>
          <w:sz w:val="24"/>
        </w:rPr>
      </w:pPr>
    </w:p>
    <w:p>
      <w:pPr>
        <w:pStyle w:val="64"/>
        <w:rPr>
          <w:rFonts w:hint="eastAsia" w:ascii="宋体" w:hAnsi="宋体" w:eastAsia="宋体" w:cs="宋体"/>
          <w:sz w:val="24"/>
        </w:rPr>
      </w:pPr>
    </w:p>
    <w:p>
      <w:pPr>
        <w:rPr>
          <w:rFonts w:hint="eastAsia" w:ascii="宋体" w:hAnsi="宋体" w:eastAsia="宋体" w:cs="宋体"/>
        </w:r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p>
    <w:p>
      <w:pPr>
        <w:pStyle w:val="17"/>
        <w:rPr>
          <w:rFonts w:hint="eastAsia" w:ascii="宋体" w:hAnsi="宋体" w:eastAsia="宋体" w:cs="宋体"/>
          <w:b/>
          <w:sz w:val="36"/>
          <w:szCs w:val="20"/>
        </w:rPr>
      </w:pPr>
    </w:p>
    <w:p>
      <w:pPr>
        <w:rPr>
          <w:rFonts w:hint="eastAsia" w:ascii="宋体" w:hAnsi="宋体" w:eastAsia="宋体" w:cs="宋体"/>
          <w:b/>
          <w:sz w:val="36"/>
          <w:szCs w:val="20"/>
        </w:rPr>
      </w:pPr>
    </w:p>
    <w:p>
      <w:pPr>
        <w:pStyle w:val="17"/>
        <w:rPr>
          <w:rFonts w:hint="eastAsia" w:ascii="宋体" w:hAnsi="宋体" w:eastAsia="宋体" w:cs="宋体"/>
          <w:b/>
          <w:sz w:val="36"/>
          <w:szCs w:val="20"/>
        </w:rPr>
      </w:pPr>
    </w:p>
    <w:p>
      <w:pPr>
        <w:rPr>
          <w:rFonts w:hint="eastAsia" w:ascii="宋体" w:hAnsi="宋体" w:eastAsia="宋体" w:cs="宋体"/>
          <w:b/>
          <w:sz w:val="36"/>
          <w:szCs w:val="20"/>
        </w:rPr>
      </w:pPr>
    </w:p>
    <w:p>
      <w:pPr>
        <w:pStyle w:val="17"/>
        <w:rPr>
          <w:rFonts w:hint="eastAsia" w:ascii="宋体" w:hAnsi="宋体" w:eastAsia="宋体" w:cs="宋体"/>
        </w:rPr>
      </w:pPr>
    </w:p>
    <w:p>
      <w:pPr>
        <w:rPr>
          <w:rFonts w:hint="eastAsia"/>
        </w:rPr>
      </w:pPr>
    </w:p>
    <w:p>
      <w:pPr>
        <w:widowControl/>
        <w:adjustRightInd/>
        <w:jc w:val="center"/>
        <w:rPr>
          <w:rFonts w:hint="eastAsia" w:ascii="宋体" w:hAnsi="宋体" w:eastAsia="宋体" w:cs="宋体"/>
          <w:b/>
          <w:sz w:val="36"/>
          <w:szCs w:val="20"/>
        </w:rPr>
      </w:pPr>
    </w:p>
    <w:p>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8"/>
      <w:r>
        <w:rPr>
          <w:rFonts w:hint="eastAsia" w:ascii="宋体" w:hAnsi="宋体" w:eastAsia="宋体" w:cs="宋体"/>
          <w:b/>
          <w:sz w:val="36"/>
          <w:szCs w:val="20"/>
        </w:rPr>
        <w:t xml:space="preserve"> </w:t>
      </w:r>
      <w:bookmarkEnd w:id="399"/>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w:t>
      </w:r>
      <w:r>
        <w:rPr>
          <w:rFonts w:hint="eastAsia" w:ascii="宋体" w:hAnsi="宋体" w:eastAsia="宋体" w:cs="宋体"/>
          <w:b/>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w:t>
      </w:r>
      <w:r>
        <w:rPr>
          <w:rFonts w:hint="eastAsia" w:ascii="宋体" w:hAnsi="宋体" w:eastAsia="宋体" w:cs="宋体"/>
          <w:sz w:val="24"/>
        </w:rPr>
        <w:t>了资格条件，无需再向中小企业分包，无需提供分包意向协议。</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rPr>
          <w:rFonts w:hint="eastAsia" w:ascii="宋体" w:hAnsi="宋体" w:eastAsia="宋体" w:cs="宋体"/>
          <w:b/>
          <w:kern w:val="0"/>
          <w:sz w:val="32"/>
          <w:szCs w:val="32"/>
          <w:lang w:val="zh-CN"/>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w:t>
      </w:r>
      <w:bookmarkStart w:id="514" w:name="_Hlk101257010"/>
      <w:r>
        <w:rPr>
          <w:rFonts w:hint="eastAsia" w:ascii="宋体" w:hAnsi="宋体" w:eastAsia="宋体" w:cs="宋体"/>
          <w:color w:val="000000" w:themeColor="text1"/>
          <w:sz w:val="24"/>
          <w14:textFill>
            <w14:solidFill>
              <w14:schemeClr w14:val="tx1"/>
            </w14:solidFill>
          </w14:textFill>
        </w:rPr>
        <w:t>（如果有)</w:t>
      </w:r>
      <w:bookmarkEnd w:id="514"/>
      <w:r>
        <w:rPr>
          <w:rFonts w:hint="eastAsia" w:ascii="宋体" w:hAnsi="宋体" w:eastAsia="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r>
        <w:rPr>
          <w:rFonts w:hint="eastAsia" w:ascii="宋体" w:hAnsi="宋体" w:eastAsia="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2.2.6投标标的清单；</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pStyle w:val="5"/>
        <w:rPr>
          <w:rFonts w:hint="eastAsia" w:ascii="宋体" w:hAnsi="宋体" w:eastAsia="宋体" w:cs="宋体"/>
          <w:color w:val="000000" w:themeColor="text1"/>
          <w:lang w:val="en-US"/>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eastAsia="宋体" w:cs="宋体"/>
          <w:color w:val="000000" w:themeColor="text1"/>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r>
        <w:rPr>
          <w:rFonts w:hint="eastAsia" w:ascii="宋体" w:hAnsi="宋体" w:eastAsia="宋体" w:cs="宋体"/>
          <w:b/>
          <w:color w:val="000000" w:themeColor="text1"/>
          <w:kern w:val="0"/>
          <w:sz w:val="32"/>
          <w:szCs w:val="32"/>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51"/>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pPr>
              <w:pStyle w:val="151"/>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rPr>
          <w:rFonts w:hint="eastAsia" w:ascii="宋体" w:hAnsi="宋体" w:eastAsia="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四、符合性审查资料</w:t>
      </w:r>
    </w:p>
    <w:p>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投标函</w:t>
            </w:r>
          </w:p>
        </w:tc>
        <w:tc>
          <w:tcPr>
            <w:tcW w:w="1418"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bl>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bl>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ind w:firstLine="1911" w:firstLineChars="595"/>
        <w:rPr>
          <w:rFonts w:hint="eastAsia" w:ascii="宋体" w:hAnsi="宋体" w:eastAsia="宋体" w:cs="宋体"/>
          <w:b/>
          <w:bCs/>
          <w:color w:val="000000" w:themeColor="text1"/>
          <w:sz w:val="32"/>
          <w:szCs w:val="32"/>
          <w14:textFill>
            <w14:solidFill>
              <w14:schemeClr w14:val="tx1"/>
            </w14:solidFill>
          </w14:textFill>
        </w:rPr>
      </w:pPr>
    </w:p>
    <w:p>
      <w:pPr>
        <w:ind w:firstLine="1911" w:firstLineChars="595"/>
        <w:rPr>
          <w:rFonts w:hint="eastAsia" w:ascii="宋体" w:hAnsi="宋体" w:eastAsia="宋体" w:cs="宋体"/>
          <w:b/>
          <w:bCs/>
          <w:color w:val="000000" w:themeColor="text1"/>
          <w:sz w:val="32"/>
          <w:szCs w:val="32"/>
          <w14:textFill>
            <w14:solidFill>
              <w14:schemeClr w14:val="tx1"/>
            </w14:solidFill>
          </w14:textFill>
        </w:rPr>
      </w:pPr>
    </w:p>
    <w:p>
      <w:pPr>
        <w:ind w:firstLine="1911" w:firstLineChars="595"/>
        <w:rPr>
          <w:rFonts w:hint="eastAsia" w:ascii="宋体" w:hAnsi="宋体" w:eastAsia="宋体" w:cs="宋体"/>
          <w:b/>
          <w:bCs/>
          <w:color w:val="000000" w:themeColor="text1"/>
          <w:sz w:val="32"/>
          <w:szCs w:val="32"/>
          <w14:textFill>
            <w14:solidFill>
              <w14:schemeClr w14:val="tx1"/>
            </w14:solidFill>
          </w14:textFill>
        </w:rPr>
      </w:pPr>
    </w:p>
    <w:p>
      <w:pPr>
        <w:widowControl/>
        <w:adjustRightInd/>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八</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w:t>
      </w:r>
      <w:r>
        <w:rPr>
          <w:rFonts w:hint="eastAsia" w:ascii="宋体" w:hAnsi="宋体" w:eastAsia="宋体" w:cs="宋体"/>
          <w:color w:val="000000" w:themeColor="text1"/>
          <w:sz w:val="24"/>
          <w:lang w:val="zh-CN"/>
          <w14:textFill>
            <w14:solidFill>
              <w14:schemeClr w14:val="tx1"/>
            </w14:solidFill>
          </w14:textFill>
        </w:rPr>
        <w:t>《中华人民共和国民法典》</w:t>
      </w:r>
      <w:r>
        <w:rPr>
          <w:rFonts w:hint="eastAsia" w:ascii="宋体" w:hAnsi="宋体" w:eastAsia="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spacing w:line="360" w:lineRule="auto"/>
        <w:jc w:val="center"/>
        <w:rPr>
          <w:rFonts w:hint="eastAsia" w:ascii="宋体" w:hAnsi="宋体" w:eastAsia="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（1）开标一览表（报价表）………………………………………………………（页码）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建德市水利局</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浙江同欣工程管理有限公司</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】的实施</w:t>
      </w: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2268" w:type="dxa"/>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服务标准</w:t>
            </w:r>
          </w:p>
        </w:tc>
        <w:tc>
          <w:tcPr>
            <w:tcW w:w="2127" w:type="dxa"/>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w:t>
            </w: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w:t>
            </w: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7" w:type="dxa"/>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126"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w:t>
            </w:r>
            <w:r>
              <w:rPr>
                <w:rFonts w:hint="eastAsia" w:ascii="宋体" w:hAnsi="宋体" w:eastAsia="宋体" w:cs="宋体"/>
                <w:b/>
                <w:color w:val="000000" w:themeColor="text1"/>
                <w:sz w:val="24"/>
                <w:lang w:val="en-US" w:eastAsia="zh-CN"/>
                <w14:textFill>
                  <w14:solidFill>
                    <w14:schemeClr w14:val="tx1"/>
                  </w14:solidFill>
                </w14:textFill>
              </w:rPr>
              <w:t>单价</w:t>
            </w:r>
          </w:p>
        </w:tc>
        <w:tc>
          <w:tcPr>
            <w:tcW w:w="8647" w:type="dxa"/>
            <w:gridSpan w:val="4"/>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投标报价（大写）</w:t>
            </w:r>
          </w:p>
        </w:tc>
        <w:tc>
          <w:tcPr>
            <w:tcW w:w="8647" w:type="dxa"/>
            <w:gridSpan w:val="4"/>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tc>
      </w:tr>
    </w:tbl>
    <w:p>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否则视为</w:t>
      </w:r>
      <w:r>
        <w:rPr>
          <w:rFonts w:hint="eastAsia" w:ascii="宋体" w:hAnsi="宋体" w:eastAsia="宋体" w:cs="宋体"/>
          <w:b/>
          <w:color w:val="000000" w:themeColor="text1"/>
          <w:sz w:val="24"/>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14:textFill>
            <w14:solidFill>
              <w14:schemeClr w14:val="tx1"/>
            </w14:solidFill>
          </w14:textFill>
        </w:rPr>
        <w:t>否则视为</w:t>
      </w:r>
      <w:r>
        <w:rPr>
          <w:rFonts w:hint="eastAsia" w:ascii="宋体" w:hAnsi="宋体" w:eastAsia="宋体" w:cs="宋体"/>
          <w:b/>
          <w:color w:val="000000" w:themeColor="text1"/>
          <w:sz w:val="24"/>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14:textFill>
            <w14:solidFill>
              <w14:schemeClr w14:val="tx1"/>
            </w14:solidFill>
          </w14:textFill>
        </w:rPr>
        <w:t>视为</w:t>
      </w:r>
      <w:r>
        <w:rPr>
          <w:rFonts w:hint="eastAsia" w:ascii="宋体" w:hAnsi="宋体" w:eastAsia="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kern w:val="0"/>
          <w:sz w:val="24"/>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w:t>
      </w:r>
    </w:p>
    <w:p>
      <w:pPr>
        <w:spacing w:line="360" w:lineRule="auto"/>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515" w:name="OLE_LINK14"/>
      <w:bookmarkStart w:id="516" w:name="OLE_LINK13"/>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515"/>
    <w:bookmarkEnd w:id="516"/>
    <w:p>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u w:val="single"/>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投标人名称（电子签名）</w:t>
      </w:r>
      <w:r>
        <w:rPr>
          <w:rFonts w:hint="eastAsia" w:ascii="宋体" w:hAnsi="宋体" w:eastAsia="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pPr>
        <w:snapToGrid w:val="0"/>
        <w:spacing w:beforeLines="10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u w:val="single"/>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建德市水利局</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浙江同欣工程管理有限公司</w:t>
      </w:r>
      <w:r>
        <w:rPr>
          <w:rFonts w:hint="eastAsia" w:ascii="宋体" w:hAnsi="宋体" w:eastAsia="宋体" w:cs="宋体"/>
          <w:color w:val="000000" w:themeColor="text1"/>
          <w:sz w:val="24"/>
          <w:u w:val="singl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u w:val="single"/>
          <w14:textFill>
            <w14:solidFill>
              <w14:schemeClr w14:val="tx1"/>
            </w14:solidFill>
          </w14:textFill>
        </w:rPr>
        <w:t>（</w:t>
      </w:r>
      <w:bookmarkStart w:id="517" w:name="_Hlk101131882"/>
      <w:r>
        <w:rPr>
          <w:rFonts w:hint="eastAsia" w:ascii="宋体" w:hAnsi="宋体" w:eastAsia="宋体" w:cs="宋体"/>
          <w:color w:val="000000" w:themeColor="text1"/>
          <w:kern w:val="0"/>
          <w:sz w:val="24"/>
          <w:u w:val="single"/>
          <w14:textFill>
            <w14:solidFill>
              <w14:schemeClr w14:val="tx1"/>
            </w14:solidFill>
          </w14:textFill>
        </w:rPr>
        <w:t>联合体成员X,……</w:t>
      </w:r>
      <w:bookmarkEnd w:id="517"/>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w:t>
      </w:r>
      <w:bookmarkStart w:id="518" w:name="_Hlk101133598"/>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bookmarkEnd w:id="518"/>
      <w:r>
        <w:rPr>
          <w:rFonts w:hint="eastAsia" w:ascii="宋体" w:hAnsi="宋体" w:eastAsia="宋体" w:cs="宋体"/>
          <w:b/>
          <w:color w:val="000000" w:themeColor="text1"/>
          <w:kern w:val="0"/>
          <w:sz w:val="24"/>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bookmarkStart w:id="519" w:name="_Hlk101133173"/>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bookmarkEnd w:id="519"/>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  年  月   日</w:t>
      </w: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snapToGrid w:val="0"/>
        <w:spacing w:line="360" w:lineRule="auto"/>
        <w:ind w:firstLine="3666" w:firstLineChars="1100"/>
        <w:rPr>
          <w:rFonts w:hint="eastAsia" w:ascii="宋体" w:hAnsi="宋体" w:eastAsia="宋体" w:cs="宋体"/>
          <w:b/>
          <w:color w:val="000000" w:themeColor="text1"/>
          <w:spacing w:val="6"/>
          <w:sz w:val="32"/>
          <w:szCs w:val="32"/>
          <w14:textFill>
            <w14:solidFill>
              <w14:schemeClr w14:val="tx1"/>
            </w14:solidFill>
          </w14:textFill>
        </w:rPr>
      </w:pPr>
    </w:p>
    <w:p>
      <w:pPr>
        <w:widowControl/>
        <w:adjustRightInd/>
        <w:jc w:val="left"/>
        <w:rPr>
          <w:rFonts w:hint="eastAsia" w:ascii="宋体" w:hAnsi="宋体" w:eastAsia="宋体" w:cs="宋体"/>
          <w:b/>
          <w:color w:val="000000" w:themeColor="text1"/>
          <w:spacing w:val="6"/>
          <w:sz w:val="32"/>
          <w:szCs w:val="32"/>
          <w14:textFill>
            <w14:solidFill>
              <w14:schemeClr w14:val="tx1"/>
            </w14:solidFill>
          </w14:textFill>
        </w:rPr>
      </w:pPr>
    </w:p>
    <w:p>
      <w:pPr>
        <w:snapToGrid w:val="0"/>
        <w:spacing w:line="360" w:lineRule="auto"/>
        <w:ind w:firstLine="2999" w:firstLineChars="900"/>
        <w:rPr>
          <w:rFonts w:hint="eastAsia" w:ascii="宋体" w:hAnsi="宋体" w:eastAsia="宋体" w:cs="宋体"/>
          <w:b/>
          <w:color w:val="000000" w:themeColor="text1"/>
          <w:spacing w:val="6"/>
          <w:sz w:val="32"/>
          <w:szCs w:val="32"/>
          <w14:textFill>
            <w14:solidFill>
              <w14:schemeClr w14:val="tx1"/>
            </w14:solidFill>
          </w14:textFill>
        </w:rPr>
      </w:pPr>
    </w:p>
    <w:p>
      <w:pPr>
        <w:snapToGrid w:val="0"/>
        <w:spacing w:line="360" w:lineRule="auto"/>
        <w:ind w:firstLine="2999" w:firstLineChars="9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附件6：</w:t>
      </w:r>
      <w:r>
        <w:rPr>
          <w:rFonts w:hint="eastAsia" w:ascii="宋体" w:hAnsi="宋体" w:eastAsia="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JJD2024BF-130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14:textFill>
            <w14:solidFill>
              <w14:schemeClr w14:val="tx1"/>
            </w14:solidFill>
          </w14:textFill>
        </w:rPr>
        <w:t>与</w:t>
      </w:r>
      <w:r>
        <w:rPr>
          <w:rFonts w:hint="eastAsia" w:ascii="宋体" w:hAnsi="宋体" w:eastAsia="宋体" w:cs="宋体"/>
          <w:color w:val="000000" w:themeColor="text1"/>
          <w:kern w:val="0"/>
          <w:sz w:val="24"/>
          <w:u w:val="single"/>
          <w14:textFill>
            <w14:solidFill>
              <w14:schemeClr w14:val="tx1"/>
            </w14:solidFill>
          </w14:textFill>
        </w:rPr>
        <w:t>（所有分包供应商名称）</w:t>
      </w:r>
      <w:r>
        <w:rPr>
          <w:rFonts w:hint="eastAsia" w:ascii="宋体" w:hAnsi="宋体" w:eastAsia="宋体" w:cs="宋体"/>
          <w:color w:val="000000" w:themeColor="text1"/>
          <w:kern w:val="0"/>
          <w:sz w:val="24"/>
          <w14:textFill>
            <w14:solidFill>
              <w14:schemeClr w14:val="tx1"/>
            </w14:solidFill>
          </w14:textFill>
        </w:rPr>
        <w:t>达成分包意向协议</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XX工作内容   </w:t>
      </w:r>
      <w:r>
        <w:rPr>
          <w:rFonts w:hint="eastAsia" w:ascii="宋体" w:hAnsi="宋体" w:eastAsia="宋体" w:cs="宋体"/>
          <w:color w:val="000000" w:themeColor="text1"/>
          <w:sz w:val="24"/>
          <w14:textFill>
            <w14:solidFill>
              <w14:schemeClr w14:val="tx1"/>
            </w14:solidFill>
          </w14:textFill>
        </w:rPr>
        <w:t>分包给</w:t>
      </w:r>
      <w:r>
        <w:rPr>
          <w:rFonts w:hint="eastAsia" w:ascii="宋体" w:hAnsi="宋体" w:eastAsia="宋体" w:cs="宋体"/>
          <w:color w:val="000000" w:themeColor="text1"/>
          <w:kern w:val="0"/>
          <w:sz w:val="24"/>
          <w:u w:val="single"/>
          <w14:textFill>
            <w14:solidFill>
              <w14:schemeClr w14:val="tx1"/>
            </w14:solidFill>
          </w14:textFill>
        </w:rPr>
        <w:t>（分包供应商1名称）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（分包供应商2名称），</w:t>
      </w:r>
      <w:r>
        <w:rPr>
          <w:rFonts w:hint="eastAsia" w:ascii="宋体" w:hAnsi="宋体" w:eastAsia="宋体" w:cs="宋体"/>
          <w:color w:val="000000" w:themeColor="text1"/>
          <w:kern w:val="0"/>
          <w:sz w:val="24"/>
          <w:lang w:val="zh-CN"/>
          <w14:textFill>
            <w14:solidFill>
              <w14:schemeClr w14:val="tx1"/>
            </w14:solidFill>
          </w14:textFill>
        </w:rPr>
        <w:t>具备承</w:t>
      </w:r>
      <w:r>
        <w:rPr>
          <w:rFonts w:hint="eastAsia" w:ascii="宋体" w:hAnsi="宋体" w:eastAsia="宋体" w:cs="宋体"/>
          <w:color w:val="000000" w:themeColor="text1"/>
          <w:kern w:val="0"/>
          <w:sz w:val="24"/>
          <w14:textFill>
            <w14:solidFill>
              <w14:schemeClr w14:val="tx1"/>
            </w14:solidFill>
          </w14:textFill>
        </w:rPr>
        <w:t>担</w:t>
      </w:r>
      <w:r>
        <w:rPr>
          <w:rFonts w:hint="eastAsia" w:ascii="宋体" w:hAnsi="宋体" w:eastAsia="宋体" w:cs="宋体"/>
          <w:color w:val="000000" w:themeColor="text1"/>
          <w:kern w:val="0"/>
          <w:sz w:val="24"/>
          <w:u w:val="single"/>
          <w:lang w:val="zh-CN"/>
          <w14:textFill>
            <w14:solidFill>
              <w14:schemeClr w14:val="tx1"/>
            </w14:solidFill>
          </w14:textFill>
        </w:rPr>
        <w:t>XX工作内容</w:t>
      </w:r>
      <w:r>
        <w:rPr>
          <w:rFonts w:hint="eastAsia" w:ascii="宋体" w:hAnsi="宋体" w:eastAsia="宋体" w:cs="宋体"/>
          <w:color w:val="000000" w:themeColor="text1"/>
          <w:kern w:val="0"/>
          <w:sz w:val="24"/>
          <w:lang w:val="zh-CN"/>
          <w14:textFill>
            <w14:solidFill>
              <w14:schemeClr w14:val="tx1"/>
            </w14:solidFill>
          </w14:textFill>
        </w:rPr>
        <w:t>相应资质条件且不得再次分包；</w:t>
      </w:r>
    </w:p>
    <w:p>
      <w:pPr>
        <w:pStyle w:val="5"/>
        <w:ind w:left="664" w:leftChars="316" w:firstLine="229" w:firstLineChars="9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14:textFill>
            <w14:solidFill>
              <w14:schemeClr w14:val="tx1"/>
            </w14:solidFill>
          </w14:textFill>
        </w:rPr>
        <w:t>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lang w:val="zh-CN"/>
          <w14:textFill>
            <w14:solidFill>
              <w14:schemeClr w14:val="tx1"/>
            </w14:solidFill>
          </w14:textFill>
        </w:rPr>
        <w:t>）</w:t>
      </w:r>
    </w:p>
    <w:p>
      <w:pPr>
        <w:spacing w:line="360" w:lineRule="auto"/>
        <w:ind w:firstLine="480" w:firstLineChars="200"/>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lang w:val="zh-CN"/>
          <w14:textFill>
            <w14:solidFill>
              <w14:schemeClr w14:val="tx1"/>
            </w14:solidFill>
          </w14:textFill>
        </w:rPr>
        <w:t>分包意向协议</w:t>
      </w:r>
      <w:r>
        <w:rPr>
          <w:rFonts w:hint="eastAsia" w:ascii="宋体" w:hAnsi="宋体" w:eastAsia="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四、质量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附件7：中小企业声明函</w:t>
      </w:r>
    </w:p>
    <w:p>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lang w:eastAsia="zh-CN"/>
          <w14:textFill>
            <w14:solidFill>
              <w14:schemeClr w14:val="tx1"/>
            </w14:solidFill>
          </w14:textFill>
        </w:rPr>
        <w:t>建德市水利局</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建德市农业水价综合改革2024年度技术支撑项目</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u w:val="single"/>
          <w14:textFill>
            <w14:solidFill>
              <w14:schemeClr w14:val="tx1"/>
            </w14:solidFill>
          </w14:textFill>
        </w:rPr>
        <w:t xml:space="preserve"> （标的名称），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14:textFill>
            <w14:solidFill>
              <w14:schemeClr w14:val="tx1"/>
            </w14:solidFill>
          </w14:textFill>
        </w:rPr>
        <w:t xml:space="preserve">；承建（承接）企业为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360" w:lineRule="auto"/>
        <w:ind w:firstLine="310" w:firstLineChars="147"/>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注：</w:t>
      </w:r>
    </w:p>
    <w:p>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30" w:lineRule="atLeast"/>
        <w:jc w:val="center"/>
        <w:rPr>
          <w:rFonts w:hint="eastAsia" w:ascii="方正小标宋_GBK" w:hAnsi="宋体" w:eastAsia="方正小标宋_GBK" w:cs="宋体"/>
          <w:kern w:val="0"/>
          <w:sz w:val="36"/>
          <w:szCs w:val="32"/>
        </w:rPr>
      </w:pPr>
      <w:r>
        <w:rPr>
          <w:rFonts w:hint="eastAsia" w:ascii="方正小标宋_GBK" w:hAnsi="宋体" w:eastAsia="方正小标宋_GBK" w:cs="宋体"/>
          <w:kern w:val="0"/>
          <w:sz w:val="36"/>
          <w:szCs w:val="32"/>
        </w:rPr>
        <w:t>大中小微型企业划分标准</w:t>
      </w:r>
    </w:p>
    <w:tbl>
      <w:tblPr>
        <w:tblStyle w:val="66"/>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adjustRightInd/>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tcBorders>
              <w:top w:val="single" w:color="auto" w:sz="4" w:space="0"/>
              <w:left w:val="nil"/>
              <w:bottom w:val="single" w:color="auto" w:sz="4" w:space="0"/>
              <w:right w:val="nil"/>
            </w:tcBorders>
            <w:noWrap w:val="0"/>
            <w:vAlign w:val="center"/>
          </w:tcPr>
          <w:p>
            <w:pPr>
              <w:widowControl/>
              <w:adjustRightInd/>
              <w:jc w:val="center"/>
              <w:rPr>
                <w:rFonts w:ascii="宋体" w:hAnsi="宋体" w:cs="宋体"/>
                <w:b/>
                <w:bCs/>
                <w:kern w:val="0"/>
                <w:sz w:val="18"/>
                <w:szCs w:val="18"/>
              </w:rPr>
            </w:pPr>
            <w:r>
              <w:rPr>
                <w:rFonts w:hint="eastAsia" w:ascii="宋体" w:hAnsi="宋体" w:cs="宋体"/>
                <w:b/>
                <w:bCs/>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adjustRightInd/>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single" w:color="auto" w:sz="4" w:space="0"/>
              <w:right w:val="single" w:color="auto" w:sz="4" w:space="0"/>
            </w:tcBorders>
            <w:noWrap w:val="0"/>
            <w:vAlign w:val="center"/>
          </w:tcPr>
          <w:p>
            <w:pPr>
              <w:widowControl/>
              <w:adjustRightInd/>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single" w:color="auto" w:sz="4" w:space="0"/>
              <w:right w:val="nil"/>
            </w:tcBorders>
            <w:noWrap w:val="0"/>
            <w:vAlign w:val="center"/>
          </w:tcPr>
          <w:p>
            <w:pPr>
              <w:widowControl/>
              <w:adjustRightInd/>
              <w:jc w:val="center"/>
              <w:rPr>
                <w:rFonts w:ascii="宋体" w:hAnsi="宋体" w:cs="宋体"/>
                <w:kern w:val="0"/>
                <w:sz w:val="18"/>
                <w:szCs w:val="18"/>
              </w:rPr>
            </w:pPr>
            <w:r>
              <w:rPr>
                <w:rFonts w:hint="eastAsia" w:ascii="宋体" w:hAnsi="宋体" w:cs="宋体"/>
                <w:kern w:val="0"/>
                <w:sz w:val="18"/>
                <w:szCs w:val="18"/>
              </w:rPr>
              <w:t>X＜10</w:t>
            </w:r>
          </w:p>
        </w:tc>
      </w:tr>
    </w:tbl>
    <w:p>
      <w:pPr>
        <w:pStyle w:val="5"/>
        <w:rPr>
          <w:rFonts w:hint="eastAsia" w:ascii="宋体" w:hAnsi="宋体" w:eastAsia="宋体" w:cs="宋体"/>
          <w:lang w:val="en-US"/>
        </w:rPr>
      </w:pPr>
    </w:p>
    <w:p>
      <w:pPr>
        <w:spacing w:line="360" w:lineRule="auto"/>
        <w:ind w:right="420"/>
        <w:rPr>
          <w:rFonts w:hint="eastAsia" w:ascii="宋体" w:hAnsi="宋体" w:eastAsia="宋体" w:cs="宋体"/>
        </w:rPr>
      </w:pPr>
    </w:p>
    <w:p>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altName w:val="Segoe Print"/>
    <w:panose1 w:val="020B0602030504020204"/>
    <w:charset w:val="00"/>
    <w:family w:val="swiss"/>
    <w:pitch w:val="default"/>
    <w:sig w:usb0="00000000" w:usb1="00000000" w:usb2="00000000" w:usb3="00000000" w:csb0="200000BF" w:csb1="D7F70000"/>
  </w:font>
  <w:font w:name="Century Gothic">
    <w:altName w:val="DejaVu Math TeX Gyre"/>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91899912"/>
    <w:bookmarkStart w:id="521" w:name="_Toc36110187"/>
    <w:bookmarkStart w:id="522" w:name="_Toc131845147"/>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8861C"/>
    <w:multiLevelType w:val="singleLevel"/>
    <w:tmpl w:val="357886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DRhY2QzYjllNDRhMjZmZjRkNTUyMTMzOWFhNGMifQ=="/>
    <w:docVar w:name="KSO_WPS_MARK_KEY" w:val="87e90e28-7821-4941-8bc2-27837af2a60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330B8"/>
    <w:rsid w:val="01B37585"/>
    <w:rsid w:val="01D55165"/>
    <w:rsid w:val="01DF6BF8"/>
    <w:rsid w:val="01EC2C57"/>
    <w:rsid w:val="025F0711"/>
    <w:rsid w:val="026B2E25"/>
    <w:rsid w:val="02824D4D"/>
    <w:rsid w:val="0295103C"/>
    <w:rsid w:val="02DC4B10"/>
    <w:rsid w:val="02DD76CE"/>
    <w:rsid w:val="02F36323"/>
    <w:rsid w:val="02F5619C"/>
    <w:rsid w:val="0326446A"/>
    <w:rsid w:val="032D5555"/>
    <w:rsid w:val="033D3914"/>
    <w:rsid w:val="03614235"/>
    <w:rsid w:val="036634D2"/>
    <w:rsid w:val="03DD35E4"/>
    <w:rsid w:val="04076900"/>
    <w:rsid w:val="041A5A3B"/>
    <w:rsid w:val="042311BA"/>
    <w:rsid w:val="042B157A"/>
    <w:rsid w:val="048F763B"/>
    <w:rsid w:val="049F330E"/>
    <w:rsid w:val="04AA775C"/>
    <w:rsid w:val="04AF1889"/>
    <w:rsid w:val="04DB784B"/>
    <w:rsid w:val="04F66F48"/>
    <w:rsid w:val="05251E14"/>
    <w:rsid w:val="05A16594"/>
    <w:rsid w:val="05A7762D"/>
    <w:rsid w:val="060E5941"/>
    <w:rsid w:val="06110FAF"/>
    <w:rsid w:val="06493CA7"/>
    <w:rsid w:val="065A6178"/>
    <w:rsid w:val="066F1CF3"/>
    <w:rsid w:val="06782246"/>
    <w:rsid w:val="06930BB8"/>
    <w:rsid w:val="06E45A7E"/>
    <w:rsid w:val="07245D42"/>
    <w:rsid w:val="07264C62"/>
    <w:rsid w:val="0779354C"/>
    <w:rsid w:val="08061376"/>
    <w:rsid w:val="08312089"/>
    <w:rsid w:val="08452D77"/>
    <w:rsid w:val="086401F8"/>
    <w:rsid w:val="08751CAA"/>
    <w:rsid w:val="087E4C40"/>
    <w:rsid w:val="08A871D0"/>
    <w:rsid w:val="08D66AD6"/>
    <w:rsid w:val="08DA33A3"/>
    <w:rsid w:val="08E80F13"/>
    <w:rsid w:val="091A5787"/>
    <w:rsid w:val="09335624"/>
    <w:rsid w:val="0944690F"/>
    <w:rsid w:val="09535675"/>
    <w:rsid w:val="095F057D"/>
    <w:rsid w:val="09642282"/>
    <w:rsid w:val="09733572"/>
    <w:rsid w:val="09772C16"/>
    <w:rsid w:val="098353B5"/>
    <w:rsid w:val="09A92330"/>
    <w:rsid w:val="09B06B87"/>
    <w:rsid w:val="09C13146"/>
    <w:rsid w:val="09E04166"/>
    <w:rsid w:val="09E162A4"/>
    <w:rsid w:val="0A1C0718"/>
    <w:rsid w:val="0A3E7710"/>
    <w:rsid w:val="0A5B7E63"/>
    <w:rsid w:val="0AA374A5"/>
    <w:rsid w:val="0AAB7649"/>
    <w:rsid w:val="0ABC5606"/>
    <w:rsid w:val="0AFB7074"/>
    <w:rsid w:val="0B30404E"/>
    <w:rsid w:val="0B4C6C14"/>
    <w:rsid w:val="0B547599"/>
    <w:rsid w:val="0B631A88"/>
    <w:rsid w:val="0B683D45"/>
    <w:rsid w:val="0B73117E"/>
    <w:rsid w:val="0B7F3F11"/>
    <w:rsid w:val="0B84338B"/>
    <w:rsid w:val="0B884417"/>
    <w:rsid w:val="0BF6188C"/>
    <w:rsid w:val="0BF73C91"/>
    <w:rsid w:val="0C170175"/>
    <w:rsid w:val="0C571A41"/>
    <w:rsid w:val="0C590374"/>
    <w:rsid w:val="0C5C1171"/>
    <w:rsid w:val="0C5E1CBC"/>
    <w:rsid w:val="0C615B50"/>
    <w:rsid w:val="0C8445DA"/>
    <w:rsid w:val="0C87121B"/>
    <w:rsid w:val="0CC007F7"/>
    <w:rsid w:val="0CC617AC"/>
    <w:rsid w:val="0CE618DF"/>
    <w:rsid w:val="0CFA3E85"/>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857"/>
    <w:rsid w:val="0E5604B2"/>
    <w:rsid w:val="0E6D5D79"/>
    <w:rsid w:val="0E9D0089"/>
    <w:rsid w:val="0EB803EE"/>
    <w:rsid w:val="0EF94D4B"/>
    <w:rsid w:val="0F4958DC"/>
    <w:rsid w:val="0F4C41C0"/>
    <w:rsid w:val="0F515DF7"/>
    <w:rsid w:val="0F596BA8"/>
    <w:rsid w:val="0F6248D2"/>
    <w:rsid w:val="0F693536"/>
    <w:rsid w:val="0F7B0511"/>
    <w:rsid w:val="0F7B76D9"/>
    <w:rsid w:val="0F816ACD"/>
    <w:rsid w:val="0F9832DB"/>
    <w:rsid w:val="0FBF3FD2"/>
    <w:rsid w:val="0FBF7FF3"/>
    <w:rsid w:val="10106BA3"/>
    <w:rsid w:val="10646583"/>
    <w:rsid w:val="10675755"/>
    <w:rsid w:val="107D4B15"/>
    <w:rsid w:val="108A3C80"/>
    <w:rsid w:val="10C26171"/>
    <w:rsid w:val="10CF4257"/>
    <w:rsid w:val="10F33360"/>
    <w:rsid w:val="10FC16EA"/>
    <w:rsid w:val="110F1D40"/>
    <w:rsid w:val="11266F33"/>
    <w:rsid w:val="118963A1"/>
    <w:rsid w:val="11C6522A"/>
    <w:rsid w:val="11E104CC"/>
    <w:rsid w:val="11E20309"/>
    <w:rsid w:val="11EE5A02"/>
    <w:rsid w:val="12255233"/>
    <w:rsid w:val="12530213"/>
    <w:rsid w:val="127723A9"/>
    <w:rsid w:val="12862074"/>
    <w:rsid w:val="12883966"/>
    <w:rsid w:val="129E45B4"/>
    <w:rsid w:val="12D81596"/>
    <w:rsid w:val="13072A44"/>
    <w:rsid w:val="135F4BE2"/>
    <w:rsid w:val="139B1A0A"/>
    <w:rsid w:val="139D25C7"/>
    <w:rsid w:val="13BF3CE4"/>
    <w:rsid w:val="13ED53DF"/>
    <w:rsid w:val="141008D8"/>
    <w:rsid w:val="14125FE6"/>
    <w:rsid w:val="146D271E"/>
    <w:rsid w:val="14982588"/>
    <w:rsid w:val="149A5AD9"/>
    <w:rsid w:val="14A7619D"/>
    <w:rsid w:val="150536C3"/>
    <w:rsid w:val="150C1963"/>
    <w:rsid w:val="151447A0"/>
    <w:rsid w:val="15293599"/>
    <w:rsid w:val="154A6454"/>
    <w:rsid w:val="15762120"/>
    <w:rsid w:val="162C27FE"/>
    <w:rsid w:val="165D63C0"/>
    <w:rsid w:val="1679722C"/>
    <w:rsid w:val="16A8729C"/>
    <w:rsid w:val="16B00A9A"/>
    <w:rsid w:val="16B33777"/>
    <w:rsid w:val="16BC70A7"/>
    <w:rsid w:val="16C6339E"/>
    <w:rsid w:val="16E5200C"/>
    <w:rsid w:val="172F2D79"/>
    <w:rsid w:val="17527120"/>
    <w:rsid w:val="17557BEF"/>
    <w:rsid w:val="17A60604"/>
    <w:rsid w:val="17D349C1"/>
    <w:rsid w:val="17FB56B7"/>
    <w:rsid w:val="1830729E"/>
    <w:rsid w:val="1870062C"/>
    <w:rsid w:val="18817102"/>
    <w:rsid w:val="18830A15"/>
    <w:rsid w:val="18852B28"/>
    <w:rsid w:val="188B5321"/>
    <w:rsid w:val="18FE220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F3784"/>
    <w:rsid w:val="1C755A82"/>
    <w:rsid w:val="1C88086E"/>
    <w:rsid w:val="1D266CE1"/>
    <w:rsid w:val="1D3963AF"/>
    <w:rsid w:val="1D5C3264"/>
    <w:rsid w:val="1D6A673C"/>
    <w:rsid w:val="1D797329"/>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C4FE0"/>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01D4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E0F13"/>
    <w:rsid w:val="269E134D"/>
    <w:rsid w:val="26A53EF9"/>
    <w:rsid w:val="26A94201"/>
    <w:rsid w:val="26AC274F"/>
    <w:rsid w:val="27044A29"/>
    <w:rsid w:val="271D34C8"/>
    <w:rsid w:val="276142BF"/>
    <w:rsid w:val="27783712"/>
    <w:rsid w:val="27907362"/>
    <w:rsid w:val="27A94B15"/>
    <w:rsid w:val="28333E1D"/>
    <w:rsid w:val="28454BD6"/>
    <w:rsid w:val="28455253"/>
    <w:rsid w:val="28551971"/>
    <w:rsid w:val="285B1C53"/>
    <w:rsid w:val="286C1397"/>
    <w:rsid w:val="289F7086"/>
    <w:rsid w:val="28C133DC"/>
    <w:rsid w:val="28C32028"/>
    <w:rsid w:val="28CC490F"/>
    <w:rsid w:val="28DE40AA"/>
    <w:rsid w:val="29345E77"/>
    <w:rsid w:val="294C65AD"/>
    <w:rsid w:val="29806583"/>
    <w:rsid w:val="298B3C4C"/>
    <w:rsid w:val="29F26D24"/>
    <w:rsid w:val="2A15033F"/>
    <w:rsid w:val="2A1662C1"/>
    <w:rsid w:val="2A1B097F"/>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524E6"/>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F180B"/>
    <w:rsid w:val="346D235F"/>
    <w:rsid w:val="34875989"/>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10594F"/>
    <w:rsid w:val="373F410B"/>
    <w:rsid w:val="37EE7094"/>
    <w:rsid w:val="38296C89"/>
    <w:rsid w:val="383002EB"/>
    <w:rsid w:val="38586797"/>
    <w:rsid w:val="38BC0149"/>
    <w:rsid w:val="38D87D1C"/>
    <w:rsid w:val="39636459"/>
    <w:rsid w:val="396B7F6C"/>
    <w:rsid w:val="3990776B"/>
    <w:rsid w:val="39B417A9"/>
    <w:rsid w:val="39FC5695"/>
    <w:rsid w:val="3A006D8E"/>
    <w:rsid w:val="3A3651E5"/>
    <w:rsid w:val="3A744481"/>
    <w:rsid w:val="3A8378F5"/>
    <w:rsid w:val="3A8C7BEF"/>
    <w:rsid w:val="3A906246"/>
    <w:rsid w:val="3B2349B7"/>
    <w:rsid w:val="3B616CFF"/>
    <w:rsid w:val="3B6259F6"/>
    <w:rsid w:val="3B976654"/>
    <w:rsid w:val="3BC01EFC"/>
    <w:rsid w:val="3BCA786A"/>
    <w:rsid w:val="3BD31E2F"/>
    <w:rsid w:val="3BF15831"/>
    <w:rsid w:val="3C105946"/>
    <w:rsid w:val="3C3D5C18"/>
    <w:rsid w:val="3C471448"/>
    <w:rsid w:val="3C5F759A"/>
    <w:rsid w:val="3C6C525A"/>
    <w:rsid w:val="3C8E28A5"/>
    <w:rsid w:val="3CCE23CB"/>
    <w:rsid w:val="3CD17D17"/>
    <w:rsid w:val="3D3C7F39"/>
    <w:rsid w:val="3D440F09"/>
    <w:rsid w:val="3D4504A0"/>
    <w:rsid w:val="3D48571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C932CA"/>
    <w:rsid w:val="41D01505"/>
    <w:rsid w:val="42474939"/>
    <w:rsid w:val="424C3C57"/>
    <w:rsid w:val="42613FF3"/>
    <w:rsid w:val="42660D96"/>
    <w:rsid w:val="428667D2"/>
    <w:rsid w:val="42CD1CE0"/>
    <w:rsid w:val="42E1381E"/>
    <w:rsid w:val="42ED6459"/>
    <w:rsid w:val="42FE58DD"/>
    <w:rsid w:val="43174B3D"/>
    <w:rsid w:val="43455278"/>
    <w:rsid w:val="434B790E"/>
    <w:rsid w:val="4360274F"/>
    <w:rsid w:val="43977AB6"/>
    <w:rsid w:val="43A3342B"/>
    <w:rsid w:val="43C77C27"/>
    <w:rsid w:val="43DE09EE"/>
    <w:rsid w:val="44002FAD"/>
    <w:rsid w:val="44084034"/>
    <w:rsid w:val="449101DD"/>
    <w:rsid w:val="44DE1391"/>
    <w:rsid w:val="44FC60CE"/>
    <w:rsid w:val="451B225C"/>
    <w:rsid w:val="452410C9"/>
    <w:rsid w:val="45317DFB"/>
    <w:rsid w:val="456D3CE4"/>
    <w:rsid w:val="4579042C"/>
    <w:rsid w:val="457F0571"/>
    <w:rsid w:val="45851176"/>
    <w:rsid w:val="45C63B94"/>
    <w:rsid w:val="45F435DC"/>
    <w:rsid w:val="460E7DA5"/>
    <w:rsid w:val="46362EF9"/>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017F5"/>
    <w:rsid w:val="4A4424D7"/>
    <w:rsid w:val="4AB82D0F"/>
    <w:rsid w:val="4AEB7664"/>
    <w:rsid w:val="4AFD7C19"/>
    <w:rsid w:val="4B0567D1"/>
    <w:rsid w:val="4B086BDB"/>
    <w:rsid w:val="4B236AAE"/>
    <w:rsid w:val="4B707271"/>
    <w:rsid w:val="4B9739F7"/>
    <w:rsid w:val="4BE44AF3"/>
    <w:rsid w:val="4BEE2503"/>
    <w:rsid w:val="4C245A30"/>
    <w:rsid w:val="4C29013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6761B"/>
    <w:rsid w:val="4F911C54"/>
    <w:rsid w:val="4FE625E0"/>
    <w:rsid w:val="5021480F"/>
    <w:rsid w:val="50804FC3"/>
    <w:rsid w:val="50816846"/>
    <w:rsid w:val="50962ECB"/>
    <w:rsid w:val="50A42E38"/>
    <w:rsid w:val="50A4577F"/>
    <w:rsid w:val="50B73D1F"/>
    <w:rsid w:val="50BD5BC9"/>
    <w:rsid w:val="50C11EEE"/>
    <w:rsid w:val="50D737EC"/>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4751"/>
    <w:rsid w:val="566B6D1E"/>
    <w:rsid w:val="56BD7FC8"/>
    <w:rsid w:val="56D248E8"/>
    <w:rsid w:val="56ED13B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A32C5"/>
    <w:rsid w:val="58917D2F"/>
    <w:rsid w:val="5894085C"/>
    <w:rsid w:val="58AE4F0C"/>
    <w:rsid w:val="58B85899"/>
    <w:rsid w:val="58E363A9"/>
    <w:rsid w:val="595E1678"/>
    <w:rsid w:val="596D5BD4"/>
    <w:rsid w:val="597E3DD8"/>
    <w:rsid w:val="59EB0611"/>
    <w:rsid w:val="59F80043"/>
    <w:rsid w:val="5A09252F"/>
    <w:rsid w:val="5A0B2778"/>
    <w:rsid w:val="5A2A7C7B"/>
    <w:rsid w:val="5A3E2560"/>
    <w:rsid w:val="5A5D3B6E"/>
    <w:rsid w:val="5A637A76"/>
    <w:rsid w:val="5A6D33BA"/>
    <w:rsid w:val="5A757041"/>
    <w:rsid w:val="5A792B1F"/>
    <w:rsid w:val="5A874767"/>
    <w:rsid w:val="5AA85BE2"/>
    <w:rsid w:val="5AAD6F28"/>
    <w:rsid w:val="5AD63A24"/>
    <w:rsid w:val="5B2E1A1D"/>
    <w:rsid w:val="5B2F58ED"/>
    <w:rsid w:val="5B843A1C"/>
    <w:rsid w:val="5B873E3F"/>
    <w:rsid w:val="5BA52C2B"/>
    <w:rsid w:val="5C02690E"/>
    <w:rsid w:val="5C196DA7"/>
    <w:rsid w:val="5C2A048C"/>
    <w:rsid w:val="5C80234E"/>
    <w:rsid w:val="5C8A680C"/>
    <w:rsid w:val="5CC00F2A"/>
    <w:rsid w:val="5CF91715"/>
    <w:rsid w:val="5D0C4701"/>
    <w:rsid w:val="5D0F0395"/>
    <w:rsid w:val="5D221076"/>
    <w:rsid w:val="5D397964"/>
    <w:rsid w:val="5D5A391C"/>
    <w:rsid w:val="5D5F10C0"/>
    <w:rsid w:val="5D891B7B"/>
    <w:rsid w:val="5D9C261C"/>
    <w:rsid w:val="5DAD38EE"/>
    <w:rsid w:val="5DEA03F9"/>
    <w:rsid w:val="5E006862"/>
    <w:rsid w:val="5E0207B9"/>
    <w:rsid w:val="5E1834A1"/>
    <w:rsid w:val="5E24377D"/>
    <w:rsid w:val="5E261785"/>
    <w:rsid w:val="5E4A7017"/>
    <w:rsid w:val="5E552BBA"/>
    <w:rsid w:val="5E611C10"/>
    <w:rsid w:val="5E7A0F3F"/>
    <w:rsid w:val="5E9C003E"/>
    <w:rsid w:val="5EFC7377"/>
    <w:rsid w:val="5F06174D"/>
    <w:rsid w:val="5F3A3602"/>
    <w:rsid w:val="5F45733B"/>
    <w:rsid w:val="5F6277C6"/>
    <w:rsid w:val="5F63605C"/>
    <w:rsid w:val="5F6D0B1D"/>
    <w:rsid w:val="5F7B73C1"/>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7361"/>
    <w:rsid w:val="624F3E49"/>
    <w:rsid w:val="62632286"/>
    <w:rsid w:val="62885958"/>
    <w:rsid w:val="62F40B65"/>
    <w:rsid w:val="62FC2CFE"/>
    <w:rsid w:val="63024505"/>
    <w:rsid w:val="630A6E47"/>
    <w:rsid w:val="630B4394"/>
    <w:rsid w:val="635600A5"/>
    <w:rsid w:val="635B1DB5"/>
    <w:rsid w:val="63711FED"/>
    <w:rsid w:val="63880DDC"/>
    <w:rsid w:val="638D750D"/>
    <w:rsid w:val="63AC6CC0"/>
    <w:rsid w:val="63C143B7"/>
    <w:rsid w:val="64055776"/>
    <w:rsid w:val="64240056"/>
    <w:rsid w:val="643E143A"/>
    <w:rsid w:val="64491666"/>
    <w:rsid w:val="648B6EEF"/>
    <w:rsid w:val="64A01811"/>
    <w:rsid w:val="64C158BF"/>
    <w:rsid w:val="64CE2EAA"/>
    <w:rsid w:val="653C3090"/>
    <w:rsid w:val="65526CEA"/>
    <w:rsid w:val="65854376"/>
    <w:rsid w:val="658767BE"/>
    <w:rsid w:val="65892531"/>
    <w:rsid w:val="65911805"/>
    <w:rsid w:val="66195831"/>
    <w:rsid w:val="661E3335"/>
    <w:rsid w:val="662E75B1"/>
    <w:rsid w:val="66342C2E"/>
    <w:rsid w:val="663E784C"/>
    <w:rsid w:val="668B6A45"/>
    <w:rsid w:val="66A97572"/>
    <w:rsid w:val="67011F07"/>
    <w:rsid w:val="672F3F24"/>
    <w:rsid w:val="673E055F"/>
    <w:rsid w:val="67551CE3"/>
    <w:rsid w:val="67A22552"/>
    <w:rsid w:val="67B22DCC"/>
    <w:rsid w:val="67BE71AA"/>
    <w:rsid w:val="67C963E2"/>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53D2E"/>
    <w:rsid w:val="69CC2BFF"/>
    <w:rsid w:val="69FD55B8"/>
    <w:rsid w:val="6A0B1C62"/>
    <w:rsid w:val="6A2406C8"/>
    <w:rsid w:val="6ACA583A"/>
    <w:rsid w:val="6ADE0BD1"/>
    <w:rsid w:val="6AE96859"/>
    <w:rsid w:val="6B147746"/>
    <w:rsid w:val="6B24787C"/>
    <w:rsid w:val="6B573233"/>
    <w:rsid w:val="6B5B6274"/>
    <w:rsid w:val="6B935D53"/>
    <w:rsid w:val="6BA5042F"/>
    <w:rsid w:val="6C196F71"/>
    <w:rsid w:val="6C226FCB"/>
    <w:rsid w:val="6C31226F"/>
    <w:rsid w:val="6C552F0B"/>
    <w:rsid w:val="6C8C67B7"/>
    <w:rsid w:val="6C9D744C"/>
    <w:rsid w:val="6D0E11D5"/>
    <w:rsid w:val="6D167928"/>
    <w:rsid w:val="6D26299B"/>
    <w:rsid w:val="6D4772EC"/>
    <w:rsid w:val="6D4B2FEF"/>
    <w:rsid w:val="6D9078AF"/>
    <w:rsid w:val="6D9A298E"/>
    <w:rsid w:val="6DAA3FEF"/>
    <w:rsid w:val="6DC0172B"/>
    <w:rsid w:val="6DCB690C"/>
    <w:rsid w:val="6DD41A5B"/>
    <w:rsid w:val="6DDF5E3B"/>
    <w:rsid w:val="6DF43C2E"/>
    <w:rsid w:val="6DF51CA3"/>
    <w:rsid w:val="6E8335BD"/>
    <w:rsid w:val="6E8E12EF"/>
    <w:rsid w:val="6E972936"/>
    <w:rsid w:val="6ED446C5"/>
    <w:rsid w:val="6F2A7D94"/>
    <w:rsid w:val="6F7C2E7B"/>
    <w:rsid w:val="6F8331F1"/>
    <w:rsid w:val="6FAE1A09"/>
    <w:rsid w:val="6FD75BF8"/>
    <w:rsid w:val="707723D0"/>
    <w:rsid w:val="70BC134B"/>
    <w:rsid w:val="70F5661B"/>
    <w:rsid w:val="71360107"/>
    <w:rsid w:val="713B688E"/>
    <w:rsid w:val="715B3A61"/>
    <w:rsid w:val="71AF11FA"/>
    <w:rsid w:val="71D43752"/>
    <w:rsid w:val="71DE6465"/>
    <w:rsid w:val="71F1796A"/>
    <w:rsid w:val="72154626"/>
    <w:rsid w:val="72262B5D"/>
    <w:rsid w:val="72283FF7"/>
    <w:rsid w:val="722E7212"/>
    <w:rsid w:val="723A0474"/>
    <w:rsid w:val="725923E4"/>
    <w:rsid w:val="72864BF7"/>
    <w:rsid w:val="729023FC"/>
    <w:rsid w:val="733A0A85"/>
    <w:rsid w:val="73C0646E"/>
    <w:rsid w:val="73F13E3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171BFA"/>
    <w:rsid w:val="77340A39"/>
    <w:rsid w:val="77351FD0"/>
    <w:rsid w:val="77472422"/>
    <w:rsid w:val="777F31F2"/>
    <w:rsid w:val="77D1700D"/>
    <w:rsid w:val="77EC04CC"/>
    <w:rsid w:val="78775729"/>
    <w:rsid w:val="78A42DB0"/>
    <w:rsid w:val="78A656AB"/>
    <w:rsid w:val="78B2245C"/>
    <w:rsid w:val="78CF171E"/>
    <w:rsid w:val="78CF4397"/>
    <w:rsid w:val="78E172CC"/>
    <w:rsid w:val="78EA1D1F"/>
    <w:rsid w:val="7904172F"/>
    <w:rsid w:val="790F7E27"/>
    <w:rsid w:val="792A231A"/>
    <w:rsid w:val="79316829"/>
    <w:rsid w:val="797E66A9"/>
    <w:rsid w:val="798518A4"/>
    <w:rsid w:val="798D28CB"/>
    <w:rsid w:val="79A97383"/>
    <w:rsid w:val="79E27E8B"/>
    <w:rsid w:val="79F850CE"/>
    <w:rsid w:val="79FD443C"/>
    <w:rsid w:val="7A064E5A"/>
    <w:rsid w:val="7A16706B"/>
    <w:rsid w:val="7A1D1975"/>
    <w:rsid w:val="7A3E5150"/>
    <w:rsid w:val="7A4670D6"/>
    <w:rsid w:val="7A534B63"/>
    <w:rsid w:val="7A615382"/>
    <w:rsid w:val="7A67303B"/>
    <w:rsid w:val="7A6F0DC9"/>
    <w:rsid w:val="7AAB1D04"/>
    <w:rsid w:val="7ABA4368"/>
    <w:rsid w:val="7AD05746"/>
    <w:rsid w:val="7B257FFD"/>
    <w:rsid w:val="7B273D20"/>
    <w:rsid w:val="7B343476"/>
    <w:rsid w:val="7B5A2978"/>
    <w:rsid w:val="7B5A7E4C"/>
    <w:rsid w:val="7B667AF9"/>
    <w:rsid w:val="7B7468F8"/>
    <w:rsid w:val="7BD61B65"/>
    <w:rsid w:val="7BEE0103"/>
    <w:rsid w:val="7C0A0FE4"/>
    <w:rsid w:val="7C254906"/>
    <w:rsid w:val="7C590818"/>
    <w:rsid w:val="7C7C10F6"/>
    <w:rsid w:val="7C853BEA"/>
    <w:rsid w:val="7C881368"/>
    <w:rsid w:val="7CE27788"/>
    <w:rsid w:val="7D0C32F1"/>
    <w:rsid w:val="7D0F408D"/>
    <w:rsid w:val="7D491C6C"/>
    <w:rsid w:val="7D5429C0"/>
    <w:rsid w:val="7D636804"/>
    <w:rsid w:val="7D6E6D43"/>
    <w:rsid w:val="7DB57A34"/>
    <w:rsid w:val="7DDE2FF4"/>
    <w:rsid w:val="7DE60973"/>
    <w:rsid w:val="7DEF0916"/>
    <w:rsid w:val="7E1E5218"/>
    <w:rsid w:val="7E6D0BB5"/>
    <w:rsid w:val="7E7F0292"/>
    <w:rsid w:val="7E9A4E1F"/>
    <w:rsid w:val="7EA7723A"/>
    <w:rsid w:val="7EF56FBB"/>
    <w:rsid w:val="7F0768EB"/>
    <w:rsid w:val="7F143BEC"/>
    <w:rsid w:val="7F31492E"/>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Basistekst Batenburg"/>
    <w:basedOn w:val="3"/>
    <w:qFormat/>
    <w:uiPriority w:val="0"/>
  </w:style>
  <w:style w:type="paragraph" w:customStyle="1" w:styleId="3">
    <w:name w:val="Zsysbasis Batenburg"/>
    <w:next w:val="2"/>
    <w:qFormat/>
    <w:uiPriority w:val="0"/>
    <w:pPr>
      <w:spacing w:line="300" w:lineRule="atLeast"/>
    </w:pPr>
    <w:rPr>
      <w:rFonts w:ascii="Times New Roman" w:hAnsi="Times New Roman" w:eastAsia="宋体" w:cs="Times New Roman"/>
      <w:sz w:val="22"/>
      <w:szCs w:val="18"/>
      <w:lang w:val="en-US" w:eastAsia="zh-CN" w:bidi="ar-SA"/>
    </w:rPr>
  </w:style>
  <w:style w:type="paragraph" w:styleId="7">
    <w:name w:val="Normal Indent"/>
    <w:basedOn w:val="1"/>
    <w:next w:val="8"/>
    <w:link w:val="195"/>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7"/>
    <w:link w:val="267"/>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table of authorities"/>
    <w:basedOn w:val="1"/>
    <w:next w:val="1"/>
    <w:qFormat/>
    <w:uiPriority w:val="0"/>
    <w:pPr>
      <w:spacing w:line="440" w:lineRule="exact"/>
      <w:ind w:left="420" w:leftChars="200" w:firstLine="883" w:firstLineChars="200"/>
    </w:pPr>
    <w:rPr>
      <w:sz w:val="28"/>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3"/>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127"/>
    <w:qFormat/>
    <w:uiPriority w:val="0"/>
    <w:rPr>
      <w:rFonts w:ascii="宋体" w:hAnsi="Courier New" w:cs="Arial"/>
      <w:snapToGrid w:val="0"/>
      <w:szCs w:val="21"/>
    </w:rPr>
  </w:style>
  <w:style w:type="paragraph" w:styleId="38">
    <w:name w:val="toc 2"/>
    <w:basedOn w:val="1"/>
    <w:next w:val="1"/>
    <w:qFormat/>
    <w:uiPriority w:val="0"/>
    <w:pPr>
      <w:ind w:left="420" w:leftChars="200"/>
    </w:p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3">
    <w:name w:val="endnote text"/>
    <w:basedOn w:val="1"/>
    <w:link w:val="933"/>
    <w:qFormat/>
    <w:uiPriority w:val="0"/>
    <w:rPr>
      <w:lang w:val="zh-CN"/>
    </w:rPr>
  </w:style>
  <w:style w:type="paragraph" w:styleId="44">
    <w:name w:val="Balloon Text"/>
    <w:basedOn w:val="1"/>
    <w:link w:val="190"/>
    <w:qFormat/>
    <w:uiPriority w:val="0"/>
    <w:rPr>
      <w:sz w:val="18"/>
      <w:szCs w:val="18"/>
    </w:rPr>
  </w:style>
  <w:style w:type="paragraph" w:styleId="45">
    <w:name w:val="footer"/>
    <w:basedOn w:val="1"/>
    <w:link w:val="385"/>
    <w:qFormat/>
    <w:uiPriority w:val="99"/>
    <w:pPr>
      <w:tabs>
        <w:tab w:val="center" w:pos="4153"/>
        <w:tab w:val="right" w:pos="8306"/>
      </w:tabs>
      <w:snapToGrid w:val="0"/>
      <w:jc w:val="left"/>
    </w:pPr>
    <w:rPr>
      <w:sz w:val="18"/>
      <w:szCs w:val="18"/>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8"/>
    <w:qFormat/>
    <w:uiPriority w:val="0"/>
    <w:rPr>
      <w:b/>
      <w:bCs/>
    </w:rPr>
  </w:style>
  <w:style w:type="paragraph" w:styleId="64">
    <w:name w:val="Body Text First Indent 2"/>
    <w:basedOn w:val="8"/>
    <w:next w:val="65"/>
    <w:link w:val="123"/>
    <w:qFormat/>
    <w:uiPriority w:val="0"/>
    <w:pPr>
      <w:adjustRightInd/>
      <w:spacing w:after="120" w:line="240" w:lineRule="auto"/>
      <w:ind w:left="420" w:leftChars="200" w:firstLine="210"/>
    </w:pPr>
    <w:rPr>
      <w:sz w:val="21"/>
    </w:rPr>
  </w:style>
  <w:style w:type="paragraph" w:customStyle="1" w:styleId="65">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2"/>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1"/>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4"/>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3"/>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4"/>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42"/>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5"/>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8"/>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3"/>
    <w:qFormat/>
    <w:uiPriority w:val="99"/>
    <w:rPr>
      <w:kern w:val="2"/>
      <w:sz w:val="21"/>
      <w:szCs w:val="24"/>
    </w:rPr>
  </w:style>
  <w:style w:type="character" w:customStyle="1" w:styleId="347">
    <w:name w:val="签名 Char"/>
    <w:link w:val="47"/>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basedOn w:val="73"/>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5"/>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3"/>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Heading5"/>
    <w:basedOn w:val="1"/>
    <w:next w:val="1"/>
    <w:qFormat/>
    <w:uiPriority w:val="0"/>
    <w:pPr>
      <w:keepNext/>
      <w:keepLines/>
      <w:spacing w:after="120" w:line="360" w:lineRule="auto"/>
      <w:textAlignment w:val="baseline"/>
    </w:pPr>
    <w:rPr>
      <w:rFonts w:eastAsia="微软雅黑"/>
      <w:b/>
      <w:bCs/>
      <w:sz w:val="24"/>
    </w:rPr>
  </w:style>
  <w:style w:type="paragraph" w:customStyle="1" w:styleId="967">
    <w:name w:val="列出段落6"/>
    <w:basedOn w:val="1"/>
    <w:unhideWhenUsed/>
    <w:qFormat/>
    <w:uiPriority w:val="99"/>
    <w:pPr>
      <w:ind w:firstLine="420" w:firstLineChars="200"/>
    </w:pPr>
  </w:style>
  <w:style w:type="paragraph" w:customStyle="1" w:styleId="968">
    <w:name w:val="样式 标题 1 + 段后: 0.5 行"/>
    <w:basedOn w:val="4"/>
    <w:qFormat/>
    <w:uiPriority w:val="0"/>
    <w:pPr>
      <w:keepLines w:val="0"/>
      <w:numPr>
        <w:ilvl w:val="0"/>
        <w:numId w:val="0"/>
      </w:numPr>
      <w:autoSpaceDE/>
      <w:autoSpaceDN/>
      <w:adjustRightInd/>
      <w:spacing w:before="120" w:after="120" w:afterLines="50" w:line="240" w:lineRule="auto"/>
      <w:textAlignment w:val="auto"/>
    </w:pPr>
    <w:rPr>
      <w:rFonts w:hAnsi="Times New Roman" w:eastAsia="宋体" w:cs="宋体"/>
      <w:snapToGrid w:val="0"/>
      <w:color w:val="auto"/>
      <w:kern w:val="0"/>
      <w:sz w:val="28"/>
    </w:rPr>
  </w:style>
  <w:style w:type="character" w:customStyle="1" w:styleId="969">
    <w:name w:val="font121"/>
    <w:qFormat/>
    <w:uiPriority w:val="0"/>
    <w:rPr>
      <w:rFonts w:ascii="宋体" w:hAnsi="Tahoma" w:eastAsia="宋体" w:cs="宋体"/>
      <w:color w:val="000000"/>
      <w:sz w:val="20"/>
      <w:szCs w:val="20"/>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35713</Words>
  <Characters>37880</Characters>
  <Lines>281</Lines>
  <Paragraphs>79</Paragraphs>
  <TotalTime>108</TotalTime>
  <ScaleCrop>false</ScaleCrop>
  <LinksUpToDate>false</LinksUpToDate>
  <CharactersWithSpaces>43192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深渊魔王王</cp:lastModifiedBy>
  <cp:lastPrinted>2021-12-27T03:06:00Z</cp:lastPrinted>
  <dcterms:modified xsi:type="dcterms:W3CDTF">2024-09-27T02:47:03Z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FFDECCCFA5AF49D4955B4876AA0C82DD_13</vt:lpwstr>
  </property>
</Properties>
</file>