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C44788">
      <w:pPr>
        <w:spacing w:line="360" w:lineRule="auto"/>
        <w:ind w:right="-288" w:rightChars="-120"/>
        <w:jc w:val="center"/>
        <w:rPr>
          <w:b/>
        </w:rPr>
      </w:pPr>
    </w:p>
    <w:p w14:paraId="3C48D56E">
      <w:pPr>
        <w:spacing w:line="360" w:lineRule="auto"/>
        <w:jc w:val="center"/>
        <w:rPr>
          <w:b/>
        </w:rPr>
      </w:pPr>
    </w:p>
    <w:p w14:paraId="4B03C899">
      <w:pPr>
        <w:adjustRightInd/>
        <w:spacing w:line="360" w:lineRule="auto"/>
        <w:jc w:val="center"/>
        <w:rPr>
          <w:b/>
          <w:sz w:val="44"/>
          <w:szCs w:val="44"/>
        </w:rPr>
      </w:pPr>
    </w:p>
    <w:p w14:paraId="3FFDE71D">
      <w:pPr>
        <w:spacing w:line="360" w:lineRule="auto"/>
        <w:jc w:val="center"/>
        <w:rPr>
          <w:b/>
          <w:sz w:val="44"/>
          <w:szCs w:val="44"/>
        </w:rPr>
      </w:pPr>
    </w:p>
    <w:p w14:paraId="35CCC088">
      <w:pPr>
        <w:adjustRightInd/>
        <w:spacing w:line="360" w:lineRule="auto"/>
        <w:jc w:val="center"/>
        <w:rPr>
          <w:b/>
          <w:sz w:val="48"/>
          <w:szCs w:val="48"/>
        </w:rPr>
      </w:pPr>
    </w:p>
    <w:p w14:paraId="468B8295">
      <w:pPr>
        <w:adjustRightInd/>
        <w:spacing w:line="360" w:lineRule="auto"/>
        <w:jc w:val="center"/>
        <w:rPr>
          <w:sz w:val="48"/>
          <w:szCs w:val="48"/>
        </w:rPr>
      </w:pPr>
      <w:r>
        <w:rPr>
          <w:rFonts w:hint="eastAsia" w:hAnsi="仿宋"/>
          <w:sz w:val="48"/>
          <w:szCs w:val="48"/>
          <w:lang w:eastAsia="zh-CN"/>
        </w:rPr>
        <w:t>浙江省公安厅人民警察服务中心1号电梯更新项目</w:t>
      </w:r>
      <w:r>
        <w:rPr>
          <w:rFonts w:hAnsi="仿宋"/>
          <w:sz w:val="48"/>
          <w:szCs w:val="48"/>
        </w:rPr>
        <w:t>招标文件</w:t>
      </w:r>
    </w:p>
    <w:p w14:paraId="63956C06">
      <w:pPr>
        <w:adjustRightInd/>
        <w:spacing w:line="360" w:lineRule="auto"/>
        <w:jc w:val="center"/>
        <w:rPr>
          <w:b/>
          <w:sz w:val="44"/>
          <w:szCs w:val="44"/>
        </w:rPr>
      </w:pPr>
      <w:r>
        <w:rPr>
          <w:rFonts w:hAnsi="仿宋"/>
          <w:b/>
          <w:sz w:val="44"/>
          <w:szCs w:val="44"/>
        </w:rPr>
        <w:t>（电子招投标）</w:t>
      </w:r>
    </w:p>
    <w:p w14:paraId="666B72F9">
      <w:pPr>
        <w:snapToGrid w:val="0"/>
        <w:spacing w:line="360" w:lineRule="auto"/>
        <w:jc w:val="center"/>
        <w:rPr>
          <w:rFonts w:hint="eastAsia" w:ascii="仿宋" w:hAnsi="仿宋" w:eastAsia="仿宋" w:cs="仿宋"/>
          <w:sz w:val="30"/>
          <w:szCs w:val="30"/>
          <w:lang w:eastAsia="zh-CN"/>
        </w:rPr>
      </w:pPr>
      <w:r>
        <w:rPr>
          <w:rFonts w:hint="eastAsia" w:ascii="仿宋" w:hAnsi="仿宋" w:cs="仿宋"/>
          <w:sz w:val="30"/>
          <w:szCs w:val="30"/>
        </w:rPr>
        <w:t>项目编号:</w:t>
      </w:r>
      <w:r>
        <w:rPr>
          <w:rFonts w:hint="eastAsia" w:ascii="仿宋" w:hAnsi="仿宋" w:cs="仿宋"/>
          <w:sz w:val="30"/>
          <w:szCs w:val="30"/>
          <w:lang w:eastAsia="zh-CN"/>
        </w:rPr>
        <w:t>SZFC2025T-GK-005</w:t>
      </w:r>
    </w:p>
    <w:p w14:paraId="5DEB4F87">
      <w:pPr>
        <w:adjustRightInd/>
        <w:spacing w:line="360" w:lineRule="auto"/>
        <w:rPr>
          <w:sz w:val="28"/>
          <w:szCs w:val="20"/>
        </w:rPr>
      </w:pPr>
    </w:p>
    <w:p w14:paraId="566ABDE0">
      <w:pPr>
        <w:spacing w:line="360" w:lineRule="auto"/>
        <w:jc w:val="center"/>
        <w:rPr>
          <w:b/>
          <w:sz w:val="44"/>
          <w:szCs w:val="44"/>
        </w:rPr>
      </w:pPr>
    </w:p>
    <w:p w14:paraId="6A06E2FD">
      <w:pPr>
        <w:spacing w:line="360" w:lineRule="auto"/>
        <w:jc w:val="center"/>
        <w:rPr>
          <w:b/>
          <w:sz w:val="44"/>
          <w:szCs w:val="44"/>
        </w:rPr>
      </w:pPr>
    </w:p>
    <w:p w14:paraId="4479EF6A">
      <w:pPr>
        <w:spacing w:line="360" w:lineRule="auto"/>
        <w:jc w:val="center"/>
      </w:pPr>
    </w:p>
    <w:p w14:paraId="721BCAFA">
      <w:pPr>
        <w:spacing w:line="360" w:lineRule="auto"/>
        <w:jc w:val="center"/>
      </w:pPr>
    </w:p>
    <w:p w14:paraId="2896DDED">
      <w:pPr>
        <w:pStyle w:val="25"/>
      </w:pPr>
    </w:p>
    <w:p w14:paraId="538D8D3D">
      <w:pPr>
        <w:pStyle w:val="25"/>
      </w:pPr>
    </w:p>
    <w:p w14:paraId="6483DB02">
      <w:pPr>
        <w:spacing w:line="360" w:lineRule="auto"/>
        <w:rPr>
          <w:sz w:val="32"/>
          <w:szCs w:val="32"/>
        </w:rPr>
      </w:pPr>
    </w:p>
    <w:p w14:paraId="5F79AB0D">
      <w:pPr>
        <w:snapToGrid w:val="0"/>
        <w:spacing w:line="360" w:lineRule="auto"/>
        <w:jc w:val="center"/>
        <w:rPr>
          <w:sz w:val="32"/>
          <w:szCs w:val="32"/>
        </w:rPr>
      </w:pPr>
      <w:r>
        <w:rPr>
          <w:rFonts w:hAnsi="仿宋"/>
          <w:sz w:val="32"/>
          <w:szCs w:val="32"/>
        </w:rPr>
        <w:t>采购人</w:t>
      </w:r>
      <w:r>
        <w:rPr>
          <w:sz w:val="32"/>
          <w:szCs w:val="32"/>
        </w:rPr>
        <w:t>:</w:t>
      </w:r>
      <w:r>
        <w:rPr>
          <w:rFonts w:hAnsi="仿宋"/>
          <w:sz w:val="32"/>
          <w:szCs w:val="32"/>
        </w:rPr>
        <w:t>浙江省公安厅人民警察服务中心</w:t>
      </w:r>
    </w:p>
    <w:p w14:paraId="3ABE9343">
      <w:pPr>
        <w:spacing w:line="360" w:lineRule="auto"/>
        <w:jc w:val="center"/>
        <w:rPr>
          <w:bCs/>
          <w:sz w:val="32"/>
          <w:szCs w:val="32"/>
        </w:rPr>
      </w:pPr>
      <w:r>
        <w:rPr>
          <w:rFonts w:hAnsi="仿宋"/>
          <w:bCs/>
          <w:sz w:val="32"/>
          <w:szCs w:val="32"/>
        </w:rPr>
        <w:t>采购代理机构</w:t>
      </w:r>
      <w:r>
        <w:rPr>
          <w:bCs/>
          <w:sz w:val="32"/>
          <w:szCs w:val="32"/>
        </w:rPr>
        <w:t>:</w:t>
      </w:r>
      <w:r>
        <w:rPr>
          <w:rFonts w:hAnsi="仿宋"/>
          <w:bCs/>
          <w:sz w:val="32"/>
          <w:szCs w:val="32"/>
        </w:rPr>
        <w:t>浙江省直房地产服务有限公司</w:t>
      </w:r>
    </w:p>
    <w:p w14:paraId="66DB665A">
      <w:pPr>
        <w:snapToGrid w:val="0"/>
        <w:spacing w:line="360" w:lineRule="auto"/>
        <w:jc w:val="center"/>
        <w:sectPr>
          <w:headerReference r:id="rId5" w:type="first"/>
          <w:footerReference r:id="rId8" w:type="first"/>
          <w:headerReference r:id="rId3" w:type="default"/>
          <w:footerReference r:id="rId6" w:type="default"/>
          <w:headerReference r:id="rId4" w:type="even"/>
          <w:footerReference r:id="rId7" w:type="even"/>
          <w:pgSz w:w="11906" w:h="16838"/>
          <w:pgMar w:top="680" w:right="1368" w:bottom="468" w:left="1178" w:header="851" w:footer="992" w:gutter="0"/>
          <w:cols w:space="720" w:num="1"/>
          <w:titlePg/>
          <w:docGrid w:linePitch="312" w:charSpace="0"/>
        </w:sectPr>
      </w:pPr>
      <w:r>
        <w:rPr>
          <w:rFonts w:hint="eastAsia" w:hAnsi="仿宋"/>
          <w:bCs/>
          <w:sz w:val="32"/>
          <w:szCs w:val="32"/>
          <w:lang w:eastAsia="zh-CN"/>
        </w:rPr>
        <w:t>二〇二五</w:t>
      </w:r>
      <w:r>
        <w:rPr>
          <w:rFonts w:hAnsi="仿宋"/>
          <w:bCs/>
          <w:sz w:val="32"/>
          <w:szCs w:val="32"/>
        </w:rPr>
        <w:t>年</w:t>
      </w:r>
      <w:r>
        <w:rPr>
          <w:rFonts w:hint="eastAsia" w:hAnsi="仿宋"/>
          <w:bCs/>
          <w:sz w:val="32"/>
          <w:szCs w:val="32"/>
          <w:lang w:val="en-US" w:eastAsia="zh-CN"/>
        </w:rPr>
        <w:t>三</w:t>
      </w:r>
      <w:r>
        <w:rPr>
          <w:rFonts w:hAnsi="仿宋"/>
          <w:bCs/>
          <w:sz w:val="32"/>
          <w:szCs w:val="32"/>
        </w:rPr>
        <w:t>月</w:t>
      </w:r>
    </w:p>
    <w:p w14:paraId="300F721B">
      <w:pPr>
        <w:spacing w:line="360" w:lineRule="auto"/>
        <w:jc w:val="center"/>
        <w:rPr>
          <w:b/>
          <w:sz w:val="48"/>
          <w:szCs w:val="48"/>
        </w:rPr>
      </w:pPr>
      <w:r>
        <w:rPr>
          <w:rFonts w:hAnsi="仿宋"/>
          <w:b/>
          <w:sz w:val="48"/>
          <w:szCs w:val="48"/>
        </w:rPr>
        <w:t>目录</w:t>
      </w:r>
    </w:p>
    <w:p w14:paraId="42FCA16C">
      <w:pPr>
        <w:spacing w:line="360" w:lineRule="auto"/>
        <w:rPr>
          <w:sz w:val="32"/>
          <w:szCs w:val="32"/>
        </w:rPr>
      </w:pPr>
    </w:p>
    <w:p w14:paraId="7A776D11">
      <w:pPr>
        <w:spacing w:line="360" w:lineRule="auto"/>
        <w:rPr>
          <w:sz w:val="32"/>
          <w:szCs w:val="32"/>
        </w:rPr>
      </w:pPr>
    </w:p>
    <w:p w14:paraId="6FE2F32F">
      <w:pPr>
        <w:spacing w:line="360" w:lineRule="auto"/>
        <w:ind w:firstLine="1280" w:firstLineChars="400"/>
        <w:rPr>
          <w:sz w:val="32"/>
          <w:szCs w:val="32"/>
        </w:rPr>
      </w:pPr>
      <w:r>
        <w:rPr>
          <w:rFonts w:hAnsi="仿宋"/>
          <w:sz w:val="32"/>
          <w:szCs w:val="32"/>
        </w:rPr>
        <w:t>第一部分招标公告</w:t>
      </w:r>
    </w:p>
    <w:p w14:paraId="515502B9">
      <w:pPr>
        <w:spacing w:line="360" w:lineRule="auto"/>
        <w:ind w:firstLine="1280" w:firstLineChars="400"/>
        <w:rPr>
          <w:sz w:val="32"/>
          <w:szCs w:val="32"/>
        </w:rPr>
      </w:pPr>
      <w:r>
        <w:rPr>
          <w:rFonts w:hAnsi="仿宋"/>
          <w:sz w:val="32"/>
          <w:szCs w:val="32"/>
        </w:rPr>
        <w:t>第二部分投标人须知</w:t>
      </w:r>
    </w:p>
    <w:p w14:paraId="0EEE9C94">
      <w:pPr>
        <w:spacing w:line="360" w:lineRule="auto"/>
        <w:ind w:firstLine="1280" w:firstLineChars="400"/>
        <w:rPr>
          <w:sz w:val="32"/>
          <w:szCs w:val="32"/>
        </w:rPr>
      </w:pPr>
      <w:r>
        <w:rPr>
          <w:rFonts w:hAnsi="仿宋"/>
          <w:sz w:val="32"/>
          <w:szCs w:val="32"/>
        </w:rPr>
        <w:t>第三部分采购需求</w:t>
      </w:r>
    </w:p>
    <w:p w14:paraId="1050E5F9">
      <w:pPr>
        <w:spacing w:line="360" w:lineRule="auto"/>
        <w:ind w:firstLine="1280" w:firstLineChars="400"/>
        <w:rPr>
          <w:sz w:val="32"/>
          <w:szCs w:val="32"/>
        </w:rPr>
      </w:pPr>
      <w:r>
        <w:rPr>
          <w:rFonts w:hAnsi="仿宋"/>
          <w:sz w:val="32"/>
          <w:szCs w:val="32"/>
        </w:rPr>
        <w:t>第四部分评标办法</w:t>
      </w:r>
    </w:p>
    <w:p w14:paraId="2993CBEC">
      <w:pPr>
        <w:spacing w:line="360" w:lineRule="auto"/>
        <w:ind w:firstLine="1280" w:firstLineChars="400"/>
        <w:rPr>
          <w:sz w:val="32"/>
          <w:szCs w:val="32"/>
        </w:rPr>
      </w:pPr>
      <w:r>
        <w:rPr>
          <w:rFonts w:hAnsi="仿宋"/>
          <w:sz w:val="32"/>
          <w:szCs w:val="32"/>
        </w:rPr>
        <w:t>第五部分拟签订的合同文本</w:t>
      </w:r>
    </w:p>
    <w:p w14:paraId="6CB19DDB">
      <w:pPr>
        <w:spacing w:line="360" w:lineRule="auto"/>
        <w:ind w:firstLine="1280" w:firstLineChars="400"/>
        <w:rPr>
          <w:sz w:val="32"/>
          <w:szCs w:val="32"/>
        </w:rPr>
      </w:pPr>
      <w:r>
        <w:rPr>
          <w:rFonts w:hAnsi="仿宋"/>
          <w:sz w:val="32"/>
          <w:szCs w:val="32"/>
        </w:rPr>
        <w:t>第六部分应提交的有关格式范例</w:t>
      </w:r>
    </w:p>
    <w:p w14:paraId="00B20D25">
      <w:pPr>
        <w:spacing w:line="360" w:lineRule="auto"/>
        <w:ind w:firstLine="549" w:firstLineChars="229"/>
      </w:pPr>
      <w:bookmarkStart w:id="0" w:name="_Hlt91233176"/>
      <w:bookmarkEnd w:id="0"/>
      <w:bookmarkStart w:id="1" w:name="_Toc91899869"/>
    </w:p>
    <w:p w14:paraId="7239976A">
      <w:pPr>
        <w:spacing w:line="360" w:lineRule="auto"/>
        <w:ind w:firstLine="549" w:firstLineChars="229"/>
      </w:pPr>
    </w:p>
    <w:p w14:paraId="6355CF02">
      <w:pPr>
        <w:spacing w:line="360" w:lineRule="auto"/>
        <w:ind w:firstLine="549" w:firstLineChars="229"/>
      </w:pPr>
    </w:p>
    <w:p w14:paraId="10A998BD">
      <w:pPr>
        <w:spacing w:line="360" w:lineRule="auto"/>
        <w:ind w:firstLine="549" w:firstLineChars="229"/>
      </w:pPr>
    </w:p>
    <w:p w14:paraId="20F953A9">
      <w:pPr>
        <w:spacing w:line="360" w:lineRule="auto"/>
        <w:ind w:firstLine="549" w:firstLineChars="229"/>
      </w:pPr>
    </w:p>
    <w:p w14:paraId="482156C2">
      <w:pPr>
        <w:spacing w:line="360" w:lineRule="auto"/>
        <w:ind w:firstLine="549" w:firstLineChars="229"/>
      </w:pPr>
    </w:p>
    <w:p w14:paraId="0C4D2F67">
      <w:pPr>
        <w:spacing w:line="360" w:lineRule="auto"/>
        <w:ind w:firstLine="549" w:firstLineChars="229"/>
      </w:pPr>
    </w:p>
    <w:p w14:paraId="386DDC5A">
      <w:pPr>
        <w:spacing w:line="360" w:lineRule="auto"/>
        <w:ind w:firstLine="549" w:firstLineChars="229"/>
      </w:pPr>
    </w:p>
    <w:p w14:paraId="5E0494C4">
      <w:pPr>
        <w:spacing w:line="360" w:lineRule="auto"/>
        <w:ind w:firstLine="549" w:firstLineChars="229"/>
      </w:pPr>
    </w:p>
    <w:p w14:paraId="16925075">
      <w:pPr>
        <w:spacing w:line="360" w:lineRule="auto"/>
        <w:ind w:firstLine="549" w:firstLineChars="229"/>
      </w:pPr>
    </w:p>
    <w:p w14:paraId="1B85FF3E">
      <w:pPr>
        <w:spacing w:line="360" w:lineRule="auto"/>
        <w:ind w:firstLine="549" w:firstLineChars="229"/>
      </w:pPr>
    </w:p>
    <w:p w14:paraId="190A151D">
      <w:pPr>
        <w:spacing w:line="360" w:lineRule="auto"/>
        <w:ind w:firstLine="549" w:firstLineChars="229"/>
      </w:pPr>
    </w:p>
    <w:p w14:paraId="099EDAFB">
      <w:pPr>
        <w:spacing w:line="360" w:lineRule="auto"/>
        <w:ind w:firstLine="549" w:firstLineChars="229"/>
      </w:pPr>
    </w:p>
    <w:p w14:paraId="26BDC528">
      <w:pPr>
        <w:spacing w:line="360" w:lineRule="auto"/>
      </w:pPr>
    </w:p>
    <w:bookmarkEnd w:id="1"/>
    <w:p w14:paraId="312FE32D">
      <w:pPr>
        <w:adjustRightInd/>
        <w:spacing w:line="360" w:lineRule="auto"/>
        <w:jc w:val="center"/>
        <w:outlineLvl w:val="0"/>
        <w:rPr>
          <w:b/>
          <w:sz w:val="36"/>
          <w:szCs w:val="20"/>
        </w:rPr>
        <w:sectPr>
          <w:footerReference r:id="rId10" w:type="first"/>
          <w:footerReference r:id="rId9" w:type="default"/>
          <w:pgSz w:w="11906" w:h="16838"/>
          <w:pgMar w:top="680" w:right="1368" w:bottom="468" w:left="1178" w:header="851" w:footer="992" w:gutter="0"/>
          <w:pgNumType w:start="1"/>
          <w:cols w:space="720" w:num="1"/>
          <w:docGrid w:linePitch="312" w:charSpace="0"/>
        </w:sectPr>
      </w:pPr>
      <w:bookmarkStart w:id="2" w:name="_Hlt74707423"/>
      <w:bookmarkEnd w:id="2"/>
      <w:bookmarkStart w:id="3" w:name="_Hlt74729822"/>
      <w:bookmarkEnd w:id="3"/>
      <w:bookmarkStart w:id="4" w:name="_Hlt74649545"/>
      <w:bookmarkEnd w:id="4"/>
      <w:bookmarkStart w:id="5" w:name="_Hlt74728647"/>
      <w:bookmarkEnd w:id="5"/>
      <w:bookmarkStart w:id="6" w:name="第二部分"/>
      <w:bookmarkStart w:id="7" w:name="_Toc91899870"/>
      <w:bookmarkStart w:id="8" w:name="_Toc91899871"/>
    </w:p>
    <w:p w14:paraId="3805D900">
      <w:pPr>
        <w:adjustRightInd/>
        <w:spacing w:line="360" w:lineRule="auto"/>
        <w:jc w:val="center"/>
        <w:outlineLvl w:val="0"/>
        <w:rPr>
          <w:b/>
          <w:sz w:val="36"/>
          <w:szCs w:val="20"/>
        </w:rPr>
      </w:pPr>
      <w:r>
        <w:rPr>
          <w:rFonts w:hAnsi="仿宋"/>
          <w:b/>
          <w:sz w:val="36"/>
          <w:szCs w:val="20"/>
        </w:rPr>
        <w:t>第一部分招标公告</w:t>
      </w:r>
    </w:p>
    <w:p w14:paraId="46774F66">
      <w:pPr>
        <w:pBdr>
          <w:top w:val="single" w:color="auto" w:sz="4" w:space="1"/>
          <w:left w:val="single" w:color="auto" w:sz="4" w:space="4"/>
          <w:bottom w:val="single" w:color="auto" w:sz="4" w:space="1"/>
          <w:right w:val="single" w:color="auto" w:sz="4" w:space="4"/>
        </w:pBdr>
        <w:spacing w:line="360" w:lineRule="auto"/>
        <w:ind w:firstLine="480" w:firstLineChars="200"/>
      </w:pPr>
      <w:r>
        <w:rPr>
          <w:rFonts w:hAnsi="仿宋"/>
        </w:rPr>
        <w:t>项目概况</w:t>
      </w:r>
    </w:p>
    <w:p w14:paraId="4F0632E5">
      <w:pPr>
        <w:pBdr>
          <w:top w:val="single" w:color="auto" w:sz="4" w:space="1"/>
          <w:left w:val="single" w:color="auto" w:sz="4" w:space="4"/>
          <w:bottom w:val="single" w:color="auto" w:sz="4" w:space="1"/>
          <w:right w:val="single" w:color="auto" w:sz="4" w:space="4"/>
        </w:pBdr>
        <w:spacing w:line="360" w:lineRule="auto"/>
        <w:ind w:firstLine="480" w:firstLineChars="200"/>
        <w:rPr>
          <w:u w:val="single"/>
        </w:rPr>
      </w:pPr>
      <w:r>
        <w:rPr>
          <w:rFonts w:hint="eastAsia" w:hAnsi="仿宋"/>
          <w:u w:val="single"/>
          <w:lang w:eastAsia="zh-CN"/>
        </w:rPr>
        <w:t>浙江省公安厅人民警察服务中心1号电梯更新项目</w:t>
      </w:r>
      <w:r>
        <w:rPr>
          <w:rFonts w:hAnsi="仿宋"/>
        </w:rPr>
        <w:t>招标项目的潜在投标人应在政采云平台（</w:t>
      </w:r>
      <w:r>
        <w:rPr>
          <w:highlight w:val="none"/>
        </w:rPr>
        <w:fldChar w:fldCharType="begin"/>
      </w:r>
      <w:r>
        <w:rPr>
          <w:highlight w:val="none"/>
        </w:rPr>
        <w:instrText xml:space="preserve"> HYPERLINK "https://www.zcygov.cn/）获取（下载）招标文件，并于2021年" </w:instrText>
      </w:r>
      <w:r>
        <w:rPr>
          <w:highlight w:val="none"/>
        </w:rPr>
        <w:fldChar w:fldCharType="separate"/>
      </w:r>
      <w:r>
        <w:rPr>
          <w:rStyle w:val="76"/>
          <w:rFonts w:ascii="Times New Roman" w:hAnsi="Times New Roman" w:eastAsia="仿宋" w:cs="Times New Roman"/>
          <w:snapToGrid/>
          <w:color w:val="auto"/>
          <w:kern w:val="2"/>
          <w:sz w:val="24"/>
          <w:szCs w:val="24"/>
          <w:highlight w:val="none"/>
        </w:rPr>
        <w:t>https://www.zcygov.cn/</w:t>
      </w:r>
      <w:r>
        <w:rPr>
          <w:rStyle w:val="76"/>
          <w:rFonts w:ascii="Times New Roman" w:hAnsi="仿宋" w:eastAsia="仿宋" w:cs="Times New Roman"/>
          <w:snapToGrid/>
          <w:color w:val="auto"/>
          <w:kern w:val="2"/>
          <w:sz w:val="24"/>
          <w:szCs w:val="24"/>
          <w:highlight w:val="none"/>
        </w:rPr>
        <w:t>）获取（下载）招标文件，并于</w:t>
      </w:r>
      <w:r>
        <w:rPr>
          <w:highlight w:val="none"/>
          <w:u w:val="single"/>
        </w:rPr>
        <w:t>202</w:t>
      </w:r>
      <w:r>
        <w:rPr>
          <w:rFonts w:hint="eastAsia"/>
          <w:highlight w:val="none"/>
          <w:u w:val="single"/>
          <w:lang w:val="en-US" w:eastAsia="zh-CN"/>
        </w:rPr>
        <w:t>5</w:t>
      </w:r>
      <w:r>
        <w:rPr>
          <w:rFonts w:hAnsi="仿宋"/>
          <w:highlight w:val="none"/>
          <w:u w:val="single"/>
        </w:rPr>
        <w:t>年</w:t>
      </w:r>
      <w:r>
        <w:rPr>
          <w:rFonts w:hint="eastAsia" w:hAnsi="仿宋"/>
          <w:highlight w:val="none"/>
          <w:u w:val="single"/>
          <w:lang w:val="en-US" w:eastAsia="zh-CN"/>
        </w:rPr>
        <w:t>04</w:t>
      </w:r>
      <w:r>
        <w:rPr>
          <w:rFonts w:hAnsi="仿宋"/>
          <w:highlight w:val="none"/>
          <w:u w:val="single"/>
        </w:rPr>
        <w:t>月</w:t>
      </w:r>
      <w:r>
        <w:rPr>
          <w:rFonts w:hint="eastAsia" w:hAnsi="仿宋"/>
          <w:highlight w:val="none"/>
          <w:u w:val="single"/>
          <w:lang w:val="en-US" w:eastAsia="zh-CN"/>
        </w:rPr>
        <w:t>21</w:t>
      </w:r>
      <w:r>
        <w:rPr>
          <w:rFonts w:hAnsi="仿宋"/>
          <w:highlight w:val="none"/>
          <w:u w:val="single"/>
        </w:rPr>
        <w:t>日</w:t>
      </w:r>
      <w:r>
        <w:rPr>
          <w:highlight w:val="none"/>
          <w:u w:val="single"/>
        </w:rPr>
        <w:t>14</w:t>
      </w:r>
      <w:r>
        <w:rPr>
          <w:rFonts w:hAnsi="仿宋"/>
          <w:highlight w:val="none"/>
          <w:u w:val="single"/>
        </w:rPr>
        <w:t>点</w:t>
      </w:r>
      <w:r>
        <w:rPr>
          <w:rFonts w:hint="eastAsia"/>
          <w:highlight w:val="none"/>
          <w:u w:val="single"/>
          <w:lang w:val="en-US" w:eastAsia="zh-CN"/>
        </w:rPr>
        <w:t>3</w:t>
      </w:r>
      <w:r>
        <w:rPr>
          <w:highlight w:val="none"/>
          <w:u w:val="single"/>
        </w:rPr>
        <w:t>0</w:t>
      </w:r>
      <w:r>
        <w:rPr>
          <w:rFonts w:hAnsi="仿宋"/>
          <w:highlight w:val="none"/>
          <w:u w:val="single"/>
        </w:rPr>
        <w:t>分</w:t>
      </w:r>
      <w:r>
        <w:rPr>
          <w:bCs/>
          <w:highlight w:val="none"/>
          <w:u w:val="single"/>
        </w:rPr>
        <w:t>00</w:t>
      </w:r>
      <w:r>
        <w:rPr>
          <w:rFonts w:hAnsi="仿宋"/>
          <w:bCs/>
          <w:highlight w:val="none"/>
          <w:u w:val="single"/>
        </w:rPr>
        <w:t>秒</w:t>
      </w:r>
      <w:r>
        <w:rPr>
          <w:rFonts w:hAnsi="仿宋"/>
          <w:bCs/>
          <w:highlight w:val="none"/>
          <w:u w:val="single"/>
        </w:rPr>
        <w:fldChar w:fldCharType="end"/>
      </w:r>
      <w:r>
        <w:rPr>
          <w:rFonts w:hAnsi="仿宋"/>
          <w:bCs/>
          <w:highlight w:val="none"/>
        </w:rPr>
        <w:t>（北京时间）前</w:t>
      </w:r>
      <w:r>
        <w:rPr>
          <w:rFonts w:hAnsi="仿宋"/>
          <w:highlight w:val="none"/>
        </w:rPr>
        <w:t>递交（上传）投标文件。</w:t>
      </w:r>
    </w:p>
    <w:p w14:paraId="7A4C6ED3">
      <w:pPr>
        <w:spacing w:line="360" w:lineRule="auto"/>
        <w:rPr>
          <w:b/>
        </w:rPr>
      </w:pPr>
      <w:r>
        <w:rPr>
          <w:rFonts w:hAnsi="仿宋"/>
          <w:b/>
        </w:rPr>
        <w:t>一、项目基本情况</w:t>
      </w:r>
    </w:p>
    <w:p w14:paraId="4F4C7BDB">
      <w:pPr>
        <w:spacing w:line="360" w:lineRule="auto"/>
        <w:ind w:firstLine="480"/>
        <w:rPr>
          <w:rFonts w:hint="eastAsia" w:eastAsia="仿宋"/>
          <w:lang w:eastAsia="zh-CN"/>
        </w:rPr>
      </w:pPr>
      <w:r>
        <w:rPr>
          <w:rFonts w:hAnsi="仿宋"/>
          <w:b/>
        </w:rPr>
        <w:t>项目编号：</w:t>
      </w:r>
      <w:r>
        <w:rPr>
          <w:rFonts w:hint="eastAsia"/>
          <w:lang w:eastAsia="zh-CN"/>
        </w:rPr>
        <w:t>SZFC2025T-GK-005</w:t>
      </w:r>
    </w:p>
    <w:p w14:paraId="4D31338A">
      <w:pPr>
        <w:spacing w:line="360" w:lineRule="auto"/>
        <w:ind w:firstLine="480"/>
        <w:rPr>
          <w:rFonts w:hint="eastAsia" w:eastAsia="仿宋"/>
          <w:lang w:eastAsia="zh-CN"/>
        </w:rPr>
      </w:pPr>
      <w:r>
        <w:rPr>
          <w:rFonts w:hAnsi="仿宋"/>
          <w:b/>
        </w:rPr>
        <w:t>项目名称：</w:t>
      </w:r>
      <w:r>
        <w:rPr>
          <w:rFonts w:hint="eastAsia" w:hAnsi="仿宋"/>
          <w:lang w:eastAsia="zh-CN"/>
        </w:rPr>
        <w:t>浙江省公安厅人民警察服务中心1号电梯更新项目</w:t>
      </w:r>
    </w:p>
    <w:p w14:paraId="4E90372D">
      <w:pPr>
        <w:spacing w:line="360" w:lineRule="auto"/>
        <w:ind w:firstLine="482" w:firstLineChars="200"/>
        <w:rPr>
          <w:rFonts w:hint="default" w:ascii="仿宋" w:hAnsi="仿宋" w:eastAsia="仿宋" w:cs="仿宋"/>
          <w:highlight w:val="none"/>
          <w:lang w:val="en-US" w:eastAsia="zh-CN"/>
        </w:rPr>
      </w:pPr>
      <w:r>
        <w:rPr>
          <w:rFonts w:hint="eastAsia" w:ascii="仿宋" w:hAnsi="仿宋" w:cs="仿宋"/>
          <w:b/>
          <w:highlight w:val="none"/>
        </w:rPr>
        <w:t>预算金额（元）：</w:t>
      </w:r>
      <w:r>
        <w:rPr>
          <w:rFonts w:hint="eastAsia" w:ascii="仿宋" w:hAnsi="仿宋" w:cs="仿宋"/>
          <w:b/>
          <w:highlight w:val="none"/>
          <w:lang w:val="en-US" w:eastAsia="zh-CN"/>
        </w:rPr>
        <w:t>350000.00</w:t>
      </w:r>
    </w:p>
    <w:p w14:paraId="7F8EAC78">
      <w:pPr>
        <w:spacing w:line="360" w:lineRule="auto"/>
        <w:ind w:firstLine="482" w:firstLineChars="200"/>
        <w:rPr>
          <w:rFonts w:ascii="仿宋" w:hAnsi="仿宋" w:cs="仿宋"/>
          <w:highlight w:val="none"/>
        </w:rPr>
      </w:pPr>
      <w:r>
        <w:rPr>
          <w:rFonts w:hint="eastAsia" w:ascii="仿宋" w:hAnsi="仿宋" w:cs="仿宋"/>
          <w:b/>
          <w:highlight w:val="none"/>
        </w:rPr>
        <w:t>最高限价（元）：</w:t>
      </w:r>
      <w:r>
        <w:rPr>
          <w:rFonts w:hint="eastAsia" w:ascii="仿宋" w:hAnsi="仿宋" w:cs="仿宋"/>
          <w:b/>
          <w:highlight w:val="none"/>
          <w:lang w:val="en-US" w:eastAsia="zh-CN"/>
        </w:rPr>
        <w:t>350000.00</w:t>
      </w:r>
    </w:p>
    <w:p w14:paraId="7BEC5FEB">
      <w:pPr>
        <w:pStyle w:val="15"/>
        <w:spacing w:line="360" w:lineRule="auto"/>
        <w:ind w:firstLine="480"/>
        <w:rPr>
          <w:rFonts w:ascii="Times New Roman"/>
          <w:bCs/>
          <w:snapToGrid/>
          <w:color w:val="auto"/>
          <w:kern w:val="2"/>
          <w:sz w:val="24"/>
          <w:szCs w:val="24"/>
        </w:rPr>
      </w:pPr>
      <w:r>
        <w:rPr>
          <w:rFonts w:ascii="Times New Roman" w:hAnsi="仿宋"/>
          <w:b/>
          <w:color w:val="auto"/>
          <w:sz w:val="24"/>
        </w:rPr>
        <w:t>采购需求：</w:t>
      </w:r>
      <w:r>
        <w:rPr>
          <w:rFonts w:ascii="Times New Roman" w:hAnsi="仿宋"/>
          <w:bCs/>
          <w:snapToGrid/>
          <w:color w:val="auto"/>
          <w:kern w:val="2"/>
          <w:sz w:val="24"/>
          <w:szCs w:val="24"/>
        </w:rPr>
        <w:t>详见招标文件第三部分采购需求。</w:t>
      </w:r>
    </w:p>
    <w:p w14:paraId="532C31A6">
      <w:pPr>
        <w:pStyle w:val="133"/>
        <w:spacing w:before="0"/>
        <w:ind w:firstLine="482"/>
        <w:outlineLvl w:val="2"/>
        <w:rPr>
          <w:rFonts w:ascii="仿宋" w:hAnsi="仿宋" w:cs="仿宋"/>
          <w:highlight w:val="yellow"/>
        </w:rPr>
      </w:pPr>
      <w:r>
        <w:rPr>
          <w:rFonts w:hAnsi="仿宋"/>
          <w:b/>
        </w:rPr>
        <w:t>合同履约期限：</w:t>
      </w:r>
      <w:r>
        <w:rPr>
          <w:rFonts w:hint="eastAsia" w:hAnsi="仿宋"/>
          <w:b/>
          <w:highlight w:val="none"/>
        </w:rPr>
        <w:t>合同生效，在接到招标人排产通知后120天内进场施工，1个月内安装调试完毕，现场具备验收条件后5个日历天内完成质量技术监督局的验收取得合格证，并将电梯及电梯相关资料移交给招标人</w:t>
      </w:r>
      <w:r>
        <w:rPr>
          <w:rFonts w:hint="eastAsia" w:ascii="仿宋" w:hAnsi="仿宋" w:cs="仿宋"/>
          <w:b/>
          <w:highlight w:val="none"/>
        </w:rPr>
        <w:t>。</w:t>
      </w:r>
    </w:p>
    <w:p w14:paraId="1EDA7E64">
      <w:pPr>
        <w:pStyle w:val="15"/>
        <w:spacing w:line="360" w:lineRule="auto"/>
        <w:ind w:firstLine="480"/>
        <w:rPr>
          <w:rFonts w:ascii="Times New Roman"/>
          <w:b/>
          <w:color w:val="auto"/>
          <w:sz w:val="24"/>
        </w:rPr>
      </w:pPr>
      <w:r>
        <w:rPr>
          <w:rFonts w:ascii="Times New Roman" w:hAnsi="仿宋"/>
          <w:b/>
          <w:color w:val="auto"/>
          <w:sz w:val="24"/>
        </w:rPr>
        <w:t>本项目接受联合体投标：</w:t>
      </w:r>
      <w:sdt>
        <w:sdtPr>
          <w:rPr>
            <w:rFonts w:ascii="Times New Roman"/>
            <w:color w:val="auto"/>
            <w:kern w:val="0"/>
            <w:sz w:val="24"/>
          </w:rPr>
          <w:id w:val="2035453831"/>
        </w:sdtPr>
        <w:sdtEndPr>
          <w:rPr>
            <w:rFonts w:ascii="Times New Roman"/>
            <w:color w:val="auto"/>
            <w:kern w:val="0"/>
            <w:sz w:val="24"/>
          </w:rPr>
        </w:sdtEndPr>
        <w:sdtContent>
          <w:r>
            <w:rPr>
              <w:rFonts w:ascii="Times New Roman"/>
              <w:color w:val="auto"/>
              <w:kern w:val="0"/>
              <w:sz w:val="24"/>
            </w:rPr>
            <w:sym w:font="Wingdings" w:char="00FE"/>
          </w:r>
        </w:sdtContent>
      </w:sdt>
      <w:r>
        <w:rPr>
          <w:rFonts w:ascii="Times New Roman" w:hAnsi="仿宋"/>
          <w:b/>
          <w:color w:val="auto"/>
          <w:sz w:val="24"/>
        </w:rPr>
        <w:t>是，</w:t>
      </w:r>
      <w:sdt>
        <w:sdtPr>
          <w:rPr>
            <w:rFonts w:ascii="Times New Roman"/>
            <w:color w:val="auto"/>
            <w:kern w:val="0"/>
            <w:sz w:val="24"/>
          </w:rPr>
          <w:id w:val="49"/>
        </w:sdtPr>
        <w:sdtEndPr>
          <w:rPr>
            <w:rFonts w:ascii="Times New Roman"/>
            <w:color w:val="auto"/>
            <w:kern w:val="0"/>
            <w:sz w:val="24"/>
          </w:rPr>
        </w:sdtEndPr>
        <w:sdtContent>
          <w:r>
            <w:rPr>
              <w:rFonts w:ascii="Times New Roman"/>
              <w:color w:val="auto"/>
              <w:kern w:val="0"/>
              <w:sz w:val="24"/>
            </w:rPr>
            <w:sym w:font="Wingdings" w:char="00A8"/>
          </w:r>
        </w:sdtContent>
      </w:sdt>
      <w:r>
        <w:rPr>
          <w:rFonts w:ascii="Times New Roman" w:hAnsi="仿宋"/>
          <w:b/>
          <w:color w:val="auto"/>
          <w:sz w:val="24"/>
        </w:rPr>
        <w:t>否</w:t>
      </w:r>
      <w:r>
        <w:rPr>
          <w:rFonts w:ascii="Times New Roman" w:hAnsi="仿宋"/>
          <w:color w:val="auto"/>
          <w:kern w:val="0"/>
          <w:sz w:val="24"/>
        </w:rPr>
        <w:t>。</w:t>
      </w:r>
    </w:p>
    <w:p w14:paraId="20DF5B74">
      <w:pPr>
        <w:spacing w:line="360" w:lineRule="auto"/>
        <w:rPr>
          <w:b/>
        </w:rPr>
      </w:pPr>
      <w:r>
        <w:rPr>
          <w:rFonts w:hAnsi="仿宋"/>
          <w:b/>
        </w:rPr>
        <w:t>二、申请人的资格要求：</w:t>
      </w:r>
    </w:p>
    <w:p w14:paraId="60ACED52">
      <w:pPr>
        <w:spacing w:line="360" w:lineRule="auto"/>
        <w:ind w:firstLine="480"/>
        <w:rPr>
          <w:snapToGrid w:val="0"/>
          <w:kern w:val="28"/>
          <w:szCs w:val="20"/>
        </w:rPr>
      </w:pPr>
      <w:r>
        <w:rPr>
          <w:snapToGrid w:val="0"/>
          <w:kern w:val="28"/>
          <w:szCs w:val="20"/>
        </w:rPr>
        <w:t xml:space="preserve">1. </w:t>
      </w:r>
      <w:r>
        <w:rPr>
          <w:rFonts w:hAnsi="仿宋"/>
          <w:snapToGrid w:val="0"/>
          <w:kern w:val="28"/>
          <w:szCs w:val="20"/>
        </w:rPr>
        <w:t>满足《中华人民共和国政府采购法》第二十二条规定；未被</w:t>
      </w:r>
      <w:r>
        <w:rPr>
          <w:snapToGrid w:val="0"/>
          <w:kern w:val="28"/>
          <w:szCs w:val="20"/>
        </w:rPr>
        <w:t>“</w:t>
      </w:r>
      <w:r>
        <w:rPr>
          <w:rFonts w:hAnsi="仿宋"/>
          <w:snapToGrid w:val="0"/>
          <w:kern w:val="28"/>
          <w:szCs w:val="20"/>
        </w:rPr>
        <w:t>信用中国</w:t>
      </w:r>
      <w:r>
        <w:rPr>
          <w:snapToGrid w:val="0"/>
          <w:kern w:val="28"/>
          <w:szCs w:val="20"/>
        </w:rPr>
        <w:t>”</w:t>
      </w:r>
      <w:r>
        <w:rPr>
          <w:rFonts w:hAnsi="仿宋"/>
          <w:snapToGrid w:val="0"/>
          <w:kern w:val="28"/>
          <w:szCs w:val="20"/>
        </w:rPr>
        <w:t>（</w:t>
      </w:r>
      <w:r>
        <w:rPr>
          <w:snapToGrid w:val="0"/>
          <w:kern w:val="28"/>
          <w:szCs w:val="20"/>
        </w:rPr>
        <w:t>www.creditchina.gov.cn)</w:t>
      </w:r>
      <w:r>
        <w:rPr>
          <w:rFonts w:hAnsi="仿宋"/>
          <w:snapToGrid w:val="0"/>
          <w:kern w:val="28"/>
          <w:szCs w:val="20"/>
        </w:rPr>
        <w:t>、中国政府采购网（</w:t>
      </w:r>
      <w:r>
        <w:rPr>
          <w:snapToGrid w:val="0"/>
          <w:kern w:val="28"/>
          <w:szCs w:val="20"/>
        </w:rPr>
        <w:t>www.ccgp.gov.cn</w:t>
      </w:r>
      <w:r>
        <w:rPr>
          <w:rFonts w:hAnsi="仿宋"/>
          <w:snapToGrid w:val="0"/>
          <w:kern w:val="28"/>
          <w:szCs w:val="20"/>
        </w:rPr>
        <w:t>）列入失信被执行人、重大税收违法案件当事人名单、政府采购严重违法失信行为记录名单；</w:t>
      </w:r>
    </w:p>
    <w:p w14:paraId="4901ACD6">
      <w:pPr>
        <w:spacing w:line="360" w:lineRule="auto"/>
        <w:ind w:firstLine="480" w:firstLineChars="200"/>
      </w:pPr>
      <w:r>
        <w:rPr>
          <w:snapToGrid w:val="0"/>
          <w:kern w:val="28"/>
          <w:szCs w:val="20"/>
        </w:rPr>
        <w:t>2.</w:t>
      </w:r>
      <w:r>
        <w:rPr>
          <w:rFonts w:hAnsi="仿宋"/>
          <w:snapToGrid w:val="0"/>
          <w:kern w:val="28"/>
          <w:szCs w:val="20"/>
        </w:rPr>
        <w:t>落实政府采购政策需满足的资格要求：</w:t>
      </w:r>
      <w:sdt>
        <w:sdtPr>
          <w:rPr>
            <w:kern w:val="0"/>
          </w:rPr>
          <w:id w:val="50"/>
        </w:sdtPr>
        <w:sdtEndPr>
          <w:rPr>
            <w:kern w:val="0"/>
          </w:rPr>
        </w:sdtEndPr>
        <w:sdtContent>
          <w:sdt>
            <w:sdtPr>
              <w:rPr>
                <w:kern w:val="0"/>
              </w:rPr>
              <w:id w:val="112"/>
            </w:sdtPr>
            <w:sdtEndPr>
              <w:rPr>
                <w:kern w:val="0"/>
              </w:rPr>
            </w:sdtEndPr>
            <w:sdtContent>
              <w:r>
                <w:rPr>
                  <w:rFonts w:hint="eastAsia"/>
                  <w:kern w:val="0"/>
                  <w:lang w:val="en-US" w:eastAsia="zh-CN"/>
                </w:rPr>
                <w:t>无</w:t>
              </w:r>
            </w:sdtContent>
          </w:sdt>
          <w:r>
            <w:rPr>
              <w:rFonts w:hAnsi="仿宋"/>
              <w:kern w:val="0"/>
            </w:rPr>
            <w:t>。</w:t>
          </w:r>
        </w:sdtContent>
      </w:sdt>
    </w:p>
    <w:p w14:paraId="6209A67F">
      <w:pPr>
        <w:snapToGrid w:val="0"/>
        <w:spacing w:line="360" w:lineRule="auto"/>
        <w:ind w:firstLine="480" w:firstLineChars="200"/>
        <w:rPr>
          <w:rFonts w:hint="eastAsia" w:hAnsi="仿宋"/>
          <w:highlight w:val="yellow"/>
          <w:lang w:eastAsia="zh-CN"/>
        </w:rPr>
      </w:pPr>
      <w:r>
        <w:t>3.</w:t>
      </w:r>
      <w:r>
        <w:rPr>
          <w:rFonts w:hAnsi="仿宋"/>
        </w:rPr>
        <w:t>本项目的特定资格要求</w:t>
      </w:r>
      <w:r>
        <w:rPr>
          <w:rFonts w:hAnsi="仿宋"/>
          <w:highlight w:val="none"/>
        </w:rPr>
        <w:t>：</w:t>
      </w:r>
      <w:r>
        <w:rPr>
          <w:rFonts w:hint="eastAsia" w:hAnsi="仿宋"/>
          <w:highlight w:val="none"/>
        </w:rPr>
        <w:t>投标人应具有《中华人民共和国特种设备生产许可证》，许可类型为：电梯安装，许可级别包含：曳引驱动乘客电梯；或原《中华人民共和国特种设备安装、改造、维修许可证》（电梯）证书</w:t>
      </w:r>
      <w:r>
        <w:rPr>
          <w:rFonts w:hint="eastAsia" w:hAnsi="仿宋"/>
          <w:highlight w:val="none"/>
          <w:lang w:val="en-US" w:eastAsia="zh-CN"/>
        </w:rPr>
        <w:t>。</w:t>
      </w:r>
    </w:p>
    <w:p w14:paraId="0985664B">
      <w:pPr>
        <w:snapToGrid w:val="0"/>
        <w:spacing w:line="360" w:lineRule="auto"/>
        <w:ind w:firstLine="480" w:firstLineChars="200"/>
      </w:pPr>
      <w:r>
        <w:t>4.</w:t>
      </w:r>
      <w:r>
        <w:rPr>
          <w:rFonts w:hAnsi="仿宋"/>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03609DD">
      <w:pPr>
        <w:spacing w:line="360" w:lineRule="auto"/>
        <w:rPr>
          <w:b/>
        </w:rPr>
      </w:pPr>
      <w:r>
        <w:rPr>
          <w:rFonts w:hAnsi="仿宋"/>
          <w:b/>
        </w:rPr>
        <w:t>三、获取招标文件</w:t>
      </w:r>
    </w:p>
    <w:p w14:paraId="0476005A">
      <w:pPr>
        <w:spacing w:line="360" w:lineRule="auto"/>
        <w:ind w:firstLine="482" w:firstLineChars="200"/>
      </w:pPr>
      <w:r>
        <w:rPr>
          <w:rFonts w:hAnsi="仿宋"/>
          <w:b/>
        </w:rPr>
        <w:t>时间：</w:t>
      </w:r>
      <w:r>
        <w:t>/</w:t>
      </w:r>
      <w:r>
        <w:rPr>
          <w:rFonts w:hAnsi="仿宋"/>
        </w:rPr>
        <w:t>至</w:t>
      </w:r>
      <w:r>
        <w:rPr>
          <w:rFonts w:hint="eastAsia"/>
          <w:u w:val="single"/>
          <w:lang w:eastAsia="zh-CN"/>
        </w:rPr>
        <w:t>2025</w:t>
      </w:r>
      <w:r>
        <w:rPr>
          <w:rFonts w:hAnsi="仿宋"/>
          <w:u w:val="single"/>
        </w:rPr>
        <w:t>年</w:t>
      </w:r>
      <w:r>
        <w:rPr>
          <w:rFonts w:hint="eastAsia" w:hAnsi="仿宋"/>
          <w:u w:val="single"/>
          <w:lang w:val="en-US" w:eastAsia="zh-CN"/>
        </w:rPr>
        <w:t>04</w:t>
      </w:r>
      <w:r>
        <w:rPr>
          <w:rFonts w:hAnsi="仿宋"/>
          <w:u w:val="single"/>
        </w:rPr>
        <w:t>月</w:t>
      </w:r>
      <w:r>
        <w:rPr>
          <w:rFonts w:hint="eastAsia" w:hAnsi="仿宋"/>
          <w:u w:val="single"/>
          <w:lang w:val="en-US" w:eastAsia="zh-CN"/>
        </w:rPr>
        <w:t>21</w:t>
      </w:r>
      <w:r>
        <w:rPr>
          <w:rFonts w:hAnsi="仿宋"/>
          <w:u w:val="single"/>
        </w:rPr>
        <w:t>日</w:t>
      </w:r>
      <w:r>
        <w:rPr>
          <w:u w:val="single"/>
        </w:rPr>
        <w:t xml:space="preserve"> 14:</w:t>
      </w:r>
      <w:r>
        <w:rPr>
          <w:rFonts w:hint="eastAsia"/>
          <w:u w:val="single"/>
          <w:lang w:val="en-US" w:eastAsia="zh-CN"/>
        </w:rPr>
        <w:t>3</w:t>
      </w:r>
      <w:r>
        <w:rPr>
          <w:u w:val="single"/>
        </w:rPr>
        <w:t>0</w:t>
      </w:r>
      <w:r>
        <w:rPr>
          <w:rFonts w:hAnsi="仿宋"/>
        </w:rPr>
        <w:t>，每天上午</w:t>
      </w:r>
      <w:r>
        <w:t>00:00</w:t>
      </w:r>
      <w:r>
        <w:rPr>
          <w:rFonts w:hAnsi="仿宋"/>
        </w:rPr>
        <w:t>至</w:t>
      </w:r>
      <w:r>
        <w:t xml:space="preserve">12:00 </w:t>
      </w:r>
      <w:r>
        <w:rPr>
          <w:rFonts w:hAnsi="仿宋"/>
        </w:rPr>
        <w:t>，下午</w:t>
      </w:r>
      <w:r>
        <w:t>12:00</w:t>
      </w:r>
      <w:r>
        <w:rPr>
          <w:rFonts w:hAnsi="仿宋"/>
        </w:rPr>
        <w:t>至</w:t>
      </w:r>
      <w:r>
        <w:t>23:59</w:t>
      </w:r>
      <w:r>
        <w:rPr>
          <w:rFonts w:hAnsi="仿宋"/>
        </w:rPr>
        <w:t>（北京时间，线上获取法定节假日均可，线下获取文件法定节假日除外）</w:t>
      </w:r>
    </w:p>
    <w:p w14:paraId="43ECC56C">
      <w:pPr>
        <w:spacing w:line="360" w:lineRule="auto"/>
        <w:ind w:firstLine="482" w:firstLineChars="200"/>
      </w:pPr>
      <w:r>
        <w:rPr>
          <w:rFonts w:hAnsi="仿宋"/>
          <w:b/>
        </w:rPr>
        <w:t>地点（网址）：</w:t>
      </w:r>
      <w:r>
        <w:rPr>
          <w:rFonts w:hAnsi="仿宋"/>
        </w:rPr>
        <w:t>政采云平台（</w:t>
      </w:r>
      <w:r>
        <w:t>https://www.zcygov.cn/</w:t>
      </w:r>
      <w:r>
        <w:rPr>
          <w:rFonts w:hAnsi="仿宋"/>
        </w:rPr>
        <w:t>）</w:t>
      </w:r>
    </w:p>
    <w:p w14:paraId="16A914AC">
      <w:pPr>
        <w:spacing w:line="360" w:lineRule="auto"/>
        <w:ind w:firstLine="482" w:firstLineChars="200"/>
      </w:pPr>
      <w:r>
        <w:rPr>
          <w:rFonts w:hAnsi="仿宋"/>
          <w:b/>
        </w:rPr>
        <w:t>方式：</w:t>
      </w:r>
      <w:r>
        <w:rPr>
          <w:rFonts w:hAnsi="仿宋"/>
        </w:rPr>
        <w:t>供应商登录政采云平台</w:t>
      </w:r>
      <w:r>
        <w:t>https://www.zcygov.cn/</w:t>
      </w:r>
      <w:r>
        <w:rPr>
          <w:rFonts w:hAnsi="仿宋"/>
        </w:rPr>
        <w:t>在线申请获取采购文件（进入</w:t>
      </w:r>
      <w:r>
        <w:t>“</w:t>
      </w:r>
      <w:r>
        <w:rPr>
          <w:rFonts w:hAnsi="仿宋"/>
        </w:rPr>
        <w:t>项目采购</w:t>
      </w:r>
      <w:r>
        <w:t>”</w:t>
      </w:r>
      <w:r>
        <w:rPr>
          <w:rFonts w:hAnsi="仿宋"/>
        </w:rPr>
        <w:t>应用，在获取采购文件菜单中选择项目，申请获取采购文件）。</w:t>
      </w:r>
    </w:p>
    <w:p w14:paraId="1CCB13AB">
      <w:pPr>
        <w:spacing w:line="360" w:lineRule="auto"/>
        <w:ind w:firstLine="482" w:firstLineChars="200"/>
      </w:pPr>
      <w:r>
        <w:rPr>
          <w:rFonts w:hAnsi="仿宋"/>
          <w:b/>
        </w:rPr>
        <w:t>售价（元）：</w:t>
      </w:r>
      <w:r>
        <w:t xml:space="preserve">0 </w:t>
      </w:r>
      <w:r>
        <w:tab/>
      </w:r>
    </w:p>
    <w:p w14:paraId="372B1341">
      <w:pPr>
        <w:spacing w:line="360" w:lineRule="auto"/>
        <w:rPr>
          <w:b/>
        </w:rPr>
      </w:pPr>
      <w:r>
        <w:rPr>
          <w:rFonts w:hAnsi="仿宋"/>
          <w:b/>
        </w:rPr>
        <w:t>四、提交投标文件截止时间、开标时间和地点</w:t>
      </w:r>
    </w:p>
    <w:p w14:paraId="241E925D">
      <w:pPr>
        <w:spacing w:line="360" w:lineRule="auto"/>
        <w:ind w:firstLine="482" w:firstLineChars="200"/>
      </w:pPr>
      <w:r>
        <w:rPr>
          <w:rFonts w:hAnsi="仿宋"/>
          <w:b/>
        </w:rPr>
        <w:t>提交投标文件截止时间：</w:t>
      </w:r>
      <w:r>
        <w:rPr>
          <w:rFonts w:hint="eastAsia"/>
          <w:u w:val="single"/>
          <w:lang w:eastAsia="zh-CN"/>
        </w:rPr>
        <w:t>2025</w:t>
      </w:r>
      <w:r>
        <w:rPr>
          <w:rFonts w:hAnsi="仿宋"/>
          <w:u w:val="single"/>
        </w:rPr>
        <w:t>年</w:t>
      </w:r>
      <w:r>
        <w:rPr>
          <w:rFonts w:hint="eastAsia" w:hAnsi="仿宋"/>
          <w:u w:val="single"/>
          <w:lang w:val="en-US" w:eastAsia="zh-CN"/>
        </w:rPr>
        <w:t>04</w:t>
      </w:r>
      <w:r>
        <w:rPr>
          <w:rFonts w:hAnsi="仿宋"/>
          <w:u w:val="single"/>
        </w:rPr>
        <w:t>月</w:t>
      </w:r>
      <w:r>
        <w:rPr>
          <w:rFonts w:hint="eastAsia" w:hAnsi="仿宋"/>
          <w:u w:val="single"/>
          <w:lang w:val="en-US" w:eastAsia="zh-CN"/>
        </w:rPr>
        <w:t>21</w:t>
      </w:r>
      <w:r>
        <w:rPr>
          <w:rFonts w:hAnsi="仿宋"/>
          <w:u w:val="single"/>
        </w:rPr>
        <w:t>日</w:t>
      </w:r>
      <w:r>
        <w:rPr>
          <w:u w:val="single"/>
        </w:rPr>
        <w:t>14</w:t>
      </w:r>
      <w:r>
        <w:rPr>
          <w:rFonts w:hAnsi="仿宋"/>
          <w:u w:val="single"/>
        </w:rPr>
        <w:t>点</w:t>
      </w:r>
      <w:r>
        <w:rPr>
          <w:rFonts w:hint="eastAsia"/>
          <w:u w:val="single"/>
          <w:lang w:val="en-US" w:eastAsia="zh-CN"/>
        </w:rPr>
        <w:t>3</w:t>
      </w:r>
      <w:r>
        <w:rPr>
          <w:u w:val="single"/>
        </w:rPr>
        <w:t>0</w:t>
      </w:r>
      <w:r>
        <w:rPr>
          <w:rFonts w:hAnsi="仿宋"/>
          <w:u w:val="single"/>
        </w:rPr>
        <w:t>分</w:t>
      </w:r>
      <w:r>
        <w:rPr>
          <w:rFonts w:hAnsi="仿宋"/>
        </w:rPr>
        <w:t>（北京时间）</w:t>
      </w:r>
    </w:p>
    <w:p w14:paraId="3AE3597A">
      <w:pPr>
        <w:spacing w:line="360" w:lineRule="auto"/>
        <w:ind w:firstLine="482" w:firstLineChars="200"/>
        <w:rPr>
          <w:b/>
        </w:rPr>
      </w:pPr>
      <w:r>
        <w:rPr>
          <w:rFonts w:hAnsi="仿宋"/>
          <w:b/>
        </w:rPr>
        <w:t>投标地点（网址）：</w:t>
      </w:r>
      <w:r>
        <w:rPr>
          <w:rFonts w:hAnsi="仿宋"/>
        </w:rPr>
        <w:t>政采云平台（</w:t>
      </w:r>
      <w:r>
        <w:t>https://www.zcygov.cn/</w:t>
      </w:r>
      <w:r>
        <w:rPr>
          <w:rFonts w:hAnsi="仿宋"/>
        </w:rPr>
        <w:t>）</w:t>
      </w:r>
    </w:p>
    <w:p w14:paraId="3F8BD96C">
      <w:pPr>
        <w:spacing w:line="360" w:lineRule="auto"/>
        <w:ind w:firstLine="482" w:firstLineChars="200"/>
        <w:rPr>
          <w:bCs/>
          <w:u w:val="single"/>
        </w:rPr>
      </w:pPr>
      <w:r>
        <w:rPr>
          <w:rFonts w:hAnsi="仿宋"/>
          <w:b/>
        </w:rPr>
        <w:t>开标时间：</w:t>
      </w:r>
      <w:r>
        <w:rPr>
          <w:rFonts w:hint="eastAsia"/>
          <w:u w:val="single"/>
          <w:lang w:eastAsia="zh-CN"/>
        </w:rPr>
        <w:t>2025</w:t>
      </w:r>
      <w:r>
        <w:rPr>
          <w:rFonts w:hAnsi="仿宋"/>
          <w:u w:val="single"/>
        </w:rPr>
        <w:t>年</w:t>
      </w:r>
      <w:r>
        <w:rPr>
          <w:rFonts w:hint="eastAsia" w:hAnsi="仿宋"/>
          <w:u w:val="single"/>
          <w:lang w:val="en-US" w:eastAsia="zh-CN"/>
        </w:rPr>
        <w:t>04</w:t>
      </w:r>
      <w:r>
        <w:rPr>
          <w:rFonts w:hAnsi="仿宋"/>
          <w:u w:val="single"/>
        </w:rPr>
        <w:t>月</w:t>
      </w:r>
      <w:r>
        <w:rPr>
          <w:rFonts w:hint="eastAsia" w:hAnsi="仿宋"/>
          <w:u w:val="single"/>
          <w:lang w:val="en-US" w:eastAsia="zh-CN"/>
        </w:rPr>
        <w:t>21</w:t>
      </w:r>
      <w:r>
        <w:rPr>
          <w:rFonts w:hAnsi="仿宋"/>
          <w:u w:val="single"/>
        </w:rPr>
        <w:t>日</w:t>
      </w:r>
      <w:r>
        <w:rPr>
          <w:u w:val="single"/>
        </w:rPr>
        <w:t>14</w:t>
      </w:r>
      <w:r>
        <w:rPr>
          <w:rFonts w:hAnsi="仿宋"/>
          <w:u w:val="single"/>
        </w:rPr>
        <w:t>点</w:t>
      </w:r>
      <w:r>
        <w:rPr>
          <w:rFonts w:hint="eastAsia"/>
          <w:u w:val="single"/>
          <w:lang w:val="en-US" w:eastAsia="zh-CN"/>
        </w:rPr>
        <w:t>3</w:t>
      </w:r>
      <w:r>
        <w:rPr>
          <w:u w:val="single"/>
        </w:rPr>
        <w:t>0</w:t>
      </w:r>
      <w:r>
        <w:rPr>
          <w:rFonts w:hAnsi="仿宋"/>
          <w:u w:val="single"/>
        </w:rPr>
        <w:t>分</w:t>
      </w:r>
      <w:r>
        <w:rPr>
          <w:rFonts w:hAnsi="仿宋"/>
        </w:rPr>
        <w:t>（北京时间）</w:t>
      </w:r>
    </w:p>
    <w:p w14:paraId="5686A889">
      <w:pPr>
        <w:spacing w:line="360" w:lineRule="auto"/>
        <w:ind w:firstLine="482" w:firstLineChars="200"/>
      </w:pPr>
      <w:r>
        <w:rPr>
          <w:rFonts w:hAnsi="仿宋"/>
          <w:b/>
        </w:rPr>
        <w:t>开标地点（网址）：</w:t>
      </w:r>
      <w:r>
        <w:rPr>
          <w:rFonts w:hAnsi="仿宋"/>
        </w:rPr>
        <w:t>政采云平台（</w:t>
      </w:r>
      <w:r>
        <w:t>https://www.zcygov.cn/</w:t>
      </w:r>
      <w:r>
        <w:rPr>
          <w:rFonts w:hAnsi="仿宋"/>
        </w:rPr>
        <w:t>），联合体由牵头单位提交投标文件。</w:t>
      </w:r>
    </w:p>
    <w:p w14:paraId="5DCE56CB">
      <w:pPr>
        <w:spacing w:line="360" w:lineRule="auto"/>
      </w:pPr>
      <w:r>
        <w:rPr>
          <w:rFonts w:hAnsi="仿宋"/>
          <w:b/>
        </w:rPr>
        <w:t>五、公告期限</w:t>
      </w:r>
    </w:p>
    <w:p w14:paraId="2A518D51">
      <w:pPr>
        <w:spacing w:line="360" w:lineRule="auto"/>
        <w:ind w:firstLine="480" w:firstLineChars="200"/>
      </w:pPr>
      <w:r>
        <w:rPr>
          <w:rFonts w:hAnsi="仿宋"/>
        </w:rPr>
        <w:t>自本公告发布之日起</w:t>
      </w:r>
      <w:r>
        <w:t>5</w:t>
      </w:r>
      <w:r>
        <w:rPr>
          <w:rFonts w:hAnsi="仿宋"/>
        </w:rPr>
        <w:t>个工作日。</w:t>
      </w:r>
    </w:p>
    <w:p w14:paraId="562E66A9">
      <w:pPr>
        <w:spacing w:line="360" w:lineRule="auto"/>
        <w:rPr>
          <w:b/>
        </w:rPr>
      </w:pPr>
      <w:r>
        <w:rPr>
          <w:rFonts w:hAnsi="仿宋"/>
          <w:b/>
        </w:rPr>
        <w:t>六、其他补充事宜</w:t>
      </w:r>
    </w:p>
    <w:p w14:paraId="7D67DE14">
      <w:pPr>
        <w:spacing w:line="360" w:lineRule="auto"/>
        <w:ind w:firstLine="480" w:firstLineChars="200"/>
      </w:pPr>
      <w:r>
        <w:t>1.</w:t>
      </w:r>
      <w:r>
        <w:rPr>
          <w:rFonts w:hAnsi="仿宋"/>
        </w:rPr>
        <w:t>《浙江省财政厅关于进一步发挥政府采购政策功能全力推动经济稳进提质的通知》（浙财采监（</w:t>
      </w:r>
      <w:r>
        <w:t>2022</w:t>
      </w:r>
      <w:r>
        <w:rPr>
          <w:rFonts w:hAnsi="仿宋"/>
        </w:rPr>
        <w:t>）</w:t>
      </w:r>
      <w:r>
        <w:t>3</w:t>
      </w:r>
      <w:r>
        <w:rPr>
          <w:rFonts w:hAnsi="仿宋"/>
        </w:rPr>
        <w:t>号）、《浙江省财政厅关于进一步促进政府采购公平竞争打造最优营商环境的通知》（浙财采监（</w:t>
      </w:r>
      <w:r>
        <w:t>2021</w:t>
      </w:r>
      <w:r>
        <w:rPr>
          <w:rFonts w:hAnsi="仿宋"/>
        </w:rPr>
        <w:t>）</w:t>
      </w:r>
      <w:r>
        <w:t>22</w:t>
      </w:r>
      <w:r>
        <w:rPr>
          <w:rFonts w:hAnsi="仿宋"/>
        </w:rPr>
        <w:t>号））、《浙江省财政厅关于进一步加大政府采购支持中小企业力度助力扎实稳住经济的通知》（浙财采监（</w:t>
      </w:r>
      <w:r>
        <w:t>2022</w:t>
      </w:r>
      <w:r>
        <w:rPr>
          <w:rFonts w:hAnsi="仿宋"/>
        </w:rPr>
        <w:t>）</w:t>
      </w:r>
      <w:r>
        <w:t>8</w:t>
      </w:r>
      <w:r>
        <w:rPr>
          <w:rFonts w:hAnsi="仿宋"/>
        </w:rPr>
        <w:t>号）已分别于</w:t>
      </w:r>
      <w:r>
        <w:t>2022</w:t>
      </w:r>
      <w:r>
        <w:rPr>
          <w:rFonts w:hAnsi="仿宋"/>
        </w:rPr>
        <w:t>年</w:t>
      </w:r>
      <w:r>
        <w:t>1</w:t>
      </w:r>
      <w:r>
        <w:rPr>
          <w:rFonts w:hAnsi="仿宋"/>
        </w:rPr>
        <w:t>月</w:t>
      </w:r>
      <w:r>
        <w:t>29</w:t>
      </w:r>
      <w:r>
        <w:rPr>
          <w:rFonts w:hAnsi="仿宋"/>
        </w:rPr>
        <w:t>日、</w:t>
      </w:r>
      <w:r>
        <w:t>2022</w:t>
      </w:r>
      <w:r>
        <w:rPr>
          <w:rFonts w:hAnsi="仿宋"/>
        </w:rPr>
        <w:t>年</w:t>
      </w:r>
      <w:r>
        <w:t>2</w:t>
      </w:r>
      <w:r>
        <w:rPr>
          <w:rFonts w:hAnsi="仿宋"/>
        </w:rPr>
        <w:t>月</w:t>
      </w:r>
      <w:r>
        <w:t>1</w:t>
      </w:r>
      <w:r>
        <w:rPr>
          <w:rFonts w:hAnsi="仿宋"/>
        </w:rPr>
        <w:t>日和</w:t>
      </w:r>
      <w:r>
        <w:t>2022</w:t>
      </w:r>
      <w:r>
        <w:rPr>
          <w:rFonts w:hAnsi="仿宋"/>
        </w:rPr>
        <w:t>年</w:t>
      </w:r>
      <w:r>
        <w:t>7</w:t>
      </w:r>
      <w:r>
        <w:rPr>
          <w:rFonts w:hAnsi="仿宋"/>
        </w:rPr>
        <w:t>月</w:t>
      </w:r>
      <w:r>
        <w:t>1</w:t>
      </w:r>
      <w:r>
        <w:rPr>
          <w:rFonts w:hAnsi="仿宋"/>
        </w:rPr>
        <w:t>日开始实施，此前有关规定与上述文件内容不一致的，按上述文件要求执行。</w:t>
      </w:r>
    </w:p>
    <w:p w14:paraId="17A1A838">
      <w:pPr>
        <w:spacing w:line="360" w:lineRule="auto"/>
        <w:ind w:firstLine="480" w:firstLineChars="200"/>
      </w:pPr>
      <w:r>
        <w:t>2.</w:t>
      </w:r>
      <w:r>
        <w:rPr>
          <w:rFonts w:hAnsi="仿宋"/>
        </w:rPr>
        <w:t>根据《浙江省财政厅关于进一步促进政府采购公平竞争打造最优营商环境的通知》（浙财采监（</w:t>
      </w:r>
      <w:r>
        <w:t>2021</w:t>
      </w:r>
      <w:r>
        <w:rPr>
          <w:rFonts w:hAnsi="仿宋"/>
        </w:rPr>
        <w:t>）</w:t>
      </w:r>
      <w:r>
        <w:t>22</w:t>
      </w:r>
      <w:r>
        <w:rPr>
          <w:rFonts w:hAnsi="仿宋"/>
        </w:rPr>
        <w:t>号）文件关于</w:t>
      </w:r>
      <w:r>
        <w:t>“</w:t>
      </w:r>
      <w:r>
        <w:rPr>
          <w:rFonts w:hAnsi="仿宋"/>
        </w:rPr>
        <w:t>健全行政裁决机制</w:t>
      </w:r>
      <w:r>
        <w:t>”</w:t>
      </w:r>
      <w:r>
        <w:rPr>
          <w:rFonts w:hAnsi="仿宋"/>
        </w:rPr>
        <w:t>要求，鼓励供应商在线提起询问，路径为：政采云</w:t>
      </w:r>
      <w:r>
        <w:t>-</w:t>
      </w:r>
      <w:r>
        <w:rPr>
          <w:rFonts w:hAnsi="仿宋"/>
        </w:rPr>
        <w:t>项目采购</w:t>
      </w:r>
      <w:r>
        <w:t>-</w:t>
      </w:r>
      <w:r>
        <w:rPr>
          <w:rFonts w:hAnsi="仿宋"/>
        </w:rPr>
        <w:t>询问质疑投诉</w:t>
      </w:r>
      <w:r>
        <w:t>-</w:t>
      </w:r>
      <w:r>
        <w:rPr>
          <w:rFonts w:hAnsi="仿宋"/>
        </w:rPr>
        <w:t>询问列表</w:t>
      </w:r>
      <w:r>
        <w:t>:</w:t>
      </w:r>
      <w:r>
        <w:rPr>
          <w:rFonts w:hAnsi="仿宋"/>
        </w:rPr>
        <w:t>鼓励供应商在线提起质疑，路径为：政采云</w:t>
      </w:r>
      <w:r>
        <w:t>-</w:t>
      </w:r>
      <w:r>
        <w:rPr>
          <w:rFonts w:hAnsi="仿宋"/>
        </w:rPr>
        <w:t>项目采购</w:t>
      </w:r>
      <w:r>
        <w:t>-</w:t>
      </w:r>
      <w:r>
        <w:rPr>
          <w:rFonts w:hAnsi="仿宋"/>
        </w:rPr>
        <w:t>询问质疑投诉</w:t>
      </w:r>
      <w:r>
        <w:t>-</w:t>
      </w:r>
      <w:r>
        <w:rPr>
          <w:rFonts w:hAnsi="仿宋"/>
        </w:rPr>
        <w:t>质疑列表。质疑供应商对在线质疑答复不满意的，可在线提起投诉，路径为：浙江政府服务网</w:t>
      </w:r>
      <w:r>
        <w:t>-</w:t>
      </w:r>
      <w:r>
        <w:rPr>
          <w:rFonts w:hAnsi="仿宋"/>
        </w:rPr>
        <w:t>政府采购投诉处理</w:t>
      </w:r>
      <w:r>
        <w:t>-</w:t>
      </w:r>
      <w:r>
        <w:rPr>
          <w:rFonts w:hAnsi="仿宋"/>
        </w:rPr>
        <w:t>在线办理。</w:t>
      </w:r>
    </w:p>
    <w:p w14:paraId="5B07CBEC">
      <w:pPr>
        <w:spacing w:line="360" w:lineRule="auto"/>
        <w:ind w:firstLine="480" w:firstLineChars="200"/>
      </w:pPr>
      <w:r>
        <w:t>3.</w:t>
      </w:r>
      <w:r>
        <w:rPr>
          <w:rFonts w:hAnsi="仿宋"/>
        </w:rPr>
        <w:t>供应商认为采购文件使自己的权益受到损害的，可以自获取采购文件之日或者采购公告期限届满之日（公告期限届满后获取采购文件的，以公告期限届满之日为准）起</w:t>
      </w:r>
      <w:r>
        <w:t>7</w:t>
      </w:r>
      <w:r>
        <w:rPr>
          <w:rFonts w:hAnsi="仿宋"/>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072181D">
      <w:pPr>
        <w:spacing w:line="360" w:lineRule="auto"/>
        <w:ind w:firstLine="480" w:firstLineChars="200"/>
      </w:pPr>
      <w:r>
        <w:t>4.</w:t>
      </w:r>
      <w:r>
        <w:rPr>
          <w:rFonts w:hAnsi="仿宋"/>
        </w:rPr>
        <w:t>其他事项：需要落实的政府采购政策：包括节约资源、保护环境、支持创新、促进中小企业发展等。详见招标文件的第二部分总则。</w:t>
      </w:r>
    </w:p>
    <w:p w14:paraId="17BB01A3">
      <w:pPr>
        <w:spacing w:line="360" w:lineRule="auto"/>
        <w:rPr>
          <w:b/>
        </w:rPr>
      </w:pPr>
      <w:r>
        <w:rPr>
          <w:rFonts w:hAnsi="仿宋"/>
          <w:b/>
        </w:rPr>
        <w:t>七、对本次采购提出询问、质疑、投诉，请按以下方式联系</w:t>
      </w:r>
    </w:p>
    <w:p w14:paraId="44363680">
      <w:pPr>
        <w:spacing w:line="360" w:lineRule="auto"/>
      </w:pPr>
      <w:r>
        <w:t xml:space="preserve">  </w:t>
      </w:r>
      <w:r>
        <w:rPr>
          <w:rFonts w:hint="eastAsia"/>
          <w:lang w:val="en-US" w:eastAsia="zh-CN"/>
        </w:rPr>
        <w:t xml:space="preserve">  </w:t>
      </w:r>
      <w:r>
        <w:t>1.</w:t>
      </w:r>
      <w:r>
        <w:rPr>
          <w:rFonts w:hAnsi="仿宋"/>
        </w:rPr>
        <w:t>采购人信息</w:t>
      </w:r>
    </w:p>
    <w:p w14:paraId="4D2412C2">
      <w:pPr>
        <w:spacing w:line="360" w:lineRule="auto"/>
        <w:ind w:firstLine="480" w:firstLineChars="200"/>
      </w:pPr>
      <w:r>
        <w:rPr>
          <w:rFonts w:hAnsi="仿宋"/>
        </w:rPr>
        <w:t>名称：浙江省公安厅人民警察服务中心</w:t>
      </w:r>
    </w:p>
    <w:p w14:paraId="56B5DC2C">
      <w:pPr>
        <w:spacing w:line="360" w:lineRule="auto"/>
        <w:ind w:firstLine="480" w:firstLineChars="200"/>
      </w:pPr>
      <w:r>
        <w:rPr>
          <w:rFonts w:hAnsi="仿宋"/>
        </w:rPr>
        <w:t>地址：</w:t>
      </w:r>
      <w:r>
        <w:rPr>
          <w:rFonts w:hint="eastAsia" w:hAnsi="仿宋"/>
        </w:rPr>
        <w:t>杭州市拱墅区半山街道毛竹山102号</w:t>
      </w:r>
    </w:p>
    <w:p w14:paraId="3066F446">
      <w:pPr>
        <w:spacing w:line="360" w:lineRule="auto"/>
        <w:ind w:firstLine="480" w:firstLineChars="200"/>
        <w:rPr>
          <w:rFonts w:hint="default"/>
          <w:lang w:val="en-US" w:eastAsia="zh-CN"/>
        </w:rPr>
      </w:pPr>
      <w:r>
        <w:rPr>
          <w:rFonts w:hint="eastAsia"/>
        </w:rPr>
        <w:t>项目联系人（询问）：</w:t>
      </w:r>
      <w:r>
        <w:rPr>
          <w:rFonts w:hint="eastAsia"/>
          <w:lang w:val="en-US" w:eastAsia="zh-CN"/>
        </w:rPr>
        <w:t>王</w:t>
      </w:r>
      <w:r>
        <w:rPr>
          <w:rFonts w:hint="eastAsia"/>
        </w:rPr>
        <w:t>先生</w:t>
      </w:r>
    </w:p>
    <w:p w14:paraId="5577564B">
      <w:pPr>
        <w:spacing w:line="360" w:lineRule="auto"/>
        <w:ind w:firstLine="480" w:firstLineChars="200"/>
        <w:rPr>
          <w:rFonts w:hint="eastAsia"/>
          <w:lang w:val="en-US" w:eastAsia="zh-CN"/>
        </w:rPr>
      </w:pPr>
      <w:r>
        <w:rPr>
          <w:rFonts w:hint="eastAsia"/>
        </w:rPr>
        <w:t>项目联系方式（询问）：0571-87810788-302</w:t>
      </w:r>
      <w:r>
        <w:rPr>
          <w:rFonts w:hint="eastAsia"/>
          <w:lang w:val="en-US" w:eastAsia="zh-CN"/>
        </w:rPr>
        <w:t>5</w:t>
      </w:r>
    </w:p>
    <w:p w14:paraId="63E929D6">
      <w:pPr>
        <w:spacing w:line="360" w:lineRule="auto"/>
        <w:ind w:firstLine="480" w:firstLineChars="200"/>
        <w:rPr>
          <w:rFonts w:hint="default"/>
          <w:lang w:val="en-US" w:eastAsia="zh-CN"/>
        </w:rPr>
      </w:pPr>
      <w:r>
        <w:rPr>
          <w:rFonts w:hint="eastAsia"/>
        </w:rPr>
        <w:t>质疑联系人：</w:t>
      </w:r>
      <w:r>
        <w:rPr>
          <w:rFonts w:hint="eastAsia"/>
          <w:lang w:val="en-US" w:eastAsia="zh-CN"/>
        </w:rPr>
        <w:t>胡先生</w:t>
      </w:r>
    </w:p>
    <w:p w14:paraId="54524CB4">
      <w:pPr>
        <w:spacing w:line="360" w:lineRule="auto"/>
        <w:rPr>
          <w:rFonts w:hint="default"/>
          <w:lang w:val="en-US" w:eastAsia="zh-CN"/>
        </w:rPr>
      </w:pPr>
      <w:r>
        <w:rPr>
          <w:rFonts w:hint="eastAsia"/>
        </w:rPr>
        <w:t xml:space="preserve">    质疑联系方式：</w:t>
      </w:r>
      <w:r>
        <w:rPr>
          <w:rFonts w:hint="eastAsia"/>
          <w:lang w:val="en-US" w:eastAsia="zh-CN"/>
        </w:rPr>
        <w:t>0571-87810788-3010</w:t>
      </w:r>
    </w:p>
    <w:p w14:paraId="54C41BF1">
      <w:pPr>
        <w:spacing w:line="360" w:lineRule="auto"/>
      </w:pPr>
      <w:r>
        <w:t xml:space="preserve"> </w:t>
      </w:r>
      <w:r>
        <w:rPr>
          <w:rFonts w:hint="eastAsia"/>
          <w:lang w:val="en-US" w:eastAsia="zh-CN"/>
        </w:rPr>
        <w:t xml:space="preserve">  </w:t>
      </w:r>
      <w:r>
        <w:t>2.</w:t>
      </w:r>
      <w:r>
        <w:rPr>
          <w:rFonts w:hAnsi="仿宋"/>
        </w:rPr>
        <w:t>采购代理机构信息</w:t>
      </w:r>
    </w:p>
    <w:p w14:paraId="126AE1DD">
      <w:pPr>
        <w:spacing w:line="360" w:lineRule="auto"/>
        <w:ind w:firstLine="480"/>
      </w:pPr>
      <w:r>
        <w:rPr>
          <w:rFonts w:hAnsi="仿宋"/>
        </w:rPr>
        <w:t>名称：浙江省直房地产服务有限公司</w:t>
      </w:r>
    </w:p>
    <w:p w14:paraId="166A15D3">
      <w:pPr>
        <w:spacing w:line="360" w:lineRule="auto"/>
        <w:ind w:firstLine="480"/>
      </w:pPr>
      <w:r>
        <w:rPr>
          <w:rFonts w:hAnsi="仿宋"/>
        </w:rPr>
        <w:t>地址：杭州市西湖区宝石一路</w:t>
      </w:r>
      <w:r>
        <w:t>3-1</w:t>
      </w:r>
      <w:r>
        <w:rPr>
          <w:rFonts w:hAnsi="仿宋"/>
        </w:rPr>
        <w:t>号</w:t>
      </w:r>
    </w:p>
    <w:p w14:paraId="53C5882A">
      <w:pPr>
        <w:spacing w:line="360" w:lineRule="auto"/>
        <w:ind w:firstLine="480" w:firstLineChars="200"/>
      </w:pPr>
      <w:r>
        <w:rPr>
          <w:rFonts w:hAnsi="仿宋"/>
        </w:rPr>
        <w:t>项目联系人（询问）：田康迪</w:t>
      </w:r>
    </w:p>
    <w:p w14:paraId="7EC7A589">
      <w:pPr>
        <w:spacing w:line="360" w:lineRule="auto"/>
        <w:ind w:firstLine="480" w:firstLineChars="200"/>
      </w:pPr>
      <w:r>
        <w:rPr>
          <w:rFonts w:hAnsi="仿宋"/>
        </w:rPr>
        <w:t>项目联系方式（询问）：</w:t>
      </w:r>
      <w:r>
        <w:t>17826892991</w:t>
      </w:r>
    </w:p>
    <w:p w14:paraId="65A13253">
      <w:pPr>
        <w:spacing w:line="360" w:lineRule="auto"/>
        <w:ind w:firstLine="480" w:firstLineChars="200"/>
      </w:pPr>
      <w:r>
        <w:rPr>
          <w:rFonts w:hAnsi="仿宋"/>
        </w:rPr>
        <w:t>质疑联系人：余昭</w:t>
      </w:r>
    </w:p>
    <w:p w14:paraId="77FEAAE4">
      <w:pPr>
        <w:spacing w:line="360" w:lineRule="auto"/>
        <w:ind w:firstLine="480"/>
      </w:pPr>
      <w:r>
        <w:rPr>
          <w:rFonts w:hAnsi="仿宋"/>
        </w:rPr>
        <w:t>质疑联系方式：</w:t>
      </w:r>
      <w:r>
        <w:rPr>
          <w:rFonts w:hint="eastAsia" w:hAnsi="仿宋"/>
          <w:lang w:val="en-US" w:eastAsia="zh-CN"/>
        </w:rPr>
        <w:t>15858283547</w:t>
      </w:r>
      <w:r>
        <w:t xml:space="preserve">  </w:t>
      </w:r>
    </w:p>
    <w:p w14:paraId="76AC7AA8">
      <w:pPr>
        <w:spacing w:line="360" w:lineRule="auto"/>
        <w:ind w:firstLine="480" w:firstLineChars="200"/>
      </w:pPr>
      <w:r>
        <w:rPr>
          <w:rFonts w:hAnsi="仿宋"/>
        </w:rPr>
        <w:t>预算金额未达</w:t>
      </w:r>
      <w:r>
        <w:t>100</w:t>
      </w:r>
      <w:r>
        <w:rPr>
          <w:rFonts w:hAnsi="仿宋"/>
        </w:rPr>
        <w:t>万元的采购项目，由采购人处理采购争议。</w:t>
      </w:r>
    </w:p>
    <w:p w14:paraId="388037FC">
      <w:pPr>
        <w:spacing w:line="360" w:lineRule="auto"/>
        <w:ind w:firstLine="480" w:firstLineChars="200"/>
      </w:pPr>
      <w:r>
        <w:rPr>
          <w:rFonts w:hAnsi="仿宋"/>
        </w:rPr>
        <w:t>若对项目采购电子交易系统操作有疑问，可登录政采云（</w:t>
      </w:r>
      <w:r>
        <w:t>https://www.zcygov.cn/</w:t>
      </w:r>
      <w:r>
        <w:rPr>
          <w:rFonts w:hAnsi="仿宋"/>
        </w:rPr>
        <w:t>），点击右侧咨询小采，获取采小蜜智能服务管家帮助，或拨打政采云服务热线</w:t>
      </w:r>
      <w:r>
        <w:t>400-881-7190</w:t>
      </w:r>
      <w:r>
        <w:rPr>
          <w:rFonts w:hAnsi="仿宋"/>
        </w:rPr>
        <w:t>获取热线服务帮助。</w:t>
      </w:r>
    </w:p>
    <w:p w14:paraId="15585A54">
      <w:pPr>
        <w:spacing w:line="360" w:lineRule="auto"/>
        <w:ind w:firstLine="480" w:firstLineChars="200"/>
      </w:pPr>
      <w:r>
        <w:t>CA</w:t>
      </w:r>
      <w:r>
        <w:rPr>
          <w:rFonts w:hAnsi="仿宋"/>
        </w:rPr>
        <w:t>问题联系电话（人工）：汇信</w:t>
      </w:r>
      <w:r>
        <w:t>CA 400-888-4636</w:t>
      </w:r>
      <w:r>
        <w:rPr>
          <w:rFonts w:hAnsi="仿宋"/>
        </w:rPr>
        <w:t>；天谷</w:t>
      </w:r>
      <w:r>
        <w:t>CA 400-087-8198</w:t>
      </w:r>
      <w:r>
        <w:rPr>
          <w:rFonts w:hAnsi="仿宋"/>
        </w:rPr>
        <w:t>。</w:t>
      </w:r>
    </w:p>
    <w:p w14:paraId="47071293">
      <w:pPr>
        <w:pStyle w:val="33"/>
        <w:spacing w:line="360" w:lineRule="auto"/>
        <w:ind w:firstLine="480" w:firstLineChars="200"/>
        <w:rPr>
          <w:rFonts w:ascii="Times New Roman" w:hAnsi="Times New Roman" w:cs="Times New Roman"/>
          <w:szCs w:val="24"/>
        </w:rPr>
      </w:pPr>
    </w:p>
    <w:p w14:paraId="47D85613">
      <w:pPr>
        <w:adjustRightInd/>
        <w:spacing w:line="360" w:lineRule="auto"/>
        <w:jc w:val="center"/>
        <w:outlineLvl w:val="0"/>
        <w:rPr>
          <w:b/>
          <w:sz w:val="36"/>
          <w:szCs w:val="20"/>
        </w:rPr>
      </w:pPr>
      <w:r>
        <w:rPr>
          <w:b/>
          <w:sz w:val="36"/>
          <w:szCs w:val="20"/>
        </w:rPr>
        <w:br w:type="page"/>
      </w:r>
      <w:r>
        <w:rPr>
          <w:rFonts w:hAnsi="仿宋"/>
          <w:b/>
          <w:sz w:val="36"/>
          <w:szCs w:val="20"/>
        </w:rPr>
        <w:t>第二部分</w:t>
      </w:r>
      <w:bookmarkEnd w:id="6"/>
      <w:r>
        <w:rPr>
          <w:rFonts w:hAnsi="仿宋"/>
          <w:b/>
          <w:sz w:val="36"/>
          <w:szCs w:val="20"/>
        </w:rPr>
        <w:t>投标人须知</w:t>
      </w:r>
      <w:bookmarkEnd w:id="7"/>
    </w:p>
    <w:p w14:paraId="3BF24C70">
      <w:pPr>
        <w:snapToGrid w:val="0"/>
        <w:spacing w:line="360" w:lineRule="auto"/>
        <w:jc w:val="center"/>
        <w:rPr>
          <w:b/>
          <w:sz w:val="32"/>
          <w:szCs w:val="20"/>
        </w:rPr>
      </w:pPr>
      <w:r>
        <w:rPr>
          <w:rFonts w:hAnsi="仿宋"/>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6C2BD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17770606">
            <w:pPr>
              <w:snapToGrid w:val="0"/>
              <w:jc w:val="center"/>
              <w:rPr>
                <w:b/>
              </w:rPr>
            </w:pPr>
            <w:r>
              <w:rPr>
                <w:rFonts w:hAnsi="仿宋"/>
                <w:b/>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D91737F">
            <w:pPr>
              <w:snapToGrid w:val="0"/>
              <w:jc w:val="center"/>
              <w:rPr>
                <w:b/>
              </w:rPr>
            </w:pPr>
            <w:r>
              <w:rPr>
                <w:rFonts w:hAnsi="仿宋"/>
                <w:b/>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03E9AD6">
            <w:pPr>
              <w:snapToGrid w:val="0"/>
              <w:jc w:val="center"/>
              <w:rPr>
                <w:b/>
              </w:rPr>
            </w:pPr>
            <w:r>
              <w:rPr>
                <w:rFonts w:hAnsi="仿宋"/>
                <w:b/>
              </w:rPr>
              <w:t>本项目的特别规定</w:t>
            </w:r>
          </w:p>
        </w:tc>
      </w:tr>
      <w:tr w14:paraId="09CCB6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4B57507F">
            <w:pPr>
              <w:snapToGrid w:val="0"/>
              <w:jc w:val="center"/>
            </w:pPr>
          </w:p>
          <w:p w14:paraId="5AA6AA2E">
            <w:pPr>
              <w:snapToGrid w:val="0"/>
              <w:jc w:val="center"/>
            </w:pPr>
          </w:p>
          <w:p w14:paraId="4E3C0C23">
            <w:pPr>
              <w:snapToGrid w:val="0"/>
              <w:jc w:val="center"/>
            </w:pPr>
            <w: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819C17B">
            <w:pPr>
              <w:snapToGrid w:val="0"/>
              <w:jc w:val="center"/>
              <w:rPr>
                <w:b/>
              </w:rPr>
            </w:pPr>
            <w:r>
              <w:rPr>
                <w:rFonts w:hAnsi="仿宋"/>
                <w:b/>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E42C6E6">
            <w:pPr>
              <w:snapToGrid w:val="0"/>
              <w:spacing w:line="360" w:lineRule="auto"/>
              <w:jc w:val="left"/>
              <w:rPr>
                <w:rFonts w:ascii="仿宋" w:hAnsi="仿宋" w:cs="仿宋"/>
                <w:kern w:val="0"/>
                <w:highlight w:val="none"/>
              </w:rPr>
            </w:pPr>
            <w:r>
              <w:rPr>
                <w:rFonts w:hint="eastAsia" w:ascii="仿宋" w:hAnsi="仿宋" w:cs="仿宋"/>
                <w:b/>
                <w:bCs/>
                <w:kern w:val="0"/>
                <w:highlight w:val="none"/>
                <w:lang w:val="en-US" w:eastAsia="zh-CN"/>
              </w:rPr>
              <w:t>本项目最高限价为</w:t>
            </w:r>
            <w:r>
              <w:rPr>
                <w:rFonts w:hint="eastAsia" w:ascii="仿宋" w:hAnsi="仿宋" w:cs="仿宋"/>
                <w:b/>
                <w:bCs/>
                <w:kern w:val="0"/>
                <w:highlight w:val="none"/>
                <w:u w:val="single"/>
                <w:lang w:val="en-US" w:eastAsia="zh-CN"/>
              </w:rPr>
              <w:t xml:space="preserve"> 350000.00元 </w:t>
            </w:r>
            <w:r>
              <w:rPr>
                <w:rFonts w:hint="eastAsia" w:ascii="仿宋" w:hAnsi="仿宋" w:cs="仿宋"/>
                <w:b/>
                <w:bCs/>
                <w:kern w:val="0"/>
                <w:highlight w:val="none"/>
              </w:rPr>
              <w:t>。投标人报价超过最高限价的投标无效。</w:t>
            </w:r>
          </w:p>
          <w:p w14:paraId="48664296">
            <w:pPr>
              <w:snapToGrid w:val="0"/>
              <w:spacing w:line="360" w:lineRule="auto"/>
              <w:jc w:val="left"/>
              <w:rPr>
                <w:kern w:val="0"/>
                <w:highlight w:val="none"/>
                <w:lang w:val="zh-CN"/>
              </w:rPr>
            </w:pPr>
            <w:r>
              <w:rPr>
                <w:rFonts w:hAnsi="仿宋"/>
                <w:kern w:val="0"/>
                <w:highlight w:val="none"/>
                <w:lang w:val="zh-CN"/>
              </w:rPr>
              <w:t>有关本项目实施所需的所有费用（含税费）均计入报价。</w:t>
            </w:r>
            <w:r>
              <w:rPr>
                <w:rFonts w:hAnsi="仿宋"/>
                <w:highlight w:val="none"/>
              </w:rPr>
              <w:t>开标一览表（报价表）是报价的唯一载体</w:t>
            </w:r>
            <w:r>
              <w:rPr>
                <w:rFonts w:hAnsi="仿宋"/>
                <w:kern w:val="0"/>
                <w:highlight w:val="none"/>
                <w:lang w:val="zh-CN"/>
              </w:rPr>
              <w:t>。投标文件中价格全部采用人民币报价。招标文件未列明，而投标人认为必需的费用也需列入报价。</w:t>
            </w:r>
          </w:p>
          <w:p w14:paraId="0BE6C590">
            <w:pPr>
              <w:snapToGrid w:val="0"/>
              <w:spacing w:line="360" w:lineRule="auto"/>
              <w:jc w:val="left"/>
              <w:rPr>
                <w:b/>
                <w:kern w:val="0"/>
                <w:highlight w:val="none"/>
                <w:lang w:val="zh-CN"/>
              </w:rPr>
            </w:pPr>
            <w:r>
              <w:rPr>
                <w:rFonts w:hAnsi="仿宋"/>
                <w:b/>
                <w:kern w:val="0"/>
                <w:highlight w:val="none"/>
                <w:lang w:val="zh-CN"/>
              </w:rPr>
              <w:t>投标报价出现下列情形的，投标无效：</w:t>
            </w:r>
          </w:p>
          <w:p w14:paraId="38F8A06B">
            <w:pPr>
              <w:snapToGrid w:val="0"/>
              <w:spacing w:line="360" w:lineRule="auto"/>
              <w:ind w:firstLine="241" w:firstLineChars="100"/>
              <w:jc w:val="left"/>
              <w:rPr>
                <w:b/>
                <w:kern w:val="0"/>
                <w:highlight w:val="none"/>
                <w:lang w:val="zh-CN"/>
              </w:rPr>
            </w:pPr>
            <w:r>
              <w:rPr>
                <w:rFonts w:hAnsi="仿宋"/>
                <w:b/>
                <w:kern w:val="0"/>
                <w:highlight w:val="none"/>
                <w:lang w:val="zh-CN"/>
              </w:rPr>
              <w:t>投标文件出现不是唯一的、有选择性投标报价的；</w:t>
            </w:r>
          </w:p>
          <w:p w14:paraId="555D3AC4">
            <w:pPr>
              <w:snapToGrid w:val="0"/>
              <w:spacing w:line="360" w:lineRule="auto"/>
              <w:ind w:firstLine="241" w:firstLineChars="100"/>
              <w:jc w:val="left"/>
              <w:rPr>
                <w:kern w:val="0"/>
                <w:highlight w:val="none"/>
                <w:lang w:val="zh-CN"/>
              </w:rPr>
            </w:pPr>
            <w:r>
              <w:rPr>
                <w:rFonts w:hAnsi="仿宋"/>
                <w:b/>
                <w:kern w:val="0"/>
                <w:highlight w:val="none"/>
                <w:lang w:val="zh-CN"/>
              </w:rPr>
              <w:t>投标报价超过招标文件中规定的预算金额或者最高限价的</w:t>
            </w:r>
            <w:r>
              <w:rPr>
                <w:b/>
                <w:kern w:val="0"/>
                <w:highlight w:val="none"/>
                <w:lang w:val="zh-CN"/>
              </w:rPr>
              <w:t>;</w:t>
            </w:r>
          </w:p>
          <w:p w14:paraId="3FB42B55">
            <w:pPr>
              <w:spacing w:line="360" w:lineRule="auto"/>
              <w:ind w:firstLine="241" w:firstLineChars="100"/>
              <w:rPr>
                <w:b/>
                <w:highlight w:val="none"/>
              </w:rPr>
            </w:pPr>
            <w:r>
              <w:rPr>
                <w:rFonts w:hAnsi="仿宋"/>
                <w:b/>
                <w:kern w:val="0"/>
                <w:highlight w:val="none"/>
              </w:rPr>
              <w:t>报价明显低于其他通过符合性审查投标人的报价，有可能影响产品质量或者不能诚信履约的，未能按要求提供书面说明或者提交相关证明材料证明其报价合理性的</w:t>
            </w:r>
            <w:r>
              <w:rPr>
                <w:b/>
                <w:szCs w:val="21"/>
                <w:highlight w:val="none"/>
              </w:rPr>
              <w:t>;</w:t>
            </w:r>
          </w:p>
          <w:p w14:paraId="41168CB1">
            <w:pPr>
              <w:spacing w:line="360" w:lineRule="auto"/>
              <w:ind w:firstLine="241" w:firstLineChars="100"/>
            </w:pPr>
            <w:r>
              <w:rPr>
                <w:rFonts w:hAnsi="仿宋"/>
                <w:b/>
                <w:kern w:val="0"/>
                <w:highlight w:val="none"/>
              </w:rPr>
              <w:t>投标人对根据修正原则修正后的报价不确认的</w:t>
            </w:r>
            <w:r>
              <w:rPr>
                <w:rFonts w:hAnsi="仿宋"/>
                <w:b/>
                <w:highlight w:val="none"/>
              </w:rPr>
              <w:t>。</w:t>
            </w:r>
          </w:p>
        </w:tc>
      </w:tr>
      <w:tr w14:paraId="04EF9C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5DF25FCE">
            <w:pPr>
              <w:snapToGrid w:val="0"/>
              <w:jc w:val="center"/>
            </w:pPr>
            <w: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1E5E19F">
            <w:pPr>
              <w:snapToGrid w:val="0"/>
              <w:jc w:val="center"/>
              <w:rPr>
                <w:b/>
              </w:rPr>
            </w:pPr>
            <w:r>
              <w:rPr>
                <w:rFonts w:hAnsi="仿宋"/>
                <w:b/>
              </w:rPr>
              <w:t>转包与分包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1347643">
            <w:pPr>
              <w:snapToGrid w:val="0"/>
              <w:spacing w:line="360" w:lineRule="auto"/>
              <w:jc w:val="left"/>
              <w:rPr>
                <w:b/>
              </w:rPr>
            </w:pPr>
            <w:r>
              <w:rPr>
                <w:b/>
              </w:rPr>
              <w:t>1.</w:t>
            </w:r>
            <w:r>
              <w:rPr>
                <w:rFonts w:hAnsi="仿宋"/>
                <w:b/>
              </w:rPr>
              <w:t>本项目不允许转包；</w:t>
            </w:r>
          </w:p>
          <w:p w14:paraId="70074F28">
            <w:pPr>
              <w:snapToGrid w:val="0"/>
              <w:spacing w:line="360" w:lineRule="auto"/>
              <w:jc w:val="left"/>
              <w:rPr>
                <w:b/>
              </w:rPr>
            </w:pPr>
            <w:r>
              <w:rPr>
                <w:b/>
              </w:rPr>
              <w:t>2.</w:t>
            </w:r>
            <w:r>
              <w:rPr>
                <w:rFonts w:hAnsi="仿宋"/>
                <w:b/>
              </w:rPr>
              <w:t>本项目不允许分包。</w:t>
            </w:r>
          </w:p>
        </w:tc>
      </w:tr>
      <w:tr w14:paraId="458650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auto" w:sz="4" w:space="0"/>
              <w:right w:val="single" w:color="auto" w:sz="4" w:space="0"/>
            </w:tcBorders>
            <w:vAlign w:val="center"/>
          </w:tcPr>
          <w:p w14:paraId="4CD610BE">
            <w:pPr>
              <w:snapToGrid w:val="0"/>
              <w:jc w:val="center"/>
            </w:pPr>
          </w:p>
          <w:p w14:paraId="2A2D96A4">
            <w:pPr>
              <w:snapToGrid w:val="0"/>
              <w:jc w:val="center"/>
            </w:pPr>
            <w:r>
              <w:t>3</w:t>
            </w:r>
          </w:p>
        </w:tc>
        <w:tc>
          <w:tcPr>
            <w:tcW w:w="1843" w:type="dxa"/>
            <w:vMerge w:val="restart"/>
            <w:tcBorders>
              <w:top w:val="single" w:color="000000" w:sz="8" w:space="0"/>
              <w:left w:val="single" w:color="auto" w:sz="4" w:space="0"/>
              <w:right w:val="single" w:color="000000" w:sz="8" w:space="0"/>
            </w:tcBorders>
            <w:vAlign w:val="center"/>
          </w:tcPr>
          <w:p w14:paraId="546146BD">
            <w:pPr>
              <w:snapToGrid w:val="0"/>
              <w:jc w:val="center"/>
              <w:rPr>
                <w:b/>
              </w:rPr>
            </w:pPr>
            <w:r>
              <w:rPr>
                <w:rFonts w:hAnsi="仿宋"/>
                <w:b/>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B712876">
            <w:pPr>
              <w:spacing w:line="360" w:lineRule="auto"/>
            </w:pPr>
            <w:r>
              <w:rPr>
                <w:rFonts w:hAnsi="仿宋"/>
              </w:rPr>
              <w:t>（</w:t>
            </w:r>
            <w:r>
              <w:t>1</w:t>
            </w:r>
            <w:r>
              <w:rPr>
                <w:rFonts w:hAnsi="仿宋"/>
              </w:rPr>
              <w:t>）资格证明文件：见招标文件第二部分</w:t>
            </w:r>
            <w:r>
              <w:t>11.1</w:t>
            </w:r>
            <w:r>
              <w:rPr>
                <w:rFonts w:hAnsi="仿宋"/>
              </w:rPr>
              <w:t>。</w:t>
            </w:r>
          </w:p>
          <w:p w14:paraId="59E8140A">
            <w:pPr>
              <w:spacing w:line="360" w:lineRule="auto"/>
              <w:rPr>
                <w:snapToGrid w:val="0"/>
                <w:kern w:val="0"/>
                <w:szCs w:val="21"/>
              </w:rPr>
            </w:pPr>
            <w:r>
              <w:rPr>
                <w:rFonts w:hAnsi="仿宋"/>
                <w:kern w:val="0"/>
                <w:lang w:val="zh-CN"/>
              </w:rPr>
              <w:t>投标人未提供有效的资格证明文件的，视为投标人不具备招标文件中规定的资格要求，投标无效。</w:t>
            </w:r>
          </w:p>
        </w:tc>
      </w:tr>
      <w:tr w14:paraId="1372C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auto" w:sz="4" w:space="0"/>
              <w:bottom w:val="single" w:color="auto" w:sz="4" w:space="0"/>
              <w:right w:val="single" w:color="auto" w:sz="4" w:space="0"/>
            </w:tcBorders>
            <w:vAlign w:val="center"/>
          </w:tcPr>
          <w:p w14:paraId="688DCB1A">
            <w:pPr>
              <w:snapToGrid w:val="0"/>
              <w:jc w:val="center"/>
            </w:pPr>
          </w:p>
        </w:tc>
        <w:tc>
          <w:tcPr>
            <w:tcW w:w="1843" w:type="dxa"/>
            <w:vMerge w:val="continue"/>
            <w:tcBorders>
              <w:left w:val="single" w:color="auto" w:sz="4" w:space="0"/>
              <w:bottom w:val="single" w:color="000000" w:sz="8" w:space="0"/>
              <w:right w:val="single" w:color="000000" w:sz="8" w:space="0"/>
            </w:tcBorders>
            <w:vAlign w:val="center"/>
          </w:tcPr>
          <w:p w14:paraId="75F58404">
            <w:pPr>
              <w:snapToGrid w:val="0"/>
              <w:jc w:val="center"/>
              <w:rPr>
                <w:b/>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87CEB9C">
            <w:pPr>
              <w:spacing w:line="360" w:lineRule="auto"/>
            </w:pPr>
            <w:r>
              <w:rPr>
                <w:rFonts w:hAnsi="仿宋"/>
              </w:rPr>
              <w:t>（</w:t>
            </w:r>
            <w:r>
              <w:t>2</w:t>
            </w:r>
            <w:r>
              <w:rPr>
                <w:rFonts w:hAnsi="仿宋"/>
              </w:rPr>
              <w:t>）资信证明文件：根据招标文件第四部分评标标准提供。</w:t>
            </w:r>
          </w:p>
        </w:tc>
      </w:tr>
      <w:tr w14:paraId="600F0A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0F031C70">
            <w:pPr>
              <w:snapToGrid w:val="0"/>
              <w:jc w:val="center"/>
            </w:pPr>
          </w:p>
          <w:p w14:paraId="45A53EDD">
            <w:pPr>
              <w:snapToGrid w:val="0"/>
              <w:jc w:val="center"/>
            </w:pPr>
            <w: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CF4FFD7">
            <w:pPr>
              <w:snapToGrid w:val="0"/>
              <w:jc w:val="center"/>
              <w:rPr>
                <w:b/>
              </w:rPr>
            </w:pPr>
            <w:r>
              <w:rPr>
                <w:rFonts w:hAnsi="仿宋"/>
                <w:b/>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022949F6">
            <w:pPr>
              <w:spacing w:line="360" w:lineRule="auto"/>
              <w:rPr>
                <w:szCs w:val="20"/>
              </w:rPr>
            </w:pPr>
            <w:r>
              <w:rPr>
                <w:rFonts w:hAnsi="仿宋"/>
              </w:rPr>
              <w:t>不组织。</w:t>
            </w:r>
          </w:p>
        </w:tc>
      </w:tr>
      <w:tr w14:paraId="31271A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0E6A92E9">
            <w:pPr>
              <w:snapToGrid w:val="0"/>
              <w:jc w:val="center"/>
            </w:pPr>
            <w: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4EEB73C5">
            <w:pPr>
              <w:snapToGrid w:val="0"/>
              <w:jc w:val="center"/>
              <w:rPr>
                <w:bCs/>
              </w:rPr>
            </w:pPr>
            <w:r>
              <w:rPr>
                <w:rFonts w:hAnsi="仿宋"/>
                <w:b/>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88653AA">
            <w:pPr>
              <w:spacing w:line="360" w:lineRule="auto"/>
              <w:rPr>
                <w:b/>
                <w:kern w:val="0"/>
                <w:lang w:val="zh-CN"/>
              </w:rPr>
            </w:pPr>
            <w:r>
              <w:rPr>
                <w:rFonts w:hAnsi="仿宋"/>
              </w:rPr>
              <w:t>不组织。</w:t>
            </w:r>
          </w:p>
        </w:tc>
      </w:tr>
      <w:tr w14:paraId="16D6AE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BCC7004">
            <w:pPr>
              <w:snapToGrid w:val="0"/>
              <w:spacing w:line="360" w:lineRule="auto"/>
              <w:jc w:val="center"/>
            </w:pPr>
            <w: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238D0E87">
            <w:pPr>
              <w:snapToGrid w:val="0"/>
              <w:spacing w:line="360" w:lineRule="auto"/>
              <w:jc w:val="center"/>
              <w:rPr>
                <w:b/>
              </w:rPr>
            </w:pPr>
            <w:r>
              <w:rPr>
                <w:rFonts w:hAnsi="仿宋"/>
                <w:b/>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3D83966">
            <w:pPr>
              <w:spacing w:line="360" w:lineRule="auto"/>
              <w:rPr>
                <w:rFonts w:hint="eastAsia" w:ascii="仿宋" w:hAnsi="仿宋" w:eastAsia="仿宋" w:cs="仿宋"/>
              </w:rPr>
            </w:pPr>
            <w:sdt>
              <w:sdtPr>
                <w:rPr>
                  <w:rFonts w:hint="eastAsia" w:ascii="仿宋_GB2312" w:hAnsi="仿宋" w:eastAsia="仿宋_GB2312" w:cs="Arial"/>
                  <w:kern w:val="0"/>
                </w:rPr>
                <w:id w:val="113"/>
                <w:showingPlcHdr/>
              </w:sdtPr>
              <w:sdtEndPr>
                <w:rPr>
                  <w:rFonts w:hint="eastAsia" w:ascii="仿宋_GB2312" w:hAnsi="仿宋" w:eastAsia="仿宋_GB2312" w:cs="Arial"/>
                  <w:kern w:val="0"/>
                </w:rPr>
              </w:sdtEndPr>
              <w:sdtContent/>
            </w:sdt>
            <w:r>
              <w:rPr>
                <w:rFonts w:hint="eastAsia" w:ascii="仿宋" w:hAnsi="仿宋" w:eastAsia="仿宋" w:cs="仿宋"/>
              </w:rPr>
              <w:t>不要求提供。</w:t>
            </w:r>
          </w:p>
          <w:p w14:paraId="47A1BC55">
            <w:pPr>
              <w:spacing w:line="360" w:lineRule="auto"/>
            </w:pPr>
            <w:r>
              <w:rPr>
                <w:rFonts w:hint="eastAsia" w:ascii="仿宋" w:hAnsi="仿宋" w:eastAsia="仿宋" w:cs="仿宋"/>
              </w:rPr>
              <w:t>装和保管样品所发生的一切费用由投标人自理。</w:t>
            </w:r>
          </w:p>
        </w:tc>
      </w:tr>
      <w:tr w14:paraId="33EED4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7211F61">
            <w:pPr>
              <w:snapToGrid w:val="0"/>
              <w:jc w:val="center"/>
            </w:pPr>
            <w: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1FBCE4B6">
            <w:pPr>
              <w:snapToGrid w:val="0"/>
              <w:jc w:val="center"/>
              <w:rPr>
                <w:b/>
              </w:rPr>
            </w:pPr>
            <w:r>
              <w:rPr>
                <w:rFonts w:hAnsi="仿宋"/>
                <w:b/>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5EA28C8">
            <w:pPr>
              <w:spacing w:line="360" w:lineRule="auto"/>
              <w:rPr>
                <w:kern w:val="0"/>
              </w:rPr>
            </w:pPr>
            <w:sdt>
              <w:sdtPr>
                <w:rPr>
                  <w:kern w:val="0"/>
                </w:rPr>
                <w:id w:val="52"/>
              </w:sdtPr>
              <w:sdtEndPr>
                <w:rPr>
                  <w:kern w:val="0"/>
                </w:rPr>
              </w:sdtEndPr>
              <w:sdtContent>
                <w:r>
                  <w:rPr>
                    <w:kern w:val="0"/>
                  </w:rPr>
                  <w:sym w:font="Wingdings" w:char="F0FE"/>
                </w:r>
              </w:sdtContent>
            </w:sdt>
            <w:r>
              <w:rPr>
                <w:rFonts w:hAnsi="仿宋"/>
                <w:kern w:val="0"/>
              </w:rPr>
              <w:t>本项目不允许采购进口产品。</w:t>
            </w:r>
          </w:p>
          <w:p w14:paraId="4193C7E7">
            <w:pPr>
              <w:spacing w:line="360" w:lineRule="auto"/>
            </w:pPr>
            <w:sdt>
              <w:sdtPr>
                <w:rPr>
                  <w:kern w:val="0"/>
                </w:rPr>
                <w:id w:val="53"/>
              </w:sdtPr>
              <w:sdtEndPr>
                <w:rPr>
                  <w:kern w:val="0"/>
                </w:rPr>
              </w:sdtEndPr>
              <w:sdtContent>
                <w:r>
                  <w:rPr>
                    <w:rFonts w:hAnsi="仿宋"/>
                    <w:kern w:val="0"/>
                  </w:rPr>
                  <w:t>☐</w:t>
                </w:r>
              </w:sdtContent>
            </w:sdt>
            <w:r>
              <w:rPr>
                <w:rFonts w:hAnsi="仿宋"/>
                <w:kern w:val="0"/>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CABAC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4F452962">
            <w:pPr>
              <w:snapToGrid w:val="0"/>
              <w:jc w:val="center"/>
            </w:pPr>
          </w:p>
          <w:p w14:paraId="2E7130EA">
            <w:pPr>
              <w:snapToGrid w:val="0"/>
              <w:jc w:val="center"/>
            </w:pPr>
            <w: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390F5C07">
            <w:pPr>
              <w:snapToGrid w:val="0"/>
              <w:spacing w:line="360" w:lineRule="auto"/>
              <w:jc w:val="center"/>
              <w:rPr>
                <w:b/>
              </w:rPr>
            </w:pPr>
            <w:r>
              <w:rPr>
                <w:rFonts w:hAnsi="仿宋"/>
                <w:b/>
              </w:rPr>
              <w:t>信用查询</w:t>
            </w:r>
          </w:p>
        </w:tc>
        <w:tc>
          <w:tcPr>
            <w:tcW w:w="6095" w:type="dxa"/>
            <w:tcBorders>
              <w:top w:val="single" w:color="000000" w:sz="8" w:space="0"/>
              <w:left w:val="single" w:color="000000" w:sz="2" w:space="0"/>
              <w:bottom w:val="single" w:color="000000" w:sz="8" w:space="0"/>
              <w:right w:val="single" w:color="000000" w:sz="8" w:space="0"/>
            </w:tcBorders>
            <w:vAlign w:val="center"/>
          </w:tcPr>
          <w:p w14:paraId="4334B888">
            <w:pPr>
              <w:spacing w:line="360" w:lineRule="auto"/>
            </w:pPr>
            <w:r>
              <w:rPr>
                <w:rFonts w:hAnsi="仿宋"/>
              </w:rPr>
              <w:t>根据《关于在政府采购活动中查询及使用信用记录有关问题的通知》财库</w:t>
            </w:r>
            <w:r>
              <w:t>[2016]125</w:t>
            </w:r>
            <w:r>
              <w:rPr>
                <w:rFonts w:hAnsi="仿宋"/>
              </w:rPr>
              <w:t>号的规定：</w:t>
            </w:r>
          </w:p>
          <w:p w14:paraId="1DA77146">
            <w:pPr>
              <w:wordWrap w:val="0"/>
              <w:spacing w:line="360" w:lineRule="auto"/>
            </w:pPr>
            <w:r>
              <w:t>1</w:t>
            </w:r>
            <w:r>
              <w:rPr>
                <w:rFonts w:hAnsi="仿宋"/>
              </w:rPr>
              <w:t>）采购人或采购代理机构将对本项目投标人的信用记录进行查询。查询渠道为信用中国网站（</w:t>
            </w:r>
            <w:r>
              <w:t>www.creditchina.gov.cn</w:t>
            </w:r>
            <w:r>
              <w:rPr>
                <w:rFonts w:hAnsi="仿宋"/>
              </w:rPr>
              <w:t>）、中国政府采购网（</w:t>
            </w:r>
            <w:r>
              <w:t>www.ccgp.gov.cn</w:t>
            </w:r>
            <w:r>
              <w:rPr>
                <w:rFonts w:hAnsi="仿宋"/>
              </w:rPr>
              <w:t>）；</w:t>
            </w:r>
          </w:p>
          <w:p w14:paraId="21C682B9">
            <w:pPr>
              <w:spacing w:line="360" w:lineRule="auto"/>
            </w:pPr>
            <w:r>
              <w:t>2</w:t>
            </w:r>
            <w:r>
              <w:rPr>
                <w:rFonts w:hAnsi="仿宋"/>
              </w:rPr>
              <w:t>）截止时点：提交投标文件截止时间前</w:t>
            </w:r>
            <w:r>
              <w:t>3</w:t>
            </w:r>
            <w:r>
              <w:rPr>
                <w:rFonts w:hAnsi="仿宋"/>
              </w:rPr>
              <w:t>年内；</w:t>
            </w:r>
          </w:p>
          <w:p w14:paraId="11CCBFAB">
            <w:pPr>
              <w:spacing w:line="360" w:lineRule="auto"/>
            </w:pPr>
            <w:r>
              <w:t>3</w:t>
            </w:r>
            <w:r>
              <w:rPr>
                <w:rFonts w:hAnsi="仿宋"/>
              </w:rPr>
              <w:t>）查询记录和证据的留存：信用信息查询记录和证据以网页截图等方式留存。</w:t>
            </w:r>
          </w:p>
          <w:p w14:paraId="00EF9240">
            <w:pPr>
              <w:spacing w:line="360" w:lineRule="auto"/>
            </w:pPr>
            <w:r>
              <w:t>4</w:t>
            </w:r>
            <w:r>
              <w:rPr>
                <w:rFonts w:hAnsi="仿宋"/>
              </w:rPr>
              <w:t>）使用规则：被列入失信被执行人、重大税收违法案件当事人名单、政府采购严重违法失信行为记录名单及其它不符合《中华人民共和国政府采购法》第二十二条规定条件的，其投标将被拒绝。</w:t>
            </w:r>
          </w:p>
          <w:p w14:paraId="35A8EF55">
            <w:pPr>
              <w:spacing w:line="360" w:lineRule="auto"/>
            </w:pPr>
            <w:r>
              <w:t>5</w:t>
            </w:r>
            <w:r>
              <w:rPr>
                <w:rFonts w:hAnsi="仿宋"/>
              </w:rPr>
              <w:t>）联合体成员任意一方存在不良信用记录的，视同联合体存在不良信用记录。</w:t>
            </w:r>
          </w:p>
        </w:tc>
      </w:tr>
      <w:tr w14:paraId="70C05B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2265A875">
            <w:pPr>
              <w:snapToGrid w:val="0"/>
              <w:jc w:val="center"/>
            </w:pPr>
          </w:p>
          <w:p w14:paraId="4E290A20">
            <w:pPr>
              <w:snapToGrid w:val="0"/>
              <w:jc w:val="center"/>
            </w:pPr>
            <w: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6E06FDF">
            <w:pPr>
              <w:snapToGrid w:val="0"/>
              <w:spacing w:line="360" w:lineRule="auto"/>
              <w:jc w:val="center"/>
              <w:rPr>
                <w:b/>
              </w:rPr>
            </w:pPr>
            <w:r>
              <w:rPr>
                <w:rFonts w:hAnsi="仿宋"/>
                <w:b/>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7AE957F7">
            <w:pPr>
              <w:spacing w:line="360" w:lineRule="auto"/>
            </w:pPr>
            <w:r>
              <w:rPr>
                <w:rFonts w:hAnsi="仿宋"/>
              </w:rPr>
              <w:t>一、说明</w:t>
            </w:r>
          </w:p>
          <w:p w14:paraId="74E6DFF6">
            <w:pPr>
              <w:spacing w:line="360" w:lineRule="auto"/>
            </w:pPr>
            <w:r>
              <w:t>1</w:t>
            </w:r>
            <w:r>
              <w:rPr>
                <w:rFonts w:hAnsi="仿宋"/>
              </w:rPr>
              <w:t>、企业类型</w:t>
            </w:r>
          </w:p>
          <w:p w14:paraId="32920DBD">
            <w:pPr>
              <w:spacing w:line="360" w:lineRule="auto"/>
              <w:rPr>
                <w:rFonts w:hAnsi="仿宋"/>
                <w:b/>
                <w:bCs/>
                <w:u w:val="single"/>
              </w:rPr>
            </w:pPr>
            <w:r>
              <w:rPr>
                <w:rFonts w:hAnsi="仿宋"/>
                <w:b/>
                <w:bCs/>
              </w:rPr>
              <w:t>（</w:t>
            </w:r>
            <w:r>
              <w:rPr>
                <w:b/>
                <w:bCs/>
              </w:rPr>
              <w:t>1</w:t>
            </w:r>
            <w:r>
              <w:rPr>
                <w:rFonts w:hAnsi="仿宋"/>
                <w:b/>
                <w:bCs/>
              </w:rPr>
              <w:t>）本项目所属行业为：</w:t>
            </w:r>
            <w:r>
              <w:rPr>
                <w:rFonts w:hAnsi="仿宋"/>
                <w:b/>
                <w:bCs/>
                <w:u w:val="single"/>
              </w:rPr>
              <w:t>工业，货物由中小企业制造，即货物由中小企业生产且使用该中小企业商号或者注册商标</w:t>
            </w:r>
            <w:r>
              <w:rPr>
                <w:rFonts w:hint="eastAsia" w:hAnsi="仿宋"/>
                <w:b/>
                <w:bCs/>
                <w:u w:val="single"/>
              </w:rPr>
              <w:t>。</w:t>
            </w:r>
          </w:p>
          <w:p w14:paraId="3BC3A9AD">
            <w:pPr>
              <w:spacing w:line="360" w:lineRule="auto"/>
              <w:rPr>
                <w:b/>
                <w:bCs/>
                <w:u w:val="single"/>
              </w:rPr>
            </w:pPr>
            <w:r>
              <w:rPr>
                <w:rFonts w:hint="eastAsia" w:ascii="仿宋" w:hAnsi="仿宋" w:cs="仿宋"/>
                <w:b/>
                <w:bCs/>
              </w:rPr>
              <w:t>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90C7E30">
            <w:pPr>
              <w:spacing w:line="360" w:lineRule="auto"/>
            </w:pPr>
            <w:r>
              <w:rPr>
                <w:rFonts w:hAnsi="仿宋"/>
              </w:rPr>
              <w:t>（</w:t>
            </w:r>
            <w:r>
              <w:t>2</w:t>
            </w:r>
            <w:r>
              <w:rPr>
                <w:rFonts w:hAnsi="仿宋"/>
              </w:rPr>
              <w:t>）中小企业</w:t>
            </w:r>
          </w:p>
          <w:p w14:paraId="15691492">
            <w:pPr>
              <w:spacing w:line="360" w:lineRule="auto"/>
            </w:pPr>
            <w:r>
              <w:rPr>
                <w:rFonts w:hAnsi="仿宋"/>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BD69A7F">
            <w:pPr>
              <w:spacing w:line="360" w:lineRule="auto"/>
            </w:pPr>
            <w:r>
              <w:rPr>
                <w:rFonts w:hAnsi="仿宋"/>
              </w:rPr>
              <w:t>在服务采购项目中，服务由中小企业承接，即提供服务的人员为中小企业依照《中华人民共和国劳动合同法》订立劳动合同的从业人员。可享受相关中小企业扶持政策。</w:t>
            </w:r>
          </w:p>
          <w:p w14:paraId="4C828688">
            <w:pPr>
              <w:spacing w:line="360" w:lineRule="auto"/>
            </w:pPr>
            <w:r>
              <w:rPr>
                <w:rFonts w:hAnsi="仿宋"/>
              </w:rPr>
              <w:t>以联合体形式参加政府采购活动，联合体各方均为中小企业的，联合体视同中小企业。其中，联合体各方均为小微企业的，联合体视同小微企业。</w:t>
            </w:r>
          </w:p>
          <w:p w14:paraId="3F90F6BB">
            <w:pPr>
              <w:spacing w:line="360" w:lineRule="auto"/>
            </w:pPr>
            <w:r>
              <w:rPr>
                <w:rFonts w:hAnsi="仿宋"/>
              </w:rPr>
              <w:t>投标文件中须出具《政府采购促进中小企业发展管理办法》【财库（</w:t>
            </w:r>
            <w:r>
              <w:t>2020</w:t>
            </w:r>
            <w:r>
              <w:rPr>
                <w:rFonts w:hAnsi="仿宋"/>
              </w:rPr>
              <w:t>）</w:t>
            </w:r>
            <w:r>
              <w:t xml:space="preserve">46 </w:t>
            </w:r>
            <w:r>
              <w:rPr>
                <w:rFonts w:hAnsi="仿宋"/>
              </w:rPr>
              <w:t>号】规定的《中小企业声明函》，否则不得享受价格扣除。</w:t>
            </w:r>
          </w:p>
          <w:p w14:paraId="4874E294">
            <w:pPr>
              <w:spacing w:line="360" w:lineRule="auto"/>
            </w:pPr>
            <w:r>
              <w:rPr>
                <w:rFonts w:hAnsi="仿宋"/>
              </w:rPr>
              <w:t>（</w:t>
            </w:r>
            <w:r>
              <w:t>3</w:t>
            </w:r>
            <w:r>
              <w:rPr>
                <w:rFonts w:hAnsi="仿宋"/>
              </w:rPr>
              <w:t>）残疾人福利性单位</w:t>
            </w:r>
          </w:p>
          <w:p w14:paraId="18F34DE3">
            <w:pPr>
              <w:spacing w:line="360" w:lineRule="auto"/>
            </w:pPr>
            <w:r>
              <w:rPr>
                <w:rFonts w:hAnsi="仿宋"/>
              </w:rPr>
              <w:t>符合《关于促进残疾人就业政府采购政策的通知》（财库〔</w:t>
            </w:r>
            <w:r>
              <w:t>2017</w:t>
            </w:r>
            <w:r>
              <w:rPr>
                <w:rFonts w:hAnsi="仿宋"/>
              </w:rPr>
              <w:t>〕</w:t>
            </w:r>
            <w:r>
              <w:t xml:space="preserve">141 </w:t>
            </w:r>
            <w:r>
              <w:rPr>
                <w:rFonts w:hAnsi="仿宋"/>
              </w:rPr>
              <w:t>号）规定的条件并提供《残疾人福利性单位声明函》的残疾人福利性单位视同小型、微型企业；</w:t>
            </w:r>
          </w:p>
          <w:p w14:paraId="3DAC643F">
            <w:pPr>
              <w:spacing w:line="360" w:lineRule="auto"/>
            </w:pPr>
            <w:r>
              <w:rPr>
                <w:rFonts w:hAnsi="仿宋"/>
              </w:rPr>
              <w:t>（</w:t>
            </w:r>
            <w:r>
              <w:t>4</w:t>
            </w:r>
            <w:r>
              <w:rPr>
                <w:rFonts w:hAnsi="仿宋"/>
              </w:rPr>
              <w:t>）监狱企业</w:t>
            </w:r>
          </w:p>
          <w:p w14:paraId="61D2E31A">
            <w:pPr>
              <w:spacing w:line="360" w:lineRule="auto"/>
            </w:pPr>
            <w:r>
              <w:rPr>
                <w:rFonts w:hAnsi="仿宋"/>
              </w:rPr>
              <w:t>根据《关于政府采购支持监狱企业发展有关问题的通知》（财库</w:t>
            </w:r>
            <w:r>
              <w:t xml:space="preserve">[2014]68 </w:t>
            </w:r>
            <w:r>
              <w:rPr>
                <w:rFonts w:hAnsi="仿宋"/>
              </w:rPr>
              <w:t>号）的规定，投标人提供由省级以上监狱管理局、戒毒管理局（含新疆生产建设兵团）出具的属于监狱企业证明文件的，视同为小型和微型企业。</w:t>
            </w:r>
          </w:p>
          <w:p w14:paraId="1F0000F0">
            <w:pPr>
              <w:spacing w:line="360" w:lineRule="auto"/>
              <w:rPr>
                <w:b/>
                <w:bCs/>
              </w:rPr>
            </w:pPr>
            <w:r>
              <w:rPr>
                <w:rFonts w:hAnsi="仿宋"/>
                <w:b/>
                <w:bCs/>
              </w:rPr>
              <w:t>二、针对本项目的相关规定</w:t>
            </w:r>
          </w:p>
          <w:p w14:paraId="462671C4">
            <w:pPr>
              <w:spacing w:line="360" w:lineRule="auto"/>
            </w:pPr>
            <w:r>
              <w:rPr>
                <w:rFonts w:hint="eastAsia"/>
                <w:b w:val="0"/>
                <w:bCs w:val="0"/>
                <w:lang w:val="en-US" w:eastAsia="zh-CN"/>
              </w:rPr>
              <w:t>1、</w:t>
            </w:r>
            <w:r>
              <w:rPr>
                <w:rFonts w:hint="eastAsia"/>
                <w:b w:val="0"/>
                <w:bCs w:val="0"/>
              </w:rPr>
              <w:t>根据财库〔2020〕46号，〔</w:t>
            </w:r>
            <w:r>
              <w:rPr>
                <w:b w:val="0"/>
                <w:bCs w:val="0"/>
              </w:rPr>
              <w:t>2022〕19</w:t>
            </w:r>
            <w:r>
              <w:rPr>
                <w:rFonts w:hint="eastAsia"/>
                <w:b w:val="0"/>
                <w:bCs w:val="0"/>
              </w:rPr>
              <w:t>号的相关规定，在评审时对符合本办法规定的小微企业报价给予</w:t>
            </w:r>
            <w:r>
              <w:rPr>
                <w:rFonts w:hint="eastAsia"/>
                <w:b w:val="0"/>
                <w:bCs w:val="0"/>
                <w:u w:val="single"/>
              </w:rPr>
              <w:t xml:space="preserve"> </w:t>
            </w:r>
            <w:r>
              <w:rPr>
                <w:rFonts w:hint="eastAsia"/>
                <w:b w:val="0"/>
                <w:bCs w:val="0"/>
                <w:u w:val="single"/>
                <w:lang w:val="en-US" w:eastAsia="zh-CN"/>
              </w:rPr>
              <w:t>10%</w:t>
            </w:r>
            <w:r>
              <w:rPr>
                <w:rFonts w:hint="eastAsia"/>
                <w:b w:val="0"/>
                <w:bCs w:val="0"/>
              </w:rPr>
              <w:t xml:space="preserve"> 的扣除，取扣除后的价格作为最终投标报价（此最终投标报价仅作为价格分计算）。中小企业参加政府采购活动，应当出具本办法规定的《中小企业声明函》，否则不得享受相关中小企业扶持政策。</w:t>
            </w:r>
          </w:p>
        </w:tc>
      </w:tr>
      <w:tr w14:paraId="2D3899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15D84D80">
            <w:pPr>
              <w:snapToGrid w:val="0"/>
              <w:spacing w:line="360" w:lineRule="auto"/>
              <w:jc w:val="center"/>
            </w:pPr>
            <w: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214B1C3">
            <w:pPr>
              <w:snapToGrid w:val="0"/>
              <w:spacing w:line="360" w:lineRule="auto"/>
              <w:jc w:val="center"/>
              <w:rPr>
                <w:b/>
              </w:rPr>
            </w:pPr>
            <w:r>
              <w:rPr>
                <w:rFonts w:hAnsi="仿宋"/>
                <w:b/>
              </w:rPr>
              <w:t>联合体</w:t>
            </w:r>
          </w:p>
        </w:tc>
        <w:tc>
          <w:tcPr>
            <w:tcW w:w="6095" w:type="dxa"/>
            <w:tcBorders>
              <w:top w:val="single" w:color="000000" w:sz="8" w:space="0"/>
              <w:left w:val="single" w:color="000000" w:sz="2" w:space="0"/>
              <w:bottom w:val="single" w:color="000000" w:sz="8" w:space="0"/>
              <w:right w:val="single" w:color="000000" w:sz="8" w:space="0"/>
            </w:tcBorders>
            <w:vAlign w:val="center"/>
          </w:tcPr>
          <w:p w14:paraId="16991DD2">
            <w:pPr>
              <w:widowControl/>
              <w:spacing w:line="360" w:lineRule="auto"/>
              <w:jc w:val="left"/>
            </w:pPr>
            <w:r>
              <w:rPr>
                <w:rFonts w:hAnsi="仿宋"/>
              </w:rPr>
              <w:t>本项目接受联合体。</w:t>
            </w:r>
          </w:p>
          <w:p w14:paraId="4D5D18D5">
            <w:pPr>
              <w:widowControl/>
              <w:spacing w:line="360" w:lineRule="auto"/>
              <w:jc w:val="left"/>
            </w:pPr>
            <w:r>
              <w:t>1.</w:t>
            </w:r>
            <w:r>
              <w:rPr>
                <w:rFonts w:hAnsi="仿宋"/>
              </w:rPr>
              <w:t>以联合体形式参加本项目采购的，联合体的主办单位和成员单位均应当具备招标文件规定的条件，并在投标文件中分别提供联合体的主办单位及成员单位的资格条件证明材料，在投标文件中提交联合体协议。</w:t>
            </w:r>
          </w:p>
          <w:p w14:paraId="14DB2153">
            <w:pPr>
              <w:widowControl/>
              <w:spacing w:line="360" w:lineRule="auto"/>
              <w:jc w:val="left"/>
            </w:pPr>
            <w:r>
              <w:t>2.</w:t>
            </w:r>
            <w:r>
              <w:rPr>
                <w:rFonts w:hAnsi="仿宋"/>
              </w:rPr>
              <w:t>以联合体形式参加采购活动的，应当在投标文件中提交由所有联合体成员各方盖章的联合体协议。联合体协议应载明联合体各方承担的工作和义务；联合体协议应当指定主办单位，授权其代表所有联合体各成员方，具体负责参与项目采购响应和合同实施阶段的主办、协调工作；联合体协议中应当载明由联合体各成员方共同与采购人签订合同，并就采购合同约定的事项对采购人承担连带责任。</w:t>
            </w:r>
          </w:p>
          <w:p w14:paraId="731BD8D1">
            <w:pPr>
              <w:widowControl/>
              <w:spacing w:line="360" w:lineRule="auto"/>
              <w:jc w:val="left"/>
            </w:pPr>
            <w:r>
              <w:t>3.</w:t>
            </w:r>
            <w:r>
              <w:rPr>
                <w:rFonts w:hAnsi="仿宋"/>
              </w:rPr>
              <w:t>投标文件的报价表中应列明联合体各成员方的各自承担的内容及对应报价。</w:t>
            </w:r>
          </w:p>
          <w:p w14:paraId="2AC93160">
            <w:pPr>
              <w:widowControl/>
              <w:spacing w:line="360" w:lineRule="auto"/>
              <w:jc w:val="left"/>
            </w:pPr>
            <w:r>
              <w:rPr>
                <w:rFonts w:hint="eastAsia"/>
                <w:lang w:val="en-US" w:eastAsia="zh-CN"/>
              </w:rPr>
              <w:t>4</w:t>
            </w:r>
            <w:r>
              <w:t>.</w:t>
            </w:r>
            <w:r>
              <w:rPr>
                <w:rFonts w:hAnsi="仿宋"/>
              </w:rPr>
              <w:t>投标文件盖章事宜，按联合体协议约定由主办单位盖章，也可由联合体所有成员单位盖章。联合体成交的，本项目的采购代理服务费由联合体主办单位缴纳。</w:t>
            </w:r>
          </w:p>
          <w:p w14:paraId="2386AFFC">
            <w:pPr>
              <w:widowControl/>
              <w:spacing w:line="360" w:lineRule="auto"/>
              <w:jc w:val="left"/>
            </w:pPr>
            <w:r>
              <w:rPr>
                <w:rFonts w:hint="eastAsia"/>
                <w:lang w:val="en-US" w:eastAsia="zh-CN"/>
              </w:rPr>
              <w:t>5</w:t>
            </w:r>
            <w:r>
              <w:t>.</w:t>
            </w:r>
            <w:r>
              <w:rPr>
                <w:rFonts w:hAnsi="仿宋"/>
              </w:rPr>
              <w:t>联合体协议中仅约定由联合体主办单位或成员单位中某一方与采购人签订合同的，或联合体协议中仅约定由联合体主办单位或成员单位中某一方就采购合同约定的事项对采购人承担责任的，视为联合体协议不成立，该联合体的投标文件将被作无效处理。</w:t>
            </w:r>
          </w:p>
        </w:tc>
      </w:tr>
      <w:tr w14:paraId="5F04FB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04EF51AE">
            <w:pPr>
              <w:snapToGrid w:val="0"/>
              <w:spacing w:line="360" w:lineRule="auto"/>
              <w:jc w:val="center"/>
            </w:pPr>
          </w:p>
          <w:p w14:paraId="6FF3521A">
            <w:pPr>
              <w:snapToGrid w:val="0"/>
              <w:spacing w:line="360" w:lineRule="auto"/>
              <w:jc w:val="center"/>
            </w:pPr>
            <w: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3A1F9946">
            <w:pPr>
              <w:snapToGrid w:val="0"/>
              <w:spacing w:line="360" w:lineRule="auto"/>
              <w:jc w:val="center"/>
              <w:rPr>
                <w:b/>
              </w:rPr>
            </w:pPr>
            <w:r>
              <w:rPr>
                <w:rFonts w:hAnsi="仿宋"/>
                <w:b/>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0E471E6">
            <w:pPr>
              <w:spacing w:line="360" w:lineRule="auto"/>
            </w:pPr>
            <w:r>
              <w:rPr>
                <w:rFonts w:hAnsi="仿宋"/>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1D05C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000000" w:sz="8" w:space="0"/>
              <w:right w:val="single" w:color="000000" w:sz="2" w:space="0"/>
            </w:tcBorders>
            <w:vAlign w:val="center"/>
          </w:tcPr>
          <w:p w14:paraId="3B6FDF97">
            <w:pPr>
              <w:snapToGrid w:val="0"/>
              <w:spacing w:line="360" w:lineRule="auto"/>
              <w:jc w:val="center"/>
            </w:pPr>
          </w:p>
          <w:p w14:paraId="5E515714">
            <w:pPr>
              <w:snapToGrid w:val="0"/>
              <w:spacing w:line="360" w:lineRule="auto"/>
              <w:jc w:val="center"/>
            </w:pPr>
            <w:r>
              <w:t>12</w:t>
            </w:r>
          </w:p>
        </w:tc>
        <w:tc>
          <w:tcPr>
            <w:tcW w:w="1843" w:type="dxa"/>
            <w:vMerge w:val="restart"/>
            <w:tcBorders>
              <w:top w:val="single" w:color="000000" w:sz="8" w:space="0"/>
              <w:left w:val="single" w:color="000000" w:sz="2" w:space="0"/>
              <w:right w:val="single" w:color="000000" w:sz="8" w:space="0"/>
            </w:tcBorders>
            <w:vAlign w:val="center"/>
          </w:tcPr>
          <w:p w14:paraId="39CF1A0B">
            <w:pPr>
              <w:snapToGrid w:val="0"/>
              <w:spacing w:line="360" w:lineRule="auto"/>
              <w:jc w:val="center"/>
              <w:rPr>
                <w:b/>
              </w:rPr>
            </w:pPr>
            <w:r>
              <w:rPr>
                <w:rFonts w:hAnsi="仿宋"/>
                <w:b/>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15AF94CE">
            <w:pPr>
              <w:spacing w:line="360" w:lineRule="auto"/>
            </w:pPr>
            <w:r>
              <w:rPr>
                <w:rFonts w:hAnsi="仿宋"/>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w:t>
            </w:r>
            <w:r>
              <w:t>“</w:t>
            </w:r>
            <w:r>
              <w:rPr>
                <w:rFonts w:hAnsi="仿宋"/>
              </w:rPr>
              <w:t>中小企业信用融资</w:t>
            </w:r>
            <w:r>
              <w:t>”</w:t>
            </w:r>
            <w:r>
              <w:rPr>
                <w:rFonts w:hAnsi="仿宋"/>
              </w:rPr>
              <w:t>模块，查看信用融资政策文件及各相关银行服务方案。</w:t>
            </w:r>
          </w:p>
        </w:tc>
      </w:tr>
      <w:tr w14:paraId="2E7E7A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000000" w:sz="8" w:space="0"/>
              <w:right w:val="single" w:color="000000" w:sz="2" w:space="0"/>
            </w:tcBorders>
            <w:vAlign w:val="center"/>
          </w:tcPr>
          <w:p w14:paraId="6E3222BF">
            <w:pPr>
              <w:spacing w:line="360" w:lineRule="auto"/>
              <w:ind w:firstLine="480" w:firstLineChars="200"/>
              <w:jc w:val="center"/>
            </w:pPr>
          </w:p>
        </w:tc>
        <w:tc>
          <w:tcPr>
            <w:tcW w:w="1843" w:type="dxa"/>
            <w:vMerge w:val="continue"/>
            <w:tcBorders>
              <w:left w:val="single" w:color="000000" w:sz="2" w:space="0"/>
              <w:right w:val="single" w:color="000000" w:sz="8" w:space="0"/>
            </w:tcBorders>
            <w:vAlign w:val="center"/>
          </w:tcPr>
          <w:p w14:paraId="66330B1E">
            <w:pPr>
              <w:spacing w:line="360" w:lineRule="auto"/>
              <w:ind w:firstLine="480" w:firstLineChars="200"/>
            </w:pPr>
          </w:p>
        </w:tc>
        <w:tc>
          <w:tcPr>
            <w:tcW w:w="6095" w:type="dxa"/>
            <w:tcBorders>
              <w:top w:val="single" w:color="000000" w:sz="8" w:space="0"/>
              <w:left w:val="single" w:color="000000" w:sz="2" w:space="0"/>
              <w:bottom w:val="single" w:color="000000" w:sz="8" w:space="0"/>
              <w:right w:val="single" w:color="000000" w:sz="8" w:space="0"/>
            </w:tcBorders>
            <w:vAlign w:val="center"/>
          </w:tcPr>
          <w:p w14:paraId="08A55E01">
            <w:pPr>
              <w:spacing w:line="360" w:lineRule="auto"/>
            </w:pPr>
            <w:r>
              <w:rPr>
                <w:rFonts w:hAnsi="仿宋"/>
              </w:rPr>
              <w:t>供应商中标后也可在</w:t>
            </w:r>
            <w:r>
              <w:t>“</w:t>
            </w:r>
            <w:r>
              <w:rPr>
                <w:rFonts w:hAnsi="仿宋"/>
              </w:rPr>
              <w:t>政采云</w:t>
            </w:r>
            <w:r>
              <w:t>”</w:t>
            </w:r>
            <w:r>
              <w:rPr>
                <w:rFonts w:hAnsi="仿宋"/>
              </w:rPr>
              <w:t>平台申请政采贷：操作路径：登录政采云平台</w:t>
            </w:r>
            <w:r>
              <w:t xml:space="preserve"> - </w:t>
            </w:r>
            <w:r>
              <w:rPr>
                <w:rFonts w:hAnsi="仿宋"/>
              </w:rPr>
              <w:t>金融服务中心</w:t>
            </w:r>
            <w:r>
              <w:t xml:space="preserve"> -</w:t>
            </w:r>
            <w:r>
              <w:rPr>
                <w:rFonts w:hAnsi="仿宋"/>
              </w:rPr>
              <w:t>【融资服务】，可在热门申请中选择产品直接申请，也可点击云智贷匹配适合产品进行申请，或者在可申请项目中根据该项目进行申请。</w:t>
            </w:r>
          </w:p>
        </w:tc>
      </w:tr>
      <w:tr w14:paraId="350CC7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46BA5B29">
            <w:pPr>
              <w:snapToGrid w:val="0"/>
              <w:spacing w:line="360" w:lineRule="auto"/>
              <w:jc w:val="center"/>
            </w:pPr>
            <w: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4C15CB34">
            <w:pPr>
              <w:snapToGrid w:val="0"/>
              <w:spacing w:line="360" w:lineRule="auto"/>
              <w:jc w:val="center"/>
              <w:rPr>
                <w:b/>
              </w:rPr>
            </w:pPr>
            <w:r>
              <w:rPr>
                <w:rFonts w:hAnsi="仿宋"/>
                <w:b/>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311B7737">
            <w:pPr>
              <w:spacing w:line="360" w:lineRule="auto"/>
            </w:pPr>
            <w:r>
              <w:rPr>
                <w:rFonts w:hAnsi="仿宋"/>
              </w:rPr>
              <w:t>如认为需要，投标人可以选择递交备份投标文件，以</w:t>
            </w:r>
            <w:r>
              <w:t>U</w:t>
            </w:r>
            <w:r>
              <w:rPr>
                <w:rFonts w:hAnsi="仿宋"/>
              </w:rPr>
              <w:t>盘形式存储，并在投标截止时间前，通过邮寄方式，送达指定地点，</w:t>
            </w:r>
            <w:r>
              <w:rPr>
                <w:rFonts w:hAnsi="仿宋"/>
                <w:b/>
                <w:bCs/>
              </w:rPr>
              <w:t>逾期送达或未密封</w:t>
            </w:r>
            <w:r>
              <w:rPr>
                <w:rFonts w:hAnsi="仿宋"/>
              </w:rPr>
              <w:t>将被拒收。</w:t>
            </w:r>
          </w:p>
          <w:p w14:paraId="14EBB011">
            <w:pPr>
              <w:spacing w:line="360" w:lineRule="auto"/>
            </w:pPr>
            <w:r>
              <w:rPr>
                <w:rFonts w:hAnsi="仿宋"/>
              </w:rPr>
              <w:t>备份投标文件及视频资料送达地点：杭州市西湖区宝石一路</w:t>
            </w:r>
            <w:r>
              <w:t>3-1</w:t>
            </w:r>
            <w:r>
              <w:rPr>
                <w:rFonts w:hAnsi="仿宋"/>
              </w:rPr>
              <w:t>号。</w:t>
            </w:r>
          </w:p>
          <w:p w14:paraId="24E3C657">
            <w:pPr>
              <w:spacing w:line="360" w:lineRule="auto"/>
            </w:pPr>
            <w:r>
              <w:rPr>
                <w:rFonts w:hAnsi="仿宋"/>
              </w:rPr>
              <w:t>签收人员联系电话：田康迪</w:t>
            </w:r>
            <w:r>
              <w:t xml:space="preserve"> 17826892991</w:t>
            </w:r>
            <w:r>
              <w:rPr>
                <w:rFonts w:hAnsi="仿宋"/>
              </w:rPr>
              <w:t>。</w:t>
            </w:r>
          </w:p>
          <w:p w14:paraId="747F3561">
            <w:pPr>
              <w:spacing w:line="360" w:lineRule="auto"/>
            </w:pPr>
            <w:r>
              <w:rPr>
                <w:rFonts w:hAnsi="仿宋"/>
                <w:b/>
                <w:bCs/>
              </w:rPr>
              <w:t>特别说明：双休日和法定节假日不收件，投标人自行承担邮寄风险。</w:t>
            </w:r>
          </w:p>
        </w:tc>
      </w:tr>
      <w:tr w14:paraId="7C288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11E6668D">
            <w:pPr>
              <w:snapToGrid w:val="0"/>
              <w:spacing w:line="360" w:lineRule="auto"/>
              <w:jc w:val="center"/>
            </w:pPr>
            <w: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6382B7F3">
            <w:pPr>
              <w:snapToGrid w:val="0"/>
              <w:spacing w:line="360" w:lineRule="auto"/>
              <w:jc w:val="center"/>
              <w:rPr>
                <w:b/>
              </w:rPr>
            </w:pPr>
            <w:r>
              <w:rPr>
                <w:rFonts w:hAnsi="仿宋"/>
                <w:b/>
              </w:rPr>
              <w:t>投标有效期</w:t>
            </w:r>
          </w:p>
        </w:tc>
        <w:tc>
          <w:tcPr>
            <w:tcW w:w="6095" w:type="dxa"/>
            <w:tcBorders>
              <w:top w:val="single" w:color="000000" w:sz="8" w:space="0"/>
              <w:left w:val="single" w:color="000000" w:sz="2" w:space="0"/>
              <w:bottom w:val="single" w:color="000000" w:sz="8" w:space="0"/>
              <w:right w:val="single" w:color="000000" w:sz="8" w:space="0"/>
            </w:tcBorders>
            <w:vAlign w:val="center"/>
          </w:tcPr>
          <w:p w14:paraId="626702AA">
            <w:pPr>
              <w:spacing w:line="360" w:lineRule="auto"/>
            </w:pPr>
            <w:r>
              <w:t>▲</w:t>
            </w:r>
            <w:r>
              <w:rPr>
                <w:rFonts w:hAnsi="仿宋"/>
              </w:rPr>
              <w:t>从提交投标文件的截止之日起</w:t>
            </w:r>
            <w:r>
              <w:t>90</w:t>
            </w:r>
            <w:r>
              <w:rPr>
                <w:rFonts w:hAnsi="仿宋"/>
              </w:rPr>
              <w:t>天，在原投标有效期满之前，如果出现特殊情况，采购人或采购代理机构以书面形式通知投标人延长投标有效期。</w:t>
            </w:r>
          </w:p>
        </w:tc>
      </w:tr>
      <w:tr w14:paraId="2E5FF0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38"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BC313CB">
            <w:pPr>
              <w:snapToGrid w:val="0"/>
              <w:spacing w:line="360" w:lineRule="auto"/>
              <w:jc w:val="center"/>
            </w:pPr>
            <w: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5337B057">
            <w:pPr>
              <w:snapToGrid w:val="0"/>
              <w:spacing w:line="360" w:lineRule="auto"/>
              <w:jc w:val="center"/>
              <w:rPr>
                <w:b/>
              </w:rPr>
            </w:pPr>
            <w:r>
              <w:rPr>
                <w:rFonts w:hAnsi="仿宋"/>
                <w:b/>
              </w:rPr>
              <w:t>评标办法及评分标准</w:t>
            </w:r>
          </w:p>
        </w:tc>
        <w:tc>
          <w:tcPr>
            <w:tcW w:w="6095" w:type="dxa"/>
            <w:tcBorders>
              <w:top w:val="single" w:color="000000" w:sz="8" w:space="0"/>
              <w:left w:val="single" w:color="000000" w:sz="2" w:space="0"/>
              <w:bottom w:val="single" w:color="000000" w:sz="8" w:space="0"/>
              <w:right w:val="single" w:color="000000" w:sz="8" w:space="0"/>
            </w:tcBorders>
            <w:vAlign w:val="center"/>
          </w:tcPr>
          <w:p w14:paraId="580D28B5">
            <w:pPr>
              <w:spacing w:line="360" w:lineRule="auto"/>
            </w:pPr>
            <w:r>
              <w:rPr>
                <w:rFonts w:hAnsi="仿宋"/>
              </w:rPr>
              <w:t>详见</w:t>
            </w:r>
            <w:r>
              <w:t>“</w:t>
            </w:r>
            <w:r>
              <w:rPr>
                <w:rFonts w:hAnsi="仿宋"/>
              </w:rPr>
              <w:t>第四章评标办法及评分标准</w:t>
            </w:r>
            <w:r>
              <w:t>”</w:t>
            </w:r>
            <w:r>
              <w:rPr>
                <w:rFonts w:hAnsi="仿宋"/>
              </w:rPr>
              <w:t>。</w:t>
            </w:r>
          </w:p>
        </w:tc>
      </w:tr>
      <w:tr w14:paraId="4DCCB9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83"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00EA5CE">
            <w:pPr>
              <w:spacing w:line="360" w:lineRule="auto"/>
              <w:jc w:val="center"/>
            </w:pPr>
            <w: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255EA3D0">
            <w:pPr>
              <w:spacing w:line="360" w:lineRule="auto"/>
              <w:jc w:val="center"/>
            </w:pPr>
            <w:r>
              <w:rPr>
                <w:rFonts w:hAnsi="仿宋"/>
                <w:b/>
                <w:bCs/>
              </w:rPr>
              <w:t>中标人</w:t>
            </w:r>
          </w:p>
        </w:tc>
        <w:tc>
          <w:tcPr>
            <w:tcW w:w="6095" w:type="dxa"/>
            <w:tcBorders>
              <w:top w:val="single" w:color="000000" w:sz="8" w:space="0"/>
              <w:left w:val="single" w:color="000000" w:sz="2" w:space="0"/>
              <w:bottom w:val="single" w:color="000000" w:sz="8" w:space="0"/>
              <w:right w:val="single" w:color="000000" w:sz="8" w:space="0"/>
            </w:tcBorders>
            <w:vAlign w:val="center"/>
          </w:tcPr>
          <w:p w14:paraId="086EA149">
            <w:pPr>
              <w:spacing w:line="360" w:lineRule="auto"/>
            </w:pPr>
            <w:r>
              <w:rPr>
                <w:rFonts w:hint="eastAsia" w:ascii="仿宋" w:hAnsi="仿宋" w:cs="仿宋"/>
              </w:rPr>
              <w:t>评标委员会按各有效投标人的综合得分从高到低的顺序推荐排名</w:t>
            </w:r>
            <w:r>
              <w:rPr>
                <w:rFonts w:hint="eastAsia" w:ascii="仿宋" w:hAnsi="仿宋" w:cs="仿宋"/>
                <w:lang w:val="en-US" w:eastAsia="zh-CN"/>
              </w:rPr>
              <w:t>第一</w:t>
            </w:r>
            <w:r>
              <w:rPr>
                <w:rFonts w:hint="eastAsia" w:ascii="仿宋" w:hAnsi="仿宋" w:cs="仿宋"/>
              </w:rPr>
              <w:t>的投标人为中标候选人。如中标人因自身原因放弃中标或因不可抗力不能履行合同时，采购人将有权选择排名第</w:t>
            </w:r>
            <w:r>
              <w:rPr>
                <w:rFonts w:hint="eastAsia" w:ascii="仿宋" w:hAnsi="仿宋" w:cs="仿宋"/>
                <w:lang w:val="en-US" w:eastAsia="zh-CN"/>
              </w:rPr>
              <w:t>二</w:t>
            </w:r>
            <w:r>
              <w:rPr>
                <w:rFonts w:hint="eastAsia" w:ascii="仿宋" w:hAnsi="仿宋" w:cs="仿宋"/>
              </w:rPr>
              <w:t>的候选供应商为中标供应商或</w:t>
            </w:r>
            <w:r>
              <w:rPr>
                <w:rFonts w:hint="eastAsia" w:ascii="仿宋" w:hAnsi="仿宋" w:cs="仿宋"/>
                <w:kern w:val="0"/>
              </w:rPr>
              <w:t>由采购人重新开展政府采购活动</w:t>
            </w:r>
            <w:r>
              <w:rPr>
                <w:rFonts w:hint="eastAsia" w:ascii="仿宋" w:hAnsi="仿宋" w:cs="仿宋"/>
              </w:rPr>
              <w:t>。</w:t>
            </w:r>
          </w:p>
        </w:tc>
      </w:tr>
      <w:tr w14:paraId="2813A7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38"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13D0FE91">
            <w:pPr>
              <w:snapToGrid w:val="0"/>
              <w:spacing w:line="360" w:lineRule="auto"/>
              <w:jc w:val="center"/>
            </w:pPr>
            <w:r>
              <w:t>17</w:t>
            </w:r>
          </w:p>
        </w:tc>
        <w:tc>
          <w:tcPr>
            <w:tcW w:w="1843" w:type="dxa"/>
            <w:tcBorders>
              <w:top w:val="single" w:color="000000" w:sz="8" w:space="0"/>
              <w:left w:val="single" w:color="000000" w:sz="2" w:space="0"/>
              <w:bottom w:val="single" w:color="000000" w:sz="8" w:space="0"/>
              <w:right w:val="single" w:color="000000" w:sz="8" w:space="0"/>
            </w:tcBorders>
            <w:vAlign w:val="center"/>
          </w:tcPr>
          <w:p w14:paraId="5FC29836">
            <w:pPr>
              <w:snapToGrid w:val="0"/>
              <w:spacing w:line="360" w:lineRule="auto"/>
              <w:jc w:val="center"/>
              <w:rPr>
                <w:b/>
              </w:rPr>
            </w:pPr>
            <w:r>
              <w:rPr>
                <w:rFonts w:hAnsi="仿宋"/>
                <w:b/>
              </w:rPr>
              <w:t>评标结果公示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6CBB012">
            <w:pPr>
              <w:wordWrap w:val="0"/>
              <w:spacing w:line="360" w:lineRule="auto"/>
            </w:pPr>
            <w:r>
              <w:rPr>
                <w:rFonts w:hAnsi="仿宋"/>
              </w:rPr>
              <w:t>评标结果公示媒体：浙江政府采购网（</w:t>
            </w:r>
            <w:r>
              <w:t>http://zfcg.czt.zj.gov.cn</w:t>
            </w:r>
            <w:r>
              <w:rPr>
                <w:rFonts w:hAnsi="仿宋"/>
              </w:rPr>
              <w:t>）。</w:t>
            </w:r>
          </w:p>
        </w:tc>
      </w:tr>
      <w:tr w14:paraId="531B2D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54A6B7D1">
            <w:pPr>
              <w:snapToGrid w:val="0"/>
              <w:spacing w:line="360" w:lineRule="auto"/>
              <w:jc w:val="center"/>
            </w:pPr>
            <w:r>
              <w:t>18</w:t>
            </w:r>
          </w:p>
        </w:tc>
        <w:tc>
          <w:tcPr>
            <w:tcW w:w="1843" w:type="dxa"/>
            <w:tcBorders>
              <w:top w:val="single" w:color="000000" w:sz="8" w:space="0"/>
              <w:left w:val="single" w:color="000000" w:sz="2" w:space="0"/>
              <w:bottom w:val="single" w:color="000000" w:sz="8" w:space="0"/>
              <w:right w:val="single" w:color="000000" w:sz="8" w:space="0"/>
            </w:tcBorders>
            <w:vAlign w:val="center"/>
          </w:tcPr>
          <w:p w14:paraId="2D510FCB">
            <w:pPr>
              <w:snapToGrid w:val="0"/>
              <w:spacing w:line="360" w:lineRule="auto"/>
              <w:jc w:val="center"/>
              <w:rPr>
                <w:b/>
              </w:rPr>
            </w:pPr>
            <w:r>
              <w:rPr>
                <w:rFonts w:hAnsi="仿宋"/>
                <w:b/>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0C190717">
            <w:pPr>
              <w:spacing w:line="360" w:lineRule="auto"/>
            </w:pPr>
            <w:r>
              <w:t>1.</w:t>
            </w:r>
            <w:r>
              <w:rPr>
                <w:rFonts w:hAnsi="仿宋"/>
              </w:rPr>
              <w:t>本项目代理服务费由中标人支付，代理服务费按计价格</w:t>
            </w:r>
            <w:r>
              <w:t>[2002]1980</w:t>
            </w:r>
            <w:r>
              <w:rPr>
                <w:rFonts w:hAnsi="仿宋"/>
              </w:rPr>
              <w:t>号</w:t>
            </w:r>
            <w:r>
              <w:rPr>
                <w:rFonts w:hint="eastAsia" w:hAnsi="仿宋"/>
                <w:lang w:val="en-US" w:eastAsia="zh-CN"/>
              </w:rPr>
              <w:t>货物</w:t>
            </w:r>
            <w:r>
              <w:rPr>
                <w:rFonts w:hAnsi="仿宋"/>
              </w:rPr>
              <w:t>类收费标准的</w:t>
            </w:r>
            <w:r>
              <w:rPr>
                <w:rFonts w:hint="eastAsia"/>
                <w:lang w:val="en-US" w:eastAsia="zh-CN"/>
              </w:rPr>
              <w:t>7</w:t>
            </w:r>
            <w:r>
              <w:t>0%</w:t>
            </w:r>
            <w:r>
              <w:rPr>
                <w:rFonts w:hAnsi="仿宋"/>
              </w:rPr>
              <w:t>收取，中标人在收到中标通知书的同时向采购代理机构支付。</w:t>
            </w:r>
          </w:p>
          <w:p w14:paraId="0F29077A">
            <w:pPr>
              <w:spacing w:line="360" w:lineRule="auto"/>
            </w:pPr>
            <w:r>
              <w:t>2</w:t>
            </w:r>
            <w:r>
              <w:rPr>
                <w:rFonts w:hAnsi="仿宋"/>
              </w:rPr>
              <w:t>．代理服务费支付：</w:t>
            </w:r>
          </w:p>
          <w:p w14:paraId="3078B1E0">
            <w:pPr>
              <w:spacing w:line="360" w:lineRule="auto"/>
            </w:pPr>
            <w:r>
              <w:rPr>
                <w:rFonts w:hAnsi="仿宋"/>
              </w:rPr>
              <w:t>缴纳形式：转账</w:t>
            </w:r>
            <w:r>
              <w:t>/</w:t>
            </w:r>
            <w:r>
              <w:rPr>
                <w:rFonts w:hAnsi="仿宋"/>
              </w:rPr>
              <w:t>电汇</w:t>
            </w:r>
          </w:p>
          <w:p w14:paraId="504E2457">
            <w:pPr>
              <w:spacing w:line="360" w:lineRule="auto"/>
            </w:pPr>
            <w:r>
              <w:rPr>
                <w:rFonts w:hAnsi="仿宋"/>
              </w:rPr>
              <w:t>收款单位（户名）：浙江省直房地产服务有限公司</w:t>
            </w:r>
          </w:p>
          <w:p w14:paraId="2EB69EBF">
            <w:pPr>
              <w:spacing w:line="360" w:lineRule="auto"/>
            </w:pPr>
            <w:r>
              <w:rPr>
                <w:rFonts w:hAnsi="仿宋"/>
              </w:rPr>
              <w:t>开户银行：杭州银行股份有限公司官巷口支行</w:t>
            </w:r>
          </w:p>
          <w:p w14:paraId="4E73196F">
            <w:pPr>
              <w:spacing w:line="360" w:lineRule="auto"/>
            </w:pPr>
            <w:r>
              <w:rPr>
                <w:rFonts w:hAnsi="仿宋"/>
              </w:rPr>
              <w:t>银行账号：</w:t>
            </w:r>
            <w:r>
              <w:t>3301 0401 6000 9558 480</w:t>
            </w:r>
          </w:p>
          <w:p w14:paraId="2201B2D4">
            <w:pPr>
              <w:spacing w:line="360" w:lineRule="auto"/>
            </w:pPr>
            <w:r>
              <w:t>3</w:t>
            </w:r>
            <w:r>
              <w:rPr>
                <w:rFonts w:hAnsi="仿宋"/>
              </w:rPr>
              <w:t>、增值税发票开票资料（见附件退还投标保证金申请书）：单位名称、税号（统一社会信用代码）、开户行名称、账号、地址及联系电话。</w:t>
            </w:r>
          </w:p>
        </w:tc>
      </w:tr>
    </w:tbl>
    <w:p w14:paraId="221D36DF">
      <w:pPr>
        <w:snapToGrid w:val="0"/>
        <w:spacing w:line="360" w:lineRule="auto"/>
        <w:jc w:val="center"/>
        <w:rPr>
          <w:b/>
          <w:sz w:val="32"/>
          <w:szCs w:val="20"/>
        </w:rPr>
      </w:pPr>
    </w:p>
    <w:bookmarkEnd w:id="8"/>
    <w:p w14:paraId="7CCAAA49">
      <w:pPr>
        <w:pageBreakBefore/>
        <w:adjustRightInd/>
        <w:spacing w:line="360" w:lineRule="auto"/>
        <w:ind w:firstLine="3845" w:firstLineChars="1197"/>
        <w:outlineLvl w:val="0"/>
        <w:rPr>
          <w:b/>
          <w:sz w:val="32"/>
          <w:szCs w:val="20"/>
        </w:rPr>
      </w:pPr>
      <w:bookmarkStart w:id="9" w:name="第三部分"/>
      <w:bookmarkStart w:id="10" w:name="_Toc164416483"/>
      <w:r>
        <w:rPr>
          <w:rFonts w:hAnsi="仿宋"/>
          <w:b/>
          <w:sz w:val="32"/>
          <w:szCs w:val="20"/>
        </w:rPr>
        <w:t>一、总则</w:t>
      </w:r>
    </w:p>
    <w:p w14:paraId="37DD650E">
      <w:pPr>
        <w:snapToGrid w:val="0"/>
        <w:spacing w:line="360" w:lineRule="auto"/>
        <w:ind w:firstLine="361" w:firstLineChars="150"/>
        <w:jc w:val="left"/>
        <w:outlineLvl w:val="1"/>
        <w:rPr>
          <w:b/>
        </w:rPr>
      </w:pPr>
      <w:r>
        <w:rPr>
          <w:b/>
        </w:rPr>
        <w:t xml:space="preserve">1. </w:t>
      </w:r>
      <w:r>
        <w:rPr>
          <w:rFonts w:hAnsi="仿宋"/>
          <w:b/>
        </w:rPr>
        <w:t>适用范围</w:t>
      </w:r>
    </w:p>
    <w:p w14:paraId="5798477A">
      <w:pPr>
        <w:snapToGrid w:val="0"/>
        <w:spacing w:line="360" w:lineRule="auto"/>
        <w:ind w:firstLine="480" w:firstLineChars="200"/>
        <w:jc w:val="left"/>
      </w:pPr>
      <w:r>
        <w:rPr>
          <w:rFonts w:hAnsi="仿宋"/>
        </w:rPr>
        <w:t>本招标文件适用于该项目的招标、投标、开标、资格审查及信用信息查询、评标、定标、合同、验收等行为（法律、法规另有规定的，从其规定）。</w:t>
      </w:r>
    </w:p>
    <w:p w14:paraId="34DD2050">
      <w:pPr>
        <w:adjustRightInd/>
        <w:spacing w:line="360" w:lineRule="auto"/>
        <w:outlineLvl w:val="0"/>
        <w:rPr>
          <w:b/>
        </w:rPr>
      </w:pPr>
      <w:r>
        <w:rPr>
          <w:b/>
        </w:rPr>
        <w:t xml:space="preserve">   2.</w:t>
      </w:r>
      <w:r>
        <w:rPr>
          <w:rFonts w:hAnsi="仿宋"/>
          <w:b/>
        </w:rPr>
        <w:t>定义</w:t>
      </w:r>
    </w:p>
    <w:p w14:paraId="15DFDA9A">
      <w:pPr>
        <w:spacing w:line="360" w:lineRule="auto"/>
        <w:ind w:firstLine="480" w:firstLineChars="200"/>
      </w:pPr>
      <w:r>
        <w:t>2.1 “</w:t>
      </w:r>
      <w:r>
        <w:rPr>
          <w:rFonts w:hAnsi="仿宋"/>
        </w:rPr>
        <w:t>采购人</w:t>
      </w:r>
      <w:r>
        <w:t>”</w:t>
      </w:r>
      <w:r>
        <w:rPr>
          <w:rFonts w:hAnsi="仿宋"/>
        </w:rPr>
        <w:t>系指招标公告中载明的本项目的采购人。</w:t>
      </w:r>
    </w:p>
    <w:p w14:paraId="168A6B20">
      <w:pPr>
        <w:spacing w:line="360" w:lineRule="auto"/>
        <w:ind w:firstLine="480" w:firstLineChars="200"/>
      </w:pPr>
      <w:r>
        <w:t>2.2 “</w:t>
      </w:r>
      <w:r>
        <w:rPr>
          <w:rFonts w:hAnsi="仿宋"/>
        </w:rPr>
        <w:t>采购机构</w:t>
      </w:r>
      <w:r>
        <w:t>”</w:t>
      </w:r>
      <w:r>
        <w:rPr>
          <w:rFonts w:hAnsi="仿宋"/>
        </w:rPr>
        <w:t>系指招标公告中载明的本项目的采购机构。</w:t>
      </w:r>
    </w:p>
    <w:p w14:paraId="19875B8B">
      <w:pPr>
        <w:spacing w:line="360" w:lineRule="auto"/>
        <w:ind w:firstLine="480" w:firstLineChars="200"/>
      </w:pPr>
      <w:r>
        <w:t>2.3 “</w:t>
      </w:r>
      <w:r>
        <w:rPr>
          <w:rFonts w:hAnsi="仿宋"/>
        </w:rPr>
        <w:t>投标人</w:t>
      </w:r>
      <w:r>
        <w:t>”</w:t>
      </w:r>
      <w:r>
        <w:rPr>
          <w:rFonts w:hAnsi="仿宋"/>
        </w:rPr>
        <w:t>系指是指响应招标、参加投标竞争的法人、其他组织或者自然人。</w:t>
      </w:r>
    </w:p>
    <w:p w14:paraId="63E543DF">
      <w:pPr>
        <w:spacing w:line="360" w:lineRule="auto"/>
        <w:ind w:firstLine="480" w:firstLineChars="200"/>
      </w:pPr>
      <w:r>
        <w:t>2.4 “</w:t>
      </w:r>
      <w:r>
        <w:rPr>
          <w:rFonts w:hAnsi="仿宋"/>
        </w:rPr>
        <w:t>负责人</w:t>
      </w:r>
      <w:r>
        <w:t>”</w:t>
      </w:r>
      <w:r>
        <w:rPr>
          <w:rFonts w:hAnsi="仿宋"/>
        </w:rPr>
        <w:t>系指法人企业的法定负责人，或其他组织为法律、行政法规规定代表单位行使职权的主要负责人，或自然人本人。</w:t>
      </w:r>
    </w:p>
    <w:p w14:paraId="7EC33B4E">
      <w:pPr>
        <w:spacing w:line="360" w:lineRule="auto"/>
        <w:ind w:firstLine="480" w:firstLineChars="200"/>
      </w:pPr>
      <w:r>
        <w:t>2.5“</w:t>
      </w:r>
      <w:r>
        <w:rPr>
          <w:rFonts w:hAnsi="仿宋"/>
        </w:rPr>
        <w:t>电子签名</w:t>
      </w:r>
      <w:r>
        <w:t>”</w:t>
      </w:r>
      <w:r>
        <w:rPr>
          <w:rFonts w:hAnsi="仿宋"/>
        </w:rPr>
        <w:t>系指数据电文中以电子形式所含、所附用于识别签名人身份并表明签名人认可其中内容的数据；</w:t>
      </w:r>
      <w:r>
        <w:t>“</w:t>
      </w:r>
      <w:r>
        <w:rPr>
          <w:rFonts w:hAnsi="仿宋"/>
        </w:rPr>
        <w:t>公章</w:t>
      </w:r>
      <w:r>
        <w:t>”</w:t>
      </w:r>
      <w:r>
        <w:rPr>
          <w:rFonts w:hAnsi="仿宋"/>
        </w:rPr>
        <w:t>系指单位法定名称章。因特殊原因需要使用冠以法定名称的业务专用章的，投标时须提供《业务专用章使用说明函》（附件</w:t>
      </w:r>
      <w:r>
        <w:t>4</w:t>
      </w:r>
      <w:r>
        <w:rPr>
          <w:rFonts w:hAnsi="仿宋"/>
        </w:rPr>
        <w:t>）。</w:t>
      </w:r>
    </w:p>
    <w:p w14:paraId="502CE785">
      <w:pPr>
        <w:spacing w:line="360" w:lineRule="auto"/>
        <w:ind w:firstLine="480" w:firstLineChars="200"/>
      </w:pPr>
      <w:r>
        <w:t>2.6“</w:t>
      </w:r>
      <w:r>
        <w:rPr>
          <w:rFonts w:hAnsi="仿宋"/>
        </w:rPr>
        <w:t>电子交易平台</w:t>
      </w:r>
      <w:r>
        <w:t>”</w:t>
      </w:r>
      <w:r>
        <w:rPr>
          <w:rFonts w:hAnsi="仿宋"/>
        </w:rPr>
        <w:t>是指本项目政府采购活动所依托的政府采购云平台（</w:t>
      </w:r>
      <w:r>
        <w:t>https://www.zcygov.cn/</w:t>
      </w:r>
      <w:r>
        <w:rPr>
          <w:rFonts w:hAnsi="仿宋"/>
        </w:rPr>
        <w:t>）。</w:t>
      </w:r>
    </w:p>
    <w:p w14:paraId="2BDCA4E2">
      <w:pPr>
        <w:spacing w:line="360" w:lineRule="auto"/>
        <w:ind w:firstLine="480" w:firstLineChars="200"/>
      </w:pPr>
      <w:r>
        <w:t>2.7 “▲”</w:t>
      </w:r>
      <w:r>
        <w:rPr>
          <w:rFonts w:hAnsi="仿宋"/>
        </w:rPr>
        <w:t>系指实质性要求条款，</w:t>
      </w:r>
      <w:r>
        <w:t>“</w:t>
      </w:r>
      <w:r>
        <w:rPr>
          <w:rFonts w:hAnsi="仿宋"/>
        </w:rPr>
        <w:t>★</w:t>
      </w:r>
      <w:r>
        <w:t>”</w:t>
      </w:r>
      <w:r>
        <w:rPr>
          <w:rFonts w:hAnsi="仿宋"/>
        </w:rPr>
        <w:t>系产品采购项目中单一产品或核心产品，</w:t>
      </w:r>
      <w:r>
        <w:rPr>
          <w:rFonts w:hint="eastAsia" w:ascii="仿宋_GB2312" w:hAnsi="仿宋" w:eastAsia="仿宋_GB2312"/>
        </w:rPr>
        <w:t>“</w:t>
      </w:r>
      <w:sdt>
        <w:sdtPr>
          <w:rPr>
            <w:rFonts w:hint="eastAsia" w:ascii="仿宋_GB2312" w:hAnsi="仿宋" w:eastAsia="仿宋_GB2312" w:cs="Arial"/>
            <w:kern w:val="0"/>
          </w:rPr>
          <w:id w:val="512970236"/>
        </w:sdtPr>
        <w:sdtEndPr>
          <w:rPr>
            <w:rFonts w:hint="eastAsia" w:ascii="仿宋_GB2312" w:hAnsi="仿宋" w:eastAsia="仿宋_GB2312" w:cs="Arial"/>
            <w:kern w:val="0"/>
          </w:rPr>
        </w:sdtEndPr>
        <w:sdtContent>
          <w:r>
            <w:rPr>
              <w:rFonts w:ascii="Wingdings" w:hAnsi="Wingdings" w:eastAsia="仿宋_GB2312" w:cs="Arial"/>
              <w:kern w:val="0"/>
            </w:rPr>
            <w:t></w:t>
          </w:r>
        </w:sdtContent>
      </w:sdt>
      <w:r>
        <w:rPr>
          <w:rFonts w:hint="eastAsia" w:ascii="仿宋_GB2312" w:hAnsi="仿宋" w:eastAsia="仿宋_GB2312"/>
        </w:rPr>
        <w:t>”</w:t>
      </w:r>
      <w:r>
        <w:rPr>
          <w:rFonts w:hAnsi="仿宋"/>
        </w:rPr>
        <w:t>系指适用本项目的要求，</w:t>
      </w:r>
      <w:r>
        <w:t>“</w:t>
      </w:r>
      <w:sdt>
        <w:sdtPr>
          <w:rPr>
            <w:kern w:val="0"/>
          </w:rPr>
          <w:id w:val="404888855"/>
        </w:sdtPr>
        <w:sdtEndPr>
          <w:rPr>
            <w:kern w:val="0"/>
          </w:rPr>
        </w:sdtEndPr>
        <w:sdtContent>
          <w:r>
            <w:rPr>
              <w:rFonts w:hAnsi="仿宋"/>
              <w:kern w:val="0"/>
            </w:rPr>
            <w:t>☐</w:t>
          </w:r>
        </w:sdtContent>
      </w:sdt>
      <w:r>
        <w:t>”</w:t>
      </w:r>
      <w:r>
        <w:rPr>
          <w:rFonts w:hAnsi="仿宋"/>
        </w:rPr>
        <w:t>系指不适用本项目的要求。</w:t>
      </w:r>
    </w:p>
    <w:p w14:paraId="08804AC5">
      <w:pPr>
        <w:spacing w:line="360" w:lineRule="auto"/>
        <w:ind w:firstLine="241" w:firstLineChars="100"/>
        <w:rPr>
          <w:b/>
        </w:rPr>
      </w:pPr>
      <w:r>
        <w:rPr>
          <w:b/>
        </w:rPr>
        <w:t>3.</w:t>
      </w:r>
      <w:r>
        <w:rPr>
          <w:rFonts w:hAnsi="仿宋"/>
          <w:b/>
        </w:rPr>
        <w:t>采购项目需要落实的政府采购政策</w:t>
      </w:r>
    </w:p>
    <w:p w14:paraId="2075A52C">
      <w:pPr>
        <w:spacing w:line="360" w:lineRule="auto"/>
        <w:ind w:firstLine="240" w:firstLineChars="100"/>
      </w:pPr>
      <w:r>
        <w:t xml:space="preserve">3.1 </w:t>
      </w:r>
      <w:r>
        <w:rPr>
          <w:rFonts w:hAnsi="仿宋"/>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6F80239">
      <w:pPr>
        <w:spacing w:line="360" w:lineRule="auto"/>
        <w:ind w:firstLine="240" w:firstLineChars="100"/>
      </w:pPr>
      <w:r>
        <w:t xml:space="preserve">3.2 </w:t>
      </w:r>
      <w:r>
        <w:rPr>
          <w:rFonts w:hAnsi="仿宋"/>
        </w:rPr>
        <w:t>支持绿色发展</w:t>
      </w:r>
    </w:p>
    <w:p w14:paraId="2C71B053">
      <w:pPr>
        <w:spacing w:line="360" w:lineRule="auto"/>
        <w:ind w:firstLine="480" w:firstLineChars="200"/>
        <w:rPr>
          <w:b/>
        </w:rPr>
      </w:pPr>
      <w:r>
        <w:t>3.2.1</w:t>
      </w:r>
      <w:r>
        <w:rPr>
          <w:rFonts w:hAnsi="仿宋"/>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t>▲</w:t>
      </w:r>
      <w:r>
        <w:rPr>
          <w:rFonts w:hAnsi="仿宋"/>
          <w:b/>
        </w:rPr>
        <w:t>采购人拟采购的产品属于政府强制采购的节能产品品目清单范围的，投标人未按招标文件要求提供国家确定的认证机构出具的、处于有效期之内的节能产品认证证书的，投标无效。</w:t>
      </w:r>
    </w:p>
    <w:p w14:paraId="555A9DF5">
      <w:pPr>
        <w:spacing w:line="360" w:lineRule="auto"/>
        <w:ind w:firstLine="480" w:firstLineChars="200"/>
      </w:pPr>
      <w:r>
        <w:t>3.2.2</w:t>
      </w:r>
      <w:r>
        <w:rPr>
          <w:rFonts w:hAnsi="仿宋"/>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2F3CB69">
      <w:pPr>
        <w:spacing w:line="360" w:lineRule="auto"/>
        <w:ind w:firstLine="240" w:firstLineChars="100"/>
      </w:pPr>
      <w:r>
        <w:t>3.3</w:t>
      </w:r>
      <w:r>
        <w:rPr>
          <w:rFonts w:hAnsi="仿宋"/>
        </w:rPr>
        <w:t>支持中小企业发展</w:t>
      </w:r>
    </w:p>
    <w:p w14:paraId="6CD83591">
      <w:pPr>
        <w:spacing w:line="360" w:lineRule="auto"/>
        <w:ind w:firstLine="480" w:firstLineChars="200"/>
      </w:pPr>
      <w:r>
        <w:t>3.3.1</w:t>
      </w:r>
      <w:r>
        <w:rPr>
          <w:rFonts w:hAnsi="仿宋"/>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5DAA5177">
      <w:pPr>
        <w:spacing w:line="360" w:lineRule="auto"/>
        <w:ind w:firstLine="480" w:firstLineChars="200"/>
      </w:pPr>
      <w:r>
        <w:rPr>
          <w:rFonts w:hAnsi="仿宋"/>
        </w:rPr>
        <w:t>符合中小企业划分标准的个体工商户，在政府采购活动中视同中小企业。</w:t>
      </w:r>
    </w:p>
    <w:p w14:paraId="75234AA3">
      <w:pPr>
        <w:widowControl/>
        <w:spacing w:line="360" w:lineRule="auto"/>
        <w:ind w:firstLine="480" w:firstLineChars="200"/>
        <w:jc w:val="left"/>
        <w:rPr>
          <w:kern w:val="0"/>
        </w:rPr>
      </w:pPr>
      <w:r>
        <w:rPr>
          <w:bCs/>
        </w:rPr>
        <w:t>3.3.2</w:t>
      </w:r>
      <w:r>
        <w:rPr>
          <w:rFonts w:hAnsi="仿宋"/>
          <w:kern w:val="0"/>
        </w:rPr>
        <w:t>在政府采购活动中，投标人提供的货物、工程或者服务符合下列情形的，享受中小企业扶持政策：</w:t>
      </w:r>
    </w:p>
    <w:p w14:paraId="02DF94B7">
      <w:pPr>
        <w:widowControl/>
        <w:spacing w:line="360" w:lineRule="auto"/>
        <w:ind w:firstLine="480" w:firstLineChars="200"/>
        <w:jc w:val="left"/>
        <w:rPr>
          <w:kern w:val="0"/>
        </w:rPr>
      </w:pPr>
      <w:r>
        <w:rPr>
          <w:kern w:val="0"/>
        </w:rPr>
        <w:t>3.3.2.1</w:t>
      </w:r>
      <w:r>
        <w:rPr>
          <w:rFonts w:hAnsi="仿宋"/>
          <w:kern w:val="0"/>
        </w:rPr>
        <w:t>在货物采购项目中，货物由中小企业制造，即货物由中小企业生产且使用该中小企业商号或者注册商标；</w:t>
      </w:r>
    </w:p>
    <w:p w14:paraId="73D89A28">
      <w:pPr>
        <w:widowControl/>
        <w:spacing w:line="360" w:lineRule="auto"/>
        <w:ind w:firstLine="480" w:firstLineChars="200"/>
        <w:jc w:val="left"/>
        <w:rPr>
          <w:kern w:val="0"/>
        </w:rPr>
      </w:pPr>
      <w:r>
        <w:rPr>
          <w:kern w:val="0"/>
        </w:rPr>
        <w:t>3.3.2.2</w:t>
      </w:r>
      <w:r>
        <w:rPr>
          <w:rFonts w:hAnsi="仿宋"/>
          <w:kern w:val="0"/>
        </w:rPr>
        <w:t>在工程采购项目中，工程由中小企业承建，即工程施工单位为中小企业；</w:t>
      </w:r>
    </w:p>
    <w:p w14:paraId="6AA39C7F">
      <w:pPr>
        <w:widowControl/>
        <w:spacing w:line="360" w:lineRule="auto"/>
        <w:ind w:firstLine="480" w:firstLineChars="200"/>
        <w:jc w:val="left"/>
        <w:rPr>
          <w:kern w:val="0"/>
        </w:rPr>
      </w:pPr>
      <w:r>
        <w:rPr>
          <w:kern w:val="0"/>
        </w:rPr>
        <w:t>3.3.2.3</w:t>
      </w:r>
      <w:r>
        <w:rPr>
          <w:rFonts w:hAnsi="仿宋"/>
          <w:kern w:val="0"/>
        </w:rPr>
        <w:t>在服务采购项目中，服务由中小企业承接，即提供服务的人员为中小企业依照《中华人民共和国劳动合同法》订立劳动合同的从业人员。</w:t>
      </w:r>
    </w:p>
    <w:p w14:paraId="10D4B319">
      <w:pPr>
        <w:widowControl/>
        <w:spacing w:line="360" w:lineRule="auto"/>
        <w:ind w:firstLine="480" w:firstLineChars="200"/>
        <w:jc w:val="left"/>
        <w:rPr>
          <w:kern w:val="0"/>
        </w:rPr>
      </w:pPr>
      <w:r>
        <w:rPr>
          <w:rFonts w:hAnsi="仿宋"/>
          <w:kern w:val="0"/>
        </w:rPr>
        <w:t>在货物采购项目中，投标人提供的货物既有中小企业制造货物，也有大型企业制造货物的，不享受中小企业扶持政策。</w:t>
      </w:r>
    </w:p>
    <w:p w14:paraId="2687BA1E">
      <w:pPr>
        <w:widowControl/>
        <w:spacing w:line="360" w:lineRule="auto"/>
        <w:ind w:firstLine="480" w:firstLineChars="200"/>
        <w:jc w:val="left"/>
        <w:rPr>
          <w:kern w:val="0"/>
        </w:rPr>
      </w:pPr>
      <w:r>
        <w:rPr>
          <w:rFonts w:hAnsi="仿宋"/>
          <w:kern w:val="0"/>
        </w:rPr>
        <w:t>以联合体形式参加政府采购活动，联合体各方均为中小企业的，联合体视同中小企业。其中，联合体各方均为小微企业的，联合体视同小微企业。</w:t>
      </w:r>
    </w:p>
    <w:p w14:paraId="1223A961">
      <w:pPr>
        <w:spacing w:line="360" w:lineRule="auto"/>
        <w:ind w:firstLine="480" w:firstLineChars="200"/>
      </w:pPr>
      <w:r>
        <w:t>3.3.3</w:t>
      </w:r>
      <w:r>
        <w:rPr>
          <w:rFonts w:hAnsi="仿宋"/>
        </w:rPr>
        <w:t>本项目为专门面向中小企业采购的项目不再享受价格扣除。</w:t>
      </w:r>
    </w:p>
    <w:p w14:paraId="2FD85149">
      <w:pPr>
        <w:spacing w:line="360" w:lineRule="auto"/>
        <w:ind w:firstLine="480" w:firstLineChars="200"/>
      </w:pPr>
      <w:r>
        <w:t>3.3.4</w:t>
      </w:r>
      <w:r>
        <w:rPr>
          <w:rFonts w:hAnsi="仿宋"/>
        </w:rPr>
        <w:t>符合《关于促进残疾人就业政府采购政策的通知》（财库〔</w:t>
      </w:r>
      <w:r>
        <w:t>2017</w:t>
      </w:r>
      <w:r>
        <w:rPr>
          <w:rFonts w:hAnsi="仿宋"/>
        </w:rPr>
        <w:t>〕</w:t>
      </w:r>
      <w:r>
        <w:t>141</w:t>
      </w:r>
      <w:r>
        <w:rPr>
          <w:rFonts w:hAnsi="仿宋"/>
        </w:rPr>
        <w:t>号）规定的条件并提供《残疾人福利性单位声明函》（附件</w:t>
      </w:r>
      <w:r>
        <w:t>1</w:t>
      </w:r>
      <w:r>
        <w:rPr>
          <w:rFonts w:hAnsi="仿宋"/>
        </w:rPr>
        <w:t>）的残疾人福利性单位视同小型、微型企业；</w:t>
      </w:r>
    </w:p>
    <w:p w14:paraId="563AB0E8">
      <w:pPr>
        <w:spacing w:line="360" w:lineRule="auto"/>
        <w:ind w:firstLine="480" w:firstLineChars="200"/>
      </w:pPr>
      <w:r>
        <w:t>3.3.5</w:t>
      </w:r>
      <w:r>
        <w:rPr>
          <w:rFonts w:hAnsi="仿宋"/>
        </w:rPr>
        <w:t>符合《关于政府采购支持监狱企业发展有关问题的通知》（财库</w:t>
      </w:r>
      <w:r>
        <w:t>[2014]68</w:t>
      </w:r>
      <w:r>
        <w:rPr>
          <w:rFonts w:hAnsi="仿宋"/>
        </w:rPr>
        <w:t>号）规定的监狱企业并提供由省级以上监狱管理局、戒毒管理局（含新疆生产建设兵团）出具的属于监狱企业证明文件的，视同为小型、微型企业。</w:t>
      </w:r>
    </w:p>
    <w:p w14:paraId="1DF48EFD">
      <w:pPr>
        <w:spacing w:line="360" w:lineRule="auto"/>
        <w:ind w:firstLine="480" w:firstLineChars="200"/>
      </w:pPr>
      <w:r>
        <w:t>3.3.6</w:t>
      </w:r>
      <w:r>
        <w:rPr>
          <w:rFonts w:hAnsi="仿宋"/>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F3A1C2C">
      <w:pPr>
        <w:spacing w:line="360" w:lineRule="auto"/>
        <w:ind w:firstLine="480" w:firstLineChars="200"/>
        <w:rPr>
          <w:b/>
        </w:rPr>
      </w:pPr>
      <w:r>
        <w:t>3.3.7</w:t>
      </w:r>
      <w:r>
        <w:rPr>
          <w:rFonts w:hAnsi="仿宋"/>
        </w:rPr>
        <w:t>中小企业享受扶持政策获得政府采购合同的，小微企业不得将合同分包给大中型企业，中型企业不得将合同分包给大型企业。</w:t>
      </w:r>
      <w:r>
        <w:cr/>
      </w:r>
      <w:r>
        <w:rPr>
          <w:b/>
        </w:rPr>
        <w:t xml:space="preserve">4. </w:t>
      </w:r>
      <w:r>
        <w:rPr>
          <w:rFonts w:hAnsi="仿宋"/>
          <w:b/>
        </w:rPr>
        <w:t>询问、质疑、投诉</w:t>
      </w:r>
    </w:p>
    <w:p w14:paraId="4B325F20">
      <w:pPr>
        <w:autoSpaceDE w:val="0"/>
        <w:autoSpaceDN w:val="0"/>
        <w:spacing w:line="360" w:lineRule="auto"/>
        <w:ind w:firstLine="240" w:firstLineChars="100"/>
        <w:jc w:val="left"/>
        <w:rPr>
          <w:kern w:val="0"/>
          <w:lang w:val="zh-CN"/>
        </w:rPr>
      </w:pPr>
      <w:r>
        <w:rPr>
          <w:kern w:val="0"/>
          <w:lang w:val="zh-CN"/>
        </w:rPr>
        <w:t>4.1</w:t>
      </w:r>
      <w:r>
        <w:rPr>
          <w:rFonts w:hAnsi="仿宋"/>
          <w:kern w:val="0"/>
          <w:lang w:val="zh-CN"/>
        </w:rPr>
        <w:t>供应商询问</w:t>
      </w:r>
    </w:p>
    <w:p w14:paraId="55AD4312">
      <w:pPr>
        <w:autoSpaceDE w:val="0"/>
        <w:autoSpaceDN w:val="0"/>
        <w:spacing w:line="360" w:lineRule="auto"/>
        <w:ind w:firstLine="480" w:firstLineChars="200"/>
        <w:jc w:val="left"/>
        <w:rPr>
          <w:kern w:val="0"/>
          <w:lang w:val="zh-CN"/>
        </w:rPr>
      </w:pPr>
      <w:r>
        <w:rPr>
          <w:rFonts w:hAnsi="仿宋"/>
          <w:kern w:val="0"/>
          <w:lang w:val="zh-CN"/>
        </w:rPr>
        <w:t>供应商对政府采购活动事项有疑问的，可以提出询问，采购人或者采购代理机构应当在</w:t>
      </w:r>
      <w:r>
        <w:rPr>
          <w:kern w:val="0"/>
          <w:lang w:val="zh-CN"/>
        </w:rPr>
        <w:t>3</w:t>
      </w:r>
      <w:r>
        <w:rPr>
          <w:rFonts w:hAnsi="仿宋"/>
          <w:kern w:val="0"/>
          <w:lang w:val="zh-CN"/>
        </w:rPr>
        <w:t>个工作日内对供应商依法提出的询问作出答复，但答复的内容不得涉及商业秘密。供应商提出的询问超出采购人对采购代理机构委托授权范围的，采购代理机构应当告知供应商向采购人提出。</w:t>
      </w:r>
    </w:p>
    <w:p w14:paraId="3AA334E1">
      <w:pPr>
        <w:autoSpaceDE w:val="0"/>
        <w:autoSpaceDN w:val="0"/>
        <w:spacing w:line="360" w:lineRule="auto"/>
        <w:ind w:firstLine="240" w:firstLineChars="100"/>
        <w:jc w:val="left"/>
        <w:rPr>
          <w:kern w:val="0"/>
          <w:lang w:val="zh-CN"/>
        </w:rPr>
      </w:pPr>
      <w:r>
        <w:rPr>
          <w:kern w:val="0"/>
          <w:lang w:val="zh-CN"/>
        </w:rPr>
        <w:t>4.2</w:t>
      </w:r>
      <w:r>
        <w:rPr>
          <w:rFonts w:hAnsi="仿宋"/>
          <w:kern w:val="0"/>
          <w:lang w:val="zh-CN"/>
        </w:rPr>
        <w:t>供应商质疑</w:t>
      </w:r>
    </w:p>
    <w:p w14:paraId="5FB7D2F7">
      <w:pPr>
        <w:pStyle w:val="33"/>
        <w:spacing w:line="360" w:lineRule="auto"/>
        <w:ind w:firstLine="480" w:firstLineChars="200"/>
        <w:rPr>
          <w:rFonts w:ascii="Times New Roman" w:hAnsi="Times New Roman" w:cs="Times New Roman"/>
        </w:rPr>
      </w:pPr>
      <w:r>
        <w:rPr>
          <w:rFonts w:ascii="Times New Roman" w:hAnsi="Times New Roman" w:cs="Times New Roman"/>
          <w:kern w:val="0"/>
          <w:lang w:val="zh-CN"/>
        </w:rPr>
        <w:t>4.2</w:t>
      </w:r>
      <w:r>
        <w:rPr>
          <w:rFonts w:ascii="Times New Roman" w:hAnsi="Times New Roman" w:cs="Times New Roman"/>
        </w:rPr>
        <w:t>.1</w:t>
      </w:r>
      <w:r>
        <w:rPr>
          <w:rFonts w:ascii="Times New Roman" w:hAnsi="仿宋" w:cs="Times New Roman"/>
        </w:rPr>
        <w:t>提出质疑的供应商应当是参与所质疑项目采购活动的供应商。潜在供应商已依法获取其可质疑的招标文件的，可以对该文件提出质疑。</w:t>
      </w:r>
    </w:p>
    <w:p w14:paraId="046B8D04">
      <w:pPr>
        <w:pStyle w:val="33"/>
        <w:spacing w:line="360" w:lineRule="auto"/>
        <w:ind w:firstLine="480" w:firstLineChars="200"/>
        <w:rPr>
          <w:rFonts w:ascii="Times New Roman" w:hAnsi="Times New Roman" w:cs="Times New Roman"/>
        </w:rPr>
      </w:pPr>
      <w:r>
        <w:rPr>
          <w:rFonts w:ascii="Times New Roman" w:hAnsi="Times New Roman" w:cs="Times New Roman"/>
          <w:kern w:val="0"/>
          <w:lang w:val="zh-CN"/>
        </w:rPr>
        <w:t>4.2</w:t>
      </w:r>
      <w:r>
        <w:rPr>
          <w:rFonts w:ascii="Times New Roman" w:hAnsi="Times New Roman" w:cs="Times New Roman"/>
        </w:rPr>
        <w:t>.2</w:t>
      </w:r>
      <w:r>
        <w:rPr>
          <w:rFonts w:ascii="Times New Roman" w:hAnsi="仿宋" w:cs="Times New Roman"/>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480849B">
      <w:pPr>
        <w:pStyle w:val="15"/>
        <w:spacing w:line="360" w:lineRule="auto"/>
        <w:ind w:firstLine="480" w:firstLineChars="200"/>
        <w:rPr>
          <w:rFonts w:ascii="Times New Roman"/>
          <w:snapToGrid/>
          <w:color w:val="auto"/>
          <w:kern w:val="2"/>
          <w:sz w:val="24"/>
        </w:rPr>
      </w:pPr>
      <w:r>
        <w:rPr>
          <w:rFonts w:ascii="Times New Roman"/>
          <w:snapToGrid/>
          <w:color w:val="auto"/>
          <w:kern w:val="2"/>
          <w:sz w:val="24"/>
        </w:rPr>
        <w:t>4.2.2.1</w:t>
      </w:r>
      <w:r>
        <w:rPr>
          <w:rFonts w:ascii="Times New Roman" w:hAnsi="仿宋"/>
          <w:snapToGrid/>
          <w:color w:val="auto"/>
          <w:kern w:val="2"/>
          <w:sz w:val="24"/>
        </w:rPr>
        <w:t>对招标文件提出质疑的，质疑期限为供应商获得招标文件之日或者招标文件公告期限届满之日起计算。</w:t>
      </w:r>
    </w:p>
    <w:p w14:paraId="54E58258">
      <w:pPr>
        <w:pStyle w:val="33"/>
        <w:spacing w:line="360" w:lineRule="auto"/>
        <w:ind w:firstLine="480" w:firstLineChars="200"/>
        <w:rPr>
          <w:rFonts w:ascii="Times New Roman" w:hAnsi="Times New Roman" w:cs="Times New Roman"/>
        </w:rPr>
      </w:pPr>
      <w:r>
        <w:rPr>
          <w:rFonts w:ascii="Times New Roman" w:hAnsi="Times New Roman" w:cs="Times New Roman"/>
        </w:rPr>
        <w:t>4.2.2.2</w:t>
      </w:r>
      <w:r>
        <w:rPr>
          <w:rFonts w:ascii="Times New Roman" w:hAnsi="仿宋" w:cs="Times New Roman"/>
        </w:rPr>
        <w:t>对采购过程提出质疑的，质疑期限为各采购程序环节结束之日起计算。对同一采购程序环节的质疑，供应商须一次性提出。</w:t>
      </w:r>
    </w:p>
    <w:p w14:paraId="229A51B5">
      <w:pPr>
        <w:pStyle w:val="33"/>
        <w:spacing w:line="360" w:lineRule="auto"/>
        <w:ind w:firstLine="480" w:firstLineChars="200"/>
        <w:rPr>
          <w:rFonts w:ascii="Times New Roman" w:hAnsi="Times New Roman" w:cs="Times New Roman"/>
        </w:rPr>
      </w:pPr>
      <w:r>
        <w:rPr>
          <w:rFonts w:ascii="Times New Roman" w:hAnsi="Times New Roman" w:cs="Times New Roman"/>
        </w:rPr>
        <w:t>4.2.2.3</w:t>
      </w:r>
      <w:r>
        <w:rPr>
          <w:rFonts w:ascii="Times New Roman" w:hAnsi="仿宋" w:cs="Times New Roman"/>
        </w:rPr>
        <w:t>对采购结果提出质疑的，质疑期限自采购结果公告期限届满之日起计算。</w:t>
      </w:r>
    </w:p>
    <w:p w14:paraId="768E0644">
      <w:pPr>
        <w:pStyle w:val="33"/>
        <w:spacing w:line="360" w:lineRule="auto"/>
        <w:ind w:firstLine="480" w:firstLineChars="200"/>
        <w:rPr>
          <w:rFonts w:ascii="Times New Roman" w:hAnsi="Times New Roman" w:cs="Times New Roman"/>
          <w:kern w:val="0"/>
          <w:lang w:val="zh-CN"/>
        </w:rPr>
      </w:pPr>
      <w:r>
        <w:rPr>
          <w:rFonts w:ascii="Times New Roman" w:hAnsi="Times New Roman" w:cs="Times New Roman"/>
          <w:kern w:val="0"/>
          <w:lang w:val="zh-CN"/>
        </w:rPr>
        <w:t>4.2.3</w:t>
      </w:r>
      <w:r>
        <w:rPr>
          <w:rFonts w:ascii="Times New Roman" w:hAnsi="仿宋" w:cs="Times New Roman"/>
        </w:rPr>
        <w:t>供应商提出质疑应当提交质疑函和必要的证明材料。质疑函应当包括下列内容：</w:t>
      </w:r>
    </w:p>
    <w:p w14:paraId="0DBD8DBF">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4.2.3.1</w:t>
      </w:r>
      <w:r>
        <w:rPr>
          <w:rFonts w:ascii="Times New Roman" w:hAnsi="仿宋" w:cs="Times New Roman"/>
          <w:kern w:val="0"/>
          <w:lang w:val="zh-CN"/>
        </w:rPr>
        <w:t>供应商的姓名或者名称、地址、邮编、联系人及联系电话；</w:t>
      </w:r>
    </w:p>
    <w:p w14:paraId="035B9E91">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4.2.3.2</w:t>
      </w:r>
      <w:r>
        <w:rPr>
          <w:rFonts w:ascii="Times New Roman" w:hAnsi="仿宋" w:cs="Times New Roman"/>
          <w:kern w:val="0"/>
          <w:lang w:val="zh-CN"/>
        </w:rPr>
        <w:t>质疑项目的名称、编号；</w:t>
      </w:r>
    </w:p>
    <w:p w14:paraId="29593328">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4.2.3.3</w:t>
      </w:r>
      <w:r>
        <w:rPr>
          <w:rFonts w:ascii="Times New Roman" w:hAnsi="仿宋" w:cs="Times New Roman"/>
          <w:kern w:val="0"/>
          <w:lang w:val="zh-CN"/>
        </w:rPr>
        <w:t>具体、明确的质疑事项和与质疑事项相关的请求；</w:t>
      </w:r>
    </w:p>
    <w:p w14:paraId="741D2187">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4.2.3.4</w:t>
      </w:r>
      <w:r>
        <w:rPr>
          <w:rFonts w:ascii="Times New Roman" w:hAnsi="仿宋" w:cs="Times New Roman"/>
          <w:kern w:val="0"/>
          <w:lang w:val="zh-CN"/>
        </w:rPr>
        <w:t>事实依据；</w:t>
      </w:r>
    </w:p>
    <w:p w14:paraId="14960989">
      <w:pPr>
        <w:pStyle w:val="33"/>
        <w:spacing w:line="360" w:lineRule="auto"/>
        <w:ind w:firstLine="480" w:firstLineChars="200"/>
        <w:rPr>
          <w:rFonts w:ascii="Times New Roman" w:hAnsi="Times New Roman" w:cs="Times New Roman"/>
          <w:kern w:val="0"/>
          <w:lang w:val="zh-CN"/>
        </w:rPr>
      </w:pPr>
      <w:r>
        <w:rPr>
          <w:rFonts w:ascii="Times New Roman" w:hAnsi="仿宋" w:cs="Times New Roman"/>
          <w:kern w:val="0"/>
          <w:lang w:val="zh-CN"/>
        </w:rPr>
        <w:t>　　</w:t>
      </w:r>
      <w:r>
        <w:rPr>
          <w:rFonts w:ascii="Times New Roman" w:hAnsi="Times New Roman" w:cs="Times New Roman"/>
          <w:kern w:val="0"/>
          <w:lang w:val="zh-CN"/>
        </w:rPr>
        <w:t>4.2.3.5</w:t>
      </w:r>
      <w:r>
        <w:rPr>
          <w:rFonts w:ascii="Times New Roman" w:hAnsi="仿宋" w:cs="Times New Roman"/>
          <w:kern w:val="0"/>
          <w:lang w:val="zh-CN"/>
        </w:rPr>
        <w:t>必要的法律依据；</w:t>
      </w:r>
    </w:p>
    <w:p w14:paraId="15444580">
      <w:pPr>
        <w:pStyle w:val="33"/>
        <w:spacing w:line="360" w:lineRule="auto"/>
        <w:ind w:firstLine="960" w:firstLineChars="400"/>
        <w:rPr>
          <w:rFonts w:ascii="Times New Roman" w:hAnsi="Times New Roman" w:cs="Times New Roman"/>
          <w:kern w:val="0"/>
          <w:lang w:val="zh-CN"/>
        </w:rPr>
      </w:pPr>
      <w:r>
        <w:rPr>
          <w:rFonts w:ascii="Times New Roman" w:hAnsi="Times New Roman" w:cs="Times New Roman"/>
          <w:kern w:val="0"/>
          <w:lang w:val="zh-CN"/>
        </w:rPr>
        <w:t>4.2.3.6</w:t>
      </w:r>
      <w:r>
        <w:rPr>
          <w:rFonts w:ascii="Times New Roman" w:hAnsi="仿宋" w:cs="Times New Roman"/>
          <w:kern w:val="0"/>
          <w:lang w:val="zh-CN"/>
        </w:rPr>
        <w:t>提出质疑的日期。</w:t>
      </w:r>
    </w:p>
    <w:p w14:paraId="2B43B97D">
      <w:pPr>
        <w:pStyle w:val="887"/>
        <w:shd w:val="clear" w:color="auto" w:fill="FFFFFF"/>
        <w:snapToGrid w:val="0"/>
        <w:spacing w:before="0" w:beforeAutospacing="0" w:after="0" w:afterAutospacing="0" w:line="360" w:lineRule="auto"/>
        <w:ind w:firstLine="400"/>
        <w:contextualSpacing/>
        <w:rPr>
          <w:rFonts w:ascii="Times New Roman" w:hAnsi="Times New Roman" w:cs="Times New Roman"/>
        </w:rPr>
      </w:pPr>
      <w:r>
        <w:rPr>
          <w:rFonts w:ascii="Times New Roman" w:hAnsi="仿宋" w:cs="Times New Roman"/>
        </w:rPr>
        <w:t>供应商提交的质疑函需一式三份。供应商为自然人的，应当由本人签字；供应商为法人或者其他组织的，应当由法定代表人、主要负责人，或者其授权代表签字或者盖章，并加盖公章。</w:t>
      </w:r>
    </w:p>
    <w:p w14:paraId="2255E7AB">
      <w:pPr>
        <w:pStyle w:val="887"/>
        <w:shd w:val="clear" w:color="auto" w:fill="FFFFFF"/>
        <w:snapToGrid w:val="0"/>
        <w:spacing w:before="0" w:beforeAutospacing="0" w:after="0" w:afterAutospacing="0" w:line="360" w:lineRule="auto"/>
        <w:ind w:firstLine="400"/>
        <w:contextualSpacing/>
        <w:rPr>
          <w:rFonts w:ascii="Times New Roman" w:hAnsi="Times New Roman" w:cs="Times New Roman"/>
        </w:rPr>
      </w:pPr>
      <w:r>
        <w:rPr>
          <w:rFonts w:ascii="Times New Roman" w:hAnsi="仿宋" w:cs="Times New Roman"/>
        </w:rPr>
        <w:t>质疑函范本及制作说明详见附件。</w:t>
      </w:r>
    </w:p>
    <w:p w14:paraId="159A0420">
      <w:pPr>
        <w:pStyle w:val="887"/>
        <w:shd w:val="clear" w:color="auto" w:fill="FFFFFF"/>
        <w:snapToGrid w:val="0"/>
        <w:spacing w:before="0" w:beforeAutospacing="0" w:after="0" w:afterAutospacing="0" w:line="360" w:lineRule="auto"/>
        <w:ind w:firstLine="400"/>
        <w:contextualSpacing/>
        <w:rPr>
          <w:rFonts w:ascii="Times New Roman" w:hAnsi="Times New Roman" w:cs="Times New Roman"/>
        </w:rPr>
      </w:pPr>
      <w:r>
        <w:rPr>
          <w:rFonts w:ascii="Times New Roman" w:hAnsi="Times New Roman" w:cs="Times New Roman"/>
          <w:lang w:val="zh-CN"/>
        </w:rPr>
        <w:t>4.2</w:t>
      </w:r>
      <w:r>
        <w:rPr>
          <w:rFonts w:ascii="Times New Roman" w:hAnsi="Times New Roman" w:cs="Times New Roman"/>
        </w:rPr>
        <w:t>.4</w:t>
      </w:r>
      <w:r>
        <w:rPr>
          <w:rFonts w:ascii="Times New Roman" w:hAnsi="仿宋" w:cs="Times New Roman"/>
        </w:rPr>
        <w:t>采购人或者采购机构应当在收到供应商的书面质疑后七个工作日内作出答复，并以书面形式通知质疑供应商和其他与质疑处理结果有利害关系的政府采购当事人，但答复的内容不得涉及商业秘密。</w:t>
      </w:r>
    </w:p>
    <w:p w14:paraId="21DBEC0A">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lang w:val="zh-CN"/>
        </w:rPr>
        <w:t>4.2</w:t>
      </w:r>
      <w:r>
        <w:rPr>
          <w:rFonts w:ascii="Times New Roman" w:hAnsi="Times New Roman" w:cs="Times New Roman"/>
        </w:rPr>
        <w:t>.5</w:t>
      </w:r>
      <w:r>
        <w:rPr>
          <w:rFonts w:ascii="Times New Roman" w:hAnsi="仿宋" w:cs="Times New Roman"/>
        </w:rPr>
        <w:t>询问或者质疑事项可能影响采购结果的，采购人应当暂停签订合同，已经签订合同的，应当中止履行合同。</w:t>
      </w:r>
    </w:p>
    <w:p w14:paraId="5ABDFE0B">
      <w:pPr>
        <w:pStyle w:val="887"/>
        <w:shd w:val="clear" w:color="auto" w:fill="FFFFFF"/>
        <w:snapToGrid w:val="0"/>
        <w:spacing w:after="240" w:afterAutospacing="0" w:line="360" w:lineRule="auto"/>
        <w:ind w:firstLine="480" w:firstLineChars="200"/>
        <w:contextualSpacing/>
        <w:rPr>
          <w:rFonts w:ascii="Times New Roman" w:hAnsi="Times New Roman" w:cs="Times New Roman"/>
          <w:lang w:val="zh-CN"/>
        </w:rPr>
      </w:pPr>
      <w:r>
        <w:rPr>
          <w:rFonts w:ascii="Times New Roman" w:hAnsi="Times New Roman" w:cs="Times New Roman"/>
          <w:lang w:val="zh-CN"/>
        </w:rPr>
        <w:t>4.3</w:t>
      </w:r>
      <w:r>
        <w:rPr>
          <w:rFonts w:ascii="Times New Roman" w:hAnsi="仿宋" w:cs="Times New Roman"/>
          <w:lang w:val="zh-CN"/>
        </w:rPr>
        <w:t>供应商投诉</w:t>
      </w:r>
    </w:p>
    <w:p w14:paraId="28ECE619">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rPr>
        <w:t>4.3.1</w:t>
      </w:r>
      <w:r>
        <w:rPr>
          <w:rFonts w:ascii="Times New Roman" w:hAnsi="仿宋" w:cs="Times New Roman"/>
        </w:rPr>
        <w:t>质疑供应商对采购人、采购机构的答复不满意或者采购人、采购机构未在规定的时间内作出答复的，可以在答复期满后十五个工作日内向同级政府采购监督管理部门提出投诉。</w:t>
      </w:r>
    </w:p>
    <w:p w14:paraId="4C3428DF">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rPr>
        <w:t>4.3.</w:t>
      </w:r>
      <w:r>
        <w:rPr>
          <w:rFonts w:ascii="Times New Roman" w:hAnsi="Times New Roman" w:cs="Times New Roman"/>
          <w:lang w:val="zh-CN"/>
        </w:rPr>
        <w:t>2</w:t>
      </w:r>
      <w:r>
        <w:rPr>
          <w:rFonts w:ascii="Times New Roman" w:hAnsi="仿宋" w:cs="Times New Roman"/>
        </w:rPr>
        <w:t>供应商投诉的事项不得超出已质疑事项的范围，基于质疑答复内容提出的投诉事项除外。</w:t>
      </w:r>
    </w:p>
    <w:p w14:paraId="31EDAD79">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rPr>
        <w:t>4.3.3</w:t>
      </w:r>
      <w:r>
        <w:rPr>
          <w:rFonts w:ascii="Times New Roman" w:hAnsi="仿宋" w:cs="Times New Roman"/>
        </w:rPr>
        <w:t>供应商投诉应当有明确的请求和必要的证明材料。</w:t>
      </w:r>
    </w:p>
    <w:p w14:paraId="730AF615">
      <w:pPr>
        <w:pStyle w:val="887"/>
        <w:shd w:val="clear" w:color="auto" w:fill="FFFFFF"/>
        <w:snapToGrid w:val="0"/>
        <w:spacing w:after="240" w:afterAutospacing="0" w:line="360" w:lineRule="auto"/>
        <w:ind w:firstLine="400"/>
        <w:contextualSpacing/>
        <w:rPr>
          <w:rFonts w:ascii="Times New Roman" w:hAnsi="Times New Roman" w:cs="Times New Roman"/>
        </w:rPr>
      </w:pPr>
      <w:r>
        <w:rPr>
          <w:rFonts w:ascii="Times New Roman" w:hAnsi="Times New Roman" w:cs="Times New Roman"/>
        </w:rPr>
        <w:t xml:space="preserve">4.3.5 </w:t>
      </w:r>
      <w:r>
        <w:rPr>
          <w:rFonts w:ascii="Times New Roman" w:hAnsi="仿宋" w:cs="Times New Roman"/>
        </w:rPr>
        <w:t>以联合体形式参加政府采购活动的，其投诉应当由组成联合体的所有供应商共同提出。</w:t>
      </w:r>
    </w:p>
    <w:p w14:paraId="2465DC7A">
      <w:pPr>
        <w:pStyle w:val="887"/>
        <w:shd w:val="clear" w:color="auto" w:fill="FFFFFF"/>
        <w:snapToGrid w:val="0"/>
        <w:spacing w:after="240" w:afterAutospacing="0" w:line="360" w:lineRule="auto"/>
        <w:ind w:firstLine="400"/>
        <w:contextualSpacing/>
        <w:rPr>
          <w:rFonts w:ascii="Times New Roman" w:hAnsi="Times New Roman" w:cs="Times New Roman"/>
          <w:sz w:val="18"/>
          <w:szCs w:val="18"/>
        </w:rPr>
      </w:pPr>
      <w:r>
        <w:rPr>
          <w:rFonts w:ascii="Times New Roman" w:hAnsi="仿宋" w:cs="Times New Roman"/>
        </w:rPr>
        <w:t>投诉书范本及制作说明详见附件</w:t>
      </w:r>
      <w:r>
        <w:rPr>
          <w:rFonts w:ascii="Times New Roman" w:hAnsi="Times New Roman" w:cs="Times New Roman"/>
        </w:rPr>
        <w:t>3</w:t>
      </w:r>
      <w:r>
        <w:rPr>
          <w:rFonts w:ascii="Times New Roman" w:hAnsi="仿宋" w:cs="Times New Roman"/>
        </w:rPr>
        <w:t>。</w:t>
      </w:r>
    </w:p>
    <w:p w14:paraId="1212D914">
      <w:pPr>
        <w:adjustRightInd/>
        <w:spacing w:line="360" w:lineRule="auto"/>
        <w:jc w:val="center"/>
        <w:outlineLvl w:val="0"/>
        <w:rPr>
          <w:b/>
          <w:sz w:val="32"/>
          <w:szCs w:val="20"/>
        </w:rPr>
      </w:pPr>
      <w:r>
        <w:rPr>
          <w:rFonts w:hAnsi="仿宋"/>
          <w:b/>
          <w:sz w:val="32"/>
          <w:szCs w:val="20"/>
        </w:rPr>
        <w:t>二、招标文件的构成、澄清、修改</w:t>
      </w:r>
    </w:p>
    <w:p w14:paraId="75081767">
      <w:pPr>
        <w:pStyle w:val="33"/>
        <w:spacing w:line="360" w:lineRule="auto"/>
        <w:rPr>
          <w:rFonts w:ascii="Times New Roman" w:hAnsi="Times New Roman" w:cs="Times New Roman"/>
          <w:b/>
          <w:szCs w:val="24"/>
        </w:rPr>
      </w:pPr>
      <w:r>
        <w:rPr>
          <w:rFonts w:ascii="Times New Roman" w:hAnsi="Times New Roman" w:cs="Times New Roman"/>
          <w:b/>
          <w:szCs w:val="24"/>
        </w:rPr>
        <w:t>5</w:t>
      </w:r>
      <w:r>
        <w:rPr>
          <w:rFonts w:ascii="Times New Roman" w:hAnsi="仿宋" w:cs="Times New Roman"/>
          <w:b/>
          <w:szCs w:val="24"/>
        </w:rPr>
        <w:t>．招标文件的构成</w:t>
      </w:r>
    </w:p>
    <w:p w14:paraId="1A152A51">
      <w:pPr>
        <w:pStyle w:val="33"/>
        <w:spacing w:line="360" w:lineRule="auto"/>
        <w:ind w:firstLine="480" w:firstLineChars="200"/>
        <w:rPr>
          <w:rFonts w:ascii="Times New Roman" w:hAnsi="Times New Roman" w:cs="Times New Roman"/>
          <w:szCs w:val="24"/>
        </w:rPr>
      </w:pPr>
      <w:r>
        <w:rPr>
          <w:rFonts w:ascii="Times New Roman" w:hAnsi="Times New Roman" w:cs="Times New Roman"/>
          <w:szCs w:val="24"/>
        </w:rPr>
        <w:t xml:space="preserve">5.1 </w:t>
      </w:r>
      <w:r>
        <w:rPr>
          <w:rFonts w:ascii="Times New Roman" w:hAnsi="仿宋" w:cs="Times New Roman"/>
          <w:szCs w:val="24"/>
        </w:rPr>
        <w:t>招标文件包括下列文件及附件：</w:t>
      </w:r>
    </w:p>
    <w:p w14:paraId="2BFF1776">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5.1.1</w:t>
      </w:r>
      <w:r>
        <w:rPr>
          <w:rFonts w:ascii="Times New Roman" w:hAnsi="仿宋" w:cs="Times New Roman"/>
          <w:szCs w:val="24"/>
        </w:rPr>
        <w:t>招标公告；</w:t>
      </w:r>
    </w:p>
    <w:p w14:paraId="61FADFFE">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5.1.2</w:t>
      </w:r>
      <w:r>
        <w:rPr>
          <w:rFonts w:ascii="Times New Roman" w:hAnsi="仿宋" w:cs="Times New Roman"/>
          <w:szCs w:val="24"/>
        </w:rPr>
        <w:t>投标人须知；</w:t>
      </w:r>
    </w:p>
    <w:p w14:paraId="25C77304">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5.1.3</w:t>
      </w:r>
      <w:r>
        <w:rPr>
          <w:rFonts w:ascii="Times New Roman" w:hAnsi="仿宋" w:cs="Times New Roman"/>
          <w:szCs w:val="24"/>
        </w:rPr>
        <w:t>采购需求；</w:t>
      </w:r>
    </w:p>
    <w:p w14:paraId="16C8DC49">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5.1.4</w:t>
      </w:r>
      <w:r>
        <w:rPr>
          <w:rFonts w:ascii="Times New Roman" w:hAnsi="仿宋" w:cs="Times New Roman"/>
          <w:szCs w:val="24"/>
        </w:rPr>
        <w:t>评标办法；</w:t>
      </w:r>
    </w:p>
    <w:p w14:paraId="73319C0C">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szCs w:val="24"/>
        </w:rPr>
        <w:t>5.1.5</w:t>
      </w:r>
      <w:r>
        <w:rPr>
          <w:rFonts w:ascii="Times New Roman" w:hAnsi="仿宋" w:cs="Times New Roman"/>
          <w:szCs w:val="24"/>
        </w:rPr>
        <w:t>拟签订的合同文本；</w:t>
      </w:r>
    </w:p>
    <w:p w14:paraId="5BCB600A">
      <w:pPr>
        <w:pStyle w:val="33"/>
        <w:tabs>
          <w:tab w:val="left" w:pos="840"/>
        </w:tabs>
        <w:spacing w:line="360" w:lineRule="auto"/>
        <w:ind w:firstLine="960" w:firstLineChars="400"/>
        <w:rPr>
          <w:rFonts w:ascii="Times New Roman" w:hAnsi="Times New Roman" w:cs="Times New Roman"/>
          <w:szCs w:val="24"/>
        </w:rPr>
      </w:pPr>
      <w:r>
        <w:rPr>
          <w:rFonts w:ascii="Times New Roman" w:hAnsi="Times New Roman" w:cs="Times New Roman"/>
        </w:rPr>
        <w:t>5.1.6</w:t>
      </w:r>
      <w:r>
        <w:rPr>
          <w:rFonts w:ascii="Times New Roman" w:hAnsi="仿宋" w:cs="Times New Roman"/>
          <w:szCs w:val="24"/>
        </w:rPr>
        <w:t>应提交的有关格式范例。</w:t>
      </w:r>
    </w:p>
    <w:p w14:paraId="3C37BE1A">
      <w:pPr>
        <w:spacing w:line="360" w:lineRule="auto"/>
        <w:ind w:firstLine="480" w:firstLineChars="200"/>
      </w:pPr>
      <w:r>
        <w:t>5.2</w:t>
      </w:r>
      <w:r>
        <w:rPr>
          <w:rFonts w:hAnsi="仿宋"/>
        </w:rPr>
        <w:t>与本项目有关的</w:t>
      </w:r>
      <w:r>
        <w:rPr>
          <w:rFonts w:hAnsi="仿宋"/>
          <w:bCs/>
        </w:rPr>
        <w:t>澄清或者修改的内容为招标文件的组成部分</w:t>
      </w:r>
      <w:r>
        <w:rPr>
          <w:rFonts w:hAnsi="仿宋"/>
        </w:rPr>
        <w:t>。</w:t>
      </w:r>
    </w:p>
    <w:p w14:paraId="21191EF9">
      <w:pPr>
        <w:pStyle w:val="33"/>
        <w:spacing w:line="360" w:lineRule="auto"/>
        <w:rPr>
          <w:rFonts w:ascii="Times New Roman" w:hAnsi="Times New Roman" w:cs="Times New Roman"/>
          <w:b/>
          <w:szCs w:val="24"/>
        </w:rPr>
      </w:pPr>
      <w:r>
        <w:rPr>
          <w:rFonts w:ascii="Times New Roman" w:hAnsi="Times New Roman" w:cs="Times New Roman"/>
          <w:b/>
          <w:szCs w:val="24"/>
        </w:rPr>
        <w:t xml:space="preserve">6. </w:t>
      </w:r>
      <w:r>
        <w:rPr>
          <w:rFonts w:ascii="Times New Roman" w:hAnsi="仿宋" w:cs="Times New Roman"/>
          <w:b/>
          <w:szCs w:val="24"/>
        </w:rPr>
        <w:t>招标文件的澄清、修改</w:t>
      </w:r>
    </w:p>
    <w:p w14:paraId="517CE0CF">
      <w:pPr>
        <w:pStyle w:val="133"/>
        <w:snapToGrid w:val="0"/>
        <w:spacing w:before="0"/>
        <w:ind w:firstLine="480"/>
      </w:pPr>
      <w:r>
        <w:t>6.1</w:t>
      </w:r>
      <w:r>
        <w:rPr>
          <w:rFonts w:hAnsi="仿宋"/>
        </w:rPr>
        <w:t>已获取招标文件的潜在投标人，若有问题需要澄清，应于投标截止时间前，以书面形式向采购机构提出。</w:t>
      </w:r>
    </w:p>
    <w:p w14:paraId="02CEDA0B">
      <w:pPr>
        <w:pStyle w:val="133"/>
        <w:snapToGrid w:val="0"/>
        <w:spacing w:before="0"/>
        <w:ind w:firstLine="480"/>
      </w:pPr>
      <w:r>
        <w:t xml:space="preserve">6.2 </w:t>
      </w:r>
      <w:r>
        <w:rPr>
          <w:rFonts w:hAnsi="仿宋"/>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6C8CA1D">
      <w:pPr>
        <w:pStyle w:val="23"/>
        <w:rPr>
          <w:rFonts w:ascii="Times New Roman" w:hAnsi="Times New Roman" w:cs="Times New Roman"/>
          <w:sz w:val="18"/>
          <w:szCs w:val="18"/>
          <w:lang w:val="en-US"/>
        </w:rPr>
      </w:pPr>
    </w:p>
    <w:p w14:paraId="45144190">
      <w:pPr>
        <w:adjustRightInd/>
        <w:spacing w:line="360" w:lineRule="auto"/>
        <w:jc w:val="center"/>
        <w:outlineLvl w:val="0"/>
        <w:rPr>
          <w:b/>
          <w:sz w:val="30"/>
          <w:szCs w:val="20"/>
        </w:rPr>
      </w:pPr>
      <w:r>
        <w:rPr>
          <w:rFonts w:hAnsi="仿宋"/>
          <w:b/>
          <w:sz w:val="30"/>
          <w:szCs w:val="20"/>
        </w:rPr>
        <w:t>三、投标</w:t>
      </w:r>
    </w:p>
    <w:p w14:paraId="515E3DF6">
      <w:pPr>
        <w:pStyle w:val="33"/>
        <w:spacing w:line="360" w:lineRule="auto"/>
        <w:rPr>
          <w:rFonts w:ascii="Times New Roman" w:hAnsi="Times New Roman" w:cs="Times New Roman"/>
          <w:b/>
          <w:szCs w:val="24"/>
        </w:rPr>
      </w:pPr>
      <w:r>
        <w:rPr>
          <w:rFonts w:ascii="Times New Roman" w:hAnsi="Times New Roman" w:cs="Times New Roman"/>
          <w:b/>
          <w:szCs w:val="24"/>
        </w:rPr>
        <w:t xml:space="preserve">7. </w:t>
      </w:r>
      <w:r>
        <w:rPr>
          <w:rFonts w:ascii="Times New Roman" w:hAnsi="仿宋" w:cs="Times New Roman"/>
          <w:b/>
          <w:szCs w:val="24"/>
        </w:rPr>
        <w:t>招标文件的获取</w:t>
      </w:r>
    </w:p>
    <w:p w14:paraId="19A40BDF">
      <w:pPr>
        <w:spacing w:line="360" w:lineRule="auto"/>
        <w:ind w:firstLine="480" w:firstLineChars="200"/>
        <w:rPr>
          <w:snapToGrid w:val="0"/>
          <w:kern w:val="28"/>
        </w:rPr>
      </w:pPr>
      <w:r>
        <w:rPr>
          <w:rFonts w:hAnsi="仿宋"/>
          <w:snapToGrid w:val="0"/>
          <w:kern w:val="28"/>
        </w:rPr>
        <w:t>详见招标公告中获取招标文件的时间期限、地点、方式及招标文件售价。</w:t>
      </w:r>
    </w:p>
    <w:p w14:paraId="18A64262">
      <w:pPr>
        <w:pStyle w:val="33"/>
        <w:spacing w:line="360" w:lineRule="auto"/>
        <w:rPr>
          <w:rFonts w:ascii="Times New Roman" w:hAnsi="Times New Roman" w:cs="Times New Roman"/>
          <w:b/>
          <w:szCs w:val="24"/>
        </w:rPr>
      </w:pPr>
      <w:r>
        <w:rPr>
          <w:rFonts w:ascii="Times New Roman" w:hAnsi="Times New Roman" w:cs="Times New Roman"/>
          <w:b/>
          <w:szCs w:val="24"/>
        </w:rPr>
        <w:t>8.</w:t>
      </w:r>
      <w:r>
        <w:rPr>
          <w:rFonts w:ascii="Times New Roman" w:hAnsi="仿宋" w:cs="Times New Roman"/>
          <w:b/>
          <w:szCs w:val="24"/>
        </w:rPr>
        <w:t>开标前答疑会或现场考察</w:t>
      </w:r>
    </w:p>
    <w:p w14:paraId="351BD68B">
      <w:pPr>
        <w:pStyle w:val="33"/>
        <w:spacing w:line="360" w:lineRule="auto"/>
        <w:ind w:firstLine="480" w:firstLineChars="200"/>
        <w:rPr>
          <w:rFonts w:ascii="Times New Roman" w:hAnsi="Times New Roman" w:cs="Times New Roman"/>
          <w:szCs w:val="24"/>
        </w:rPr>
      </w:pPr>
      <w:r>
        <w:rPr>
          <w:rFonts w:ascii="Times New Roman" w:hAnsi="仿宋" w:cs="Times New Roman"/>
          <w:szCs w:val="24"/>
        </w:rPr>
        <w:t>采购人组织潜在投标人现场考察或者召开开标前答疑会的，潜在投标人按第二部分投标人须知前附表的规定参加现场考察或者开标前答疑会。</w:t>
      </w:r>
    </w:p>
    <w:p w14:paraId="32139F3B">
      <w:pPr>
        <w:pStyle w:val="33"/>
        <w:spacing w:line="360" w:lineRule="auto"/>
        <w:rPr>
          <w:rFonts w:ascii="Times New Roman" w:hAnsi="Times New Roman" w:cs="Times New Roman"/>
          <w:b/>
          <w:szCs w:val="24"/>
        </w:rPr>
      </w:pPr>
      <w:r>
        <w:rPr>
          <w:rFonts w:ascii="Times New Roman" w:hAnsi="Times New Roman" w:cs="Times New Roman"/>
          <w:b/>
          <w:kern w:val="28"/>
          <w:szCs w:val="24"/>
        </w:rPr>
        <w:t>9.</w:t>
      </w:r>
      <w:r>
        <w:rPr>
          <w:rFonts w:ascii="Times New Roman" w:hAnsi="仿宋" w:cs="Times New Roman"/>
          <w:b/>
          <w:kern w:val="28"/>
          <w:szCs w:val="24"/>
        </w:rPr>
        <w:t>投标保证金</w:t>
      </w:r>
    </w:p>
    <w:p w14:paraId="1BA10C57">
      <w:pPr>
        <w:pStyle w:val="15"/>
        <w:spacing w:line="360" w:lineRule="auto"/>
        <w:ind w:firstLine="470" w:firstLineChars="196"/>
        <w:rPr>
          <w:rFonts w:ascii="Times New Roman"/>
          <w:color w:val="auto"/>
          <w:sz w:val="24"/>
        </w:rPr>
      </w:pPr>
      <w:r>
        <w:rPr>
          <w:rFonts w:ascii="Times New Roman" w:hAnsi="仿宋"/>
          <w:color w:val="auto"/>
          <w:sz w:val="24"/>
        </w:rPr>
        <w:t>本项目不需缴纳投标保证金。</w:t>
      </w:r>
    </w:p>
    <w:p w14:paraId="0A830BD3">
      <w:pPr>
        <w:pStyle w:val="33"/>
        <w:spacing w:line="360" w:lineRule="auto"/>
        <w:rPr>
          <w:rFonts w:ascii="Times New Roman" w:hAnsi="Times New Roman" w:cs="Times New Roman"/>
          <w:b/>
          <w:szCs w:val="24"/>
        </w:rPr>
      </w:pPr>
      <w:r>
        <w:rPr>
          <w:rFonts w:ascii="Times New Roman" w:hAnsi="Times New Roman" w:cs="Times New Roman"/>
          <w:b/>
          <w:szCs w:val="24"/>
        </w:rPr>
        <w:t xml:space="preserve">10. </w:t>
      </w:r>
      <w:r>
        <w:rPr>
          <w:rFonts w:ascii="Times New Roman" w:hAnsi="仿宋" w:cs="Times New Roman"/>
          <w:b/>
          <w:szCs w:val="24"/>
        </w:rPr>
        <w:t>投标文件的语言</w:t>
      </w:r>
    </w:p>
    <w:p w14:paraId="3510667A">
      <w:pPr>
        <w:autoSpaceDE w:val="0"/>
        <w:autoSpaceDN w:val="0"/>
        <w:spacing w:line="360" w:lineRule="auto"/>
        <w:ind w:firstLine="480" w:firstLineChars="200"/>
        <w:rPr>
          <w:lang w:val="zh-CN"/>
        </w:rPr>
      </w:pPr>
      <w:r>
        <w:rPr>
          <w:rFonts w:hAnsi="仿宋"/>
        </w:rPr>
        <w:t>投标文件及投标人与采购有关的来往通知、函件和文件均应使用中文。</w:t>
      </w:r>
    </w:p>
    <w:p w14:paraId="0466CF10">
      <w:pPr>
        <w:pStyle w:val="33"/>
        <w:spacing w:line="360" w:lineRule="auto"/>
        <w:rPr>
          <w:rFonts w:ascii="Times New Roman" w:hAnsi="Times New Roman" w:cs="Times New Roman"/>
          <w:b/>
          <w:szCs w:val="24"/>
        </w:rPr>
      </w:pPr>
      <w:r>
        <w:rPr>
          <w:rFonts w:ascii="Times New Roman" w:hAnsi="Times New Roman" w:cs="Times New Roman"/>
          <w:b/>
          <w:szCs w:val="24"/>
        </w:rPr>
        <w:t xml:space="preserve">11. </w:t>
      </w:r>
      <w:r>
        <w:rPr>
          <w:rFonts w:ascii="Times New Roman" w:hAnsi="仿宋" w:cs="Times New Roman"/>
          <w:b/>
          <w:szCs w:val="24"/>
        </w:rPr>
        <w:t>投标文件的组成</w:t>
      </w:r>
    </w:p>
    <w:p w14:paraId="2BF2B13F">
      <w:pPr>
        <w:snapToGrid w:val="0"/>
        <w:spacing w:line="360" w:lineRule="auto"/>
        <w:ind w:firstLine="480" w:firstLineChars="200"/>
      </w:pPr>
      <w:r>
        <w:t>11.1</w:t>
      </w:r>
      <w:r>
        <w:rPr>
          <w:rFonts w:hAnsi="仿宋"/>
          <w:b/>
        </w:rPr>
        <w:t>资格文件</w:t>
      </w:r>
      <w:r>
        <w:rPr>
          <w:rFonts w:hAnsi="仿宋"/>
        </w:rPr>
        <w:t>：</w:t>
      </w:r>
    </w:p>
    <w:p w14:paraId="529DDEC7">
      <w:pPr>
        <w:snapToGrid w:val="0"/>
        <w:spacing w:line="360" w:lineRule="auto"/>
        <w:ind w:firstLine="960" w:firstLineChars="400"/>
      </w:pPr>
      <w:r>
        <w:t>11.1.1</w:t>
      </w:r>
      <w:r>
        <w:rPr>
          <w:rFonts w:hAnsi="仿宋"/>
        </w:rPr>
        <w:t>符合参加政府采购活动应当具备的一般条件的承诺函；</w:t>
      </w:r>
    </w:p>
    <w:p w14:paraId="454285A3">
      <w:pPr>
        <w:snapToGrid w:val="0"/>
        <w:spacing w:line="360" w:lineRule="auto"/>
        <w:ind w:firstLine="960" w:firstLineChars="400"/>
      </w:pPr>
      <w:r>
        <w:t>11.1.2</w:t>
      </w:r>
      <w:r>
        <w:rPr>
          <w:rFonts w:hAnsi="仿宋"/>
        </w:rPr>
        <w:t>落实政府采购政策需满足的资格要求；</w:t>
      </w:r>
    </w:p>
    <w:p w14:paraId="5A9FF1C6">
      <w:pPr>
        <w:snapToGrid w:val="0"/>
        <w:spacing w:line="360" w:lineRule="auto"/>
        <w:ind w:firstLine="960" w:firstLineChars="400"/>
      </w:pPr>
      <w:r>
        <w:t>11.1.3</w:t>
      </w:r>
      <w:r>
        <w:rPr>
          <w:rFonts w:hAnsi="仿宋"/>
        </w:rPr>
        <w:t>本项目的特定资格要求。</w:t>
      </w:r>
    </w:p>
    <w:p w14:paraId="330CAD43">
      <w:pPr>
        <w:snapToGrid w:val="0"/>
        <w:spacing w:line="360" w:lineRule="auto"/>
        <w:ind w:firstLine="480" w:firstLineChars="200"/>
        <w:rPr>
          <w:lang w:val="zh-CN"/>
        </w:rPr>
      </w:pPr>
      <w:r>
        <w:rPr>
          <w:lang w:val="zh-CN"/>
        </w:rPr>
        <w:t>11.</w:t>
      </w:r>
      <w:r>
        <w:t>2</w:t>
      </w:r>
      <w:r>
        <w:rPr>
          <w:rFonts w:hAnsi="仿宋"/>
        </w:rPr>
        <w:t>商务技术</w:t>
      </w:r>
      <w:r>
        <w:rPr>
          <w:rFonts w:hAnsi="仿宋"/>
          <w:lang w:val="zh-CN"/>
        </w:rPr>
        <w:t>文件：</w:t>
      </w:r>
    </w:p>
    <w:p w14:paraId="5782D359">
      <w:pPr>
        <w:snapToGrid w:val="0"/>
        <w:spacing w:line="360" w:lineRule="auto"/>
        <w:ind w:firstLine="960" w:firstLineChars="400"/>
      </w:pPr>
      <w:r>
        <w:t>11.2.1</w:t>
      </w:r>
      <w:r>
        <w:rPr>
          <w:rFonts w:hAnsi="仿宋"/>
        </w:rPr>
        <w:t>投标函；</w:t>
      </w:r>
    </w:p>
    <w:p w14:paraId="031407B4">
      <w:pPr>
        <w:snapToGrid w:val="0"/>
        <w:spacing w:line="360" w:lineRule="auto"/>
        <w:ind w:firstLine="960" w:firstLineChars="400"/>
      </w:pPr>
      <w:r>
        <w:t>11.2.2</w:t>
      </w:r>
      <w:r>
        <w:rPr>
          <w:rFonts w:hAnsi="仿宋"/>
        </w:rPr>
        <w:t>授权委托书或法定代表人（单位负责人、自然人本人）身份证明；</w:t>
      </w:r>
    </w:p>
    <w:p w14:paraId="0FEB21BB">
      <w:pPr>
        <w:snapToGrid w:val="0"/>
        <w:spacing w:line="360" w:lineRule="auto"/>
        <w:ind w:firstLine="960" w:firstLineChars="400"/>
      </w:pPr>
      <w:r>
        <w:t>11.2.3</w:t>
      </w:r>
      <w:r>
        <w:rPr>
          <w:rFonts w:hAnsi="仿宋"/>
        </w:rPr>
        <w:t>联合协议；</w:t>
      </w:r>
    </w:p>
    <w:p w14:paraId="770D1245">
      <w:pPr>
        <w:snapToGrid w:val="0"/>
        <w:spacing w:line="360" w:lineRule="auto"/>
        <w:ind w:firstLine="960" w:firstLineChars="400"/>
      </w:pPr>
      <w:r>
        <w:t>11.2.4</w:t>
      </w:r>
      <w:r>
        <w:rPr>
          <w:rFonts w:hAnsi="仿宋"/>
        </w:rPr>
        <w:t>分包意向协议；</w:t>
      </w:r>
    </w:p>
    <w:p w14:paraId="66829B02">
      <w:pPr>
        <w:snapToGrid w:val="0"/>
        <w:spacing w:line="360" w:lineRule="auto"/>
        <w:ind w:firstLine="960" w:firstLineChars="400"/>
      </w:pPr>
      <w:r>
        <w:t>11.2.5</w:t>
      </w:r>
      <w:r>
        <w:rPr>
          <w:rFonts w:hAnsi="仿宋"/>
        </w:rPr>
        <w:t>符合性审查资料；</w:t>
      </w:r>
    </w:p>
    <w:p w14:paraId="01FDA21D">
      <w:pPr>
        <w:snapToGrid w:val="0"/>
        <w:spacing w:line="360" w:lineRule="auto"/>
        <w:ind w:firstLine="960" w:firstLineChars="400"/>
      </w:pPr>
      <w:r>
        <w:t>11.2.6</w:t>
      </w:r>
      <w:r>
        <w:rPr>
          <w:rFonts w:hAnsi="仿宋"/>
        </w:rPr>
        <w:t>评标标准相应的商务技术资料；</w:t>
      </w:r>
    </w:p>
    <w:p w14:paraId="6B50B30E">
      <w:pPr>
        <w:snapToGrid w:val="0"/>
        <w:spacing w:line="360" w:lineRule="auto"/>
        <w:ind w:firstLine="960" w:firstLineChars="400"/>
      </w:pPr>
      <w:r>
        <w:t>11.2.7</w:t>
      </w:r>
      <w:r>
        <w:rPr>
          <w:rFonts w:hAnsi="仿宋"/>
        </w:rPr>
        <w:t>商务技术偏离表；</w:t>
      </w:r>
    </w:p>
    <w:p w14:paraId="6BD7B178">
      <w:pPr>
        <w:snapToGrid w:val="0"/>
        <w:spacing w:line="360" w:lineRule="auto"/>
        <w:ind w:firstLine="960" w:firstLineChars="400"/>
        <w:rPr>
          <w:lang w:val="zh-CN"/>
        </w:rPr>
      </w:pPr>
      <w:r>
        <w:rPr>
          <w:lang w:val="zh-CN"/>
        </w:rPr>
        <w:t>11.</w:t>
      </w:r>
      <w:r>
        <w:t>2</w:t>
      </w:r>
      <w:r>
        <w:rPr>
          <w:lang w:val="zh-CN"/>
        </w:rPr>
        <w:t>.</w:t>
      </w:r>
      <w:r>
        <w:t>8</w:t>
      </w:r>
      <w:r>
        <w:rPr>
          <w:rFonts w:hAnsi="仿宋"/>
          <w:lang w:val="zh-CN"/>
        </w:rPr>
        <w:t>政府采购供应商廉洁自律承诺书；</w:t>
      </w:r>
    </w:p>
    <w:p w14:paraId="2F7D2E24">
      <w:pPr>
        <w:snapToGrid w:val="0"/>
        <w:spacing w:line="360" w:lineRule="auto"/>
        <w:ind w:firstLine="480" w:firstLineChars="200"/>
        <w:rPr>
          <w:u w:val="single"/>
          <w:lang w:val="zh-CN"/>
        </w:rPr>
      </w:pPr>
      <w:r>
        <w:rPr>
          <w:kern w:val="0"/>
          <w:lang w:val="zh-CN"/>
        </w:rPr>
        <w:t>11.</w:t>
      </w:r>
      <w:r>
        <w:rPr>
          <w:kern w:val="0"/>
        </w:rPr>
        <w:t>3</w:t>
      </w:r>
      <w:r>
        <w:rPr>
          <w:rFonts w:hAnsi="仿宋"/>
          <w:b/>
        </w:rPr>
        <w:t>报价文件：</w:t>
      </w:r>
    </w:p>
    <w:p w14:paraId="2193AE79">
      <w:pPr>
        <w:snapToGrid w:val="0"/>
        <w:spacing w:line="360" w:lineRule="auto"/>
        <w:ind w:firstLine="960" w:firstLineChars="400"/>
      </w:pPr>
      <w:r>
        <w:t>11.3.1</w:t>
      </w:r>
      <w:r>
        <w:rPr>
          <w:rFonts w:hAnsi="仿宋"/>
        </w:rPr>
        <w:t>开标一览表（报价表）；</w:t>
      </w:r>
    </w:p>
    <w:p w14:paraId="2FA796D6">
      <w:pPr>
        <w:snapToGrid w:val="0"/>
        <w:spacing w:line="360" w:lineRule="auto"/>
        <w:ind w:firstLine="960" w:firstLineChars="400"/>
      </w:pPr>
      <w:r>
        <w:t>11.3.2</w:t>
      </w:r>
      <w:r>
        <w:rPr>
          <w:rFonts w:hAnsi="仿宋"/>
        </w:rPr>
        <w:t>分项报价表。</w:t>
      </w:r>
    </w:p>
    <w:p w14:paraId="1CCBA712">
      <w:pPr>
        <w:spacing w:line="360" w:lineRule="auto"/>
        <w:ind w:firstLine="723" w:firstLineChars="300"/>
        <w:rPr>
          <w:b/>
        </w:rPr>
      </w:pPr>
      <w:r>
        <w:rPr>
          <w:rFonts w:hAnsi="仿宋"/>
          <w:b/>
        </w:rPr>
        <w:t>投标文件含有采购人不能接受的附加条件的，投标无效；</w:t>
      </w:r>
    </w:p>
    <w:p w14:paraId="1EA52DE6">
      <w:pPr>
        <w:spacing w:line="360" w:lineRule="auto"/>
        <w:ind w:firstLine="723" w:firstLineChars="300"/>
        <w:rPr>
          <w:b/>
          <w:szCs w:val="21"/>
        </w:rPr>
      </w:pPr>
      <w:r>
        <w:rPr>
          <w:rFonts w:hAnsi="仿宋"/>
          <w:b/>
        </w:rPr>
        <w:t>投标人提供虚假材料投标的，投标无效。</w:t>
      </w:r>
    </w:p>
    <w:p w14:paraId="1078D5CE">
      <w:pPr>
        <w:pStyle w:val="133"/>
        <w:snapToGrid w:val="0"/>
        <w:spacing w:before="0"/>
        <w:ind w:firstLine="0" w:firstLineChars="0"/>
        <w:outlineLvl w:val="0"/>
        <w:rPr>
          <w:b/>
          <w:szCs w:val="24"/>
        </w:rPr>
      </w:pPr>
      <w:r>
        <w:rPr>
          <w:b/>
          <w:szCs w:val="24"/>
        </w:rPr>
        <w:t>12</w:t>
      </w:r>
      <w:r>
        <w:rPr>
          <w:b/>
          <w:kern w:val="0"/>
          <w:szCs w:val="24"/>
          <w:lang w:val="zh-CN"/>
        </w:rPr>
        <w:t xml:space="preserve">. </w:t>
      </w:r>
      <w:r>
        <w:rPr>
          <w:rFonts w:hAnsi="仿宋"/>
          <w:b/>
          <w:szCs w:val="24"/>
        </w:rPr>
        <w:t>投标文件的编制</w:t>
      </w:r>
    </w:p>
    <w:p w14:paraId="3E78254E">
      <w:pPr>
        <w:spacing w:line="360" w:lineRule="auto"/>
        <w:ind w:firstLine="480" w:firstLineChars="200"/>
        <w:rPr>
          <w:b/>
        </w:rPr>
      </w:pPr>
      <w:r>
        <w:rPr>
          <w:kern w:val="0"/>
          <w:lang w:val="zh-CN"/>
        </w:rPr>
        <w:t>12.1</w:t>
      </w:r>
      <w:r>
        <w:rPr>
          <w:rFonts w:hAnsi="仿宋"/>
          <w:kern w:val="0"/>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6960B32">
      <w:pPr>
        <w:spacing w:line="360" w:lineRule="auto"/>
        <w:ind w:firstLine="480" w:firstLineChars="200"/>
        <w:rPr>
          <w:kern w:val="0"/>
          <w:lang w:val="zh-CN"/>
        </w:rPr>
      </w:pPr>
      <w:r>
        <w:rPr>
          <w:kern w:val="0"/>
          <w:lang w:val="zh-CN"/>
        </w:rPr>
        <w:t>12.2</w:t>
      </w:r>
      <w:r>
        <w:rPr>
          <w:rFonts w:hAnsi="仿宋"/>
          <w:kern w:val="0"/>
          <w:lang w:val="zh-CN"/>
        </w:rPr>
        <w:t>投标人进行电子投标应安装客户端软件</w:t>
      </w:r>
      <w:r>
        <w:rPr>
          <w:kern w:val="0"/>
          <w:lang w:val="zh-CN"/>
        </w:rPr>
        <w:t>—“</w:t>
      </w:r>
      <w:r>
        <w:rPr>
          <w:rFonts w:hAnsi="仿宋"/>
          <w:kern w:val="0"/>
          <w:lang w:val="zh-CN"/>
        </w:rPr>
        <w:t>政采云电子交易客户端</w:t>
      </w:r>
      <w:r>
        <w:rPr>
          <w:kern w:val="0"/>
          <w:lang w:val="zh-CN"/>
        </w:rPr>
        <w:t>”</w:t>
      </w:r>
      <w:r>
        <w:rPr>
          <w:rFonts w:hAnsi="仿宋"/>
          <w:kern w:val="0"/>
          <w:lang w:val="zh-CN"/>
        </w:rPr>
        <w:t>，并按照招标文件和电子交易平台的要求编制并加密投标文件。投标人未按规定加密的投标文件，电子交易平台将拒收并提示。</w:t>
      </w:r>
    </w:p>
    <w:p w14:paraId="041B053E">
      <w:pPr>
        <w:spacing w:line="360" w:lineRule="auto"/>
        <w:ind w:firstLine="480" w:firstLineChars="200"/>
        <w:rPr>
          <w:kern w:val="0"/>
          <w:lang w:val="zh-CN"/>
        </w:rPr>
      </w:pPr>
      <w:r>
        <w:rPr>
          <w:kern w:val="0"/>
          <w:lang w:val="zh-CN"/>
        </w:rPr>
        <w:t>12.3</w:t>
      </w:r>
      <w:r>
        <w:rPr>
          <w:rFonts w:hAnsi="仿宋"/>
          <w:kern w:val="0"/>
          <w:lang w:val="zh-CN"/>
        </w:rPr>
        <w:t>使用</w:t>
      </w:r>
      <w:r>
        <w:rPr>
          <w:kern w:val="0"/>
          <w:lang w:val="zh-CN"/>
        </w:rPr>
        <w:t>“</w:t>
      </w:r>
      <w:r>
        <w:rPr>
          <w:rFonts w:hAnsi="仿宋"/>
          <w:kern w:val="0"/>
          <w:lang w:val="zh-CN"/>
        </w:rPr>
        <w:t>政采云电子交易客户端</w:t>
      </w:r>
      <w:r>
        <w:rPr>
          <w:kern w:val="0"/>
          <w:lang w:val="zh-CN"/>
        </w:rPr>
        <w:t>”</w:t>
      </w:r>
      <w:r>
        <w:rPr>
          <w:rFonts w:hAnsi="仿宋"/>
          <w:kern w:val="0"/>
          <w:lang w:val="zh-CN"/>
        </w:rPr>
        <w:t>需要提前申领</w:t>
      </w:r>
      <w:r>
        <w:rPr>
          <w:kern w:val="0"/>
          <w:lang w:val="zh-CN"/>
        </w:rPr>
        <w:t>CA</w:t>
      </w:r>
      <w:r>
        <w:rPr>
          <w:rFonts w:hAnsi="仿宋"/>
          <w:kern w:val="0"/>
          <w:lang w:val="zh-CN"/>
        </w:rPr>
        <w:t>数字证书，申领流程请自行前往</w:t>
      </w:r>
      <w:r>
        <w:rPr>
          <w:kern w:val="0"/>
          <w:lang w:val="zh-CN"/>
        </w:rPr>
        <w:t>“</w:t>
      </w:r>
      <w:r>
        <w:rPr>
          <w:rFonts w:hAnsi="仿宋"/>
          <w:kern w:val="0"/>
          <w:lang w:val="zh-CN"/>
        </w:rPr>
        <w:t>浙江政府采购网</w:t>
      </w:r>
      <w:r>
        <w:rPr>
          <w:kern w:val="0"/>
          <w:lang w:val="zh-CN"/>
        </w:rPr>
        <w:t>-</w:t>
      </w:r>
      <w:r>
        <w:rPr>
          <w:rFonts w:hAnsi="仿宋"/>
          <w:kern w:val="0"/>
          <w:lang w:val="zh-CN"/>
        </w:rPr>
        <w:t>下载专区</w:t>
      </w:r>
      <w:r>
        <w:rPr>
          <w:kern w:val="0"/>
          <w:lang w:val="zh-CN"/>
        </w:rPr>
        <w:t>-</w:t>
      </w:r>
      <w:r>
        <w:rPr>
          <w:rFonts w:hAnsi="仿宋"/>
          <w:kern w:val="0"/>
          <w:lang w:val="zh-CN"/>
        </w:rPr>
        <w:t>电子交易客户端</w:t>
      </w:r>
      <w:r>
        <w:rPr>
          <w:kern w:val="0"/>
          <w:lang w:val="zh-CN"/>
        </w:rPr>
        <w:t>-CA</w:t>
      </w:r>
      <w:r>
        <w:rPr>
          <w:rFonts w:hAnsi="仿宋"/>
          <w:kern w:val="0"/>
          <w:lang w:val="zh-CN"/>
        </w:rPr>
        <w:t>驱动和申领流程</w:t>
      </w:r>
      <w:r>
        <w:rPr>
          <w:kern w:val="0"/>
          <w:lang w:val="zh-CN"/>
        </w:rPr>
        <w:t>”</w:t>
      </w:r>
      <w:r>
        <w:rPr>
          <w:rFonts w:hAnsi="仿宋"/>
          <w:kern w:val="0"/>
          <w:lang w:val="zh-CN"/>
        </w:rPr>
        <w:t>进行查阅。</w:t>
      </w:r>
    </w:p>
    <w:p w14:paraId="429D8017">
      <w:pPr>
        <w:snapToGrid w:val="0"/>
        <w:spacing w:line="360" w:lineRule="auto"/>
        <w:rPr>
          <w:b/>
        </w:rPr>
      </w:pPr>
      <w:r>
        <w:rPr>
          <w:b/>
        </w:rPr>
        <w:t>13.</w:t>
      </w:r>
      <w:r>
        <w:rPr>
          <w:rFonts w:hAnsi="仿宋"/>
          <w:b/>
        </w:rPr>
        <w:t>投标文件的签署、盖章</w:t>
      </w:r>
    </w:p>
    <w:p w14:paraId="1F0084CB">
      <w:pPr>
        <w:pStyle w:val="133"/>
        <w:snapToGrid w:val="0"/>
        <w:spacing w:before="0"/>
        <w:ind w:firstLine="480"/>
        <w:rPr>
          <w:b/>
        </w:rPr>
      </w:pPr>
      <w:r>
        <w:rPr>
          <w:szCs w:val="24"/>
        </w:rPr>
        <w:t>13.1</w:t>
      </w:r>
      <w:r>
        <w:rPr>
          <w:rFonts w:hAnsi="仿宋"/>
          <w:szCs w:val="24"/>
        </w:rPr>
        <w:t>投标文件按照招标文件第六部分格式要</w:t>
      </w:r>
      <w:r>
        <w:rPr>
          <w:rFonts w:hAnsi="仿宋"/>
        </w:rPr>
        <w:t>求进行签署、盖章。</w:t>
      </w:r>
      <w:r>
        <w:rPr>
          <w:b/>
        </w:rPr>
        <w:t>▲</w:t>
      </w:r>
      <w:r>
        <w:rPr>
          <w:rFonts w:hAnsi="仿宋"/>
          <w:b/>
        </w:rPr>
        <w:t>投标人的投标文件未按照招标文件要求签署、盖章的，其投标无效</w:t>
      </w:r>
      <w:r>
        <w:rPr>
          <w:rFonts w:hAnsi="仿宋"/>
          <w:szCs w:val="24"/>
        </w:rPr>
        <w:t>。</w:t>
      </w:r>
    </w:p>
    <w:p w14:paraId="60BADDF0">
      <w:pPr>
        <w:pStyle w:val="133"/>
        <w:snapToGrid w:val="0"/>
        <w:spacing w:before="0"/>
        <w:ind w:firstLine="480"/>
      </w:pPr>
      <w:r>
        <w:t>13.2</w:t>
      </w:r>
      <w:r>
        <w:rPr>
          <w:rFonts w:hAnsi="仿宋"/>
        </w:rPr>
        <w:t>为确保网上操作合法、有效和安全，投标人应当在投标截止时间前完成在</w:t>
      </w:r>
      <w:r>
        <w:t>“</w:t>
      </w:r>
      <w:r>
        <w:rPr>
          <w:rFonts w:hAnsi="仿宋"/>
        </w:rPr>
        <w:t>政府采购云平台</w:t>
      </w:r>
      <w:r>
        <w:t>”</w:t>
      </w:r>
      <w:r>
        <w:rPr>
          <w:rFonts w:hAnsi="仿宋"/>
        </w:rPr>
        <w:t>的身份认证，确保在电子投标过程中能够对相关数据电文进行加密和使用电子签名。</w:t>
      </w:r>
    </w:p>
    <w:p w14:paraId="7A0D1414">
      <w:pPr>
        <w:pStyle w:val="133"/>
        <w:snapToGrid w:val="0"/>
        <w:spacing w:before="0"/>
        <w:ind w:firstLine="480"/>
        <w:rPr>
          <w:szCs w:val="24"/>
        </w:rPr>
      </w:pPr>
      <w:r>
        <w:t>13.3</w:t>
      </w:r>
      <w:r>
        <w:rPr>
          <w:rFonts w:hAnsi="仿宋"/>
        </w:rPr>
        <w:t>招标文件对投标文件签署、盖章的要求适用于电子签名。</w:t>
      </w:r>
    </w:p>
    <w:p w14:paraId="5FF22B7A">
      <w:pPr>
        <w:pStyle w:val="133"/>
        <w:spacing w:before="0"/>
        <w:ind w:firstLine="0" w:firstLineChars="0"/>
        <w:rPr>
          <w:b/>
          <w:szCs w:val="24"/>
        </w:rPr>
      </w:pPr>
      <w:r>
        <w:rPr>
          <w:b/>
          <w:szCs w:val="24"/>
        </w:rPr>
        <w:t xml:space="preserve">14. </w:t>
      </w:r>
      <w:r>
        <w:rPr>
          <w:rFonts w:hAnsi="仿宋"/>
          <w:b/>
          <w:szCs w:val="24"/>
        </w:rPr>
        <w:t>投标文件的提交、补充、修改、撤回</w:t>
      </w:r>
    </w:p>
    <w:p w14:paraId="18BC942D">
      <w:pPr>
        <w:pStyle w:val="133"/>
        <w:ind w:firstLine="480"/>
        <w:rPr>
          <w:szCs w:val="24"/>
        </w:rPr>
      </w:pPr>
      <w:r>
        <w:rPr>
          <w:szCs w:val="24"/>
        </w:rPr>
        <w:t xml:space="preserve">14.1 </w:t>
      </w:r>
      <w:r>
        <w:rPr>
          <w:rFonts w:hAnsi="仿宋"/>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4B013BC">
      <w:pPr>
        <w:pStyle w:val="133"/>
        <w:spacing w:before="0"/>
        <w:ind w:firstLine="480"/>
        <w:rPr>
          <w:szCs w:val="24"/>
        </w:rPr>
      </w:pPr>
      <w:r>
        <w:rPr>
          <w:szCs w:val="24"/>
        </w:rPr>
        <w:t>14.2</w:t>
      </w:r>
      <w:r>
        <w:rPr>
          <w:rFonts w:hAnsi="仿宋"/>
          <w:szCs w:val="24"/>
        </w:rPr>
        <w:t>电子交易平台收到投标文件，将妥善保存并即时向供应商发出确认回执通知。在投标截止时间前，除供应商补充、修改或者撤回投标文件外，任何单位和个人不得解密或提取投标文件。</w:t>
      </w:r>
    </w:p>
    <w:p w14:paraId="1E7CFBB2">
      <w:pPr>
        <w:pStyle w:val="133"/>
        <w:spacing w:before="0"/>
        <w:ind w:firstLine="480"/>
        <w:rPr>
          <w:szCs w:val="24"/>
        </w:rPr>
      </w:pPr>
      <w:r>
        <w:rPr>
          <w:szCs w:val="24"/>
        </w:rPr>
        <w:t>14.3</w:t>
      </w:r>
      <w:r>
        <w:rPr>
          <w:rFonts w:hAnsi="仿宋"/>
          <w:szCs w:val="24"/>
        </w:rPr>
        <w:t>采购人、采购机构可以视情况延长投标文件提交的截止时间。在上述情况下，采购机构与投标人以前在投标截止期方面的全部权利、责任和义务，将适用于延长至新的投标截止期。</w:t>
      </w:r>
    </w:p>
    <w:p w14:paraId="4B161A3E">
      <w:pPr>
        <w:pStyle w:val="33"/>
        <w:spacing w:line="360" w:lineRule="auto"/>
        <w:rPr>
          <w:rFonts w:ascii="Times New Roman" w:hAnsi="Times New Roman" w:cs="Times New Roman"/>
          <w:b/>
          <w:szCs w:val="24"/>
        </w:rPr>
      </w:pPr>
      <w:r>
        <w:rPr>
          <w:rFonts w:ascii="Times New Roman" w:hAnsi="Times New Roman" w:cs="Times New Roman"/>
          <w:b/>
          <w:szCs w:val="24"/>
        </w:rPr>
        <w:t>15.</w:t>
      </w:r>
      <w:r>
        <w:rPr>
          <w:rFonts w:ascii="Times New Roman" w:hAnsi="仿宋" w:cs="Times New Roman"/>
          <w:b/>
          <w:szCs w:val="24"/>
        </w:rPr>
        <w:t>备份投标文件</w:t>
      </w:r>
    </w:p>
    <w:p w14:paraId="404ADC90">
      <w:pPr>
        <w:pStyle w:val="33"/>
        <w:spacing w:line="360" w:lineRule="auto"/>
        <w:ind w:firstLine="360" w:firstLineChars="150"/>
        <w:rPr>
          <w:rFonts w:ascii="Times New Roman" w:hAnsi="Times New Roman" w:cs="Times New Roman"/>
          <w:b/>
          <w:szCs w:val="24"/>
        </w:rPr>
      </w:pPr>
      <w:r>
        <w:rPr>
          <w:rFonts w:ascii="Times New Roman" w:hAnsi="Times New Roman" w:cs="Times New Roman"/>
          <w:szCs w:val="24"/>
        </w:rPr>
        <w:t xml:space="preserve"> 15.1</w:t>
      </w:r>
      <w:r>
        <w:rPr>
          <w:rFonts w:ascii="Times New Roman" w:hAnsi="仿宋" w:cs="Times New Roman"/>
          <w:szCs w:val="24"/>
        </w:rPr>
        <w:t>投标人在电子交易平台传输递交投标文件后，还可以在投标截止时间前直接提交或者以邮政快递方式递交备份投标文件</w:t>
      </w:r>
      <w:r>
        <w:rPr>
          <w:rFonts w:ascii="Times New Roman" w:hAnsi="Times New Roman" w:cs="Times New Roman"/>
          <w:szCs w:val="24"/>
        </w:rPr>
        <w:t>1</w:t>
      </w:r>
      <w:r>
        <w:rPr>
          <w:rFonts w:ascii="Times New Roman" w:hAnsi="仿宋" w:cs="Times New Roman"/>
          <w:szCs w:val="24"/>
        </w:rPr>
        <w:t>份，</w:t>
      </w:r>
      <w:r>
        <w:rPr>
          <w:rFonts w:ascii="Times New Roman" w:hAnsi="仿宋" w:cs="Times New Roman"/>
          <w:b/>
          <w:szCs w:val="24"/>
        </w:rPr>
        <w:t>但采购人、采购机构不强制或变相强制投标人提交备份投标文件。</w:t>
      </w:r>
    </w:p>
    <w:p w14:paraId="2682EB03">
      <w:pPr>
        <w:pStyle w:val="33"/>
        <w:spacing w:line="360" w:lineRule="auto"/>
        <w:ind w:firstLine="480" w:firstLineChars="200"/>
        <w:rPr>
          <w:rFonts w:ascii="Times New Roman" w:hAnsi="Times New Roman" w:cs="Times New Roman"/>
          <w:b/>
          <w:szCs w:val="24"/>
        </w:rPr>
      </w:pPr>
      <w:r>
        <w:rPr>
          <w:rFonts w:ascii="Times New Roman" w:hAnsi="Times New Roman" w:cs="Times New Roman"/>
          <w:szCs w:val="24"/>
        </w:rPr>
        <w:t>15.2</w:t>
      </w:r>
      <w:r>
        <w:rPr>
          <w:rFonts w:ascii="Times New Roman" w:hAnsi="仿宋" w:cs="Times New Roman"/>
          <w:szCs w:val="24"/>
        </w:rPr>
        <w:t>备份投标文件须在</w:t>
      </w:r>
      <w:r>
        <w:rPr>
          <w:rFonts w:ascii="Times New Roman" w:hAnsi="Times New Roman" w:cs="Times New Roman"/>
          <w:szCs w:val="24"/>
        </w:rPr>
        <w:t>“</w:t>
      </w:r>
      <w:r>
        <w:rPr>
          <w:rFonts w:ascii="Times New Roman" w:hAnsi="仿宋" w:cs="Times New Roman"/>
          <w:szCs w:val="24"/>
        </w:rPr>
        <w:t>政采云投标客户端</w:t>
      </w:r>
      <w:r>
        <w:rPr>
          <w:rFonts w:ascii="Times New Roman" w:hAnsi="Times New Roman" w:cs="Times New Roman"/>
          <w:szCs w:val="24"/>
        </w:rPr>
        <w:t>”</w:t>
      </w:r>
      <w:r>
        <w:rPr>
          <w:rFonts w:ascii="Times New Roman" w:hAnsi="仿宋" w:cs="Times New Roman"/>
          <w:szCs w:val="24"/>
        </w:rPr>
        <w:t>制作生成，备份投标文件应当密封包装并在包装上加盖公章并注明投标项目名称，投标人名称</w:t>
      </w:r>
      <w:r>
        <w:rPr>
          <w:rFonts w:ascii="Times New Roman" w:hAnsi="Times New Roman" w:cs="Times New Roman"/>
          <w:szCs w:val="24"/>
        </w:rPr>
        <w:t>(</w:t>
      </w:r>
      <w:r>
        <w:rPr>
          <w:rFonts w:ascii="Times New Roman" w:hAnsi="仿宋" w:cs="Times New Roman"/>
          <w:szCs w:val="24"/>
        </w:rPr>
        <w:t>联合体投标的，包装物封面需注明联合体投标，并注明联合体成员各方的名称和联合协议中约定的牵头人的名称</w:t>
      </w:r>
      <w:r>
        <w:rPr>
          <w:rFonts w:ascii="Times New Roman" w:hAnsi="Times New Roman" w:cs="Times New Roman"/>
          <w:szCs w:val="24"/>
        </w:rPr>
        <w:t>)</w:t>
      </w:r>
      <w:r>
        <w:rPr>
          <w:rFonts w:ascii="Times New Roman" w:hAnsi="仿宋" w:cs="Times New Roman"/>
          <w:szCs w:val="24"/>
        </w:rPr>
        <w:t>。</w:t>
      </w:r>
      <w:r>
        <w:rPr>
          <w:rFonts w:ascii="Times New Roman" w:hAnsi="仿宋" w:cs="Times New Roman"/>
          <w:b/>
        </w:rPr>
        <w:t>不符合上述制作、</w:t>
      </w:r>
      <w:r>
        <w:rPr>
          <w:rFonts w:ascii="Times New Roman" w:hAnsi="仿宋" w:cs="Times New Roman"/>
          <w:b/>
          <w:szCs w:val="24"/>
        </w:rPr>
        <w:t>存储、密封规定的备份投标文件将被视为无效或者被拒绝接收。</w:t>
      </w:r>
    </w:p>
    <w:p w14:paraId="20DEB488">
      <w:pPr>
        <w:pStyle w:val="33"/>
        <w:spacing w:line="360" w:lineRule="auto"/>
        <w:ind w:firstLine="480" w:firstLineChars="200"/>
        <w:rPr>
          <w:rFonts w:ascii="Times New Roman" w:hAnsi="Times New Roman" w:cs="Times New Roman"/>
          <w:szCs w:val="24"/>
        </w:rPr>
      </w:pPr>
      <w:r>
        <w:rPr>
          <w:rFonts w:ascii="Times New Roman" w:hAnsi="Times New Roman" w:cs="Times New Roman"/>
          <w:szCs w:val="24"/>
        </w:rPr>
        <w:t>15.3</w:t>
      </w:r>
      <w:r>
        <w:rPr>
          <w:rFonts w:ascii="Times New Roman" w:hAnsi="仿宋" w:cs="Times New Roman"/>
          <w:szCs w:val="24"/>
        </w:rPr>
        <w:t>直接提交备份投标文件的，投标人应于投标截止时间前在招标公告中载明的开标地点将备份投标文件提交给采购机构，采购机构将拒绝接受逾期送达的备份投标文件。</w:t>
      </w:r>
    </w:p>
    <w:p w14:paraId="10F4935F">
      <w:pPr>
        <w:pStyle w:val="33"/>
        <w:spacing w:line="360" w:lineRule="auto"/>
        <w:ind w:firstLine="480" w:firstLineChars="200"/>
        <w:rPr>
          <w:rFonts w:ascii="Times New Roman" w:hAnsi="Times New Roman" w:cs="Times New Roman"/>
          <w:szCs w:val="24"/>
        </w:rPr>
      </w:pPr>
      <w:r>
        <w:rPr>
          <w:rFonts w:ascii="Times New Roman" w:hAnsi="Times New Roman" w:cs="Times New Roman"/>
          <w:szCs w:val="24"/>
        </w:rPr>
        <w:t>15.4</w:t>
      </w:r>
      <w:r>
        <w:rPr>
          <w:rFonts w:ascii="Times New Roman" w:hAnsi="仿宋" w:cs="Times New Roman"/>
          <w:szCs w:val="24"/>
        </w:rPr>
        <w:t>以邮政快递方式递交备份投标文件的，投标人应先将备份投标文件按要求密封和标记，再进行邮政快递包装后邮寄。备份投标文件须在投标截止时间之前送达</w:t>
      </w:r>
      <w:r>
        <w:rPr>
          <w:rFonts w:ascii="Times New Roman" w:hAnsi="仿宋" w:cs="Times New Roman"/>
          <w:snapToGrid/>
          <w:szCs w:val="24"/>
        </w:rPr>
        <w:t>招标文件第二部分投标人须知前附表规定的备份投标文件送达地点；</w:t>
      </w:r>
      <w:r>
        <w:rPr>
          <w:rFonts w:ascii="Times New Roman" w:hAnsi="仿宋" w:cs="Times New Roman"/>
          <w:szCs w:val="24"/>
        </w:rPr>
        <w:t>送达时间以签收人签收时间为准。采购机构将拒绝接受逾期送达的备份投标文件。邮寄过程中，电子备份投标文件发生泄露、遗失、损坏或延期送达等情况的，由投标人自行负责。</w:t>
      </w:r>
    </w:p>
    <w:p w14:paraId="6B1C375F">
      <w:pPr>
        <w:pStyle w:val="33"/>
        <w:spacing w:line="360" w:lineRule="auto"/>
        <w:ind w:firstLine="479" w:firstLineChars="199"/>
        <w:rPr>
          <w:rFonts w:ascii="Times New Roman" w:hAnsi="Times New Roman" w:cs="Times New Roman"/>
          <w:b/>
          <w:szCs w:val="24"/>
        </w:rPr>
      </w:pPr>
      <w:r>
        <w:rPr>
          <w:rFonts w:ascii="Times New Roman" w:hAnsi="Times New Roman" w:cs="Times New Roman"/>
          <w:b/>
          <w:szCs w:val="24"/>
        </w:rPr>
        <w:t>15.5</w:t>
      </w:r>
      <w:r>
        <w:rPr>
          <w:rFonts w:ascii="Times New Roman" w:hAnsi="仿宋" w:cs="Times New Roman"/>
          <w:b/>
          <w:szCs w:val="24"/>
        </w:rPr>
        <w:t>投标人仅提交备份投标文件，没有在电子交易平台传输递交投标文件的，投标无效。</w:t>
      </w:r>
    </w:p>
    <w:p w14:paraId="402969BD">
      <w:pPr>
        <w:pStyle w:val="133"/>
        <w:spacing w:before="0"/>
        <w:ind w:firstLine="0" w:firstLineChars="0"/>
        <w:rPr>
          <w:b/>
          <w:szCs w:val="24"/>
        </w:rPr>
      </w:pPr>
      <w:r>
        <w:rPr>
          <w:b/>
          <w:szCs w:val="24"/>
        </w:rPr>
        <w:t>16.</w:t>
      </w:r>
      <w:r>
        <w:rPr>
          <w:rFonts w:hAnsi="仿宋"/>
          <w:b/>
          <w:szCs w:val="24"/>
        </w:rPr>
        <w:t>投标文件的无效处理</w:t>
      </w:r>
    </w:p>
    <w:p w14:paraId="6AA4B8F0">
      <w:pPr>
        <w:pStyle w:val="24"/>
        <w:spacing w:line="360" w:lineRule="auto"/>
        <w:ind w:firstLine="360" w:firstLineChars="150"/>
        <w:rPr>
          <w:rFonts w:ascii="Times New Roman" w:hAnsi="Times New Roman"/>
          <w:szCs w:val="21"/>
        </w:rPr>
      </w:pPr>
      <w:r>
        <w:rPr>
          <w:rFonts w:ascii="Times New Roman" w:hAnsi="仿宋"/>
          <w:szCs w:val="21"/>
        </w:rPr>
        <w:t>有招标文件第四部分</w:t>
      </w:r>
      <w:r>
        <w:rPr>
          <w:rFonts w:ascii="Times New Roman" w:hAnsi="仿宋"/>
        </w:rPr>
        <w:t>第</w:t>
      </w:r>
      <w:r>
        <w:rPr>
          <w:rFonts w:ascii="Times New Roman" w:hAnsi="Times New Roman"/>
        </w:rPr>
        <w:t>4.2</w:t>
      </w:r>
      <w:r>
        <w:rPr>
          <w:rFonts w:ascii="Times New Roman" w:hAnsi="仿宋"/>
        </w:rPr>
        <w:t>项规定</w:t>
      </w:r>
      <w:r>
        <w:rPr>
          <w:rFonts w:ascii="Times New Roman" w:hAnsi="仿宋"/>
          <w:szCs w:val="21"/>
        </w:rPr>
        <w:t>的情形之一的，投标无效：</w:t>
      </w:r>
    </w:p>
    <w:p w14:paraId="69E871A9">
      <w:pPr>
        <w:pStyle w:val="133"/>
        <w:spacing w:before="0"/>
        <w:ind w:firstLine="0" w:firstLineChars="0"/>
        <w:rPr>
          <w:b/>
          <w:szCs w:val="24"/>
        </w:rPr>
      </w:pPr>
      <w:r>
        <w:rPr>
          <w:b/>
          <w:szCs w:val="24"/>
        </w:rPr>
        <w:t>17.</w:t>
      </w:r>
      <w:r>
        <w:rPr>
          <w:rFonts w:hAnsi="仿宋"/>
          <w:b/>
          <w:szCs w:val="24"/>
        </w:rPr>
        <w:t>投标有效期</w:t>
      </w:r>
    </w:p>
    <w:p w14:paraId="482FA421">
      <w:pPr>
        <w:spacing w:line="360" w:lineRule="auto"/>
        <w:ind w:firstLine="480" w:firstLineChars="200"/>
        <w:rPr>
          <w:b/>
          <w:szCs w:val="21"/>
        </w:rPr>
      </w:pPr>
      <w:r>
        <w:rPr>
          <w:szCs w:val="20"/>
        </w:rPr>
        <w:t>17.1</w:t>
      </w:r>
      <w:r>
        <w:rPr>
          <w:rFonts w:hAnsi="仿宋"/>
          <w:szCs w:val="20"/>
        </w:rPr>
        <w:t>投标有效期为从提交投标文件的截止之日起</w:t>
      </w:r>
      <w:r>
        <w:rPr>
          <w:szCs w:val="20"/>
        </w:rPr>
        <w:t>90</w:t>
      </w:r>
      <w:r>
        <w:rPr>
          <w:rFonts w:hAnsi="仿宋"/>
          <w:szCs w:val="20"/>
        </w:rPr>
        <w:t>天。</w:t>
      </w:r>
      <w:r>
        <w:rPr>
          <w:szCs w:val="20"/>
        </w:rPr>
        <w:t>▲</w:t>
      </w:r>
      <w:r>
        <w:rPr>
          <w:rFonts w:hAnsi="仿宋"/>
          <w:b/>
          <w:szCs w:val="20"/>
        </w:rPr>
        <w:t>投标人的投标文件中承</w:t>
      </w:r>
      <w:r>
        <w:rPr>
          <w:rFonts w:hAnsi="仿宋"/>
          <w:b/>
          <w:szCs w:val="21"/>
        </w:rPr>
        <w:t>诺的投标有效期少于招标文件中载明的投标有效期的，投标无效。</w:t>
      </w:r>
    </w:p>
    <w:p w14:paraId="67F4D711">
      <w:pPr>
        <w:pStyle w:val="133"/>
        <w:spacing w:before="0"/>
        <w:ind w:firstLine="480"/>
      </w:pPr>
      <w:r>
        <w:t>17.2</w:t>
      </w:r>
      <w:r>
        <w:rPr>
          <w:rFonts w:hAnsi="仿宋"/>
        </w:rPr>
        <w:t>投标文件合格投递后，自投标截止日期起，在投标有效期内有效。</w:t>
      </w:r>
    </w:p>
    <w:p w14:paraId="45D30679">
      <w:pPr>
        <w:pStyle w:val="133"/>
        <w:spacing w:before="0"/>
        <w:ind w:firstLine="480"/>
        <w:rPr>
          <w:b/>
          <w:sz w:val="32"/>
        </w:rPr>
      </w:pPr>
      <w:r>
        <w:t>17.3</w:t>
      </w:r>
      <w:r>
        <w:rPr>
          <w:rFonts w:hAnsi="仿宋"/>
        </w:rPr>
        <w:t>在原定投标有效期满之前，如果出现特殊情况，采购机构可以以书面形式通知投标人延长投标有效期。投标人同意延长的，不得要求或被允许修改其投标文件，投标人拒绝延长的，其投标无效。</w:t>
      </w:r>
    </w:p>
    <w:p w14:paraId="0B7C0441">
      <w:pPr>
        <w:pStyle w:val="133"/>
        <w:spacing w:before="0"/>
        <w:ind w:firstLine="1928" w:firstLineChars="600"/>
        <w:rPr>
          <w:b/>
          <w:sz w:val="32"/>
        </w:rPr>
      </w:pPr>
      <w:r>
        <w:rPr>
          <w:rFonts w:hAnsi="仿宋"/>
          <w:b/>
          <w:sz w:val="32"/>
        </w:rPr>
        <w:t>四、开标、资格审查与信用信息查询</w:t>
      </w:r>
    </w:p>
    <w:p w14:paraId="4B928C20">
      <w:pPr>
        <w:pStyle w:val="555"/>
        <w:spacing w:before="0" w:line="360" w:lineRule="auto"/>
        <w:ind w:left="0" w:firstLine="241" w:firstLineChars="100"/>
        <w:contextualSpacing/>
        <w:rPr>
          <w:rFonts w:eastAsia="仿宋"/>
          <w:sz w:val="24"/>
        </w:rPr>
      </w:pPr>
      <w:r>
        <w:rPr>
          <w:rFonts w:eastAsia="仿宋"/>
          <w:b/>
          <w:sz w:val="24"/>
          <w:szCs w:val="24"/>
        </w:rPr>
        <w:t>18.</w:t>
      </w:r>
      <w:r>
        <w:rPr>
          <w:rFonts w:hAnsi="仿宋" w:eastAsia="仿宋"/>
          <w:b/>
          <w:sz w:val="24"/>
          <w:szCs w:val="24"/>
        </w:rPr>
        <w:t>开标</w:t>
      </w:r>
    </w:p>
    <w:p w14:paraId="1581C55B">
      <w:pPr>
        <w:pStyle w:val="555"/>
        <w:spacing w:before="0" w:line="360" w:lineRule="auto"/>
        <w:ind w:left="0" w:firstLine="480" w:firstLineChars="200"/>
        <w:contextualSpacing/>
        <w:rPr>
          <w:rFonts w:eastAsia="仿宋"/>
          <w:sz w:val="24"/>
        </w:rPr>
      </w:pPr>
      <w:r>
        <w:rPr>
          <w:rFonts w:eastAsia="仿宋"/>
          <w:sz w:val="24"/>
        </w:rPr>
        <w:t>18.1</w:t>
      </w:r>
      <w:r>
        <w:rPr>
          <w:rFonts w:hAnsi="仿宋" w:eastAsia="仿宋"/>
          <w:sz w:val="24"/>
        </w:rPr>
        <w:t>采购机构按照招标文件规定的时间通过电子交易平台组织开标，所有投标人均应当准时在线参加。投标人不足</w:t>
      </w:r>
      <w:r>
        <w:rPr>
          <w:rFonts w:eastAsia="仿宋"/>
          <w:sz w:val="24"/>
        </w:rPr>
        <w:t>3</w:t>
      </w:r>
      <w:r>
        <w:rPr>
          <w:rFonts w:hAnsi="仿宋" w:eastAsia="仿宋"/>
          <w:sz w:val="24"/>
        </w:rPr>
        <w:t>家的，不得开标。</w:t>
      </w:r>
    </w:p>
    <w:p w14:paraId="7C89F0F0">
      <w:pPr>
        <w:pStyle w:val="555"/>
        <w:spacing w:before="0" w:line="360" w:lineRule="auto"/>
        <w:ind w:left="0" w:firstLine="240" w:firstLineChars="100"/>
        <w:contextualSpacing/>
        <w:rPr>
          <w:rFonts w:eastAsia="仿宋"/>
          <w:sz w:val="24"/>
        </w:rPr>
      </w:pPr>
      <w:r>
        <w:rPr>
          <w:rFonts w:hAnsi="仿宋" w:eastAsia="仿宋"/>
          <w:sz w:val="24"/>
        </w:rPr>
        <w:t>　</w:t>
      </w:r>
      <w:r>
        <w:rPr>
          <w:rFonts w:eastAsia="仿宋"/>
          <w:sz w:val="24"/>
        </w:rPr>
        <w:t>18.2</w:t>
      </w:r>
      <w:r>
        <w:rPr>
          <w:rFonts w:hAnsi="仿宋" w:eastAsia="仿宋"/>
          <w:sz w:val="24"/>
        </w:rPr>
        <w:t>开标时，电子交易平台按开标时间自动提取所有投标文件。采购机构依托电子交易平台发起开始解密指令，投标人按照平台提示和招标文件的规定在半小时内完成在线解密。</w:t>
      </w:r>
    </w:p>
    <w:p w14:paraId="0B44ECB7">
      <w:pPr>
        <w:pStyle w:val="555"/>
        <w:spacing w:before="0" w:line="360" w:lineRule="auto"/>
        <w:ind w:left="0" w:firstLine="240" w:firstLineChars="100"/>
        <w:contextualSpacing/>
        <w:rPr>
          <w:rFonts w:eastAsia="仿宋"/>
          <w:b/>
          <w:sz w:val="24"/>
        </w:rPr>
      </w:pPr>
      <w:r>
        <w:rPr>
          <w:rFonts w:hAnsi="仿宋" w:eastAsia="仿宋"/>
          <w:sz w:val="24"/>
        </w:rPr>
        <w:t>　</w:t>
      </w:r>
      <w:r>
        <w:rPr>
          <w:rFonts w:eastAsia="仿宋"/>
          <w:sz w:val="24"/>
        </w:rPr>
        <w:t>18.3</w:t>
      </w:r>
      <w:r>
        <w:rPr>
          <w:rFonts w:hAnsi="仿宋" w:eastAsia="仿宋"/>
          <w:b/>
          <w:sz w:val="24"/>
        </w:rPr>
        <w:t>投标文件未按时解密，投标人提供了备份投标文件的，以备份投标文件作为依据，否则视为投标文件撤回。投标文件已按时解密的，备份投标文件自动失效。</w:t>
      </w:r>
    </w:p>
    <w:p w14:paraId="7EF4CC33">
      <w:pPr>
        <w:widowControl/>
        <w:spacing w:line="360" w:lineRule="auto"/>
        <w:jc w:val="left"/>
        <w:rPr>
          <w:b/>
          <w:szCs w:val="20"/>
        </w:rPr>
      </w:pPr>
      <w:r>
        <w:rPr>
          <w:rFonts w:hAnsi="仿宋"/>
          <w:b/>
          <w:szCs w:val="20"/>
        </w:rPr>
        <w:t>　</w:t>
      </w:r>
      <w:r>
        <w:rPr>
          <w:b/>
          <w:szCs w:val="20"/>
        </w:rPr>
        <w:t>19</w:t>
      </w:r>
      <w:r>
        <w:rPr>
          <w:rFonts w:hAnsi="仿宋"/>
          <w:b/>
          <w:szCs w:val="20"/>
        </w:rPr>
        <w:t>、资格审查</w:t>
      </w:r>
    </w:p>
    <w:p w14:paraId="3FF0B2AD">
      <w:pPr>
        <w:pStyle w:val="133"/>
        <w:spacing w:before="0"/>
        <w:ind w:firstLine="480"/>
        <w:rPr>
          <w:kern w:val="0"/>
          <w:szCs w:val="24"/>
        </w:rPr>
      </w:pPr>
      <w:r>
        <w:rPr>
          <w:kern w:val="0"/>
          <w:szCs w:val="24"/>
        </w:rPr>
        <w:t>19.1</w:t>
      </w:r>
      <w:r>
        <w:rPr>
          <w:rFonts w:hAnsi="仿宋"/>
          <w:kern w:val="0"/>
          <w:szCs w:val="24"/>
        </w:rPr>
        <w:t>开标后，采购人或采购机构将依法对投标人的资格进行审查。</w:t>
      </w:r>
    </w:p>
    <w:p w14:paraId="146F0099">
      <w:pPr>
        <w:snapToGrid w:val="0"/>
        <w:spacing w:line="360" w:lineRule="auto"/>
        <w:ind w:firstLine="480" w:firstLineChars="200"/>
      </w:pPr>
      <w:r>
        <w:rPr>
          <w:kern w:val="0"/>
        </w:rPr>
        <w:t>19.2</w:t>
      </w:r>
      <w:r>
        <w:rPr>
          <w:rFonts w:hAnsi="仿宋"/>
        </w:rPr>
        <w:t>采购人或采购机构依据法律法规和招标文件的规定，对投标人的基本资格条件、特定资格条件进行审查。</w:t>
      </w:r>
    </w:p>
    <w:p w14:paraId="27BE8874">
      <w:pPr>
        <w:pStyle w:val="133"/>
        <w:spacing w:before="0"/>
        <w:ind w:firstLine="480"/>
      </w:pPr>
      <w:r>
        <w:rPr>
          <w:kern w:val="0"/>
          <w:szCs w:val="24"/>
        </w:rPr>
        <w:t>19.3</w:t>
      </w:r>
      <w:r>
        <w:rPr>
          <w:rFonts w:hAnsi="仿宋"/>
          <w:kern w:val="0"/>
          <w:szCs w:val="24"/>
        </w:rPr>
        <w:t>投标人未按照招标文件要求提供与</w:t>
      </w:r>
      <w:r>
        <w:rPr>
          <w:rFonts w:hAnsi="仿宋"/>
        </w:rPr>
        <w:t>基本资格条件、特定资格条件相应的</w:t>
      </w:r>
      <w:r>
        <w:rPr>
          <w:rFonts w:hAnsi="仿宋"/>
          <w:kern w:val="0"/>
          <w:szCs w:val="24"/>
        </w:rPr>
        <w:t>有效资格证明材料的，视为</w:t>
      </w:r>
      <w:r>
        <w:rPr>
          <w:rFonts w:hAnsi="仿宋"/>
        </w:rPr>
        <w:t>投标人不具备招标文件中规定的资格要求，其投标无效。</w:t>
      </w:r>
    </w:p>
    <w:p w14:paraId="43025DD9">
      <w:pPr>
        <w:pStyle w:val="133"/>
        <w:spacing w:before="0"/>
        <w:ind w:firstLine="480"/>
      </w:pPr>
      <w:r>
        <w:rPr>
          <w:kern w:val="0"/>
          <w:szCs w:val="24"/>
        </w:rPr>
        <w:t>19.</w:t>
      </w:r>
      <w:r>
        <w:t>4</w:t>
      </w:r>
      <w:r>
        <w:rPr>
          <w:rFonts w:hAnsi="仿宋"/>
        </w:rPr>
        <w:t>对未通过资格审查的投标人，采购人或采购机构告知其未通过的原因。</w:t>
      </w:r>
    </w:p>
    <w:p w14:paraId="4049AD35">
      <w:pPr>
        <w:pStyle w:val="133"/>
        <w:spacing w:before="0"/>
        <w:ind w:firstLine="480"/>
      </w:pPr>
      <w:r>
        <w:rPr>
          <w:kern w:val="0"/>
          <w:szCs w:val="24"/>
        </w:rPr>
        <w:t>19.</w:t>
      </w:r>
      <w:r>
        <w:t>5</w:t>
      </w:r>
      <w:r>
        <w:rPr>
          <w:rFonts w:hAnsi="仿宋"/>
        </w:rPr>
        <w:t>合格投标人不足</w:t>
      </w:r>
      <w:r>
        <w:t>3</w:t>
      </w:r>
      <w:r>
        <w:rPr>
          <w:rFonts w:hAnsi="仿宋"/>
        </w:rPr>
        <w:t>家的，不再评标。</w:t>
      </w:r>
    </w:p>
    <w:p w14:paraId="17689D06">
      <w:pPr>
        <w:pStyle w:val="133"/>
        <w:spacing w:before="0"/>
        <w:ind w:firstLine="0" w:firstLineChars="0"/>
        <w:rPr>
          <w:b/>
          <w:szCs w:val="24"/>
        </w:rPr>
      </w:pPr>
      <w:r>
        <w:rPr>
          <w:b/>
          <w:szCs w:val="24"/>
        </w:rPr>
        <w:t>20</w:t>
      </w:r>
      <w:r>
        <w:rPr>
          <w:rFonts w:hAnsi="仿宋"/>
          <w:b/>
          <w:szCs w:val="24"/>
        </w:rPr>
        <w:t>、信用信息查询</w:t>
      </w:r>
    </w:p>
    <w:p w14:paraId="43BA17F6">
      <w:pPr>
        <w:pStyle w:val="133"/>
        <w:spacing w:before="0"/>
        <w:ind w:firstLine="495" w:firstLineChars="0"/>
        <w:rPr>
          <w:kern w:val="0"/>
          <w:szCs w:val="24"/>
        </w:rPr>
      </w:pPr>
      <w:r>
        <w:rPr>
          <w:kern w:val="0"/>
          <w:szCs w:val="24"/>
        </w:rPr>
        <w:t>20.1</w:t>
      </w:r>
      <w:r>
        <w:rPr>
          <w:rFonts w:hAnsi="仿宋"/>
          <w:kern w:val="0"/>
          <w:szCs w:val="24"/>
        </w:rPr>
        <w:t>信用信息查询渠道及截止时间：采购机构将通过</w:t>
      </w:r>
      <w:r>
        <w:rPr>
          <w:kern w:val="0"/>
          <w:szCs w:val="24"/>
        </w:rPr>
        <w:t>“</w:t>
      </w:r>
      <w:r>
        <w:rPr>
          <w:rFonts w:hAnsi="仿宋"/>
          <w:kern w:val="0"/>
          <w:szCs w:val="24"/>
        </w:rPr>
        <w:t>信用中国</w:t>
      </w:r>
      <w:r>
        <w:rPr>
          <w:kern w:val="0"/>
          <w:szCs w:val="24"/>
        </w:rPr>
        <w:t>”</w:t>
      </w:r>
      <w:r>
        <w:rPr>
          <w:rFonts w:hAnsi="仿宋"/>
          <w:kern w:val="0"/>
          <w:szCs w:val="24"/>
        </w:rPr>
        <w:t>网站</w:t>
      </w:r>
      <w:r>
        <w:rPr>
          <w:kern w:val="0"/>
          <w:szCs w:val="24"/>
        </w:rPr>
        <w:t>(www.creditchina.gov.cn)</w:t>
      </w:r>
      <w:r>
        <w:rPr>
          <w:rFonts w:hAnsi="仿宋"/>
          <w:kern w:val="0"/>
          <w:szCs w:val="24"/>
        </w:rPr>
        <w:t>、中国政府采购网</w:t>
      </w:r>
      <w:r>
        <w:rPr>
          <w:kern w:val="0"/>
          <w:szCs w:val="24"/>
        </w:rPr>
        <w:t>(www.ccgp.gov.cn)</w:t>
      </w:r>
      <w:r>
        <w:rPr>
          <w:rFonts w:hAnsi="仿宋"/>
          <w:kern w:val="0"/>
          <w:szCs w:val="24"/>
        </w:rPr>
        <w:t>渠道查询投标人投标截止时间当天的信用记录。</w:t>
      </w:r>
    </w:p>
    <w:p w14:paraId="6B48C0EA">
      <w:pPr>
        <w:pStyle w:val="133"/>
        <w:spacing w:before="0"/>
        <w:ind w:firstLine="495" w:firstLineChars="0"/>
        <w:rPr>
          <w:kern w:val="0"/>
          <w:szCs w:val="24"/>
        </w:rPr>
      </w:pPr>
      <w:r>
        <w:rPr>
          <w:kern w:val="0"/>
          <w:szCs w:val="24"/>
        </w:rPr>
        <w:t>20.2</w:t>
      </w:r>
      <w:r>
        <w:rPr>
          <w:rFonts w:hAnsi="仿宋"/>
          <w:kern w:val="0"/>
          <w:szCs w:val="24"/>
        </w:rPr>
        <w:t>信用信息查询记录和证据留存的具体方式：现场查询的投标人的信用记录、查询结果经确认后将与采购文件一起存档。</w:t>
      </w:r>
    </w:p>
    <w:p w14:paraId="2536F0B2">
      <w:pPr>
        <w:pStyle w:val="133"/>
        <w:spacing w:before="0"/>
        <w:ind w:firstLine="495" w:firstLineChars="0"/>
        <w:rPr>
          <w:kern w:val="0"/>
          <w:szCs w:val="24"/>
        </w:rPr>
      </w:pPr>
      <w:r>
        <w:rPr>
          <w:kern w:val="0"/>
          <w:szCs w:val="24"/>
        </w:rPr>
        <w:t>20.3</w:t>
      </w:r>
      <w:r>
        <w:rPr>
          <w:rFonts w:hAnsi="仿宋"/>
          <w:kern w:val="0"/>
          <w:szCs w:val="24"/>
        </w:rPr>
        <w:t>信用信息的使用规则：经查询列入失信被执行人名单、重大税收违法案件当事人名单、政府采购严重违法失信行为记录名单的投标人将被拒绝参与政府采购活动。</w:t>
      </w:r>
    </w:p>
    <w:p w14:paraId="7F3EB697">
      <w:pPr>
        <w:pStyle w:val="133"/>
        <w:spacing w:before="0"/>
        <w:ind w:firstLine="480"/>
        <w:rPr>
          <w:kern w:val="0"/>
          <w:szCs w:val="24"/>
        </w:rPr>
      </w:pPr>
      <w:r>
        <w:rPr>
          <w:kern w:val="0"/>
          <w:szCs w:val="24"/>
        </w:rPr>
        <w:t>20.4</w:t>
      </w:r>
      <w:r>
        <w:rPr>
          <w:rFonts w:hAnsi="仿宋"/>
          <w:kern w:val="0"/>
          <w:szCs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Ansi="仿宋"/>
        </w:rPr>
        <w:t>。</w:t>
      </w:r>
    </w:p>
    <w:p w14:paraId="2CD342F5">
      <w:pPr>
        <w:snapToGrid w:val="0"/>
        <w:spacing w:line="360" w:lineRule="auto"/>
        <w:jc w:val="center"/>
        <w:outlineLvl w:val="0"/>
        <w:rPr>
          <w:b/>
          <w:sz w:val="36"/>
          <w:szCs w:val="36"/>
        </w:rPr>
      </w:pPr>
      <w:r>
        <w:rPr>
          <w:rFonts w:hAnsi="仿宋"/>
          <w:b/>
          <w:sz w:val="36"/>
          <w:szCs w:val="36"/>
        </w:rPr>
        <w:t>五、评标</w:t>
      </w:r>
    </w:p>
    <w:p w14:paraId="6D85ACFC">
      <w:pPr>
        <w:spacing w:line="360" w:lineRule="auto"/>
        <w:rPr>
          <w:b/>
        </w:rPr>
      </w:pPr>
      <w:bookmarkStart w:id="11" w:name="_Toc91899903"/>
      <w:r>
        <w:rPr>
          <w:b/>
        </w:rPr>
        <w:t>21.</w:t>
      </w:r>
      <w:r>
        <w:rPr>
          <w:rFonts w:hAnsi="仿宋"/>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Ansi="仿宋"/>
          <w:b/>
        </w:rPr>
        <w:t>详见招标文件第四部分评标办法。</w:t>
      </w:r>
    </w:p>
    <w:p w14:paraId="13F76E05">
      <w:pPr>
        <w:snapToGrid w:val="0"/>
        <w:spacing w:line="360" w:lineRule="auto"/>
        <w:jc w:val="center"/>
        <w:outlineLvl w:val="0"/>
        <w:rPr>
          <w:b/>
          <w:sz w:val="36"/>
          <w:szCs w:val="36"/>
        </w:rPr>
      </w:pPr>
      <w:r>
        <w:rPr>
          <w:rFonts w:hAnsi="仿宋"/>
          <w:b/>
          <w:sz w:val="36"/>
          <w:szCs w:val="36"/>
        </w:rPr>
        <w:t>六、定标</w:t>
      </w:r>
    </w:p>
    <w:p w14:paraId="56034345">
      <w:pPr>
        <w:pStyle w:val="24"/>
        <w:spacing w:line="360" w:lineRule="auto"/>
        <w:ind w:left="479" w:hanging="479" w:hangingChars="199"/>
        <w:rPr>
          <w:rFonts w:ascii="Times New Roman" w:hAnsi="Times New Roman"/>
          <w:b/>
        </w:rPr>
      </w:pPr>
      <w:r>
        <w:rPr>
          <w:rFonts w:ascii="Times New Roman" w:hAnsi="Times New Roman"/>
          <w:b/>
        </w:rPr>
        <w:t xml:space="preserve">22. </w:t>
      </w:r>
      <w:r>
        <w:rPr>
          <w:rFonts w:ascii="Times New Roman" w:hAnsi="仿宋"/>
          <w:b/>
        </w:rPr>
        <w:t>确定中标供应商</w:t>
      </w:r>
    </w:p>
    <w:p w14:paraId="4CEAF4BE">
      <w:pPr>
        <w:pStyle w:val="133"/>
        <w:snapToGrid w:val="0"/>
        <w:spacing w:before="0"/>
        <w:ind w:firstLine="480"/>
        <w:rPr>
          <w:b/>
          <w:szCs w:val="24"/>
        </w:rPr>
      </w:pPr>
      <w:r>
        <w:rPr>
          <w:rFonts w:hAnsi="仿宋"/>
          <w:szCs w:val="24"/>
        </w:rPr>
        <w:t>采购人将自收到评审报告之日起</w:t>
      </w:r>
      <w:r>
        <w:rPr>
          <w:szCs w:val="24"/>
        </w:rPr>
        <w:t>5</w:t>
      </w:r>
      <w:r>
        <w:rPr>
          <w:rFonts w:hAnsi="仿宋"/>
          <w:szCs w:val="24"/>
        </w:rPr>
        <w:t>个工作日内通过电子交易平台在评审报告推荐的中标候选人中按顺序确定中标供应商。</w:t>
      </w:r>
    </w:p>
    <w:p w14:paraId="2487D7B5">
      <w:pPr>
        <w:pStyle w:val="133"/>
        <w:snapToGrid w:val="0"/>
        <w:spacing w:before="0"/>
        <w:ind w:firstLine="0" w:firstLineChars="0"/>
        <w:rPr>
          <w:b/>
          <w:szCs w:val="24"/>
        </w:rPr>
      </w:pPr>
      <w:r>
        <w:rPr>
          <w:b/>
          <w:szCs w:val="24"/>
        </w:rPr>
        <w:t xml:space="preserve">23. </w:t>
      </w:r>
      <w:r>
        <w:rPr>
          <w:rFonts w:hAnsi="仿宋"/>
          <w:b/>
          <w:szCs w:val="24"/>
        </w:rPr>
        <w:t>中标通知与中标结果公告</w:t>
      </w:r>
    </w:p>
    <w:p w14:paraId="220B2487">
      <w:pPr>
        <w:widowControl/>
        <w:shd w:val="clear" w:color="auto" w:fill="FFFFFF"/>
        <w:spacing w:line="360" w:lineRule="auto"/>
        <w:ind w:firstLine="480"/>
        <w:jc w:val="left"/>
      </w:pPr>
      <w:r>
        <w:t>23.1</w:t>
      </w:r>
      <w:r>
        <w:rPr>
          <w:rFonts w:hAnsi="仿宋"/>
        </w:rPr>
        <w:t>自中标人确定之日起</w:t>
      </w:r>
      <w:r>
        <w:t>2</w:t>
      </w:r>
      <w:r>
        <w:rPr>
          <w:rFonts w:hAnsi="仿宋"/>
        </w:rPr>
        <w:t>个工作日内，采购机构通过电子交易平台向中标人发出中标通知书，同时编制发布采购结果公告。采购机构也可以以纸质形式进行中标通知。</w:t>
      </w:r>
    </w:p>
    <w:p w14:paraId="06B11165">
      <w:pPr>
        <w:widowControl/>
        <w:shd w:val="clear" w:color="auto" w:fill="FFFFFF"/>
        <w:spacing w:line="360" w:lineRule="auto"/>
        <w:ind w:firstLine="480"/>
        <w:jc w:val="left"/>
      </w:pPr>
      <w:r>
        <w:t>23.2</w:t>
      </w:r>
      <w:r>
        <w:rPr>
          <w:rFonts w:hAnsi="仿宋"/>
        </w:rPr>
        <w:t>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7DAA9C82">
      <w:pPr>
        <w:widowControl/>
        <w:shd w:val="clear" w:color="auto" w:fill="FFFFFF"/>
        <w:spacing w:line="360" w:lineRule="auto"/>
        <w:ind w:firstLine="480"/>
        <w:jc w:val="left"/>
        <w:rPr>
          <w:b/>
          <w:sz w:val="32"/>
        </w:rPr>
      </w:pPr>
      <w:r>
        <w:t>23.3</w:t>
      </w:r>
      <w:r>
        <w:rPr>
          <w:rFonts w:hAnsi="仿宋"/>
        </w:rPr>
        <w:t>公告期限为</w:t>
      </w:r>
      <w:r>
        <w:t>1</w:t>
      </w:r>
      <w:r>
        <w:rPr>
          <w:rFonts w:hAnsi="仿宋"/>
        </w:rPr>
        <w:t>个工作日。</w:t>
      </w:r>
    </w:p>
    <w:p w14:paraId="7211F6CD">
      <w:pPr>
        <w:snapToGrid w:val="0"/>
        <w:spacing w:line="360" w:lineRule="auto"/>
        <w:ind w:left="137" w:leftChars="57" w:firstLine="482" w:firstLineChars="150"/>
        <w:jc w:val="center"/>
        <w:rPr>
          <w:b/>
          <w:sz w:val="32"/>
        </w:rPr>
      </w:pPr>
      <w:r>
        <w:rPr>
          <w:rFonts w:hAnsi="仿宋"/>
          <w:b/>
          <w:sz w:val="32"/>
        </w:rPr>
        <w:t>七、合同授予</w:t>
      </w:r>
    </w:p>
    <w:p w14:paraId="232AF9EA">
      <w:pPr>
        <w:pStyle w:val="24"/>
        <w:spacing w:line="360" w:lineRule="auto"/>
        <w:ind w:left="479" w:hanging="479" w:hangingChars="199"/>
        <w:rPr>
          <w:rFonts w:ascii="Times New Roman" w:hAnsi="Times New Roman"/>
          <w:b/>
        </w:rPr>
      </w:pPr>
      <w:r>
        <w:rPr>
          <w:rFonts w:ascii="Times New Roman" w:hAnsi="Times New Roman"/>
          <w:b/>
        </w:rPr>
        <w:t xml:space="preserve">24. </w:t>
      </w:r>
      <w:r>
        <w:rPr>
          <w:rFonts w:ascii="Times New Roman" w:hAnsi="仿宋"/>
        </w:rPr>
        <w:t>合同主要条款详见第五部分拟签订的合同文本。</w:t>
      </w:r>
    </w:p>
    <w:p w14:paraId="5126B7D4">
      <w:pPr>
        <w:pStyle w:val="24"/>
        <w:spacing w:line="360" w:lineRule="auto"/>
        <w:ind w:left="479" w:hanging="479" w:hangingChars="199"/>
        <w:rPr>
          <w:rFonts w:ascii="Times New Roman" w:hAnsi="Times New Roman"/>
          <w:b/>
        </w:rPr>
      </w:pPr>
      <w:r>
        <w:rPr>
          <w:rFonts w:ascii="Times New Roman" w:hAnsi="Times New Roman"/>
          <w:b/>
        </w:rPr>
        <w:t xml:space="preserve">25. </w:t>
      </w:r>
      <w:r>
        <w:rPr>
          <w:rFonts w:ascii="Times New Roman" w:hAnsi="仿宋"/>
          <w:b/>
        </w:rPr>
        <w:t>合同的签订</w:t>
      </w:r>
    </w:p>
    <w:p w14:paraId="718294DC">
      <w:pPr>
        <w:widowControl/>
        <w:shd w:val="clear" w:color="auto" w:fill="FFFFFF"/>
        <w:spacing w:line="360" w:lineRule="auto"/>
        <w:ind w:firstLine="480"/>
        <w:jc w:val="left"/>
        <w:rPr>
          <w:kern w:val="0"/>
        </w:rPr>
      </w:pPr>
      <w:r>
        <w:t>25.1</w:t>
      </w:r>
      <w:r>
        <w:rPr>
          <w:rFonts w:hAnsi="仿宋"/>
          <w:kern w:val="0"/>
        </w:rPr>
        <w:t>采购人与中标人应当通过电子交易平台在中标通知书发出之日起三十日内，按照招标文件确定的事项签订政府采购合同，并在合同签订之日起</w:t>
      </w:r>
      <w:r>
        <w:rPr>
          <w:kern w:val="0"/>
        </w:rPr>
        <w:t>2</w:t>
      </w:r>
      <w:r>
        <w:rPr>
          <w:rFonts w:hAnsi="仿宋"/>
          <w:kern w:val="0"/>
        </w:rPr>
        <w:t>个工作日内依法发布合同公告。</w:t>
      </w:r>
    </w:p>
    <w:p w14:paraId="5134B1FD">
      <w:pPr>
        <w:pStyle w:val="133"/>
        <w:snapToGrid w:val="0"/>
        <w:spacing w:before="0"/>
        <w:ind w:firstLine="480"/>
        <w:rPr>
          <w:kern w:val="0"/>
        </w:rPr>
      </w:pPr>
      <w:r>
        <w:rPr>
          <w:kern w:val="0"/>
          <w:lang w:val="zh-CN"/>
        </w:rPr>
        <w:t>25.2</w:t>
      </w:r>
      <w:r>
        <w:rPr>
          <w:rFonts w:hAnsi="仿宋"/>
          <w:kern w:val="0"/>
          <w:lang w:val="zh-CN"/>
        </w:rPr>
        <w:t>中标人按规定的日期、时间、地点，由法定代表人或其授权代表与采购人代表签订合同。如中标人为联合体的，由联合体成员各方法定代表人或其授权代表与采购人代表签订合同。</w:t>
      </w:r>
    </w:p>
    <w:p w14:paraId="2CD29928">
      <w:pPr>
        <w:pStyle w:val="133"/>
        <w:snapToGrid w:val="0"/>
        <w:spacing w:before="0"/>
        <w:ind w:firstLine="480"/>
      </w:pPr>
      <w:r>
        <w:t>25.3</w:t>
      </w:r>
      <w:r>
        <w:rPr>
          <w:rFonts w:hAnsi="仿宋"/>
        </w:rPr>
        <w:t>如签订合同并生效后，供应商无故拒绝或延期，除按照合同条款处理外，列入不良行为记录一次，并给予通报。</w:t>
      </w:r>
    </w:p>
    <w:p w14:paraId="1092F47F">
      <w:pPr>
        <w:pStyle w:val="133"/>
        <w:snapToGrid w:val="0"/>
        <w:spacing w:before="0"/>
        <w:ind w:firstLine="480"/>
      </w:pPr>
      <w:r>
        <w:t>25.4</w:t>
      </w:r>
      <w:r>
        <w:rPr>
          <w:rFonts w:hAnsi="仿宋"/>
        </w:rPr>
        <w:t>中标供应商拒绝与采购人签订合同的，采购人可以按照评审报告推荐的中标或者成交候选人名单排序，确定下一候选人为中标供应商，也可以重新开展政府采购活动。</w:t>
      </w:r>
    </w:p>
    <w:p w14:paraId="60A792D6">
      <w:pPr>
        <w:pStyle w:val="133"/>
        <w:snapToGrid w:val="0"/>
        <w:spacing w:before="0" w:after="120"/>
        <w:ind w:firstLine="480"/>
      </w:pPr>
      <w:r>
        <w:t>25.5</w:t>
      </w:r>
      <w:r>
        <w:rPr>
          <w:rFonts w:hAnsi="仿宋"/>
        </w:rPr>
        <w:t>采购合同由采购人与中标供应商根据招标文件、投标文件等内容通过政府采购电子交易平台在线签订，自动备案。</w:t>
      </w:r>
    </w:p>
    <w:p w14:paraId="3421EC28">
      <w:pPr>
        <w:pStyle w:val="24"/>
        <w:spacing w:line="360" w:lineRule="auto"/>
        <w:ind w:left="479" w:hanging="479" w:hangingChars="199"/>
        <w:rPr>
          <w:rFonts w:ascii="Times New Roman" w:hAnsi="Times New Roman"/>
          <w:b/>
        </w:rPr>
      </w:pPr>
      <w:r>
        <w:rPr>
          <w:rFonts w:ascii="Times New Roman" w:hAnsi="Times New Roman"/>
          <w:b/>
        </w:rPr>
        <w:t xml:space="preserve">26. </w:t>
      </w:r>
      <w:r>
        <w:rPr>
          <w:rFonts w:ascii="Times New Roman" w:hAnsi="仿宋"/>
          <w:b/>
        </w:rPr>
        <w:t>履约保证金</w:t>
      </w:r>
    </w:p>
    <w:p w14:paraId="01CEE229">
      <w:pPr>
        <w:tabs>
          <w:tab w:val="left" w:pos="0"/>
        </w:tabs>
        <w:spacing w:line="360" w:lineRule="auto"/>
        <w:ind w:firstLine="482"/>
        <w:rPr>
          <w:kern w:val="0"/>
        </w:rPr>
      </w:pPr>
      <w:r>
        <w:rPr>
          <w:rFonts w:hAnsi="仿宋"/>
          <w:kern w:val="0"/>
        </w:rPr>
        <w:t>拟签订的合同文本要求中标供应商提交履约保证金的，中标供应商应当以支票、汇票、本票或者金融机构、担保机构出具的保函等非现金形式提交。</w:t>
      </w:r>
    </w:p>
    <w:p w14:paraId="062FB8A9">
      <w:pPr>
        <w:snapToGrid w:val="0"/>
        <w:spacing w:line="360" w:lineRule="auto"/>
        <w:ind w:firstLine="3357" w:firstLineChars="1045"/>
        <w:rPr>
          <w:b/>
        </w:rPr>
      </w:pPr>
      <w:r>
        <w:rPr>
          <w:rFonts w:hAnsi="仿宋"/>
          <w:b/>
          <w:sz w:val="32"/>
        </w:rPr>
        <w:t>八、电子交易活动的中止</w:t>
      </w:r>
    </w:p>
    <w:p w14:paraId="5484E5B2">
      <w:pPr>
        <w:pStyle w:val="133"/>
        <w:snapToGrid w:val="0"/>
        <w:spacing w:before="0"/>
        <w:ind w:firstLine="0" w:firstLineChars="0"/>
      </w:pPr>
      <w:r>
        <w:t>2</w:t>
      </w:r>
      <w:r>
        <w:rPr>
          <w:b/>
          <w:szCs w:val="24"/>
        </w:rPr>
        <w:t xml:space="preserve">7. </w:t>
      </w:r>
      <w:r>
        <w:rPr>
          <w:rFonts w:hAnsi="仿宋"/>
          <w:b/>
          <w:szCs w:val="24"/>
        </w:rPr>
        <w:t>电子交易活动的中止。</w:t>
      </w:r>
      <w:r>
        <w:rPr>
          <w:rFonts w:hAnsi="仿宋"/>
        </w:rPr>
        <w:t>采购过程中出现以下情形，导致电子交易平台无法正常运行，或者无法保证电子交易的公平、公正和安全时，采购机构可中止电子交易活动：</w:t>
      </w:r>
    </w:p>
    <w:p w14:paraId="5E1D04C7">
      <w:pPr>
        <w:pStyle w:val="133"/>
        <w:snapToGrid w:val="0"/>
        <w:spacing w:before="0"/>
        <w:ind w:firstLine="480"/>
      </w:pPr>
      <w:r>
        <w:t>27.1</w:t>
      </w:r>
      <w:r>
        <w:rPr>
          <w:rFonts w:hAnsi="仿宋"/>
        </w:rPr>
        <w:t>电子交易平台发生故障而无法登录访问的；</w:t>
      </w:r>
    </w:p>
    <w:p w14:paraId="2DC7A388">
      <w:pPr>
        <w:pStyle w:val="133"/>
        <w:snapToGrid w:val="0"/>
        <w:spacing w:before="0"/>
        <w:ind w:firstLine="480"/>
      </w:pPr>
      <w:r>
        <w:t>27.2</w:t>
      </w:r>
      <w:r>
        <w:rPr>
          <w:rFonts w:hAnsi="仿宋"/>
        </w:rPr>
        <w:t>电子交易平台应用或数据库出现错误，不能进行正常操作的；</w:t>
      </w:r>
    </w:p>
    <w:p w14:paraId="22DEE2AE">
      <w:pPr>
        <w:pStyle w:val="133"/>
        <w:snapToGrid w:val="0"/>
        <w:spacing w:before="0"/>
        <w:ind w:firstLine="480"/>
      </w:pPr>
      <w:r>
        <w:t>27.3</w:t>
      </w:r>
      <w:r>
        <w:rPr>
          <w:rFonts w:hAnsi="仿宋"/>
        </w:rPr>
        <w:t>电子交易平台发现严重安全漏洞，有潜在泄密危险的；</w:t>
      </w:r>
    </w:p>
    <w:p w14:paraId="3C84689E">
      <w:pPr>
        <w:pStyle w:val="133"/>
        <w:snapToGrid w:val="0"/>
        <w:spacing w:before="0"/>
        <w:ind w:firstLine="480"/>
      </w:pPr>
      <w:r>
        <w:t>27.4</w:t>
      </w:r>
      <w:r>
        <w:rPr>
          <w:rFonts w:hAnsi="仿宋"/>
        </w:rPr>
        <w:t>病毒发作导致不能进行正常操作的；</w:t>
      </w:r>
    </w:p>
    <w:p w14:paraId="5CF09ABC">
      <w:pPr>
        <w:pStyle w:val="133"/>
        <w:snapToGrid w:val="0"/>
        <w:spacing w:before="0"/>
        <w:ind w:firstLine="480"/>
      </w:pPr>
      <w:r>
        <w:t>27.5</w:t>
      </w:r>
      <w:r>
        <w:rPr>
          <w:rFonts w:hAnsi="仿宋"/>
        </w:rPr>
        <w:t>其他无法保证电子交易的公平、公正和安全的情况。</w:t>
      </w:r>
    </w:p>
    <w:p w14:paraId="4F5D18FF">
      <w:pPr>
        <w:pStyle w:val="133"/>
        <w:snapToGrid w:val="0"/>
        <w:spacing w:before="0"/>
        <w:ind w:firstLine="0" w:firstLineChars="0"/>
      </w:pPr>
      <w:r>
        <w:t xml:space="preserve"> 28.</w:t>
      </w:r>
      <w:r>
        <w:rPr>
          <w:rFonts w:hAnsi="仿宋"/>
        </w:rPr>
        <w:t>出现以上情形，不影响采购公平、公正性的，采购组织机构可以待上述情形消除后继续组织电子交易活动，也可以决定某些环节以纸质形式进行；影响或可能影响采购公平、公正性的，应当重新采购。</w:t>
      </w:r>
    </w:p>
    <w:p w14:paraId="5AEFA792">
      <w:pPr>
        <w:snapToGrid w:val="0"/>
        <w:spacing w:line="360" w:lineRule="auto"/>
        <w:ind w:left="137" w:leftChars="57" w:firstLine="482" w:firstLineChars="150"/>
        <w:jc w:val="center"/>
        <w:rPr>
          <w:b/>
          <w:sz w:val="32"/>
        </w:rPr>
      </w:pPr>
      <w:r>
        <w:rPr>
          <w:rFonts w:hAnsi="仿宋"/>
          <w:b/>
          <w:sz w:val="32"/>
        </w:rPr>
        <w:t>九、验收</w:t>
      </w:r>
    </w:p>
    <w:p w14:paraId="0AB303F5">
      <w:pPr>
        <w:pStyle w:val="24"/>
        <w:spacing w:line="360" w:lineRule="auto"/>
        <w:ind w:firstLine="0" w:firstLineChars="0"/>
        <w:rPr>
          <w:rFonts w:ascii="Times New Roman" w:hAnsi="Times New Roman"/>
          <w:b/>
        </w:rPr>
      </w:pPr>
      <w:r>
        <w:rPr>
          <w:rFonts w:ascii="Times New Roman" w:hAnsi="Times New Roman"/>
          <w:b/>
        </w:rPr>
        <w:t>29.</w:t>
      </w:r>
      <w:r>
        <w:rPr>
          <w:rFonts w:ascii="Times New Roman" w:hAnsi="仿宋"/>
          <w:b/>
        </w:rPr>
        <w:t>验收</w:t>
      </w:r>
    </w:p>
    <w:p w14:paraId="4B8DE685">
      <w:pPr>
        <w:tabs>
          <w:tab w:val="left" w:pos="0"/>
        </w:tabs>
        <w:spacing w:line="360" w:lineRule="auto"/>
        <w:ind w:firstLine="480"/>
        <w:rPr>
          <w:kern w:val="0"/>
        </w:rPr>
      </w:pPr>
      <w:r>
        <w:rPr>
          <w:kern w:val="0"/>
        </w:rPr>
        <w:t>29.1</w:t>
      </w:r>
      <w:r>
        <w:rPr>
          <w:rFonts w:hAnsi="仿宋"/>
          <w:kern w:val="0"/>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F26F014">
      <w:pPr>
        <w:tabs>
          <w:tab w:val="left" w:pos="0"/>
        </w:tabs>
        <w:spacing w:line="360" w:lineRule="auto"/>
        <w:ind w:firstLine="480"/>
        <w:rPr>
          <w:kern w:val="0"/>
        </w:rPr>
      </w:pPr>
      <w:r>
        <w:rPr>
          <w:kern w:val="0"/>
        </w:rPr>
        <w:t>29.2</w:t>
      </w:r>
      <w:r>
        <w:rPr>
          <w:rFonts w:hAnsi="仿宋"/>
          <w:kern w:val="0"/>
        </w:rPr>
        <w:t>采购人可以邀请参加本项目的其他投标人或者第三方机构参与验收。参与验收的投标人或者第三方机构的意见作为验收书的参考资料一并存档。</w:t>
      </w:r>
    </w:p>
    <w:p w14:paraId="7C1364C5">
      <w:pPr>
        <w:tabs>
          <w:tab w:val="left" w:pos="0"/>
        </w:tabs>
        <w:spacing w:line="360" w:lineRule="auto"/>
        <w:ind w:firstLine="480"/>
        <w:rPr>
          <w:kern w:val="0"/>
        </w:rPr>
      </w:pPr>
      <w:r>
        <w:rPr>
          <w:kern w:val="0"/>
        </w:rPr>
        <w:t>29.3</w:t>
      </w:r>
      <w:r>
        <w:rPr>
          <w:rFonts w:hAnsi="仿宋"/>
          <w:kern w:val="0"/>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挂钩。履约验收的各项资料应当存档备查。</w:t>
      </w:r>
    </w:p>
    <w:p w14:paraId="0A1A5506">
      <w:pPr>
        <w:tabs>
          <w:tab w:val="left" w:pos="0"/>
        </w:tabs>
        <w:spacing w:line="360" w:lineRule="auto"/>
        <w:ind w:firstLine="480"/>
        <w:rPr>
          <w:sz w:val="18"/>
          <w:szCs w:val="18"/>
        </w:rPr>
      </w:pPr>
      <w:r>
        <w:rPr>
          <w:kern w:val="0"/>
        </w:rPr>
        <w:t>29.4</w:t>
      </w:r>
      <w:r>
        <w:rPr>
          <w:rFonts w:hAnsi="仿宋"/>
          <w:kern w:val="0"/>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14:paraId="62F09400">
      <w:pPr>
        <w:tabs>
          <w:tab w:val="left" w:pos="0"/>
        </w:tabs>
        <w:spacing w:line="360" w:lineRule="auto"/>
        <w:ind w:firstLine="480"/>
        <w:rPr>
          <w:kern w:val="0"/>
        </w:rPr>
        <w:sectPr>
          <w:footerReference r:id="rId11" w:type="default"/>
          <w:pgSz w:w="11906" w:h="16838"/>
          <w:pgMar w:top="680" w:right="1368" w:bottom="468" w:left="1178" w:header="851" w:footer="992" w:gutter="0"/>
          <w:cols w:space="720" w:num="1"/>
          <w:docGrid w:linePitch="312" w:charSpace="0"/>
        </w:sectPr>
      </w:pPr>
      <w:bookmarkStart w:id="12" w:name="_Hlt75236290"/>
      <w:bookmarkEnd w:id="12"/>
      <w:bookmarkStart w:id="13" w:name="_Hlt68073093"/>
      <w:bookmarkEnd w:id="13"/>
      <w:bookmarkStart w:id="14" w:name="_Hlt75236101"/>
      <w:bookmarkEnd w:id="14"/>
      <w:bookmarkStart w:id="15" w:name="_Hlt74707468"/>
      <w:bookmarkEnd w:id="15"/>
      <w:bookmarkStart w:id="16" w:name="_Hlt74729768"/>
      <w:bookmarkEnd w:id="16"/>
      <w:bookmarkStart w:id="17" w:name="_Hlt68403820"/>
      <w:bookmarkEnd w:id="17"/>
      <w:bookmarkStart w:id="18" w:name="_Hlt68072998"/>
      <w:bookmarkEnd w:id="18"/>
      <w:bookmarkStart w:id="19" w:name="_Hlt74714665"/>
      <w:bookmarkEnd w:id="19"/>
      <w:bookmarkStart w:id="20" w:name="_Hlt75236011"/>
      <w:bookmarkEnd w:id="20"/>
      <w:bookmarkStart w:id="21" w:name="_Hlt74730295"/>
      <w:bookmarkEnd w:id="21"/>
      <w:bookmarkStart w:id="22" w:name="_Hlt68072990"/>
      <w:bookmarkEnd w:id="22"/>
      <w:bookmarkStart w:id="23" w:name="_Hlt68057669"/>
      <w:bookmarkEnd w:id="23"/>
    </w:p>
    <w:bookmarkEnd w:id="9"/>
    <w:bookmarkEnd w:id="10"/>
    <w:p w14:paraId="73A511D2">
      <w:pPr>
        <w:spacing w:line="360" w:lineRule="auto"/>
        <w:jc w:val="center"/>
        <w:outlineLvl w:val="0"/>
        <w:rPr>
          <w:rFonts w:hAnsi="仿宋"/>
          <w:b/>
          <w:sz w:val="36"/>
          <w:szCs w:val="36"/>
        </w:rPr>
      </w:pPr>
      <w:bookmarkStart w:id="24" w:name="第四部分"/>
      <w:r>
        <w:rPr>
          <w:rFonts w:hAnsi="仿宋"/>
          <w:b/>
          <w:sz w:val="36"/>
          <w:szCs w:val="36"/>
        </w:rPr>
        <w:t>第三部分采购需求</w:t>
      </w:r>
    </w:p>
    <w:p w14:paraId="2D0AA88A">
      <w:pPr>
        <w:pStyle w:val="3"/>
        <w:pageBreakBefore w:val="0"/>
        <w:widowControl w:val="0"/>
        <w:numPr>
          <w:ilvl w:val="1"/>
          <w:numId w:val="0"/>
        </w:numPr>
        <w:kinsoku/>
        <w:wordWrap/>
        <w:overflowPunct/>
        <w:topLinePunct w:val="0"/>
        <w:bidi w:val="0"/>
        <w:spacing w:before="0" w:after="0" w:line="480" w:lineRule="exact"/>
        <w:ind w:leftChars="0" w:firstLine="482" w:firstLineChars="200"/>
        <w:textAlignment w:val="auto"/>
        <w:rPr>
          <w:rFonts w:hint="eastAsia" w:ascii="仿宋" w:hAnsi="仿宋" w:eastAsia="仿宋" w:cs="仿宋"/>
          <w:kern w:val="0"/>
          <w:sz w:val="24"/>
          <w:szCs w:val="24"/>
        </w:rPr>
      </w:pPr>
      <w:bookmarkStart w:id="25" w:name="_Toc53566332"/>
      <w:r>
        <w:rPr>
          <w:rFonts w:hint="eastAsia" w:ascii="仿宋" w:hAnsi="仿宋" w:eastAsia="仿宋" w:cs="仿宋"/>
          <w:kern w:val="0"/>
          <w:sz w:val="24"/>
          <w:szCs w:val="24"/>
        </w:rPr>
        <w:t>一、项目概况</w:t>
      </w:r>
    </w:p>
    <w:p w14:paraId="6E299A4D">
      <w:pPr>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b w:val="0"/>
          <w:bCs w:val="0"/>
          <w:kern w:val="0"/>
          <w:sz w:val="24"/>
          <w:szCs w:val="24"/>
          <w:lang w:eastAsia="zh-CN"/>
        </w:rPr>
      </w:pPr>
      <w:r>
        <w:rPr>
          <w:rFonts w:hint="eastAsia" w:ascii="仿宋" w:hAnsi="仿宋" w:eastAsia="仿宋" w:cs="仿宋"/>
          <w:b w:val="0"/>
          <w:bCs w:val="0"/>
          <w:kern w:val="0"/>
          <w:sz w:val="24"/>
          <w:szCs w:val="24"/>
          <w:lang w:val="en-US" w:eastAsia="zh-CN"/>
        </w:rPr>
        <w:t>更换</w:t>
      </w:r>
      <w:r>
        <w:rPr>
          <w:rFonts w:hint="eastAsia" w:ascii="仿宋" w:hAnsi="仿宋" w:eastAsia="仿宋" w:cs="仿宋"/>
          <w:b w:val="0"/>
          <w:bCs w:val="0"/>
          <w:kern w:val="0"/>
          <w:sz w:val="24"/>
          <w:szCs w:val="24"/>
          <w:lang w:eastAsia="zh-CN"/>
        </w:rPr>
        <w:t>电梯项目，采购内容包括方案设计、设备供货和安装所需的零星土建、电梯井道、配合管线单位迁移等,整体装配式主体结构及电梯设备、安装、调试、装饰、试运行、设备供货、运输、卸货吊装、质监部门验收、资料归档、质保期</w:t>
      </w:r>
      <w:r>
        <w:rPr>
          <w:rFonts w:hint="eastAsia" w:ascii="仿宋" w:hAnsi="仿宋" w:eastAsia="仿宋" w:cs="仿宋"/>
          <w:b w:val="0"/>
          <w:bCs w:val="0"/>
          <w:kern w:val="0"/>
          <w:sz w:val="24"/>
          <w:szCs w:val="24"/>
          <w:lang w:val="en-US" w:eastAsia="zh-CN"/>
        </w:rPr>
        <w:t>（2年）</w:t>
      </w:r>
      <w:r>
        <w:rPr>
          <w:rFonts w:hint="eastAsia" w:ascii="仿宋" w:hAnsi="仿宋" w:eastAsia="仿宋" w:cs="仿宋"/>
          <w:b w:val="0"/>
          <w:bCs w:val="0"/>
          <w:kern w:val="0"/>
          <w:sz w:val="24"/>
          <w:szCs w:val="24"/>
          <w:lang w:eastAsia="zh-CN"/>
        </w:rPr>
        <w:t>内的维修保养项目。本项目最高限价</w:t>
      </w:r>
      <w:r>
        <w:rPr>
          <w:rFonts w:hint="eastAsia" w:ascii="仿宋" w:hAnsi="仿宋" w:eastAsia="仿宋" w:cs="仿宋"/>
          <w:b w:val="0"/>
          <w:bCs w:val="0"/>
          <w:kern w:val="0"/>
          <w:sz w:val="24"/>
          <w:szCs w:val="24"/>
          <w:lang w:val="en-US" w:eastAsia="zh-CN"/>
        </w:rPr>
        <w:t>35万元</w:t>
      </w:r>
      <w:r>
        <w:rPr>
          <w:rFonts w:hint="eastAsia" w:ascii="仿宋" w:hAnsi="仿宋" w:eastAsia="仿宋" w:cs="仿宋"/>
          <w:b w:val="0"/>
          <w:bCs w:val="0"/>
          <w:kern w:val="0"/>
          <w:sz w:val="24"/>
          <w:szCs w:val="24"/>
          <w:lang w:eastAsia="zh-CN"/>
        </w:rPr>
        <w:t>，投标人报价不得高于限价，否则将被否决。</w:t>
      </w:r>
    </w:p>
    <w:p w14:paraId="7A4331D3">
      <w:pPr>
        <w:pageBreakBefore w:val="0"/>
        <w:widowControl w:val="0"/>
        <w:kinsoku/>
        <w:wordWrap/>
        <w:overflowPunct/>
        <w:topLinePunct w:val="0"/>
        <w:bidi w:val="0"/>
        <w:spacing w:line="480" w:lineRule="exact"/>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 xml:space="preserve">二、具体技术规格及要求： </w:t>
      </w:r>
    </w:p>
    <w:p w14:paraId="2C0A643C">
      <w:pPr>
        <w:pStyle w:val="235"/>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sz w:val="24"/>
          <w:szCs w:val="24"/>
        </w:rPr>
      </w:pPr>
      <w:bookmarkStart w:id="26" w:name="_Toc328578341"/>
      <w:bookmarkEnd w:id="26"/>
      <w:r>
        <w:rPr>
          <w:rFonts w:hint="eastAsia" w:ascii="仿宋" w:hAnsi="仿宋" w:eastAsia="仿宋" w:cs="仿宋"/>
          <w:sz w:val="24"/>
          <w:szCs w:val="24"/>
        </w:rPr>
        <w:t>2.1、设备技术规格主要参数表：</w:t>
      </w:r>
    </w:p>
    <w:tbl>
      <w:tblPr>
        <w:tblStyle w:val="6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609"/>
        <w:gridCol w:w="1270"/>
        <w:gridCol w:w="1272"/>
        <w:gridCol w:w="780"/>
        <w:gridCol w:w="1028"/>
        <w:gridCol w:w="1056"/>
        <w:gridCol w:w="1264"/>
        <w:gridCol w:w="1007"/>
      </w:tblGrid>
      <w:tr w14:paraId="48CF19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637" w:type="dxa"/>
            <w:noWrap w:val="0"/>
            <w:vAlign w:val="center"/>
          </w:tcPr>
          <w:p w14:paraId="6F2F990D">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楼栋号</w:t>
            </w:r>
          </w:p>
        </w:tc>
        <w:tc>
          <w:tcPr>
            <w:tcW w:w="1289" w:type="dxa"/>
            <w:noWrap w:val="0"/>
            <w:vAlign w:val="center"/>
          </w:tcPr>
          <w:p w14:paraId="061B3D2E">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机房要求</w:t>
            </w:r>
          </w:p>
        </w:tc>
        <w:tc>
          <w:tcPr>
            <w:tcW w:w="1283" w:type="dxa"/>
            <w:noWrap w:val="0"/>
            <w:vAlign w:val="center"/>
          </w:tcPr>
          <w:p w14:paraId="0C9DA34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服务层站</w:t>
            </w:r>
          </w:p>
        </w:tc>
        <w:tc>
          <w:tcPr>
            <w:tcW w:w="788" w:type="dxa"/>
            <w:noWrap w:val="0"/>
            <w:vAlign w:val="center"/>
          </w:tcPr>
          <w:p w14:paraId="4902719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数量</w:t>
            </w:r>
          </w:p>
        </w:tc>
        <w:tc>
          <w:tcPr>
            <w:tcW w:w="1030" w:type="dxa"/>
            <w:noWrap w:val="0"/>
            <w:vAlign w:val="center"/>
          </w:tcPr>
          <w:p w14:paraId="7BB161E9">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载重</w:t>
            </w:r>
          </w:p>
        </w:tc>
        <w:tc>
          <w:tcPr>
            <w:tcW w:w="956" w:type="dxa"/>
            <w:noWrap w:val="0"/>
            <w:vAlign w:val="center"/>
          </w:tcPr>
          <w:p w14:paraId="5F9EA7F8">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速度</w:t>
            </w:r>
          </w:p>
        </w:tc>
        <w:tc>
          <w:tcPr>
            <w:tcW w:w="1283" w:type="dxa"/>
            <w:noWrap w:val="0"/>
            <w:vAlign w:val="center"/>
          </w:tcPr>
          <w:p w14:paraId="42A1AC4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控制方式</w:t>
            </w:r>
          </w:p>
        </w:tc>
        <w:tc>
          <w:tcPr>
            <w:tcW w:w="1020" w:type="dxa"/>
            <w:noWrap w:val="0"/>
            <w:vAlign w:val="center"/>
          </w:tcPr>
          <w:p w14:paraId="278BEBB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质保期</w:t>
            </w:r>
          </w:p>
        </w:tc>
      </w:tr>
      <w:tr w14:paraId="68C91E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637" w:type="dxa"/>
            <w:noWrap w:val="0"/>
            <w:vAlign w:val="center"/>
          </w:tcPr>
          <w:p w14:paraId="6CFFBCA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庆华饭店主楼1号梯</w:t>
            </w:r>
          </w:p>
        </w:tc>
        <w:tc>
          <w:tcPr>
            <w:tcW w:w="1289" w:type="dxa"/>
            <w:noWrap w:val="0"/>
            <w:vAlign w:val="center"/>
          </w:tcPr>
          <w:p w14:paraId="14C8FA7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有</w:t>
            </w:r>
            <w:r>
              <w:rPr>
                <w:rFonts w:hint="eastAsia" w:ascii="仿宋" w:hAnsi="仿宋" w:eastAsia="仿宋" w:cs="仿宋"/>
                <w:sz w:val="24"/>
                <w:szCs w:val="24"/>
              </w:rPr>
              <w:t>机房</w:t>
            </w:r>
          </w:p>
        </w:tc>
        <w:tc>
          <w:tcPr>
            <w:tcW w:w="1283" w:type="dxa"/>
            <w:noWrap w:val="0"/>
            <w:vAlign w:val="center"/>
          </w:tcPr>
          <w:p w14:paraId="5E21468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8/8/8</w:t>
            </w:r>
          </w:p>
        </w:tc>
        <w:tc>
          <w:tcPr>
            <w:tcW w:w="788" w:type="dxa"/>
            <w:noWrap w:val="0"/>
            <w:vAlign w:val="center"/>
          </w:tcPr>
          <w:p w14:paraId="4000A73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p>
        </w:tc>
        <w:tc>
          <w:tcPr>
            <w:tcW w:w="1030" w:type="dxa"/>
            <w:noWrap w:val="0"/>
            <w:vAlign w:val="center"/>
          </w:tcPr>
          <w:p w14:paraId="41A81D2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w:t>
            </w:r>
            <w:r>
              <w:rPr>
                <w:rFonts w:hint="eastAsia" w:ascii="仿宋" w:hAnsi="仿宋" w:cs="仿宋"/>
                <w:sz w:val="24"/>
                <w:szCs w:val="24"/>
                <w:lang w:val="en-US" w:eastAsia="zh-CN"/>
              </w:rPr>
              <w:t>15</w:t>
            </w:r>
            <w:r>
              <w:rPr>
                <w:rFonts w:hint="eastAsia" w:ascii="仿宋" w:hAnsi="仿宋" w:eastAsia="仿宋" w:cs="仿宋"/>
                <w:sz w:val="24"/>
                <w:szCs w:val="24"/>
              </w:rPr>
              <w:t>0</w:t>
            </w:r>
            <w:r>
              <w:rPr>
                <w:rFonts w:hint="eastAsia" w:ascii="仿宋" w:hAnsi="仿宋" w:eastAsia="仿宋" w:cs="仿宋"/>
                <w:sz w:val="24"/>
                <w:szCs w:val="24"/>
                <w:lang w:val="en-US" w:eastAsia="zh-CN"/>
              </w:rPr>
              <w:t>Kg</w:t>
            </w:r>
          </w:p>
        </w:tc>
        <w:tc>
          <w:tcPr>
            <w:tcW w:w="956" w:type="dxa"/>
            <w:noWrap w:val="0"/>
            <w:vAlign w:val="center"/>
          </w:tcPr>
          <w:p w14:paraId="750A834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75</w:t>
            </w:r>
            <w:r>
              <w:rPr>
                <w:rFonts w:hint="eastAsia" w:ascii="仿宋" w:hAnsi="仿宋" w:eastAsia="仿宋" w:cs="仿宋"/>
                <w:sz w:val="24"/>
                <w:szCs w:val="24"/>
              </w:rPr>
              <w:t>m/s</w:t>
            </w:r>
          </w:p>
        </w:tc>
        <w:tc>
          <w:tcPr>
            <w:tcW w:w="1283" w:type="dxa"/>
            <w:noWrap w:val="0"/>
            <w:vAlign w:val="center"/>
          </w:tcPr>
          <w:p w14:paraId="1DBF67D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单控</w:t>
            </w:r>
          </w:p>
        </w:tc>
        <w:tc>
          <w:tcPr>
            <w:tcW w:w="1020" w:type="dxa"/>
            <w:noWrap w:val="0"/>
            <w:vAlign w:val="center"/>
          </w:tcPr>
          <w:p w14:paraId="6135704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2年</w:t>
            </w:r>
          </w:p>
        </w:tc>
      </w:tr>
    </w:tbl>
    <w:p w14:paraId="2BFC6A25">
      <w:pPr>
        <w:pStyle w:val="235"/>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备注：表中数据仅供参考，由投标人自行按现场情况提供满足招标要求的电梯。</w:t>
      </w:r>
    </w:p>
    <w:p w14:paraId="07CD8084">
      <w:pPr>
        <w:pStyle w:val="235"/>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kern w:val="2"/>
          <w:sz w:val="24"/>
          <w:szCs w:val="24"/>
          <w:lang w:val="en-US" w:eastAsia="zh-CN"/>
        </w:rPr>
      </w:pPr>
      <w:r>
        <w:rPr>
          <w:rFonts w:hint="eastAsia" w:ascii="仿宋" w:hAnsi="仿宋" w:eastAsia="仿宋" w:cs="仿宋"/>
          <w:sz w:val="24"/>
          <w:szCs w:val="24"/>
        </w:rPr>
        <w:t>2.2、</w:t>
      </w:r>
      <w:r>
        <w:rPr>
          <w:rFonts w:hint="eastAsia" w:ascii="仿宋" w:hAnsi="仿宋" w:eastAsia="仿宋" w:cs="仿宋"/>
          <w:sz w:val="24"/>
          <w:szCs w:val="24"/>
          <w:lang w:val="en-US" w:eastAsia="zh-CN"/>
        </w:rPr>
        <w:t>拆除</w:t>
      </w:r>
      <w:r>
        <w:rPr>
          <w:rFonts w:hint="eastAsia" w:ascii="仿宋" w:hAnsi="仿宋" w:eastAsia="仿宋" w:cs="仿宋"/>
          <w:color w:val="auto"/>
          <w:kern w:val="2"/>
          <w:sz w:val="24"/>
          <w:szCs w:val="24"/>
        </w:rPr>
        <w:t>部分：</w:t>
      </w:r>
      <w:r>
        <w:rPr>
          <w:rFonts w:hint="eastAsia" w:ascii="仿宋" w:hAnsi="仿宋" w:eastAsia="仿宋" w:cs="仿宋"/>
          <w:color w:val="auto"/>
          <w:kern w:val="2"/>
          <w:sz w:val="24"/>
          <w:szCs w:val="24"/>
          <w:lang w:val="en-US" w:eastAsia="zh-CN"/>
        </w:rPr>
        <w:t>原旧电梯拆除，新电梯安装完成后，需修复或更换好原大理石墙面并保持原墙面整洁完好。</w:t>
      </w:r>
    </w:p>
    <w:p w14:paraId="5DA358C7">
      <w:pPr>
        <w:pStyle w:val="235"/>
        <w:pageBreakBefore w:val="0"/>
        <w:widowControl w:val="0"/>
        <w:kinsoku/>
        <w:wordWrap/>
        <w:overflowPunct/>
        <w:topLinePunct w:val="0"/>
        <w:bidi w:val="0"/>
        <w:spacing w:line="480" w:lineRule="exact"/>
        <w:ind w:firstLine="480" w:firstLineChars="200"/>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2.3、电梯部分：</w:t>
      </w:r>
    </w:p>
    <w:p w14:paraId="2A6A6C48">
      <w:pPr>
        <w:pStyle w:val="235"/>
        <w:pageBreakBefore w:val="0"/>
        <w:widowControl w:val="0"/>
        <w:kinsoku/>
        <w:wordWrap/>
        <w:overflowPunct/>
        <w:topLinePunct w:val="0"/>
        <w:bidi w:val="0"/>
        <w:spacing w:line="480" w:lineRule="exact"/>
        <w:jc w:val="center"/>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电梯规格参数表</w:t>
      </w:r>
    </w:p>
    <w:tbl>
      <w:tblPr>
        <w:tblStyle w:val="6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83"/>
        <w:gridCol w:w="3194"/>
        <w:gridCol w:w="5103"/>
      </w:tblGrid>
      <w:tr w14:paraId="3A6800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noWrap w:val="0"/>
            <w:vAlign w:val="center"/>
          </w:tcPr>
          <w:p w14:paraId="1600661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梯 型</w:t>
            </w:r>
          </w:p>
        </w:tc>
        <w:tc>
          <w:tcPr>
            <w:tcW w:w="3194" w:type="dxa"/>
            <w:noWrap w:val="0"/>
            <w:vAlign w:val="center"/>
          </w:tcPr>
          <w:p w14:paraId="619C6CB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规 格</w:t>
            </w:r>
          </w:p>
        </w:tc>
        <w:tc>
          <w:tcPr>
            <w:tcW w:w="5103" w:type="dxa"/>
            <w:noWrap w:val="0"/>
            <w:vAlign w:val="center"/>
          </w:tcPr>
          <w:p w14:paraId="2ABB85A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参 数</w:t>
            </w:r>
          </w:p>
        </w:tc>
      </w:tr>
      <w:tr w14:paraId="6E6B97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restart"/>
            <w:noWrap w:val="0"/>
            <w:vAlign w:val="center"/>
          </w:tcPr>
          <w:p w14:paraId="468B459E">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机房乘客电梯</w:t>
            </w:r>
          </w:p>
        </w:tc>
        <w:tc>
          <w:tcPr>
            <w:tcW w:w="3194" w:type="dxa"/>
            <w:noWrap w:val="0"/>
            <w:vAlign w:val="center"/>
          </w:tcPr>
          <w:p w14:paraId="7759A7D1">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额定载重（kg）</w:t>
            </w:r>
          </w:p>
        </w:tc>
        <w:tc>
          <w:tcPr>
            <w:tcW w:w="5103" w:type="dxa"/>
            <w:noWrap w:val="0"/>
            <w:vAlign w:val="center"/>
          </w:tcPr>
          <w:p w14:paraId="79D6FAD2">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cs="仿宋"/>
                <w:sz w:val="24"/>
                <w:szCs w:val="24"/>
                <w:lang w:val="en-US" w:eastAsia="zh-CN"/>
              </w:rPr>
              <w:t>15</w:t>
            </w:r>
            <w:r>
              <w:rPr>
                <w:rFonts w:hint="eastAsia" w:ascii="仿宋" w:hAnsi="仿宋" w:eastAsia="仿宋" w:cs="仿宋"/>
                <w:sz w:val="24"/>
                <w:szCs w:val="24"/>
              </w:rPr>
              <w:t>0</w:t>
            </w:r>
          </w:p>
        </w:tc>
      </w:tr>
      <w:tr w14:paraId="1C4253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6E59162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4104424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额定速度（m/s）</w:t>
            </w:r>
          </w:p>
        </w:tc>
        <w:tc>
          <w:tcPr>
            <w:tcW w:w="5103" w:type="dxa"/>
            <w:noWrap w:val="0"/>
            <w:vAlign w:val="center"/>
          </w:tcPr>
          <w:p w14:paraId="53FE774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val="en-US" w:eastAsia="zh-CN"/>
              </w:rPr>
              <w:t>75</w:t>
            </w:r>
          </w:p>
        </w:tc>
      </w:tr>
      <w:tr w14:paraId="6DECB5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3745CB0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4F271FB1">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层/站/门</w:t>
            </w:r>
          </w:p>
        </w:tc>
        <w:tc>
          <w:tcPr>
            <w:tcW w:w="5103" w:type="dxa"/>
            <w:noWrap w:val="0"/>
            <w:vAlign w:val="center"/>
          </w:tcPr>
          <w:p w14:paraId="61A2269A">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8/8/8</w:t>
            </w:r>
          </w:p>
        </w:tc>
      </w:tr>
      <w:tr w14:paraId="7C4121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2F8ECA39">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5DCF0DAD">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停靠站</w:t>
            </w:r>
          </w:p>
        </w:tc>
        <w:tc>
          <w:tcPr>
            <w:tcW w:w="5103" w:type="dxa"/>
            <w:noWrap w:val="0"/>
            <w:vAlign w:val="center"/>
          </w:tcPr>
          <w:p w14:paraId="1CF912E9">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eastAsia="仿宋" w:cs="仿宋"/>
                <w:sz w:val="24"/>
                <w:szCs w:val="24"/>
                <w:lang w:val="en-US" w:eastAsia="zh-CN"/>
              </w:rPr>
              <w:t>8</w:t>
            </w:r>
          </w:p>
        </w:tc>
      </w:tr>
      <w:tr w14:paraId="2B762D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6BD2D54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002478B1">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台 量</w:t>
            </w:r>
          </w:p>
        </w:tc>
        <w:tc>
          <w:tcPr>
            <w:tcW w:w="5103" w:type="dxa"/>
            <w:noWrap w:val="0"/>
            <w:vAlign w:val="center"/>
          </w:tcPr>
          <w:p w14:paraId="3B91794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r w14:paraId="7070D9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1768F91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53CF7128">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原井道</w:t>
            </w:r>
            <w:r>
              <w:rPr>
                <w:rFonts w:hint="eastAsia" w:ascii="仿宋" w:hAnsi="仿宋" w:eastAsia="仿宋" w:cs="仿宋"/>
                <w:sz w:val="24"/>
                <w:szCs w:val="24"/>
              </w:rPr>
              <w:t>主体净尺寸</w:t>
            </w:r>
          </w:p>
          <w:p w14:paraId="5D9D893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（宽×深）（mm）</w:t>
            </w:r>
          </w:p>
        </w:tc>
        <w:tc>
          <w:tcPr>
            <w:tcW w:w="5103" w:type="dxa"/>
            <w:noWrap w:val="0"/>
            <w:vAlign w:val="center"/>
          </w:tcPr>
          <w:p w14:paraId="37BADCA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cs="仿宋"/>
                <w:sz w:val="24"/>
                <w:szCs w:val="24"/>
                <w:lang w:val="en-US" w:eastAsia="zh-CN"/>
              </w:rPr>
              <w:t>25</w:t>
            </w:r>
            <w:r>
              <w:rPr>
                <w:rFonts w:hint="eastAsia" w:ascii="仿宋" w:hAnsi="仿宋" w:eastAsia="仿宋" w:cs="仿宋"/>
                <w:sz w:val="24"/>
                <w:szCs w:val="24"/>
                <w:lang w:val="en-US" w:eastAsia="zh-CN"/>
              </w:rPr>
              <w:t>0</w:t>
            </w:r>
            <w:r>
              <w:rPr>
                <w:rFonts w:hint="eastAsia" w:ascii="仿宋" w:hAnsi="仿宋" w:eastAsia="仿宋" w:cs="仿宋"/>
                <w:sz w:val="24"/>
                <w:szCs w:val="24"/>
              </w:rPr>
              <w:t>*</w:t>
            </w:r>
            <w:r>
              <w:rPr>
                <w:rFonts w:hint="eastAsia" w:ascii="仿宋" w:hAnsi="仿宋" w:eastAsia="仿宋" w:cs="仿宋"/>
                <w:sz w:val="24"/>
                <w:szCs w:val="24"/>
                <w:lang w:val="en-US" w:eastAsia="zh-CN"/>
              </w:rPr>
              <w:t>2100</w:t>
            </w:r>
            <w:r>
              <w:rPr>
                <w:rFonts w:hint="eastAsia" w:ascii="仿宋" w:hAnsi="仿宋" w:cs="仿宋"/>
                <w:sz w:val="24"/>
                <w:szCs w:val="24"/>
                <w:lang w:val="en-US" w:eastAsia="zh-CN"/>
              </w:rPr>
              <w:t>（以现场尺寸为准）</w:t>
            </w:r>
          </w:p>
        </w:tc>
      </w:tr>
      <w:tr w14:paraId="7D1146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636B346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63B0CEE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轿厢内尺寸</w:t>
            </w:r>
          </w:p>
          <w:p w14:paraId="36F1D618">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（宽×深×高）（mm）</w:t>
            </w:r>
          </w:p>
        </w:tc>
        <w:tc>
          <w:tcPr>
            <w:tcW w:w="5103" w:type="dxa"/>
            <w:noWrap w:val="0"/>
            <w:vAlign w:val="center"/>
          </w:tcPr>
          <w:p w14:paraId="7C63041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1</w:t>
            </w:r>
            <w:r>
              <w:rPr>
                <w:rFonts w:hint="eastAsia" w:ascii="仿宋" w:hAnsi="仿宋" w:cs="仿宋"/>
                <w:sz w:val="24"/>
                <w:szCs w:val="24"/>
                <w:lang w:val="en-US" w:eastAsia="zh-CN"/>
              </w:rPr>
              <w:t>80</w:t>
            </w:r>
            <w:r>
              <w:rPr>
                <w:rFonts w:hint="eastAsia" w:ascii="仿宋" w:hAnsi="仿宋" w:eastAsia="仿宋" w:cs="仿宋"/>
                <w:sz w:val="24"/>
                <w:szCs w:val="24"/>
                <w:lang w:val="en-US" w:eastAsia="zh-CN"/>
              </w:rPr>
              <w:t>0</w:t>
            </w:r>
            <w:r>
              <w:rPr>
                <w:rFonts w:hint="eastAsia" w:ascii="仿宋" w:hAnsi="仿宋" w:eastAsia="仿宋" w:cs="仿宋"/>
                <w:sz w:val="24"/>
                <w:szCs w:val="24"/>
              </w:rPr>
              <w:t>*1</w:t>
            </w:r>
            <w:r>
              <w:rPr>
                <w:rFonts w:hint="eastAsia" w:ascii="仿宋" w:hAnsi="仿宋" w:cs="仿宋"/>
                <w:sz w:val="24"/>
                <w:szCs w:val="24"/>
                <w:lang w:val="en-US" w:eastAsia="zh-CN"/>
              </w:rPr>
              <w:t>45</w:t>
            </w:r>
            <w:r>
              <w:rPr>
                <w:rFonts w:hint="eastAsia" w:ascii="仿宋" w:hAnsi="仿宋" w:eastAsia="仿宋" w:cs="仿宋"/>
                <w:sz w:val="24"/>
                <w:szCs w:val="24"/>
              </w:rPr>
              <w:t>0</w:t>
            </w:r>
            <w:r>
              <w:rPr>
                <w:rFonts w:hint="eastAsia" w:ascii="仿宋" w:hAnsi="仿宋" w:eastAsia="仿宋" w:cs="仿宋"/>
                <w:sz w:val="24"/>
                <w:szCs w:val="24"/>
                <w:lang w:val="en-US" w:eastAsia="zh-CN"/>
              </w:rPr>
              <w:t>*2</w:t>
            </w:r>
            <w:r>
              <w:rPr>
                <w:rFonts w:hint="eastAsia" w:ascii="仿宋" w:hAnsi="仿宋" w:cs="仿宋"/>
                <w:sz w:val="24"/>
                <w:szCs w:val="24"/>
                <w:lang w:val="en-US" w:eastAsia="zh-CN"/>
              </w:rPr>
              <w:t>7</w:t>
            </w:r>
            <w:r>
              <w:rPr>
                <w:rFonts w:hint="eastAsia" w:ascii="仿宋" w:hAnsi="仿宋" w:eastAsia="仿宋" w:cs="仿宋"/>
                <w:sz w:val="24"/>
                <w:szCs w:val="24"/>
                <w:lang w:val="en-US" w:eastAsia="zh-CN"/>
              </w:rPr>
              <w:t>00</w:t>
            </w:r>
          </w:p>
        </w:tc>
      </w:tr>
      <w:tr w14:paraId="48C4E2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01A1847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4224019D">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开门尺寸</w:t>
            </w:r>
          </w:p>
          <w:p w14:paraId="42CEC7D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（宽×高）（mm）</w:t>
            </w:r>
          </w:p>
        </w:tc>
        <w:tc>
          <w:tcPr>
            <w:tcW w:w="5103" w:type="dxa"/>
            <w:noWrap w:val="0"/>
            <w:vAlign w:val="center"/>
          </w:tcPr>
          <w:p w14:paraId="4FDE3DB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default" w:ascii="仿宋" w:hAnsi="仿宋" w:eastAsia="仿宋" w:cs="仿宋"/>
                <w:sz w:val="24"/>
                <w:szCs w:val="24"/>
                <w:lang w:val="en-US"/>
              </w:rPr>
            </w:pPr>
            <w:r>
              <w:rPr>
                <w:rFonts w:hint="eastAsia" w:ascii="仿宋" w:hAnsi="仿宋" w:cs="仿宋"/>
                <w:color w:val="000000" w:themeColor="text1"/>
                <w:sz w:val="24"/>
                <w:szCs w:val="24"/>
                <w:lang w:val="en-US" w:eastAsia="zh-CN"/>
                <w14:textFill>
                  <w14:solidFill>
                    <w14:schemeClr w14:val="tx1"/>
                  </w14:solidFill>
                </w14:textFill>
              </w:rPr>
              <w:t>900*2100</w:t>
            </w:r>
          </w:p>
        </w:tc>
      </w:tr>
      <w:tr w14:paraId="72A3C2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79658784">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0C2DF5C5">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开门方式</w:t>
            </w:r>
          </w:p>
        </w:tc>
        <w:tc>
          <w:tcPr>
            <w:tcW w:w="5103" w:type="dxa"/>
            <w:noWrap w:val="0"/>
            <w:vAlign w:val="center"/>
          </w:tcPr>
          <w:p w14:paraId="0D784998">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中分</w:t>
            </w:r>
          </w:p>
        </w:tc>
      </w:tr>
      <w:tr w14:paraId="0F6532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2E2C5912">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6C10CCD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运行方式</w:t>
            </w:r>
          </w:p>
        </w:tc>
        <w:tc>
          <w:tcPr>
            <w:tcW w:w="5103" w:type="dxa"/>
            <w:noWrap w:val="0"/>
            <w:vAlign w:val="center"/>
          </w:tcPr>
          <w:p w14:paraId="2D69D9EF">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单控</w:t>
            </w:r>
          </w:p>
        </w:tc>
      </w:tr>
      <w:tr w14:paraId="7908DA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44364DDD">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54EE81E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顶层高度（mm）</w:t>
            </w:r>
          </w:p>
        </w:tc>
        <w:tc>
          <w:tcPr>
            <w:tcW w:w="5103" w:type="dxa"/>
            <w:noWrap w:val="0"/>
            <w:vAlign w:val="center"/>
          </w:tcPr>
          <w:p w14:paraId="79EFF1A1">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cs="仿宋"/>
                <w:sz w:val="24"/>
                <w:szCs w:val="24"/>
                <w:lang w:val="en-US" w:eastAsia="zh-CN"/>
              </w:rPr>
              <w:t>35</w:t>
            </w:r>
            <w:r>
              <w:rPr>
                <w:rFonts w:hint="eastAsia" w:ascii="仿宋" w:hAnsi="仿宋" w:eastAsia="仿宋" w:cs="仿宋"/>
                <w:sz w:val="24"/>
                <w:szCs w:val="24"/>
              </w:rPr>
              <w:t>0</w:t>
            </w:r>
          </w:p>
        </w:tc>
      </w:tr>
      <w:tr w14:paraId="725711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283" w:type="dxa"/>
            <w:vMerge w:val="continue"/>
            <w:noWrap w:val="0"/>
            <w:vAlign w:val="center"/>
          </w:tcPr>
          <w:p w14:paraId="7079031B">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p>
        </w:tc>
        <w:tc>
          <w:tcPr>
            <w:tcW w:w="3194" w:type="dxa"/>
            <w:noWrap w:val="0"/>
            <w:vAlign w:val="center"/>
          </w:tcPr>
          <w:p w14:paraId="409754B0">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rPr>
              <w:t>基坑深度（mm）</w:t>
            </w:r>
          </w:p>
        </w:tc>
        <w:tc>
          <w:tcPr>
            <w:tcW w:w="5103" w:type="dxa"/>
            <w:noWrap w:val="0"/>
            <w:vAlign w:val="center"/>
          </w:tcPr>
          <w:p w14:paraId="6875F8C6">
            <w:pPr>
              <w:pageBreakBefore w:val="0"/>
              <w:widowControl w:val="0"/>
              <w:kinsoku/>
              <w:wordWrap/>
              <w:overflowPunct/>
              <w:topLinePunct w:val="0"/>
              <w:bidi w:val="0"/>
              <w:adjustRightInd w:val="0"/>
              <w:snapToGrid w:val="0"/>
              <w:spacing w:line="480" w:lineRule="exact"/>
              <w:ind w:left="0" w:leftChars="0" w:firstLine="0" w:firstLineChars="0"/>
              <w:jc w:val="center"/>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16</w:t>
            </w:r>
            <w:r>
              <w:rPr>
                <w:rFonts w:hint="eastAsia" w:ascii="仿宋" w:hAnsi="仿宋" w:eastAsia="仿宋" w:cs="仿宋"/>
                <w:sz w:val="24"/>
                <w:szCs w:val="24"/>
              </w:rPr>
              <w:t>00</w:t>
            </w:r>
          </w:p>
        </w:tc>
      </w:tr>
    </w:tbl>
    <w:p w14:paraId="34D81997">
      <w:pPr>
        <w:pStyle w:val="235"/>
        <w:pageBreakBefore w:val="0"/>
        <w:widowControl w:val="0"/>
        <w:kinsoku/>
        <w:wordWrap/>
        <w:overflowPunct/>
        <w:topLinePunct w:val="0"/>
        <w:bidi w:val="0"/>
        <w:spacing w:line="480" w:lineRule="exact"/>
        <w:jc w:val="both"/>
        <w:textAlignment w:val="auto"/>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电梯技术要求</w:t>
      </w:r>
    </w:p>
    <w:tbl>
      <w:tblPr>
        <w:tblStyle w:val="62"/>
        <w:tblpPr w:leftFromText="180" w:rightFromText="180" w:vertAnchor="text" w:horzAnchor="page" w:tblpXSpec="center" w:tblpY="908"/>
        <w:tblOverlap w:val="never"/>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15"/>
        <w:gridCol w:w="1827"/>
        <w:gridCol w:w="6526"/>
      </w:tblGrid>
      <w:tr w14:paraId="047438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52F40C35">
            <w:pPr>
              <w:pageBreakBefore w:val="0"/>
              <w:widowControl w:val="0"/>
              <w:kinsoku/>
              <w:wordWrap/>
              <w:overflowPunct/>
              <w:topLinePunct w:val="0"/>
              <w:bidi w:val="0"/>
              <w:spacing w:line="480" w:lineRule="exact"/>
              <w:ind w:left="0" w:leftChars="0" w:firstLine="0" w:firstLineChars="0"/>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序号</w:t>
            </w:r>
          </w:p>
        </w:tc>
        <w:tc>
          <w:tcPr>
            <w:tcW w:w="1827" w:type="dxa"/>
            <w:noWrap w:val="0"/>
            <w:vAlign w:val="center"/>
          </w:tcPr>
          <w:p w14:paraId="75605464">
            <w:pPr>
              <w:pageBreakBefore w:val="0"/>
              <w:widowControl w:val="0"/>
              <w:kinsoku/>
              <w:wordWrap/>
              <w:overflowPunct/>
              <w:topLinePunct w:val="0"/>
              <w:bidi w:val="0"/>
              <w:spacing w:line="480" w:lineRule="exact"/>
              <w:ind w:left="0" w:leftChars="0" w:firstLine="0" w:firstLineChars="0"/>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项目名称</w:t>
            </w:r>
          </w:p>
        </w:tc>
        <w:tc>
          <w:tcPr>
            <w:tcW w:w="6526" w:type="dxa"/>
            <w:noWrap w:val="0"/>
            <w:vAlign w:val="center"/>
          </w:tcPr>
          <w:p w14:paraId="7A0BAAFB">
            <w:pPr>
              <w:pageBreakBefore w:val="0"/>
              <w:widowControl w:val="0"/>
              <w:kinsoku/>
              <w:wordWrap/>
              <w:overflowPunct/>
              <w:topLinePunct w:val="0"/>
              <w:bidi w:val="0"/>
              <w:spacing w:line="480" w:lineRule="exact"/>
              <w:ind w:left="0" w:leftChars="0" w:firstLine="0" w:firstLineChars="0"/>
              <w:jc w:val="center"/>
              <w:textAlignment w:val="auto"/>
              <w:rPr>
                <w:rFonts w:hint="eastAsia" w:ascii="仿宋" w:hAnsi="仿宋" w:eastAsia="仿宋" w:cs="仿宋"/>
                <w:b/>
                <w:bCs/>
                <w:sz w:val="24"/>
                <w:szCs w:val="24"/>
              </w:rPr>
            </w:pPr>
            <w:r>
              <w:rPr>
                <w:rFonts w:hint="eastAsia" w:ascii="仿宋" w:hAnsi="仿宋" w:eastAsia="仿宋" w:cs="仿宋"/>
                <w:b/>
                <w:bCs/>
                <w:sz w:val="24"/>
                <w:szCs w:val="24"/>
              </w:rPr>
              <w:t>技术要求</w:t>
            </w:r>
          </w:p>
        </w:tc>
      </w:tr>
      <w:tr w14:paraId="74FE61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6CA710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1827" w:type="dxa"/>
            <w:noWrap w:val="0"/>
            <w:vAlign w:val="center"/>
          </w:tcPr>
          <w:p w14:paraId="5D0AB446">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驱动系统</w:t>
            </w:r>
          </w:p>
        </w:tc>
        <w:tc>
          <w:tcPr>
            <w:tcW w:w="6526" w:type="dxa"/>
            <w:noWrap w:val="0"/>
            <w:vAlign w:val="center"/>
          </w:tcPr>
          <w:p w14:paraId="1F4BB52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永磁同步无齿轮</w:t>
            </w:r>
            <w:r>
              <w:rPr>
                <w:rFonts w:hint="eastAsia" w:ascii="仿宋" w:hAnsi="仿宋" w:eastAsia="仿宋" w:cs="仿宋"/>
                <w:sz w:val="24"/>
                <w:szCs w:val="24"/>
                <w:lang w:val="en-US" w:eastAsia="zh-CN"/>
              </w:rPr>
              <w:t>曳引驱动</w:t>
            </w:r>
          </w:p>
        </w:tc>
      </w:tr>
      <w:tr w14:paraId="4DCA8B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2DA1247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2</w:t>
            </w:r>
          </w:p>
        </w:tc>
        <w:tc>
          <w:tcPr>
            <w:tcW w:w="1827" w:type="dxa"/>
            <w:noWrap w:val="0"/>
            <w:vAlign w:val="center"/>
          </w:tcPr>
          <w:p w14:paraId="054B453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控制系统</w:t>
            </w:r>
          </w:p>
        </w:tc>
        <w:tc>
          <w:tcPr>
            <w:tcW w:w="6526" w:type="dxa"/>
            <w:noWrap w:val="0"/>
            <w:vAlign w:val="center"/>
          </w:tcPr>
          <w:p w14:paraId="0B907FC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全电脑、分布式微机网络、串行传输，变频控制系统</w:t>
            </w:r>
          </w:p>
        </w:tc>
      </w:tr>
      <w:tr w14:paraId="6DA98B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292786A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3</w:t>
            </w:r>
          </w:p>
        </w:tc>
        <w:tc>
          <w:tcPr>
            <w:tcW w:w="1827" w:type="dxa"/>
            <w:noWrap w:val="0"/>
            <w:vAlign w:val="center"/>
          </w:tcPr>
          <w:p w14:paraId="57C41EF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变频系统</w:t>
            </w:r>
          </w:p>
        </w:tc>
        <w:tc>
          <w:tcPr>
            <w:tcW w:w="6526" w:type="dxa"/>
            <w:noWrap w:val="0"/>
            <w:vAlign w:val="center"/>
          </w:tcPr>
          <w:p w14:paraId="4B2ACD38">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交流变频变压调速（VVVF）</w:t>
            </w:r>
          </w:p>
        </w:tc>
      </w:tr>
      <w:tr w14:paraId="52EE2A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37D0E6A">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4</w:t>
            </w:r>
          </w:p>
        </w:tc>
        <w:tc>
          <w:tcPr>
            <w:tcW w:w="1827" w:type="dxa"/>
            <w:noWrap w:val="0"/>
            <w:vAlign w:val="center"/>
          </w:tcPr>
          <w:p w14:paraId="32D9711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门机系统</w:t>
            </w:r>
          </w:p>
        </w:tc>
        <w:tc>
          <w:tcPr>
            <w:tcW w:w="6526" w:type="dxa"/>
            <w:noWrap w:val="0"/>
            <w:vAlign w:val="center"/>
          </w:tcPr>
          <w:p w14:paraId="15F6B6D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交流变频变压调速（VVVF）门机或直流门机，32位微机控制</w:t>
            </w:r>
          </w:p>
        </w:tc>
      </w:tr>
      <w:tr w14:paraId="53807F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57D4730">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5</w:t>
            </w:r>
          </w:p>
        </w:tc>
        <w:tc>
          <w:tcPr>
            <w:tcW w:w="1827" w:type="dxa"/>
            <w:noWrap w:val="0"/>
            <w:vAlign w:val="center"/>
          </w:tcPr>
          <w:p w14:paraId="0B41651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门机传动</w:t>
            </w:r>
          </w:p>
        </w:tc>
        <w:tc>
          <w:tcPr>
            <w:tcW w:w="6526" w:type="dxa"/>
            <w:noWrap w:val="0"/>
            <w:vAlign w:val="center"/>
          </w:tcPr>
          <w:p w14:paraId="208B2F24">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同步带</w:t>
            </w:r>
            <w:r>
              <w:rPr>
                <w:rFonts w:hint="eastAsia" w:ascii="仿宋" w:hAnsi="仿宋" w:eastAsia="仿宋" w:cs="仿宋"/>
                <w:sz w:val="24"/>
                <w:szCs w:val="24"/>
                <w:lang w:eastAsia="zh-CN"/>
              </w:rPr>
              <w:t>；</w:t>
            </w:r>
            <w:r>
              <w:rPr>
                <w:rFonts w:hint="eastAsia" w:ascii="仿宋" w:hAnsi="仿宋" w:cs="仿宋"/>
                <w:sz w:val="24"/>
                <w:szCs w:val="24"/>
                <w:lang w:val="en-US" w:eastAsia="zh-CN"/>
              </w:rPr>
              <w:t>与电梯品牌保持一致。</w:t>
            </w:r>
          </w:p>
        </w:tc>
      </w:tr>
      <w:tr w14:paraId="1BF640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7457175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6</w:t>
            </w:r>
          </w:p>
        </w:tc>
        <w:tc>
          <w:tcPr>
            <w:tcW w:w="1827" w:type="dxa"/>
            <w:noWrap w:val="0"/>
            <w:vAlign w:val="center"/>
          </w:tcPr>
          <w:p w14:paraId="4D3DFA6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逻辑控制系统</w:t>
            </w:r>
          </w:p>
        </w:tc>
        <w:tc>
          <w:tcPr>
            <w:tcW w:w="6526" w:type="dxa"/>
            <w:noWrap w:val="0"/>
            <w:vAlign w:val="center"/>
          </w:tcPr>
          <w:p w14:paraId="14A66791">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采用32位微机控制板及以上微电脑控制系统</w:t>
            </w:r>
          </w:p>
        </w:tc>
      </w:tr>
      <w:tr w14:paraId="061097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27485BF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7</w:t>
            </w:r>
          </w:p>
        </w:tc>
        <w:tc>
          <w:tcPr>
            <w:tcW w:w="1827" w:type="dxa"/>
            <w:noWrap w:val="0"/>
            <w:vAlign w:val="center"/>
          </w:tcPr>
          <w:p w14:paraId="250740C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曳引机</w:t>
            </w:r>
          </w:p>
        </w:tc>
        <w:tc>
          <w:tcPr>
            <w:tcW w:w="6526" w:type="dxa"/>
            <w:noWrap w:val="0"/>
            <w:vAlign w:val="center"/>
          </w:tcPr>
          <w:p w14:paraId="55C33F1C">
            <w:pPr>
              <w:pageBreakBefore w:val="0"/>
              <w:widowControl w:val="0"/>
              <w:kinsoku/>
              <w:wordWrap/>
              <w:overflowPunct/>
              <w:topLinePunct w:val="0"/>
              <w:bidi w:val="0"/>
              <w:spacing w:line="240" w:lineRule="auto"/>
              <w:ind w:left="0" w:leftChars="0" w:firstLine="0" w:firstLineChars="0"/>
              <w:textAlignment w:val="auto"/>
              <w:rPr>
                <w:rFonts w:hint="default" w:ascii="仿宋" w:hAnsi="仿宋" w:eastAsia="仿宋" w:cs="仿宋"/>
                <w:sz w:val="24"/>
                <w:szCs w:val="24"/>
                <w:lang w:val="en-US" w:eastAsia="zh-CN"/>
              </w:rPr>
            </w:pPr>
            <w:r>
              <w:rPr>
                <w:rFonts w:hint="eastAsia" w:ascii="仿宋" w:hAnsi="仿宋" w:eastAsia="仿宋" w:cs="仿宋"/>
                <w:sz w:val="24"/>
                <w:szCs w:val="24"/>
              </w:rPr>
              <w:t>永磁同步电动机驱动的无齿轮曳引机</w:t>
            </w:r>
            <w:r>
              <w:rPr>
                <w:rFonts w:hint="eastAsia" w:ascii="仿宋" w:hAnsi="仿宋" w:eastAsia="仿宋" w:cs="仿宋"/>
                <w:sz w:val="24"/>
                <w:szCs w:val="24"/>
                <w:lang w:eastAsia="zh-CN"/>
              </w:rPr>
              <w:t>；</w:t>
            </w:r>
            <w:r>
              <w:rPr>
                <w:rFonts w:hint="eastAsia" w:ascii="仿宋" w:hAnsi="仿宋" w:cs="仿宋"/>
                <w:sz w:val="24"/>
                <w:szCs w:val="24"/>
                <w:lang w:val="en-US" w:eastAsia="zh-CN"/>
              </w:rPr>
              <w:t>与电梯品牌保持一致。</w:t>
            </w:r>
          </w:p>
        </w:tc>
      </w:tr>
      <w:tr w14:paraId="795613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612F632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8</w:t>
            </w:r>
          </w:p>
        </w:tc>
        <w:tc>
          <w:tcPr>
            <w:tcW w:w="1827" w:type="dxa"/>
            <w:noWrap w:val="0"/>
            <w:vAlign w:val="center"/>
          </w:tcPr>
          <w:p w14:paraId="6AA2D7F6">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电梯门区保护</w:t>
            </w:r>
          </w:p>
        </w:tc>
        <w:tc>
          <w:tcPr>
            <w:tcW w:w="6526" w:type="dxa"/>
            <w:noWrap w:val="0"/>
            <w:vAlign w:val="center"/>
          </w:tcPr>
          <w:p w14:paraId="05FBA72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光幕保护</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光束</w:t>
            </w:r>
            <w:r>
              <w:rPr>
                <w:rFonts w:hint="eastAsia" w:ascii="仿宋" w:hAnsi="仿宋" w:eastAsia="仿宋" w:cs="仿宋"/>
                <w:sz w:val="24"/>
                <w:szCs w:val="24"/>
              </w:rPr>
              <w:t>≥</w:t>
            </w:r>
            <w:r>
              <w:rPr>
                <w:rFonts w:hint="eastAsia" w:ascii="仿宋" w:hAnsi="仿宋" w:eastAsia="仿宋" w:cs="仿宋"/>
                <w:sz w:val="24"/>
                <w:szCs w:val="24"/>
                <w:lang w:val="en-US" w:eastAsia="zh-CN"/>
              </w:rPr>
              <w:t>1</w:t>
            </w:r>
            <w:r>
              <w:rPr>
                <w:rFonts w:hint="eastAsia" w:ascii="仿宋" w:hAnsi="仿宋" w:cs="仿宋"/>
                <w:sz w:val="24"/>
                <w:szCs w:val="24"/>
                <w:lang w:val="en-US" w:eastAsia="zh-CN"/>
              </w:rPr>
              <w:t>2</w:t>
            </w:r>
            <w:r>
              <w:rPr>
                <w:rFonts w:hint="eastAsia" w:ascii="仿宋" w:hAnsi="仿宋" w:eastAsia="仿宋" w:cs="仿宋"/>
                <w:sz w:val="24"/>
                <w:szCs w:val="24"/>
                <w:lang w:val="en-US" w:eastAsia="zh-CN"/>
              </w:rPr>
              <w:t>0束</w:t>
            </w:r>
          </w:p>
        </w:tc>
      </w:tr>
      <w:tr w14:paraId="1BE602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643F71D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9</w:t>
            </w:r>
          </w:p>
        </w:tc>
        <w:tc>
          <w:tcPr>
            <w:tcW w:w="1827" w:type="dxa"/>
            <w:noWrap w:val="0"/>
            <w:vAlign w:val="center"/>
          </w:tcPr>
          <w:p w14:paraId="6A0F266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平层精度</w:t>
            </w:r>
          </w:p>
        </w:tc>
        <w:tc>
          <w:tcPr>
            <w:tcW w:w="6526" w:type="dxa"/>
            <w:noWrap w:val="0"/>
            <w:vAlign w:val="center"/>
          </w:tcPr>
          <w:p w14:paraId="1AD9134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rPr>
              <w:sym w:font="Symbol" w:char="00B1"/>
            </w:r>
            <w:r>
              <w:rPr>
                <w:rFonts w:hint="eastAsia" w:ascii="仿宋" w:hAnsi="仿宋" w:eastAsia="仿宋" w:cs="仿宋"/>
                <w:sz w:val="24"/>
                <w:szCs w:val="24"/>
              </w:rPr>
              <w:t>3mm</w:t>
            </w:r>
          </w:p>
        </w:tc>
      </w:tr>
      <w:tr w14:paraId="69C9BA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130CDD9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10</w:t>
            </w:r>
          </w:p>
        </w:tc>
        <w:tc>
          <w:tcPr>
            <w:tcW w:w="1827" w:type="dxa"/>
            <w:noWrap w:val="0"/>
            <w:vAlign w:val="center"/>
          </w:tcPr>
          <w:p w14:paraId="019E4426">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称重装置</w:t>
            </w:r>
          </w:p>
        </w:tc>
        <w:tc>
          <w:tcPr>
            <w:tcW w:w="6526" w:type="dxa"/>
            <w:noWrap w:val="0"/>
            <w:vAlign w:val="center"/>
          </w:tcPr>
          <w:p w14:paraId="1EBA59F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精度1％</w:t>
            </w:r>
          </w:p>
        </w:tc>
      </w:tr>
      <w:tr w14:paraId="08A12B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575C2AF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11</w:t>
            </w:r>
          </w:p>
        </w:tc>
        <w:tc>
          <w:tcPr>
            <w:tcW w:w="1827" w:type="dxa"/>
            <w:noWrap w:val="0"/>
            <w:vAlign w:val="center"/>
          </w:tcPr>
          <w:p w14:paraId="02275240">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噪声指标</w:t>
            </w:r>
          </w:p>
        </w:tc>
        <w:tc>
          <w:tcPr>
            <w:tcW w:w="6526" w:type="dxa"/>
            <w:noWrap w:val="0"/>
            <w:vAlign w:val="center"/>
          </w:tcPr>
          <w:p w14:paraId="161E5E34">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轿厢≤52dB、开关门≤57dB</w:t>
            </w:r>
          </w:p>
        </w:tc>
      </w:tr>
      <w:tr w14:paraId="207278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469D471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12</w:t>
            </w:r>
          </w:p>
        </w:tc>
        <w:tc>
          <w:tcPr>
            <w:tcW w:w="1827" w:type="dxa"/>
            <w:noWrap w:val="0"/>
            <w:vAlign w:val="center"/>
          </w:tcPr>
          <w:p w14:paraId="023A421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振动加速度</w:t>
            </w:r>
          </w:p>
        </w:tc>
        <w:tc>
          <w:tcPr>
            <w:tcW w:w="6526" w:type="dxa"/>
            <w:noWrap w:val="0"/>
            <w:vAlign w:val="center"/>
          </w:tcPr>
          <w:p w14:paraId="3ECD89D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垂直≤1</w:t>
            </w:r>
            <w:r>
              <w:rPr>
                <w:rFonts w:hint="eastAsia" w:ascii="仿宋" w:hAnsi="仿宋" w:cs="仿宋"/>
                <w:sz w:val="24"/>
                <w:szCs w:val="24"/>
                <w:lang w:val="en-US" w:eastAsia="zh-CN"/>
              </w:rPr>
              <w:t>5</w:t>
            </w:r>
            <w:r>
              <w:rPr>
                <w:rFonts w:hint="eastAsia" w:ascii="仿宋" w:hAnsi="仿宋" w:eastAsia="仿宋" w:cs="仿宋"/>
                <w:sz w:val="24"/>
                <w:szCs w:val="24"/>
              </w:rPr>
              <w:t>0mm/s2，水平≤1</w:t>
            </w:r>
            <w:r>
              <w:rPr>
                <w:rFonts w:hint="eastAsia" w:ascii="仿宋" w:hAnsi="仿宋" w:cs="仿宋"/>
                <w:sz w:val="24"/>
                <w:szCs w:val="24"/>
                <w:lang w:val="en-US" w:eastAsia="zh-CN"/>
              </w:rPr>
              <w:t>5</w:t>
            </w:r>
            <w:r>
              <w:rPr>
                <w:rFonts w:hint="eastAsia" w:ascii="仿宋" w:hAnsi="仿宋" w:eastAsia="仿宋" w:cs="仿宋"/>
                <w:sz w:val="24"/>
                <w:szCs w:val="24"/>
              </w:rPr>
              <w:t>0mm/s2</w:t>
            </w:r>
          </w:p>
        </w:tc>
      </w:tr>
      <w:tr w14:paraId="76EF89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6340CFB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13</w:t>
            </w:r>
          </w:p>
        </w:tc>
        <w:tc>
          <w:tcPr>
            <w:tcW w:w="1827" w:type="dxa"/>
            <w:noWrap w:val="0"/>
            <w:vAlign w:val="center"/>
          </w:tcPr>
          <w:p w14:paraId="72C82BB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起制动加速度</w:t>
            </w:r>
          </w:p>
        </w:tc>
        <w:tc>
          <w:tcPr>
            <w:tcW w:w="6526" w:type="dxa"/>
            <w:noWrap w:val="0"/>
            <w:vAlign w:val="center"/>
          </w:tcPr>
          <w:p w14:paraId="7B54700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平均≥0.48m/s2 ，且在0.48-1m/s2之间可调，最大≤1.5 m/s2，同时满足整个时间-速度曲线应平滑，并提供曲线图；</w:t>
            </w:r>
          </w:p>
        </w:tc>
      </w:tr>
      <w:tr w14:paraId="0ACDEB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897655A">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14</w:t>
            </w:r>
          </w:p>
        </w:tc>
        <w:tc>
          <w:tcPr>
            <w:tcW w:w="1827" w:type="dxa"/>
            <w:noWrap w:val="0"/>
            <w:vAlign w:val="center"/>
          </w:tcPr>
          <w:p w14:paraId="2FE6B73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厅门、轿厢门、门坎</w:t>
            </w:r>
          </w:p>
        </w:tc>
        <w:tc>
          <w:tcPr>
            <w:tcW w:w="6526" w:type="dxa"/>
            <w:noWrap w:val="0"/>
            <w:vAlign w:val="center"/>
          </w:tcPr>
          <w:p w14:paraId="3A1FE3D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①轿厢门板：采用</w:t>
            </w:r>
            <w:r>
              <w:rPr>
                <w:rFonts w:hint="eastAsia" w:ascii="仿宋" w:hAnsi="仿宋" w:eastAsia="仿宋" w:cs="仿宋"/>
                <w:sz w:val="24"/>
                <w:szCs w:val="24"/>
                <w:lang w:val="en-US" w:eastAsia="zh-CN"/>
              </w:rPr>
              <w:t>304型</w:t>
            </w:r>
            <w:r>
              <w:rPr>
                <w:rFonts w:hint="eastAsia" w:ascii="仿宋" w:hAnsi="仿宋" w:eastAsia="仿宋" w:cs="仿宋"/>
                <w:sz w:val="24"/>
                <w:szCs w:val="24"/>
              </w:rPr>
              <w:t>发纹不锈钢；</w:t>
            </w:r>
          </w:p>
          <w:p w14:paraId="51D6AA61">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②厅门门板：采用</w:t>
            </w:r>
            <w:r>
              <w:rPr>
                <w:rFonts w:hint="eastAsia" w:ascii="仿宋" w:hAnsi="仿宋" w:eastAsia="仿宋" w:cs="仿宋"/>
                <w:sz w:val="24"/>
                <w:szCs w:val="24"/>
                <w:lang w:val="en-US" w:eastAsia="zh-CN"/>
              </w:rPr>
              <w:t>304型</w:t>
            </w:r>
            <w:r>
              <w:rPr>
                <w:rFonts w:hint="eastAsia" w:ascii="仿宋" w:hAnsi="仿宋" w:eastAsia="仿宋" w:cs="仿宋"/>
                <w:sz w:val="24"/>
                <w:szCs w:val="24"/>
              </w:rPr>
              <w:t>发纹不锈钢；</w:t>
            </w:r>
            <w:r>
              <w:rPr>
                <w:rFonts w:hint="eastAsia" w:ascii="仿宋" w:hAnsi="仿宋" w:eastAsia="仿宋" w:cs="仿宋"/>
                <w:sz w:val="24"/>
                <w:szCs w:val="24"/>
                <w:lang w:val="en-US" w:eastAsia="zh-CN"/>
              </w:rPr>
              <w:t>一层厅门上方配15寸以上网络版多媒体液晶显示屏</w:t>
            </w:r>
          </w:p>
        </w:tc>
      </w:tr>
      <w:tr w14:paraId="46378E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3836A748">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15</w:t>
            </w:r>
          </w:p>
        </w:tc>
        <w:tc>
          <w:tcPr>
            <w:tcW w:w="1827" w:type="dxa"/>
            <w:noWrap w:val="0"/>
            <w:vAlign w:val="center"/>
          </w:tcPr>
          <w:p w14:paraId="5337E95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轿厢设计及整体装饰</w:t>
            </w:r>
          </w:p>
        </w:tc>
        <w:tc>
          <w:tcPr>
            <w:tcW w:w="6526" w:type="dxa"/>
            <w:noWrap w:val="0"/>
            <w:vAlign w:val="center"/>
          </w:tcPr>
          <w:p w14:paraId="7AD68B3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招标范围含以下内容：</w:t>
            </w:r>
          </w:p>
          <w:p w14:paraId="32F8BD70">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①确保运行环境隔音、防震、通风</w:t>
            </w:r>
            <w:r>
              <w:rPr>
                <w:rFonts w:hint="eastAsia" w:ascii="仿宋" w:hAnsi="仿宋" w:eastAsia="仿宋" w:cs="仿宋"/>
                <w:sz w:val="24"/>
                <w:szCs w:val="24"/>
                <w:lang w:eastAsia="zh-CN"/>
              </w:rPr>
              <w:t>、配</w:t>
            </w:r>
            <w:r>
              <w:rPr>
                <w:rFonts w:hint="eastAsia" w:ascii="仿宋" w:hAnsi="仿宋" w:eastAsia="仿宋" w:cs="仿宋"/>
                <w:sz w:val="24"/>
                <w:szCs w:val="24"/>
                <w:lang w:val="en-US" w:eastAsia="zh-CN"/>
              </w:rPr>
              <w:t>1P冷空调</w:t>
            </w:r>
            <w:r>
              <w:rPr>
                <w:rFonts w:hint="eastAsia" w:ascii="仿宋" w:hAnsi="仿宋" w:eastAsia="仿宋" w:cs="仿宋"/>
                <w:sz w:val="24"/>
                <w:szCs w:val="24"/>
              </w:rPr>
              <w:t>；</w:t>
            </w:r>
          </w:p>
          <w:p w14:paraId="128E8CB8">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②轿厢顶：设置轿厢横流风机；</w:t>
            </w:r>
          </w:p>
          <w:p w14:paraId="33D9557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③轿厢壁：</w:t>
            </w:r>
            <w:r>
              <w:rPr>
                <w:rFonts w:hint="eastAsia" w:ascii="仿宋" w:hAnsi="仿宋" w:eastAsia="仿宋" w:cs="仿宋"/>
                <w:sz w:val="24"/>
                <w:szCs w:val="24"/>
                <w:lang w:val="en-US" w:eastAsia="zh-CN"/>
              </w:rPr>
              <w:t>见效果图及文字说明</w:t>
            </w:r>
            <w:r>
              <w:rPr>
                <w:rFonts w:hint="eastAsia" w:ascii="仿宋" w:hAnsi="仿宋" w:eastAsia="仿宋" w:cs="仿宋"/>
                <w:sz w:val="24"/>
                <w:szCs w:val="24"/>
              </w:rPr>
              <w:t>；</w:t>
            </w:r>
          </w:p>
          <w:p w14:paraId="068BB95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④轿厢地面：</w:t>
            </w:r>
            <w:r>
              <w:rPr>
                <w:rFonts w:hint="eastAsia" w:ascii="仿宋" w:hAnsi="仿宋" w:eastAsia="仿宋" w:cs="仿宋"/>
                <w:sz w:val="24"/>
                <w:szCs w:val="24"/>
                <w:lang w:val="en-US" w:eastAsia="zh-CN"/>
              </w:rPr>
              <w:t>见效果图及文字说明</w:t>
            </w:r>
            <w:r>
              <w:rPr>
                <w:rFonts w:hint="eastAsia" w:ascii="仿宋" w:hAnsi="仿宋" w:eastAsia="仿宋" w:cs="仿宋"/>
                <w:sz w:val="24"/>
                <w:szCs w:val="24"/>
              </w:rPr>
              <w:t>；</w:t>
            </w:r>
          </w:p>
          <w:p w14:paraId="2D52D093">
            <w:pPr>
              <w:pStyle w:val="25"/>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color w:val="000000" w:themeColor="text1"/>
                <w:spacing w:val="0"/>
                <w:kern w:val="2"/>
                <w:sz w:val="24"/>
                <w:szCs w:val="24"/>
                <w:lang w:val="en-US" w:eastAsia="zh-CN" w:bidi="ar-SA"/>
                <w14:textFill>
                  <w14:solidFill>
                    <w14:schemeClr w14:val="tx1"/>
                  </w14:solidFill>
                </w14:textFill>
              </w:rPr>
              <w:t>⑤轿厢配空气净化系统,能高效消毒杀菌,可有效净化轿</w:t>
            </w:r>
            <w:r>
              <w:rPr>
                <w:rFonts w:hint="eastAsia" w:ascii="仿宋" w:hAnsi="仿宋" w:eastAsia="仿宋" w:cs="仿宋"/>
                <w:spacing w:val="0"/>
                <w:kern w:val="2"/>
                <w:sz w:val="24"/>
                <w:szCs w:val="24"/>
                <w:lang w:val="en-US" w:eastAsia="zh-CN" w:bidi="ar-SA"/>
              </w:rPr>
              <w:t>厢空气(</w:t>
            </w:r>
            <w:r>
              <w:rPr>
                <w:rFonts w:hint="eastAsia" w:ascii="仿宋" w:hAnsi="仿宋" w:cs="仿宋"/>
                <w:spacing w:val="0"/>
                <w:kern w:val="2"/>
                <w:sz w:val="24"/>
                <w:szCs w:val="24"/>
                <w:lang w:val="en-US" w:eastAsia="zh-CN" w:bidi="ar-SA"/>
              </w:rPr>
              <w:t>提供产品近一年内的检测报告</w:t>
            </w:r>
            <w:r>
              <w:rPr>
                <w:rFonts w:hint="eastAsia" w:ascii="仿宋" w:hAnsi="仿宋" w:eastAsia="仿宋" w:cs="仿宋"/>
                <w:spacing w:val="0"/>
                <w:kern w:val="2"/>
                <w:sz w:val="24"/>
                <w:szCs w:val="24"/>
                <w:lang w:val="en-US" w:eastAsia="zh-CN" w:bidi="ar-SA"/>
              </w:rPr>
              <w:t>)</w:t>
            </w:r>
          </w:p>
        </w:tc>
      </w:tr>
      <w:tr w14:paraId="454B92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626A779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16</w:t>
            </w:r>
          </w:p>
        </w:tc>
        <w:tc>
          <w:tcPr>
            <w:tcW w:w="1827" w:type="dxa"/>
            <w:noWrap w:val="0"/>
            <w:vAlign w:val="center"/>
          </w:tcPr>
          <w:p w14:paraId="3F70438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楼层显示及召唤显示</w:t>
            </w:r>
          </w:p>
        </w:tc>
        <w:tc>
          <w:tcPr>
            <w:tcW w:w="6526" w:type="dxa"/>
            <w:noWrap w:val="0"/>
            <w:vAlign w:val="center"/>
          </w:tcPr>
          <w:p w14:paraId="38A6281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①采用</w:t>
            </w:r>
            <w:r>
              <w:rPr>
                <w:rFonts w:hint="eastAsia" w:ascii="仿宋" w:hAnsi="仿宋" w:eastAsia="仿宋" w:cs="仿宋"/>
                <w:sz w:val="24"/>
                <w:szCs w:val="24"/>
                <w:lang w:val="en-US" w:eastAsia="zh-CN"/>
              </w:rPr>
              <w:t>10.4</w:t>
            </w:r>
            <w:r>
              <w:rPr>
                <w:rFonts w:hint="eastAsia" w:ascii="仿宋" w:hAnsi="仿宋" w:eastAsia="仿宋" w:cs="仿宋"/>
                <w:sz w:val="24"/>
                <w:szCs w:val="24"/>
              </w:rPr>
              <w:t>英寸液晶显示；</w:t>
            </w:r>
          </w:p>
          <w:p w14:paraId="7EE5A7D9">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②召唤按钮：微触式金属按钮</w:t>
            </w:r>
            <w:r>
              <w:rPr>
                <w:rFonts w:hint="eastAsia" w:ascii="仿宋" w:hAnsi="仿宋" w:cs="仿宋"/>
                <w:sz w:val="24"/>
                <w:szCs w:val="24"/>
                <w:lang w:eastAsia="zh-CN"/>
              </w:rPr>
              <w:t>（</w:t>
            </w:r>
            <w:r>
              <w:rPr>
                <w:rFonts w:hint="eastAsia" w:ascii="仿宋" w:hAnsi="仿宋" w:cs="仿宋"/>
                <w:sz w:val="24"/>
                <w:szCs w:val="24"/>
                <w:lang w:val="en-US" w:eastAsia="zh-CN"/>
              </w:rPr>
              <w:t>带盲文</w:t>
            </w:r>
            <w:r>
              <w:rPr>
                <w:rFonts w:hint="eastAsia" w:ascii="仿宋" w:hAnsi="仿宋" w:cs="仿宋"/>
                <w:sz w:val="24"/>
                <w:szCs w:val="24"/>
                <w:lang w:eastAsia="zh-CN"/>
              </w:rPr>
              <w:t>）</w:t>
            </w:r>
            <w:r>
              <w:rPr>
                <w:rFonts w:hint="eastAsia" w:ascii="仿宋" w:hAnsi="仿宋" w:eastAsia="仿宋" w:cs="仿宋"/>
                <w:sz w:val="24"/>
                <w:szCs w:val="24"/>
              </w:rPr>
              <w:t>；</w:t>
            </w:r>
          </w:p>
          <w:p w14:paraId="69846282">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③采用无底盒外呼</w:t>
            </w:r>
            <w:r>
              <w:rPr>
                <w:rFonts w:hint="eastAsia" w:ascii="仿宋" w:hAnsi="仿宋" w:cs="仿宋"/>
                <w:sz w:val="24"/>
                <w:szCs w:val="24"/>
                <w:lang w:eastAsia="zh-CN"/>
              </w:rPr>
              <w:t>，</w:t>
            </w:r>
            <w:r>
              <w:rPr>
                <w:rFonts w:hint="eastAsia" w:ascii="仿宋" w:hAnsi="仿宋" w:eastAsia="仿宋" w:cs="仿宋"/>
                <w:sz w:val="24"/>
                <w:szCs w:val="24"/>
              </w:rPr>
              <w:t>微触式金属按钮</w:t>
            </w:r>
            <w:r>
              <w:rPr>
                <w:rFonts w:hint="eastAsia" w:ascii="仿宋" w:hAnsi="仿宋" w:cs="仿宋"/>
                <w:sz w:val="24"/>
                <w:szCs w:val="24"/>
                <w:lang w:eastAsia="zh-CN"/>
              </w:rPr>
              <w:t>（</w:t>
            </w:r>
            <w:r>
              <w:rPr>
                <w:rFonts w:hint="eastAsia" w:ascii="仿宋" w:hAnsi="仿宋" w:cs="仿宋"/>
                <w:sz w:val="24"/>
                <w:szCs w:val="24"/>
                <w:lang w:val="en-US" w:eastAsia="zh-CN"/>
              </w:rPr>
              <w:t>带盲文</w:t>
            </w:r>
            <w:r>
              <w:rPr>
                <w:rFonts w:hint="eastAsia" w:ascii="仿宋" w:hAnsi="仿宋" w:cs="仿宋"/>
                <w:sz w:val="24"/>
                <w:szCs w:val="24"/>
                <w:lang w:eastAsia="zh-CN"/>
              </w:rPr>
              <w:t>）</w:t>
            </w:r>
            <w:r>
              <w:rPr>
                <w:rFonts w:hint="eastAsia" w:ascii="仿宋" w:hAnsi="仿宋" w:eastAsia="仿宋" w:cs="仿宋"/>
                <w:sz w:val="24"/>
                <w:szCs w:val="24"/>
              </w:rPr>
              <w:t>；</w:t>
            </w:r>
          </w:p>
        </w:tc>
      </w:tr>
      <w:tr w14:paraId="358752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427C3D9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17</w:t>
            </w:r>
          </w:p>
        </w:tc>
        <w:tc>
          <w:tcPr>
            <w:tcW w:w="1827" w:type="dxa"/>
            <w:noWrap w:val="0"/>
            <w:vAlign w:val="center"/>
          </w:tcPr>
          <w:p w14:paraId="0C47935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轿厢内操作盘</w:t>
            </w:r>
          </w:p>
        </w:tc>
        <w:tc>
          <w:tcPr>
            <w:tcW w:w="6526" w:type="dxa"/>
            <w:noWrap w:val="0"/>
            <w:vAlign w:val="center"/>
          </w:tcPr>
          <w:p w14:paraId="434C2D7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①面板：发纹不锈钢</w:t>
            </w:r>
            <w:r>
              <w:rPr>
                <w:rFonts w:hint="eastAsia" w:ascii="仿宋" w:hAnsi="仿宋" w:eastAsia="仿宋" w:cs="仿宋"/>
                <w:sz w:val="24"/>
                <w:szCs w:val="24"/>
                <w:lang w:val="en-US" w:eastAsia="zh-CN"/>
              </w:rPr>
              <w:t>需抗指纹</w:t>
            </w:r>
            <w:r>
              <w:rPr>
                <w:rFonts w:hint="eastAsia" w:ascii="仿宋" w:hAnsi="仿宋" w:eastAsia="仿宋" w:cs="仿宋"/>
                <w:sz w:val="24"/>
                <w:szCs w:val="24"/>
              </w:rPr>
              <w:t>；</w:t>
            </w:r>
          </w:p>
          <w:p w14:paraId="5CE3119E">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②显示方式：</w:t>
            </w:r>
            <w:r>
              <w:rPr>
                <w:rFonts w:hint="eastAsia" w:ascii="仿宋" w:hAnsi="仿宋" w:eastAsia="仿宋" w:cs="仿宋"/>
                <w:sz w:val="24"/>
                <w:szCs w:val="24"/>
                <w:lang w:val="en-US" w:eastAsia="zh-CN"/>
              </w:rPr>
              <w:t>10.4寸网络版多媒体</w:t>
            </w:r>
            <w:r>
              <w:rPr>
                <w:rFonts w:hint="eastAsia" w:ascii="仿宋" w:hAnsi="仿宋" w:eastAsia="仿宋" w:cs="仿宋"/>
                <w:sz w:val="24"/>
                <w:szCs w:val="24"/>
              </w:rPr>
              <w:t>液晶大屏幕显示器；上升与下降方向指示。隐藏式对讲机；</w:t>
            </w:r>
          </w:p>
          <w:p w14:paraId="35C09C3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③标示：标示厂牌、用途、限乘人数、限载重量；</w:t>
            </w:r>
          </w:p>
          <w:p w14:paraId="361E1EA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④按钮：微触式金属微光按钮，具有停靠层数相同的楼层按钮；</w:t>
            </w:r>
          </w:p>
        </w:tc>
      </w:tr>
      <w:tr w14:paraId="6041EF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80" w:hRule="atLeast"/>
          <w:jc w:val="center"/>
        </w:trPr>
        <w:tc>
          <w:tcPr>
            <w:tcW w:w="915" w:type="dxa"/>
            <w:noWrap w:val="0"/>
            <w:vAlign w:val="center"/>
          </w:tcPr>
          <w:p w14:paraId="3EE8F343">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18</w:t>
            </w:r>
          </w:p>
        </w:tc>
        <w:tc>
          <w:tcPr>
            <w:tcW w:w="1827" w:type="dxa"/>
            <w:noWrap w:val="0"/>
            <w:vAlign w:val="center"/>
          </w:tcPr>
          <w:p w14:paraId="44C2B6E9">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轿厢装修说明</w:t>
            </w:r>
          </w:p>
          <w:p w14:paraId="460AD857">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（具体式样以用户样本为准不加任何费用）</w:t>
            </w:r>
          </w:p>
        </w:tc>
        <w:tc>
          <w:tcPr>
            <w:tcW w:w="6526" w:type="dxa"/>
            <w:noWrap w:val="0"/>
            <w:vAlign w:val="center"/>
          </w:tcPr>
          <w:p w14:paraId="69DB9697">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①</w:t>
            </w:r>
            <w:r>
              <w:rPr>
                <w:rFonts w:hint="eastAsia" w:ascii="仿宋" w:hAnsi="仿宋" w:cs="仿宋"/>
                <w:sz w:val="24"/>
                <w:szCs w:val="24"/>
                <w:lang w:val="en-US" w:eastAsia="zh-CN"/>
              </w:rPr>
              <w:t>正面壁</w:t>
            </w:r>
            <w:r>
              <w:rPr>
                <w:rFonts w:hint="eastAsia" w:ascii="仿宋" w:hAnsi="仿宋" w:eastAsia="仿宋" w:cs="仿宋"/>
                <w:sz w:val="24"/>
                <w:szCs w:val="24"/>
                <w:lang w:val="en-US" w:eastAsia="zh-CN"/>
              </w:rPr>
              <w:t>:</w:t>
            </w:r>
            <w:r>
              <w:rPr>
                <w:rFonts w:hint="eastAsia" w:ascii="仿宋" w:hAnsi="仿宋" w:cs="仿宋"/>
                <w:sz w:val="24"/>
                <w:szCs w:val="24"/>
                <w:lang w:val="en-US" w:eastAsia="zh-CN"/>
              </w:rPr>
              <w:t>两侧：镜面鍍钛不锈钢</w:t>
            </w:r>
            <w:r>
              <w:rPr>
                <w:rFonts w:hint="eastAsia" w:ascii="仿宋" w:hAnsi="仿宋" w:eastAsia="仿宋" w:cs="仿宋"/>
                <w:sz w:val="24"/>
                <w:szCs w:val="24"/>
                <w:lang w:val="en-US" w:eastAsia="zh-CN"/>
              </w:rPr>
              <w:t>.</w:t>
            </w:r>
          </w:p>
          <w:p w14:paraId="795F10D8">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cs="仿宋"/>
                <w:sz w:val="24"/>
                <w:szCs w:val="24"/>
                <w:lang w:val="en-US" w:eastAsia="zh-CN"/>
              </w:rPr>
              <w:t>中央</w:t>
            </w:r>
            <w:r>
              <w:rPr>
                <w:rFonts w:hint="eastAsia" w:ascii="仿宋" w:hAnsi="仿宋" w:eastAsia="仿宋" w:cs="仿宋"/>
                <w:sz w:val="24"/>
                <w:szCs w:val="24"/>
                <w:lang w:val="en-US" w:eastAsia="zh-CN"/>
              </w:rPr>
              <w:t>:</w:t>
            </w:r>
            <w:r>
              <w:rPr>
                <w:rFonts w:hint="eastAsia" w:ascii="仿宋" w:hAnsi="仿宋" w:cs="仿宋"/>
                <w:sz w:val="24"/>
                <w:szCs w:val="24"/>
                <w:lang w:val="en-US" w:eastAsia="zh-CN"/>
              </w:rPr>
              <w:t>玻璃及嵌条</w:t>
            </w:r>
            <w:r>
              <w:rPr>
                <w:rFonts w:hint="eastAsia" w:ascii="仿宋" w:hAnsi="仿宋" w:eastAsia="仿宋" w:cs="仿宋"/>
                <w:sz w:val="24"/>
                <w:szCs w:val="24"/>
                <w:lang w:val="en-US" w:eastAsia="zh-CN"/>
              </w:rPr>
              <w:t>；</w:t>
            </w:r>
          </w:p>
          <w:p w14:paraId="2FAA903E">
            <w:pPr>
              <w:pageBreakBefore w:val="0"/>
              <w:widowControl w:val="0"/>
              <w:kinsoku/>
              <w:wordWrap/>
              <w:overflowPunct/>
              <w:topLinePunct w:val="0"/>
              <w:bidi w:val="0"/>
              <w:spacing w:line="480" w:lineRule="exact"/>
              <w:ind w:left="0" w:leftChars="0" w:firstLine="0" w:firstLineChars="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②侧壁:</w:t>
            </w:r>
            <w:r>
              <w:rPr>
                <w:rFonts w:hint="eastAsia" w:ascii="仿宋" w:hAnsi="仿宋" w:cs="仿宋"/>
                <w:sz w:val="24"/>
                <w:szCs w:val="24"/>
                <w:lang w:val="en-US" w:eastAsia="zh-CN"/>
              </w:rPr>
              <w:t>后侧：砂纹鍍钛不锈钢</w:t>
            </w:r>
            <w:r>
              <w:rPr>
                <w:rFonts w:hint="eastAsia" w:ascii="仿宋" w:hAnsi="仿宋" w:eastAsia="仿宋" w:cs="仿宋"/>
                <w:sz w:val="24"/>
                <w:szCs w:val="24"/>
                <w:lang w:val="en-US" w:eastAsia="zh-CN"/>
              </w:rPr>
              <w:t>.</w:t>
            </w:r>
            <w:r>
              <w:rPr>
                <w:rFonts w:hint="eastAsia" w:ascii="仿宋" w:hAnsi="仿宋" w:cs="仿宋"/>
                <w:sz w:val="24"/>
                <w:szCs w:val="24"/>
                <w:lang w:val="en-US" w:eastAsia="zh-CN"/>
              </w:rPr>
              <w:t>中央级前侧：压膜刚板及嵌条；</w:t>
            </w:r>
          </w:p>
          <w:p w14:paraId="70FCB610">
            <w:pPr>
              <w:pageBreakBefore w:val="0"/>
              <w:widowControl w:val="0"/>
              <w:kinsoku/>
              <w:wordWrap/>
              <w:overflowPunct/>
              <w:topLinePunct w:val="0"/>
              <w:bidi w:val="0"/>
              <w:spacing w:line="480" w:lineRule="exact"/>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③后壁:侧板为304型发纹不锈钢;中板为铝蜂窝复合蒙娜丽莎塞尚印象。</w:t>
            </w:r>
          </w:p>
          <w:p w14:paraId="3AB1B438">
            <w:pPr>
              <w:pageBreakBefore w:val="0"/>
              <w:widowControl w:val="0"/>
              <w:kinsoku/>
              <w:wordWrap/>
              <w:overflowPunct/>
              <w:topLinePunct w:val="0"/>
              <w:bidi w:val="0"/>
              <w:spacing w:line="480" w:lineRule="exact"/>
              <w:ind w:left="0" w:leftChars="0" w:firstLine="0" w:firstLineChars="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④扶手</w:t>
            </w:r>
            <w:r>
              <w:rPr>
                <w:rFonts w:hint="eastAsia" w:ascii="仿宋" w:hAnsi="仿宋" w:cs="仿宋"/>
                <w:sz w:val="24"/>
                <w:szCs w:val="24"/>
                <w:lang w:val="en-US" w:eastAsia="zh-CN"/>
              </w:rPr>
              <w:t>：两侧扶手</w:t>
            </w:r>
          </w:p>
          <w:p w14:paraId="5584DA9D">
            <w:pPr>
              <w:pageBreakBefore w:val="0"/>
              <w:widowControl w:val="0"/>
              <w:kinsoku/>
              <w:wordWrap/>
              <w:overflowPunct/>
              <w:topLinePunct w:val="0"/>
              <w:bidi w:val="0"/>
              <w:spacing w:line="480" w:lineRule="exact"/>
              <w:ind w:left="0" w:leftChars="0" w:firstLine="0" w:firstLineChars="0"/>
              <w:textAlignment w:val="auto"/>
              <w:rPr>
                <w:rFonts w:hint="default" w:ascii="仿宋" w:hAnsi="仿宋" w:eastAsia="仿宋" w:cs="仿宋"/>
                <w:sz w:val="24"/>
                <w:szCs w:val="24"/>
                <w:lang w:val="en-US" w:eastAsia="zh-CN"/>
              </w:rPr>
            </w:pPr>
            <w:r>
              <w:drawing>
                <wp:anchor distT="0" distB="0" distL="114300" distR="114300" simplePos="0" relativeHeight="251662336" behindDoc="0" locked="0" layoutInCell="1" allowOverlap="1">
                  <wp:simplePos x="0" y="0"/>
                  <wp:positionH relativeFrom="column">
                    <wp:posOffset>2250440</wp:posOffset>
                  </wp:positionH>
                  <wp:positionV relativeFrom="paragraph">
                    <wp:posOffset>78740</wp:posOffset>
                  </wp:positionV>
                  <wp:extent cx="1708785" cy="2089150"/>
                  <wp:effectExtent l="0" t="0" r="5715" b="635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32"/>
                          <a:stretch>
                            <a:fillRect/>
                          </a:stretch>
                        </pic:blipFill>
                        <pic:spPr>
                          <a:xfrm flipH="1">
                            <a:off x="0" y="0"/>
                            <a:ext cx="1708785" cy="2089150"/>
                          </a:xfrm>
                          <a:prstGeom prst="rect">
                            <a:avLst/>
                          </a:prstGeom>
                          <a:noFill/>
                          <a:ln>
                            <a:noFill/>
                          </a:ln>
                        </pic:spPr>
                      </pic:pic>
                    </a:graphicData>
                  </a:graphic>
                </wp:anchor>
              </w:drawing>
            </w:r>
            <w:r>
              <w:rPr>
                <w:rFonts w:hint="eastAsia"/>
                <w:lang w:val="en-US" w:eastAsia="zh-CN"/>
              </w:rPr>
              <w:t>地坪：大理石地坪。</w:t>
            </w:r>
          </w:p>
          <w:p w14:paraId="0880C287">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p w14:paraId="557DE4AB">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p w14:paraId="37D6F8B8">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p w14:paraId="08ABF2CD">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p w14:paraId="428C7A63">
            <w:pPr>
              <w:pageBreakBefore w:val="0"/>
              <w:widowControl w:val="0"/>
              <w:kinsoku/>
              <w:wordWrap/>
              <w:overflowPunct/>
              <w:topLinePunct w:val="0"/>
              <w:bidi w:val="0"/>
              <w:spacing w:line="480" w:lineRule="exact"/>
              <w:ind w:left="0" w:leftChars="0" w:firstLine="0" w:firstLineChars="0"/>
              <w:jc w:val="left"/>
              <w:textAlignment w:val="auto"/>
              <w:rPr>
                <w:rFonts w:hint="eastAsia" w:ascii="仿宋" w:hAnsi="仿宋" w:eastAsia="仿宋" w:cs="仿宋"/>
                <w:sz w:val="24"/>
                <w:szCs w:val="24"/>
                <w:lang w:val="en-US" w:eastAsia="zh-CN"/>
              </w:rPr>
            </w:pPr>
          </w:p>
        </w:tc>
      </w:tr>
      <w:tr w14:paraId="55E0F1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915" w:type="dxa"/>
            <w:noWrap w:val="0"/>
            <w:vAlign w:val="center"/>
          </w:tcPr>
          <w:p w14:paraId="00523D7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19</w:t>
            </w:r>
          </w:p>
        </w:tc>
        <w:tc>
          <w:tcPr>
            <w:tcW w:w="1827" w:type="dxa"/>
            <w:noWrap w:val="0"/>
            <w:vAlign w:val="center"/>
          </w:tcPr>
          <w:p w14:paraId="4D379C9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使用功能</w:t>
            </w:r>
          </w:p>
        </w:tc>
        <w:tc>
          <w:tcPr>
            <w:tcW w:w="6526" w:type="dxa"/>
            <w:noWrap w:val="0"/>
            <w:vAlign w:val="center"/>
          </w:tcPr>
          <w:p w14:paraId="0E52FE0C">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满载直驶；</w:t>
            </w:r>
          </w:p>
          <w:p w14:paraId="01ABC10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防捣乱功能；</w:t>
            </w:r>
          </w:p>
          <w:p w14:paraId="311B125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无呼叫自动返设定层（1楼或中间楼层）；</w:t>
            </w:r>
          </w:p>
          <w:p w14:paraId="731A4A6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超载报警保护；</w:t>
            </w:r>
          </w:p>
          <w:p w14:paraId="4BCFDCC7">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开/关门受阻保护（门过载保护功能）；</w:t>
            </w:r>
          </w:p>
          <w:p w14:paraId="60040D96">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光幕保护装置；</w:t>
            </w:r>
          </w:p>
          <w:p w14:paraId="24C00D5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超速保护；</w:t>
            </w:r>
          </w:p>
          <w:p w14:paraId="153E2C71">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内部通话装置，可实现轿厢、机房、监控中心、电梯顶部、电梯无线五方通话；</w:t>
            </w:r>
          </w:p>
          <w:p w14:paraId="30B8C77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到站通知（提供声响报站）；</w:t>
            </w:r>
          </w:p>
          <w:p w14:paraId="6845C020">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轿厢照明、风扇自动关闭（自动开关控制）；</w:t>
            </w:r>
          </w:p>
          <w:p w14:paraId="31A0E853">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停电自动应急照明；</w:t>
            </w:r>
          </w:p>
          <w:p w14:paraId="162E8E2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轿厢内误指令取消功能；</w:t>
            </w:r>
          </w:p>
          <w:p w14:paraId="0D1ABB8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门停止运行功能；</w:t>
            </w:r>
          </w:p>
          <w:p w14:paraId="0014CAC5">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检修操作功能（轿顶、机房）；</w:t>
            </w:r>
          </w:p>
          <w:p w14:paraId="08700CA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运行次数显示；</w:t>
            </w:r>
          </w:p>
          <w:p w14:paraId="5E397EDD">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停车在非门区报警功能；</w:t>
            </w:r>
          </w:p>
          <w:p w14:paraId="4B3C391F">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消防</w:t>
            </w:r>
            <w:r>
              <w:rPr>
                <w:rFonts w:hint="eastAsia" w:ascii="仿宋" w:hAnsi="仿宋" w:eastAsia="仿宋" w:cs="仿宋"/>
                <w:sz w:val="24"/>
                <w:szCs w:val="24"/>
                <w:lang w:val="en-US" w:eastAsia="zh-CN"/>
              </w:rPr>
              <w:t>功能</w:t>
            </w:r>
            <w:r>
              <w:rPr>
                <w:rFonts w:hint="eastAsia" w:ascii="仿宋" w:hAnsi="仿宋" w:eastAsia="仿宋" w:cs="仿宋"/>
                <w:sz w:val="24"/>
                <w:szCs w:val="24"/>
              </w:rPr>
              <w:t>（需提供返馈信号接口）；</w:t>
            </w:r>
            <w:r>
              <w:rPr>
                <w:rFonts w:hint="eastAsia" w:ascii="仿宋" w:hAnsi="仿宋" w:eastAsia="仿宋" w:cs="仿宋"/>
                <w:sz w:val="24"/>
                <w:szCs w:val="24"/>
                <w:lang w:val="en-US" w:eastAsia="zh-CN"/>
              </w:rPr>
              <w:t>厅门</w:t>
            </w:r>
            <w:r>
              <w:rPr>
                <w:rFonts w:hint="eastAsia" w:ascii="仿宋" w:hAnsi="仿宋" w:eastAsia="仿宋" w:cs="仿宋"/>
                <w:sz w:val="24"/>
                <w:szCs w:val="24"/>
                <w:lang w:eastAsia="zh-CN"/>
              </w:rPr>
              <w:t>配</w:t>
            </w:r>
            <w:r>
              <w:rPr>
                <w:rFonts w:hint="eastAsia" w:ascii="仿宋" w:hAnsi="仿宋" w:eastAsia="仿宋" w:cs="仿宋"/>
                <w:sz w:val="24"/>
                <w:szCs w:val="24"/>
                <w:lang w:val="en-US" w:eastAsia="zh-CN"/>
              </w:rPr>
              <w:t>2小时防火功能；配司机功能；机房空调进行更换</w:t>
            </w:r>
          </w:p>
          <w:p w14:paraId="465F2C38">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配合轿厢摄像监视装置随行视屏线缆；</w:t>
            </w:r>
          </w:p>
          <w:p w14:paraId="2416AE5B">
            <w:pPr>
              <w:pageBreakBefore w:val="0"/>
              <w:widowControl w:val="0"/>
              <w:kinsoku/>
              <w:wordWrap/>
              <w:overflowPunct/>
              <w:topLinePunct w:val="0"/>
              <w:bidi w:val="0"/>
              <w:spacing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动力电源：380V/50Hz,照明电源：220V/50Hz</w:t>
            </w:r>
          </w:p>
          <w:p w14:paraId="546E0FDD">
            <w:pPr>
              <w:pageBreakBefore w:val="0"/>
              <w:widowControl w:val="0"/>
              <w:kinsoku/>
              <w:wordWrap/>
              <w:overflowPunct/>
              <w:topLinePunct w:val="0"/>
              <w:bidi w:val="0"/>
              <w:spacing w:line="240" w:lineRule="auto"/>
              <w:ind w:left="0" w:leftChars="0" w:firstLine="0" w:firstLineChars="0"/>
              <w:textAlignment w:val="auto"/>
              <w:rPr>
                <w:rFonts w:hint="default" w:eastAsia="仿宋"/>
                <w:lang w:val="en-US" w:eastAsia="zh-CN"/>
              </w:rPr>
            </w:pPr>
            <w:r>
              <w:rPr>
                <w:rFonts w:hint="eastAsia" w:ascii="仿宋" w:hAnsi="仿宋" w:eastAsia="仿宋" w:cs="仿宋"/>
                <w:sz w:val="24"/>
                <w:szCs w:val="24"/>
                <w:lang w:val="en-US" w:eastAsia="zh-CN"/>
              </w:rPr>
              <w:t>电梯设计满足语音提示等。</w:t>
            </w:r>
          </w:p>
        </w:tc>
      </w:tr>
    </w:tbl>
    <w:p w14:paraId="50D48482">
      <w:pPr>
        <w:pageBreakBefore w:val="0"/>
        <w:widowControl w:val="0"/>
        <w:kinsoku/>
        <w:wordWrap/>
        <w:overflowPunct/>
        <w:topLinePunct w:val="0"/>
        <w:autoSpaceDE/>
        <w:autoSpaceDN/>
        <w:bidi w:val="0"/>
        <w:snapToGrid w:val="0"/>
        <w:spacing w:line="480" w:lineRule="exact"/>
        <w:ind w:left="0" w:leftChars="0" w:firstLine="0" w:firstLineChars="0"/>
        <w:jc w:val="both"/>
        <w:textAlignment w:val="auto"/>
        <w:rPr>
          <w:rFonts w:hint="eastAsia" w:ascii="仿宋" w:hAnsi="仿宋" w:eastAsia="仿宋" w:cs="仿宋"/>
          <w:sz w:val="24"/>
          <w:szCs w:val="24"/>
        </w:rPr>
      </w:pPr>
      <w:r>
        <w:rPr>
          <w:rFonts w:hint="eastAsia" w:ascii="仿宋" w:hAnsi="仿宋" w:eastAsia="仿宋" w:cs="仿宋"/>
          <w:sz w:val="24"/>
          <w:szCs w:val="24"/>
        </w:rPr>
        <w:t>工作环境要求</w:t>
      </w:r>
    </w:p>
    <w:p w14:paraId="40C02557">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1）工作地点：浙江杭州</w:t>
      </w:r>
    </w:p>
    <w:p w14:paraId="4D9C6C02">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2）环境条件：</w:t>
      </w:r>
    </w:p>
    <w:p w14:paraId="129BB488">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室内温度5～40℃；室外温度-10℃～50℃</w:t>
      </w:r>
    </w:p>
    <w:p w14:paraId="2B5C15C0">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最大相对湿度90%</w:t>
      </w:r>
    </w:p>
    <w:p w14:paraId="03D94EC5">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气候：海洋性气候</w:t>
      </w:r>
    </w:p>
    <w:p w14:paraId="620A7734">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电源：三相交流：380V、50HZ</w:t>
      </w:r>
    </w:p>
    <w:p w14:paraId="49A3CFCC">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单相交流：220V、50HZ</w:t>
      </w:r>
    </w:p>
    <w:p w14:paraId="7354FA8B">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3）技术标准化和规范</w:t>
      </w:r>
    </w:p>
    <w:p w14:paraId="5AB6A294">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电梯根据国家现行法律法规、质量标准：</w:t>
      </w:r>
    </w:p>
    <w:p w14:paraId="77ADEC41">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a.《特种设备安全法》</w:t>
      </w:r>
    </w:p>
    <w:p w14:paraId="5A4E40E6">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b.《特殊设备安全监察条例》</w:t>
      </w:r>
    </w:p>
    <w:p w14:paraId="7AF2CC6B">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c.《电梯制造和安装安全规范》GB7588-2020</w:t>
      </w:r>
    </w:p>
    <w:p w14:paraId="367A5940">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d.《电梯安装验收规范》 GB/T10060-2011</w:t>
      </w:r>
    </w:p>
    <w:p w14:paraId="36BCA4EC">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e.《电梯技术条件》GB10058-2009</w:t>
      </w:r>
    </w:p>
    <w:p w14:paraId="43AEC548">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f.《电梯试验方法》GB10059-2009</w:t>
      </w:r>
    </w:p>
    <w:p w14:paraId="59C00D22">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g.《电梯工程施工质量验收规范》GB 50310-2002</w:t>
      </w:r>
    </w:p>
    <w:p w14:paraId="4B5621E6">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h.《电梯安装工程质量检验评估标准》GB50310-2002</w:t>
      </w:r>
    </w:p>
    <w:p w14:paraId="0AC27BAA">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i.《建筑设计防火规范》GB50016-2014(2018版）</w:t>
      </w:r>
    </w:p>
    <w:p w14:paraId="41ECBC71">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j.浙江省《电梯维修保养安全管理规范》DB33/728-2009</w:t>
      </w:r>
    </w:p>
    <w:p w14:paraId="233A9469">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k.中华人民共和国国家建设部“电梯手册”</w:t>
      </w:r>
    </w:p>
    <w:p w14:paraId="02B32ED5">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l.《电梯主参数及轿厢、井道、机房型式与尺寸》GBT7025-2008</w:t>
      </w:r>
    </w:p>
    <w:p w14:paraId="5DCB10C8">
      <w:pPr>
        <w:pageBreakBefore w:val="0"/>
        <w:widowControl w:val="0"/>
        <w:kinsoku/>
        <w:wordWrap/>
        <w:overflowPunct/>
        <w:topLinePunct w:val="0"/>
        <w:autoSpaceDE/>
        <w:autoSpaceDN/>
        <w:bidi w:val="0"/>
        <w:spacing w:line="480" w:lineRule="exact"/>
        <w:ind w:left="0" w:leftChars="0" w:firstLine="0" w:firstLineChars="0"/>
        <w:textAlignment w:val="auto"/>
        <w:rPr>
          <w:rFonts w:hint="eastAsia" w:ascii="仿宋" w:hAnsi="仿宋" w:eastAsia="仿宋" w:cs="仿宋"/>
          <w:bCs/>
          <w:sz w:val="24"/>
          <w:szCs w:val="24"/>
        </w:rPr>
      </w:pPr>
      <w:r>
        <w:rPr>
          <w:rFonts w:hint="eastAsia" w:ascii="仿宋" w:hAnsi="仿宋" w:eastAsia="仿宋" w:cs="仿宋"/>
          <w:bCs/>
          <w:sz w:val="24"/>
          <w:szCs w:val="24"/>
        </w:rPr>
        <w:t>所有与电梯相关的现行的最新的电梯国家、地方及行业有关质量规范标准；</w:t>
      </w:r>
    </w:p>
    <w:p w14:paraId="25996066">
      <w:pPr>
        <w:pStyle w:val="4"/>
        <w:pageBreakBefore w:val="0"/>
        <w:widowControl w:val="0"/>
        <w:numPr>
          <w:ilvl w:val="0"/>
          <w:numId w:val="0"/>
        </w:numPr>
        <w:kinsoku/>
        <w:wordWrap/>
        <w:overflowPunct/>
        <w:topLinePunct w:val="0"/>
        <w:autoSpaceDE/>
        <w:autoSpaceDN/>
        <w:bidi w:val="0"/>
        <w:spacing w:before="0" w:after="0" w:line="480" w:lineRule="exact"/>
        <w:ind w:firstLine="482"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三、</w:t>
      </w:r>
      <w:r>
        <w:rPr>
          <w:rFonts w:hint="eastAsia" w:ascii="仿宋" w:hAnsi="仿宋" w:eastAsia="仿宋" w:cs="仿宋"/>
          <w:sz w:val="24"/>
          <w:szCs w:val="24"/>
        </w:rPr>
        <w:t>工程承包范围</w:t>
      </w:r>
    </w:p>
    <w:p w14:paraId="1A58CA49">
      <w:pPr>
        <w:pageBreakBefore w:val="0"/>
        <w:widowControl w:val="0"/>
        <w:kinsoku/>
        <w:wordWrap/>
        <w:overflowPunct/>
        <w:topLinePunct w:val="0"/>
        <w:autoSpaceDE/>
        <w:autoSpaceDN/>
        <w:bidi w:val="0"/>
        <w:spacing w:line="480" w:lineRule="exact"/>
        <w:ind w:left="0" w:leftChars="0" w:firstLine="480" w:firstLineChars="0"/>
        <w:textAlignment w:val="auto"/>
        <w:rPr>
          <w:rFonts w:hint="eastAsia" w:ascii="仿宋" w:hAnsi="仿宋" w:eastAsia="仿宋" w:cs="仿宋"/>
          <w:sz w:val="24"/>
          <w:szCs w:val="24"/>
        </w:rPr>
      </w:pPr>
      <w:r>
        <w:rPr>
          <w:rFonts w:hint="eastAsia" w:ascii="仿宋" w:hAnsi="仿宋" w:eastAsia="仿宋" w:cs="仿宋"/>
          <w:sz w:val="24"/>
          <w:szCs w:val="24"/>
        </w:rPr>
        <w:t>对</w:t>
      </w:r>
      <w:r>
        <w:rPr>
          <w:rFonts w:hint="eastAsia" w:ascii="仿宋" w:hAnsi="仿宋" w:eastAsia="仿宋" w:cs="仿宋"/>
          <w:sz w:val="24"/>
          <w:szCs w:val="24"/>
          <w:lang w:val="en-US" w:eastAsia="zh-CN"/>
        </w:rPr>
        <w:t>庆华饭店主楼1号</w:t>
      </w:r>
      <w:r>
        <w:rPr>
          <w:rFonts w:hint="eastAsia" w:ascii="仿宋" w:hAnsi="仿宋" w:eastAsia="仿宋" w:cs="仿宋"/>
          <w:sz w:val="24"/>
          <w:szCs w:val="24"/>
        </w:rPr>
        <w:t>电梯</w:t>
      </w:r>
      <w:r>
        <w:rPr>
          <w:rFonts w:hint="eastAsia" w:ascii="仿宋" w:hAnsi="仿宋" w:eastAsia="仿宋" w:cs="仿宋"/>
          <w:sz w:val="24"/>
          <w:szCs w:val="24"/>
          <w:lang w:val="en-US" w:eastAsia="zh-CN"/>
        </w:rPr>
        <w:t>更换，</w:t>
      </w:r>
      <w:r>
        <w:rPr>
          <w:rFonts w:hint="eastAsia" w:ascii="仿宋" w:hAnsi="仿宋" w:eastAsia="仿宋" w:cs="仿宋"/>
          <w:sz w:val="24"/>
          <w:szCs w:val="24"/>
        </w:rPr>
        <w:t>设备购置、安装、调试、检测、验收、技术培训、售后服务等。</w:t>
      </w:r>
    </w:p>
    <w:p w14:paraId="5B7CFF99">
      <w:pPr>
        <w:pageBreakBefore w:val="0"/>
        <w:widowControl w:val="0"/>
        <w:kinsoku/>
        <w:wordWrap/>
        <w:overflowPunct/>
        <w:topLinePunct w:val="0"/>
        <w:autoSpaceDE/>
        <w:autoSpaceDN/>
        <w:bidi w:val="0"/>
        <w:spacing w:line="480" w:lineRule="exact"/>
        <w:ind w:left="0" w:leftChars="0" w:firstLine="480" w:firstLineChars="0"/>
        <w:textAlignment w:val="auto"/>
        <w:rPr>
          <w:rFonts w:hint="eastAsia" w:ascii="仿宋" w:hAnsi="仿宋" w:eastAsia="仿宋" w:cs="仿宋"/>
          <w:sz w:val="24"/>
          <w:szCs w:val="24"/>
        </w:rPr>
      </w:pPr>
      <w:r>
        <w:rPr>
          <w:rFonts w:hint="eastAsia" w:ascii="仿宋" w:hAnsi="仿宋" w:eastAsia="仿宋" w:cs="仿宋"/>
          <w:sz w:val="24"/>
          <w:szCs w:val="24"/>
        </w:rPr>
        <w:t>招标人将从设备制造、供货、运输、安装及调试、检测、试运行、备品备件、验收、售后服务、技术培训、维修等各方面对投标人进行全方位的综合考核。中标人的工作范围需包含但不局限于以下内容：</w:t>
      </w:r>
    </w:p>
    <w:p w14:paraId="39C157BD">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（1）提供图纸设计资料，包括土建需要预留、预埋的部件及尺寸，和轿厢平面图；</w:t>
      </w:r>
    </w:p>
    <w:p w14:paraId="6EFB3F78">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（2）设备及部件的包装、保护、运输及仓储和现场内运输；</w:t>
      </w:r>
    </w:p>
    <w:p w14:paraId="621CD66C">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（3）设备的安装及部件的就位和固定；</w:t>
      </w:r>
    </w:p>
    <w:p w14:paraId="7B33836F">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（4）设备调试；</w:t>
      </w:r>
    </w:p>
    <w:p w14:paraId="2E3DD6BC">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（5）实施过程中与其他投标人的协调和配合；</w:t>
      </w:r>
    </w:p>
    <w:p w14:paraId="6B3DBCE3">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（6）验收（包括负责通过质量技术监督局和工程质量监督站等相关部门的整体验收，</w:t>
      </w:r>
      <w:r>
        <w:rPr>
          <w:rFonts w:hint="eastAsia" w:ascii="仿宋" w:hAnsi="仿宋" w:cs="仿宋"/>
          <w:sz w:val="24"/>
          <w:szCs w:val="24"/>
          <w:lang w:val="en-US" w:eastAsia="zh-CN"/>
        </w:rPr>
        <w:t>取得</w:t>
      </w:r>
      <w:r>
        <w:rPr>
          <w:rFonts w:hint="eastAsia" w:ascii="仿宋" w:hAnsi="仿宋" w:eastAsia="仿宋" w:cs="仿宋"/>
          <w:sz w:val="24"/>
          <w:szCs w:val="24"/>
        </w:rPr>
        <w:t>质量管理部门的验收合格报告和电梯《安全检验合格》标志）；</w:t>
      </w:r>
    </w:p>
    <w:p w14:paraId="22745423">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（7）技术培训；</w:t>
      </w:r>
    </w:p>
    <w:p w14:paraId="21FBA0C2">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（8）售后服务。</w:t>
      </w:r>
    </w:p>
    <w:p w14:paraId="3BC20FA6">
      <w:pPr>
        <w:pStyle w:val="4"/>
        <w:pageBreakBefore w:val="0"/>
        <w:widowControl w:val="0"/>
        <w:numPr>
          <w:ilvl w:val="0"/>
          <w:numId w:val="0"/>
        </w:numPr>
        <w:kinsoku/>
        <w:wordWrap/>
        <w:overflowPunct/>
        <w:topLinePunct w:val="0"/>
        <w:autoSpaceDE/>
        <w:autoSpaceDN/>
        <w:bidi w:val="0"/>
        <w:spacing w:before="0" w:after="0" w:line="480" w:lineRule="exact"/>
        <w:ind w:firstLine="482"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四、</w:t>
      </w:r>
      <w:r>
        <w:rPr>
          <w:rFonts w:hint="eastAsia" w:ascii="仿宋" w:hAnsi="仿宋" w:eastAsia="仿宋" w:cs="仿宋"/>
          <w:sz w:val="24"/>
          <w:szCs w:val="24"/>
        </w:rPr>
        <w:t>安装、调试及验收</w:t>
      </w:r>
    </w:p>
    <w:p w14:paraId="7B9A67C5">
      <w:pPr>
        <w:pageBreakBefore w:val="0"/>
        <w:widowControl w:val="0"/>
        <w:kinsoku/>
        <w:wordWrap/>
        <w:overflowPunct/>
        <w:topLinePunct w:val="0"/>
        <w:autoSpaceDE/>
        <w:autoSpaceDN/>
        <w:bidi w:val="0"/>
        <w:snapToGrid w:val="0"/>
        <w:spacing w:line="480" w:lineRule="exact"/>
        <w:ind w:left="0" w:leftChars="0" w:firstLine="480"/>
        <w:textAlignment w:val="auto"/>
        <w:rPr>
          <w:rFonts w:hint="eastAsia" w:ascii="仿宋" w:hAnsi="仿宋" w:eastAsia="仿宋" w:cs="仿宋"/>
          <w:sz w:val="24"/>
          <w:szCs w:val="24"/>
        </w:rPr>
      </w:pPr>
      <w:r>
        <w:rPr>
          <w:rFonts w:hint="eastAsia" w:ascii="仿宋" w:hAnsi="仿宋" w:eastAsia="仿宋" w:cs="仿宋"/>
          <w:sz w:val="24"/>
          <w:szCs w:val="24"/>
        </w:rPr>
        <w:t>本项目为交钥匙工程，中标人应派经招标人认可的有经验和能力、具有相应资质的技术人员，负责设备安装工作，在设备安装期间应充分了解设备安装进度要求，保证施工质量，解决施工中出现的技术问题。</w:t>
      </w:r>
    </w:p>
    <w:p w14:paraId="61A12C2B">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（1）中标人负责设备的安装、调试、验收，并负责电梯安装的调试电缆。</w:t>
      </w:r>
    </w:p>
    <w:p w14:paraId="5BA28FBC">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（2）中标人现场服务人员要服从监理单位及招标人的进度安排。</w:t>
      </w:r>
    </w:p>
    <w:p w14:paraId="749AE592">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（3）调试所需专用工具设施物料由中标人自备、自费运到现场，完工后自费搬走。</w:t>
      </w:r>
    </w:p>
    <w:p w14:paraId="78749FDB">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（4）调试：按国家相关施工验收规范进行，分阶段进行调试。</w:t>
      </w:r>
    </w:p>
    <w:p w14:paraId="134D2C48">
      <w:pPr>
        <w:pageBreakBefore w:val="0"/>
        <w:widowControl w:val="0"/>
        <w:kinsoku/>
        <w:wordWrap/>
        <w:overflowPunct/>
        <w:topLinePunct w:val="0"/>
        <w:autoSpaceDE/>
        <w:autoSpaceDN/>
        <w:bidi w:val="0"/>
        <w:snapToGrid w:val="0"/>
        <w:spacing w:line="48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 xml:space="preserve">    （5）设备的拆箱、通电、调试等项工作由中标人负责，但必须在招标人指定人员的参与下进行。在实际实施前必须先经招标人同意方可进行。调试的原始记录须经各方签字后作为验收的文件之一。</w:t>
      </w:r>
    </w:p>
    <w:p w14:paraId="35A345F0">
      <w:pPr>
        <w:pageBreakBefore w:val="0"/>
        <w:widowControl w:val="0"/>
        <w:kinsoku/>
        <w:wordWrap/>
        <w:overflowPunct/>
        <w:topLinePunct w:val="0"/>
        <w:autoSpaceDE/>
        <w:autoSpaceDN/>
        <w:bidi w:val="0"/>
        <w:spacing w:line="480" w:lineRule="exact"/>
        <w:ind w:left="0" w:leftChars="0" w:firstLine="480" w:firstLineChars="0"/>
        <w:textAlignment w:val="auto"/>
        <w:rPr>
          <w:rFonts w:hint="default" w:ascii="仿宋" w:hAnsi="仿宋" w:eastAsia="仿宋" w:cs="仿宋"/>
          <w:sz w:val="24"/>
          <w:szCs w:val="24"/>
          <w:lang w:val="en-US" w:eastAsia="zh-CN"/>
        </w:rPr>
      </w:pPr>
      <w:r>
        <w:rPr>
          <w:rFonts w:hint="eastAsia" w:ascii="仿宋" w:hAnsi="仿宋" w:cs="仿宋"/>
          <w:sz w:val="24"/>
          <w:szCs w:val="24"/>
          <w:lang w:eastAsia="zh-CN"/>
        </w:rPr>
        <w:t>（</w:t>
      </w:r>
      <w:r>
        <w:rPr>
          <w:rFonts w:hint="eastAsia" w:ascii="仿宋" w:hAnsi="仿宋" w:cs="仿宋"/>
          <w:sz w:val="24"/>
          <w:szCs w:val="24"/>
          <w:lang w:val="en-US" w:eastAsia="zh-CN"/>
        </w:rPr>
        <w:t>6</w:t>
      </w:r>
      <w:r>
        <w:rPr>
          <w:rFonts w:hint="eastAsia" w:ascii="仿宋" w:hAnsi="仿宋" w:cs="仿宋"/>
          <w:sz w:val="24"/>
          <w:szCs w:val="24"/>
          <w:lang w:eastAsia="zh-CN"/>
        </w:rPr>
        <w:t>）</w:t>
      </w:r>
      <w:r>
        <w:rPr>
          <w:rFonts w:hint="eastAsia" w:ascii="仿宋" w:hAnsi="仿宋" w:cs="仿宋"/>
          <w:sz w:val="24"/>
          <w:szCs w:val="24"/>
          <w:lang w:val="en-US" w:eastAsia="zh-CN"/>
        </w:rPr>
        <w:t>组织第三方进行验收。</w:t>
      </w:r>
    </w:p>
    <w:p w14:paraId="039D79E4">
      <w:pPr>
        <w:pageBreakBefore w:val="0"/>
        <w:widowControl w:val="0"/>
        <w:kinsoku/>
        <w:wordWrap/>
        <w:overflowPunct/>
        <w:topLinePunct w:val="0"/>
        <w:autoSpaceDE/>
        <w:autoSpaceDN/>
        <w:bidi w:val="0"/>
        <w:spacing w:line="480" w:lineRule="exact"/>
        <w:ind w:left="0" w:leftChars="0" w:firstLine="480" w:firstLineChars="0"/>
        <w:textAlignment w:val="auto"/>
        <w:rPr>
          <w:rFonts w:hint="eastAsia" w:ascii="仿宋" w:hAnsi="仿宋" w:eastAsia="仿宋" w:cs="仿宋"/>
          <w:sz w:val="24"/>
          <w:szCs w:val="24"/>
        </w:rPr>
      </w:pPr>
      <w:r>
        <w:rPr>
          <w:rFonts w:hint="eastAsia" w:ascii="仿宋" w:hAnsi="仿宋" w:eastAsia="仿宋" w:cs="仿宋"/>
          <w:sz w:val="24"/>
          <w:szCs w:val="24"/>
        </w:rPr>
        <w:t>电梯设备安装完成后，进行调试、验收(包括负责通过有关部门组织的综合验收)。验收由招标人与中标人及相关人员依国家有关标准、</w:t>
      </w:r>
      <w:r>
        <w:rPr>
          <w:rFonts w:hint="eastAsia" w:ascii="仿宋" w:hAnsi="仿宋" w:cs="仿宋"/>
          <w:sz w:val="24"/>
          <w:szCs w:val="24"/>
          <w:lang w:val="en-US" w:eastAsia="zh-CN"/>
        </w:rPr>
        <w:t>招标文件、投标文件、</w:t>
      </w:r>
      <w:r>
        <w:rPr>
          <w:rFonts w:hint="eastAsia" w:ascii="仿宋" w:hAnsi="仿宋" w:eastAsia="仿宋" w:cs="仿宋"/>
          <w:sz w:val="24"/>
          <w:szCs w:val="24"/>
        </w:rPr>
        <w:t>合同、设计图纸及有关附件要求进行。</w:t>
      </w:r>
    </w:p>
    <w:p w14:paraId="51E27897">
      <w:pPr>
        <w:pageBreakBefore w:val="0"/>
        <w:widowControl w:val="0"/>
        <w:kinsoku/>
        <w:wordWrap/>
        <w:overflowPunct/>
        <w:topLinePunct w:val="0"/>
        <w:autoSpaceDE/>
        <w:autoSpaceDN/>
        <w:bidi w:val="0"/>
        <w:adjustRightInd w:val="0"/>
        <w:snapToGrid w:val="0"/>
        <w:spacing w:line="480" w:lineRule="exact"/>
        <w:ind w:left="0" w:leftChars="0" w:firstLine="482" w:firstLineChars="200"/>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lang w:val="en-US" w:eastAsia="zh-CN"/>
        </w:rPr>
        <w:t>五、</w:t>
      </w:r>
      <w:r>
        <w:rPr>
          <w:rFonts w:hint="eastAsia" w:ascii="仿宋" w:hAnsi="仿宋" w:eastAsia="仿宋" w:cs="仿宋"/>
          <w:b/>
          <w:bCs/>
          <w:color w:val="000000"/>
          <w:sz w:val="24"/>
          <w:szCs w:val="24"/>
        </w:rPr>
        <w:t>工期要求</w:t>
      </w:r>
    </w:p>
    <w:p w14:paraId="4A686856">
      <w:pPr>
        <w:pageBreakBefore w:val="0"/>
        <w:widowControl w:val="0"/>
        <w:kinsoku/>
        <w:wordWrap/>
        <w:overflowPunct/>
        <w:topLinePunct w:val="0"/>
        <w:autoSpaceDE/>
        <w:autoSpaceDN/>
        <w:bidi w:val="0"/>
        <w:spacing w:line="480" w:lineRule="exact"/>
        <w:ind w:left="0" w:leftChars="0" w:firstLine="480" w:firstLineChars="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合同生效，在接到招标人</w:t>
      </w:r>
      <w:r>
        <w:rPr>
          <w:rFonts w:hint="eastAsia" w:ascii="仿宋" w:hAnsi="仿宋" w:eastAsia="仿宋" w:cs="仿宋"/>
          <w:sz w:val="24"/>
          <w:szCs w:val="24"/>
          <w:highlight w:val="none"/>
          <w:lang w:val="en-US" w:eastAsia="zh-CN"/>
        </w:rPr>
        <w:t>排产</w:t>
      </w:r>
      <w:r>
        <w:rPr>
          <w:rFonts w:hint="eastAsia" w:ascii="仿宋" w:hAnsi="仿宋" w:eastAsia="仿宋" w:cs="仿宋"/>
          <w:sz w:val="24"/>
          <w:szCs w:val="24"/>
          <w:highlight w:val="none"/>
        </w:rPr>
        <w:t>通知后</w:t>
      </w:r>
      <w:r>
        <w:rPr>
          <w:rFonts w:hint="eastAsia" w:ascii="仿宋" w:hAnsi="仿宋" w:eastAsia="仿宋" w:cs="仿宋"/>
          <w:sz w:val="24"/>
          <w:szCs w:val="24"/>
          <w:highlight w:val="none"/>
          <w:lang w:val="en-US" w:eastAsia="zh-CN"/>
        </w:rPr>
        <w:t>120</w:t>
      </w:r>
      <w:r>
        <w:rPr>
          <w:rFonts w:hint="eastAsia" w:ascii="仿宋" w:hAnsi="仿宋" w:eastAsia="仿宋" w:cs="仿宋"/>
          <w:sz w:val="24"/>
          <w:szCs w:val="24"/>
          <w:highlight w:val="none"/>
        </w:rPr>
        <w:t>天内进场施工，</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个月内安装调试完毕，现场具备验收条件后5个日历天内完成质量技术监督局的验收</w:t>
      </w:r>
      <w:r>
        <w:rPr>
          <w:rFonts w:hint="eastAsia" w:ascii="仿宋" w:hAnsi="仿宋" w:cs="仿宋"/>
          <w:sz w:val="24"/>
          <w:szCs w:val="24"/>
          <w:highlight w:val="none"/>
          <w:lang w:val="en-US" w:eastAsia="zh-CN"/>
        </w:rPr>
        <w:t>申请工作</w:t>
      </w:r>
      <w:r>
        <w:rPr>
          <w:rFonts w:hint="eastAsia" w:ascii="仿宋" w:hAnsi="仿宋" w:eastAsia="仿宋" w:cs="仿宋"/>
          <w:sz w:val="24"/>
          <w:szCs w:val="24"/>
          <w:highlight w:val="none"/>
        </w:rPr>
        <w:t>。</w:t>
      </w:r>
    </w:p>
    <w:p w14:paraId="24C282F0">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jc w:val="left"/>
        <w:textAlignment w:val="auto"/>
        <w:rPr>
          <w:rFonts w:hint="default" w:ascii="仿宋" w:hAnsi="仿宋" w:cs="仿宋"/>
          <w:b/>
          <w:bCs/>
          <w:szCs w:val="22"/>
          <w:lang w:val="en-US" w:eastAsia="zh-CN"/>
        </w:rPr>
      </w:pPr>
      <w:r>
        <w:rPr>
          <w:rFonts w:hint="eastAsia" w:ascii="仿宋" w:hAnsi="仿宋" w:cs="仿宋"/>
          <w:b/>
          <w:bCs/>
          <w:szCs w:val="22"/>
          <w:lang w:val="en-US" w:eastAsia="zh-CN"/>
        </w:rPr>
        <w:t>六、付款方式</w:t>
      </w:r>
    </w:p>
    <w:p w14:paraId="26FBFD87">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b w:val="0"/>
          <w:bCs w:val="0"/>
          <w:szCs w:val="22"/>
          <w:highlight w:val="none"/>
          <w:lang w:val="en-US" w:eastAsia="zh-CN"/>
        </w:rPr>
      </w:pPr>
      <w:r>
        <w:rPr>
          <w:rFonts w:hint="eastAsia" w:ascii="仿宋" w:hAnsi="仿宋" w:cs="仿宋"/>
          <w:b w:val="0"/>
          <w:bCs w:val="0"/>
          <w:szCs w:val="22"/>
          <w:highlight w:val="none"/>
          <w:lang w:val="en-US" w:eastAsia="zh-CN"/>
        </w:rPr>
        <w:t>合同生效以及具备实施条件后7个工作日内，甲方向乙方支付合同总价的40%，合同货物送达采购人指定地点，货到安装、调试完成且通过特检所验收合格取得相关证书后采购人支付至合同总价的95%，余5%等决算审计后支付合同总价的100%（凭货物发票）。</w:t>
      </w:r>
    </w:p>
    <w:p w14:paraId="4468C1E1">
      <w:pPr>
        <w:keepNext w:val="0"/>
        <w:keepLines w:val="0"/>
        <w:pageBreakBefore w:val="0"/>
        <w:widowControl w:val="0"/>
        <w:kinsoku/>
        <w:wordWrap/>
        <w:overflowPunct/>
        <w:topLinePunct w:val="0"/>
        <w:autoSpaceDE/>
        <w:autoSpaceDN/>
        <w:bidi w:val="0"/>
        <w:adjustRightInd w:val="0"/>
        <w:snapToGrid/>
        <w:spacing w:line="480" w:lineRule="exact"/>
        <w:ind w:firstLine="482" w:firstLineChars="200"/>
        <w:jc w:val="left"/>
        <w:textAlignment w:val="auto"/>
        <w:rPr>
          <w:rFonts w:hint="eastAsia" w:ascii="仿宋" w:hAnsi="仿宋" w:cs="仿宋"/>
          <w:b/>
          <w:bCs/>
          <w:szCs w:val="22"/>
          <w:highlight w:val="none"/>
        </w:rPr>
      </w:pPr>
      <w:r>
        <w:rPr>
          <w:rFonts w:hint="eastAsia" w:ascii="仿宋" w:hAnsi="仿宋" w:cs="仿宋"/>
          <w:b/>
          <w:bCs/>
          <w:szCs w:val="22"/>
          <w:highlight w:val="none"/>
          <w:lang w:val="en-US" w:eastAsia="zh-CN"/>
        </w:rPr>
        <w:t>七、</w:t>
      </w:r>
      <w:r>
        <w:rPr>
          <w:rFonts w:hint="eastAsia" w:ascii="仿宋" w:hAnsi="仿宋" w:cs="仿宋"/>
          <w:b/>
          <w:bCs/>
          <w:szCs w:val="22"/>
          <w:highlight w:val="none"/>
        </w:rPr>
        <w:t>其他</w:t>
      </w:r>
    </w:p>
    <w:p w14:paraId="5A47F585">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szCs w:val="22"/>
        </w:rPr>
      </w:pPr>
      <w:r>
        <w:rPr>
          <w:rFonts w:hint="eastAsia" w:ascii="仿宋" w:hAnsi="仿宋" w:cs="仿宋"/>
          <w:szCs w:val="22"/>
        </w:rPr>
        <w:t>中标人同招标人签订了设备供货合同后，须按建设进度要求提供下列资料（一式六份）：系统图、布置方案图、电路图、接线图、设计图、装配图、井道尺寸剖面图及其他有必要提供的其他文件和技术资料。招标人将进行图纸审查，内容包括：</w:t>
      </w:r>
    </w:p>
    <w:p w14:paraId="581A5F0B">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szCs w:val="22"/>
        </w:rPr>
      </w:pPr>
      <w:r>
        <w:rPr>
          <w:rFonts w:hint="eastAsia" w:ascii="仿宋" w:hAnsi="仿宋" w:cs="仿宋"/>
          <w:szCs w:val="22"/>
        </w:rPr>
        <w:t>1.所有对土建的要求符合现有的实际情况，包括荷载、打孔位置和尺寸、吊装预留孔、吊装荷载等；</w:t>
      </w:r>
    </w:p>
    <w:p w14:paraId="55E1BE52">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szCs w:val="22"/>
        </w:rPr>
      </w:pPr>
      <w:r>
        <w:rPr>
          <w:rFonts w:hint="eastAsia" w:ascii="仿宋" w:hAnsi="仿宋" w:cs="仿宋"/>
          <w:szCs w:val="22"/>
        </w:rPr>
        <w:t>2.主要设备和装置额定值、外形、尺寸、表面装饰、维修、更换、安装方法等；</w:t>
      </w:r>
    </w:p>
    <w:p w14:paraId="25DD4EDC">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szCs w:val="22"/>
        </w:rPr>
      </w:pPr>
      <w:r>
        <w:rPr>
          <w:rFonts w:hint="eastAsia" w:ascii="仿宋" w:hAnsi="仿宋" w:cs="仿宋"/>
          <w:szCs w:val="22"/>
        </w:rPr>
        <w:t>3.主要设备的交货程序，外形尺寸、重量和预留吊装位置和吊勾；</w:t>
      </w:r>
    </w:p>
    <w:bookmarkEnd w:id="25"/>
    <w:p w14:paraId="227B6DA2">
      <w:pPr>
        <w:pageBreakBefore/>
        <w:snapToGrid w:val="0"/>
        <w:spacing w:line="360" w:lineRule="auto"/>
        <w:jc w:val="center"/>
        <w:rPr>
          <w:b/>
          <w:sz w:val="36"/>
          <w:szCs w:val="36"/>
        </w:rPr>
      </w:pPr>
      <w:r>
        <w:rPr>
          <w:rFonts w:hAnsi="仿宋"/>
          <w:b/>
          <w:sz w:val="36"/>
          <w:szCs w:val="36"/>
        </w:rPr>
        <w:t>第四部分</w:t>
      </w:r>
      <w:bookmarkStart w:id="27" w:name="_Toc184313245"/>
      <w:bookmarkEnd w:id="27"/>
      <w:bookmarkStart w:id="28" w:name="_Toc184313267"/>
      <w:bookmarkEnd w:id="28"/>
      <w:bookmarkStart w:id="29" w:name="_Toc184310338"/>
      <w:bookmarkEnd w:id="29"/>
      <w:bookmarkStart w:id="30" w:name="_Toc184310274"/>
      <w:bookmarkEnd w:id="30"/>
      <w:bookmarkStart w:id="31" w:name="_Toc184308103"/>
      <w:bookmarkEnd w:id="31"/>
      <w:bookmarkStart w:id="32" w:name="_Toc184313279"/>
      <w:bookmarkEnd w:id="32"/>
      <w:bookmarkStart w:id="33" w:name="_Toc184310278"/>
      <w:bookmarkEnd w:id="33"/>
      <w:bookmarkStart w:id="34" w:name="_Toc184308053"/>
      <w:bookmarkEnd w:id="34"/>
      <w:bookmarkStart w:id="35" w:name="_Toc184308052"/>
      <w:bookmarkEnd w:id="35"/>
      <w:bookmarkStart w:id="36" w:name="_Toc184313257"/>
      <w:bookmarkEnd w:id="36"/>
      <w:bookmarkStart w:id="37" w:name="_Toc184312139"/>
      <w:bookmarkEnd w:id="37"/>
      <w:bookmarkStart w:id="38" w:name="_Toc184314466"/>
      <w:bookmarkEnd w:id="38"/>
      <w:bookmarkStart w:id="39" w:name="_Toc184308068"/>
      <w:bookmarkEnd w:id="39"/>
      <w:bookmarkStart w:id="40" w:name="_Toc184312131"/>
      <w:bookmarkEnd w:id="40"/>
      <w:bookmarkStart w:id="41" w:name="_Toc184312115"/>
      <w:bookmarkEnd w:id="41"/>
      <w:bookmarkStart w:id="42" w:name="_Toc184314434"/>
      <w:bookmarkEnd w:id="42"/>
      <w:bookmarkStart w:id="43" w:name="_Toc184314435"/>
      <w:bookmarkEnd w:id="43"/>
      <w:bookmarkStart w:id="44" w:name="_Toc184313304"/>
      <w:bookmarkEnd w:id="44"/>
      <w:bookmarkStart w:id="45" w:name="_Toc184313286"/>
      <w:bookmarkEnd w:id="45"/>
      <w:bookmarkStart w:id="46" w:name="_Toc184314411"/>
      <w:bookmarkEnd w:id="46"/>
      <w:bookmarkStart w:id="47" w:name="_Toc184312069"/>
      <w:bookmarkEnd w:id="47"/>
      <w:bookmarkStart w:id="48" w:name="_Toc184310308"/>
      <w:bookmarkEnd w:id="48"/>
      <w:bookmarkStart w:id="49" w:name="_Toc184312080"/>
      <w:bookmarkEnd w:id="49"/>
      <w:bookmarkStart w:id="50" w:name="_Toc184310332"/>
      <w:bookmarkEnd w:id="50"/>
      <w:bookmarkStart w:id="51" w:name="_Toc184310313"/>
      <w:bookmarkEnd w:id="51"/>
      <w:bookmarkStart w:id="52" w:name="_Toc184313268"/>
      <w:bookmarkEnd w:id="52"/>
      <w:bookmarkStart w:id="53" w:name="_Toc184312123"/>
      <w:bookmarkEnd w:id="53"/>
      <w:bookmarkStart w:id="54" w:name="_Toc184314462"/>
      <w:bookmarkEnd w:id="54"/>
      <w:bookmarkStart w:id="55" w:name="_Toc184310300"/>
      <w:bookmarkEnd w:id="55"/>
      <w:bookmarkStart w:id="56" w:name="_Toc184310341"/>
      <w:bookmarkEnd w:id="56"/>
      <w:bookmarkStart w:id="57" w:name="_Toc184310302"/>
      <w:bookmarkEnd w:id="57"/>
      <w:bookmarkStart w:id="58" w:name="_Toc184312108"/>
      <w:bookmarkEnd w:id="58"/>
      <w:bookmarkStart w:id="59" w:name="_Toc184312119"/>
      <w:bookmarkEnd w:id="59"/>
      <w:bookmarkStart w:id="60" w:name="_Toc184312092"/>
      <w:bookmarkEnd w:id="60"/>
      <w:bookmarkStart w:id="61" w:name="_Toc184308076"/>
      <w:bookmarkEnd w:id="61"/>
      <w:bookmarkStart w:id="62" w:name="_Toc184310307"/>
      <w:bookmarkEnd w:id="62"/>
      <w:bookmarkStart w:id="63" w:name="_Toc184310288"/>
      <w:bookmarkEnd w:id="63"/>
      <w:bookmarkStart w:id="64" w:name="_Toc184312070"/>
      <w:bookmarkEnd w:id="64"/>
      <w:bookmarkStart w:id="65" w:name="_Toc184310330"/>
      <w:bookmarkEnd w:id="65"/>
      <w:bookmarkStart w:id="66" w:name="_Toc184310323"/>
      <w:bookmarkEnd w:id="66"/>
      <w:bookmarkStart w:id="67" w:name="_Toc184308043"/>
      <w:bookmarkEnd w:id="67"/>
      <w:bookmarkStart w:id="68" w:name="_Toc184314421"/>
      <w:bookmarkEnd w:id="68"/>
      <w:bookmarkStart w:id="69" w:name="_Toc184312085"/>
      <w:bookmarkEnd w:id="69"/>
      <w:bookmarkStart w:id="70" w:name="_Toc184313262"/>
      <w:bookmarkEnd w:id="70"/>
      <w:bookmarkStart w:id="71" w:name="_Toc184313300"/>
      <w:bookmarkEnd w:id="71"/>
      <w:bookmarkStart w:id="72" w:name="_Toc184312094"/>
      <w:bookmarkEnd w:id="72"/>
      <w:bookmarkStart w:id="73" w:name="_Toc184313264"/>
      <w:bookmarkEnd w:id="73"/>
      <w:bookmarkStart w:id="74" w:name="_Toc184310343"/>
      <w:bookmarkEnd w:id="74"/>
      <w:bookmarkStart w:id="75" w:name="_Toc184312112"/>
      <w:bookmarkEnd w:id="75"/>
      <w:bookmarkStart w:id="76" w:name="_Toc184313280"/>
      <w:bookmarkEnd w:id="76"/>
      <w:bookmarkStart w:id="77" w:name="_Toc184313266"/>
      <w:bookmarkEnd w:id="77"/>
      <w:bookmarkStart w:id="78" w:name="_Toc184310282"/>
      <w:bookmarkEnd w:id="78"/>
      <w:bookmarkStart w:id="79" w:name="_Toc184310326"/>
      <w:bookmarkEnd w:id="79"/>
      <w:bookmarkStart w:id="80" w:name="_Toc184314482"/>
      <w:bookmarkEnd w:id="80"/>
      <w:bookmarkStart w:id="81" w:name="_Toc184312072"/>
      <w:bookmarkEnd w:id="81"/>
      <w:bookmarkStart w:id="82" w:name="_Toc184312096"/>
      <w:bookmarkEnd w:id="82"/>
      <w:bookmarkStart w:id="83" w:name="_Toc184312078"/>
      <w:bookmarkEnd w:id="83"/>
      <w:bookmarkStart w:id="84" w:name="_Toc184312071"/>
      <w:bookmarkEnd w:id="84"/>
      <w:bookmarkStart w:id="85" w:name="_Toc184310329"/>
      <w:bookmarkEnd w:id="85"/>
      <w:bookmarkStart w:id="86" w:name="_Toc184313270"/>
      <w:bookmarkEnd w:id="86"/>
      <w:bookmarkStart w:id="87" w:name="_Toc184310286"/>
      <w:bookmarkEnd w:id="87"/>
      <w:bookmarkStart w:id="88" w:name="_Toc184308095"/>
      <w:bookmarkEnd w:id="88"/>
      <w:bookmarkStart w:id="89" w:name="_Toc184312104"/>
      <w:bookmarkEnd w:id="89"/>
      <w:bookmarkStart w:id="90" w:name="_Toc184312100"/>
      <w:bookmarkEnd w:id="90"/>
      <w:bookmarkStart w:id="91" w:name="_Toc184314432"/>
      <w:bookmarkEnd w:id="91"/>
      <w:bookmarkStart w:id="92" w:name="_Toc184308099"/>
      <w:bookmarkEnd w:id="92"/>
      <w:bookmarkStart w:id="93" w:name="_Toc184313248"/>
      <w:bookmarkEnd w:id="93"/>
      <w:bookmarkStart w:id="94" w:name="_Toc184314450"/>
      <w:bookmarkEnd w:id="94"/>
      <w:bookmarkStart w:id="95" w:name="_Toc184313301"/>
      <w:bookmarkEnd w:id="95"/>
      <w:bookmarkStart w:id="96" w:name="_Toc184312079"/>
      <w:bookmarkEnd w:id="96"/>
      <w:bookmarkStart w:id="97" w:name="_Toc184312073"/>
      <w:bookmarkEnd w:id="97"/>
      <w:bookmarkStart w:id="98" w:name="_Toc184313246"/>
      <w:bookmarkEnd w:id="98"/>
      <w:bookmarkStart w:id="99" w:name="_Toc184308047"/>
      <w:bookmarkEnd w:id="99"/>
      <w:bookmarkStart w:id="100" w:name="_Toc184310310"/>
      <w:bookmarkEnd w:id="100"/>
      <w:bookmarkStart w:id="101" w:name="_Toc184310335"/>
      <w:bookmarkEnd w:id="101"/>
      <w:bookmarkStart w:id="102" w:name="_Toc184313277"/>
      <w:bookmarkEnd w:id="102"/>
      <w:bookmarkStart w:id="103" w:name="_Toc184310340"/>
      <w:bookmarkEnd w:id="103"/>
      <w:bookmarkStart w:id="104" w:name="_Toc184314443"/>
      <w:bookmarkEnd w:id="104"/>
      <w:bookmarkStart w:id="105" w:name="_Toc184314471"/>
      <w:bookmarkEnd w:id="105"/>
      <w:bookmarkStart w:id="106" w:name="_Toc184308098"/>
      <w:bookmarkEnd w:id="106"/>
      <w:bookmarkStart w:id="107" w:name="_Toc184310325"/>
      <w:bookmarkEnd w:id="107"/>
      <w:bookmarkStart w:id="108" w:name="_Toc184314414"/>
      <w:bookmarkEnd w:id="108"/>
      <w:bookmarkStart w:id="109" w:name="_Toc184314417"/>
      <w:bookmarkEnd w:id="109"/>
      <w:bookmarkStart w:id="110" w:name="_Toc184308063"/>
      <w:bookmarkEnd w:id="110"/>
      <w:bookmarkStart w:id="111" w:name="_Toc184308054"/>
      <w:bookmarkEnd w:id="111"/>
      <w:bookmarkStart w:id="112" w:name="_Toc184314442"/>
      <w:bookmarkEnd w:id="112"/>
      <w:bookmarkStart w:id="113" w:name="_Toc184312125"/>
      <w:bookmarkEnd w:id="113"/>
      <w:bookmarkStart w:id="114" w:name="_Toc184312120"/>
      <w:bookmarkEnd w:id="114"/>
      <w:bookmarkStart w:id="115" w:name="_Toc184313308"/>
      <w:bookmarkEnd w:id="115"/>
      <w:bookmarkStart w:id="116" w:name="_Toc184308045"/>
      <w:bookmarkEnd w:id="116"/>
      <w:bookmarkStart w:id="117" w:name="_Toc184312137"/>
      <w:bookmarkEnd w:id="117"/>
      <w:bookmarkStart w:id="118" w:name="_Toc184312068"/>
      <w:bookmarkEnd w:id="118"/>
      <w:bookmarkStart w:id="119" w:name="_Toc184313272"/>
      <w:bookmarkEnd w:id="119"/>
      <w:bookmarkStart w:id="120" w:name="_Toc184310321"/>
      <w:bookmarkEnd w:id="120"/>
      <w:bookmarkStart w:id="121" w:name="_Toc184312081"/>
      <w:bookmarkEnd w:id="121"/>
      <w:bookmarkStart w:id="122" w:name="_Toc184310322"/>
      <w:bookmarkEnd w:id="122"/>
      <w:bookmarkStart w:id="123" w:name="_Toc184310295"/>
      <w:bookmarkEnd w:id="123"/>
      <w:bookmarkStart w:id="124" w:name="_Toc184314422"/>
      <w:bookmarkEnd w:id="124"/>
      <w:bookmarkStart w:id="125" w:name="_Toc184312098"/>
      <w:bookmarkEnd w:id="125"/>
      <w:bookmarkStart w:id="126" w:name="_Toc184310311"/>
      <w:bookmarkEnd w:id="126"/>
      <w:bookmarkStart w:id="127" w:name="_Toc184314433"/>
      <w:bookmarkEnd w:id="127"/>
      <w:bookmarkStart w:id="128" w:name="_Toc184314424"/>
      <w:bookmarkEnd w:id="128"/>
      <w:bookmarkStart w:id="129" w:name="_Toc184313254"/>
      <w:bookmarkEnd w:id="129"/>
      <w:bookmarkStart w:id="130" w:name="_Toc184310293"/>
      <w:bookmarkEnd w:id="130"/>
      <w:bookmarkStart w:id="131" w:name="_Toc184308039"/>
      <w:bookmarkEnd w:id="131"/>
      <w:bookmarkStart w:id="132" w:name="_Toc184310275"/>
      <w:bookmarkEnd w:id="132"/>
      <w:bookmarkStart w:id="133" w:name="_Toc184310304"/>
      <w:bookmarkEnd w:id="133"/>
      <w:bookmarkStart w:id="134" w:name="_Toc184314415"/>
      <w:bookmarkEnd w:id="134"/>
      <w:bookmarkStart w:id="135" w:name="_Toc184308044"/>
      <w:bookmarkEnd w:id="135"/>
      <w:bookmarkStart w:id="136" w:name="_Toc184310342"/>
      <w:bookmarkEnd w:id="136"/>
      <w:bookmarkStart w:id="137" w:name="_Toc184308067"/>
      <w:bookmarkEnd w:id="137"/>
      <w:bookmarkStart w:id="138" w:name="_Toc184312102"/>
      <w:bookmarkEnd w:id="138"/>
      <w:bookmarkStart w:id="139" w:name="_Toc184308083"/>
      <w:bookmarkEnd w:id="139"/>
      <w:bookmarkStart w:id="140" w:name="_Toc184312110"/>
      <w:bookmarkEnd w:id="140"/>
      <w:bookmarkStart w:id="141" w:name="_Toc184308094"/>
      <w:bookmarkEnd w:id="141"/>
      <w:bookmarkStart w:id="142" w:name="_Toc184313293"/>
      <w:bookmarkEnd w:id="142"/>
      <w:bookmarkStart w:id="143" w:name="_Toc184313271"/>
      <w:bookmarkEnd w:id="143"/>
      <w:bookmarkStart w:id="144" w:name="_Toc184310316"/>
      <w:bookmarkEnd w:id="144"/>
      <w:bookmarkStart w:id="145" w:name="_Toc184310315"/>
      <w:bookmarkEnd w:id="145"/>
      <w:bookmarkStart w:id="146" w:name="_Toc184313310"/>
      <w:bookmarkEnd w:id="146"/>
      <w:bookmarkStart w:id="147" w:name="_Toc184312117"/>
      <w:bookmarkEnd w:id="147"/>
      <w:bookmarkStart w:id="148" w:name="_Toc184313252"/>
      <w:bookmarkEnd w:id="148"/>
      <w:bookmarkStart w:id="149" w:name="_Toc184313250"/>
      <w:bookmarkEnd w:id="149"/>
      <w:bookmarkStart w:id="150" w:name="_Toc184312128"/>
      <w:bookmarkEnd w:id="150"/>
      <w:bookmarkStart w:id="151" w:name="_Toc184310283"/>
      <w:bookmarkEnd w:id="151"/>
      <w:bookmarkStart w:id="152" w:name="_Toc184308085"/>
      <w:bookmarkEnd w:id="152"/>
      <w:bookmarkStart w:id="153" w:name="_Toc184312109"/>
      <w:bookmarkEnd w:id="153"/>
      <w:bookmarkStart w:id="154" w:name="_Toc184308060"/>
      <w:bookmarkEnd w:id="154"/>
      <w:bookmarkStart w:id="155" w:name="_Toc184314478"/>
      <w:bookmarkEnd w:id="155"/>
      <w:bookmarkStart w:id="156" w:name="_Toc184310297"/>
      <w:bookmarkEnd w:id="156"/>
      <w:bookmarkStart w:id="157" w:name="_Toc184310301"/>
      <w:bookmarkEnd w:id="157"/>
      <w:bookmarkStart w:id="158" w:name="_Toc184314440"/>
      <w:bookmarkEnd w:id="158"/>
      <w:bookmarkStart w:id="159" w:name="_Toc184314473"/>
      <w:bookmarkEnd w:id="159"/>
      <w:bookmarkStart w:id="160" w:name="_Toc184310336"/>
      <w:bookmarkEnd w:id="160"/>
      <w:bookmarkStart w:id="161" w:name="_Toc184313256"/>
      <w:bookmarkEnd w:id="161"/>
      <w:bookmarkStart w:id="162" w:name="_Toc184314480"/>
      <w:bookmarkEnd w:id="162"/>
      <w:bookmarkStart w:id="163" w:name="_Toc184312106"/>
      <w:bookmarkEnd w:id="163"/>
      <w:bookmarkStart w:id="164" w:name="_Toc184314458"/>
      <w:bookmarkEnd w:id="164"/>
      <w:bookmarkStart w:id="165" w:name="_Toc184312089"/>
      <w:bookmarkEnd w:id="165"/>
      <w:bookmarkStart w:id="166" w:name="_Toc184314459"/>
      <w:bookmarkEnd w:id="166"/>
      <w:bookmarkStart w:id="167" w:name="_Toc184312107"/>
      <w:bookmarkEnd w:id="167"/>
      <w:bookmarkStart w:id="168" w:name="_Toc184312087"/>
      <w:bookmarkEnd w:id="168"/>
      <w:bookmarkStart w:id="169" w:name="_Toc184313275"/>
      <w:bookmarkEnd w:id="169"/>
      <w:bookmarkStart w:id="170" w:name="_Toc184314427"/>
      <w:bookmarkEnd w:id="170"/>
      <w:bookmarkStart w:id="171" w:name="_Toc184308078"/>
      <w:bookmarkEnd w:id="171"/>
      <w:bookmarkStart w:id="172" w:name="_Toc184308055"/>
      <w:bookmarkEnd w:id="172"/>
      <w:bookmarkStart w:id="173" w:name="_Toc184310318"/>
      <w:bookmarkEnd w:id="173"/>
      <w:bookmarkStart w:id="174" w:name="_Toc184308096"/>
      <w:bookmarkEnd w:id="174"/>
      <w:bookmarkStart w:id="175" w:name="_Toc184313240"/>
      <w:bookmarkEnd w:id="175"/>
      <w:bookmarkStart w:id="176" w:name="_Toc184312097"/>
      <w:bookmarkEnd w:id="176"/>
      <w:bookmarkStart w:id="177" w:name="_Toc184310291"/>
      <w:bookmarkEnd w:id="177"/>
      <w:bookmarkStart w:id="178" w:name="_Toc184308101"/>
      <w:bookmarkEnd w:id="178"/>
      <w:bookmarkStart w:id="179" w:name="_Toc184314445"/>
      <w:bookmarkEnd w:id="179"/>
      <w:bookmarkStart w:id="180" w:name="_Toc184310284"/>
      <w:bookmarkEnd w:id="180"/>
      <w:bookmarkStart w:id="181" w:name="_Toc184314455"/>
      <w:bookmarkEnd w:id="181"/>
      <w:bookmarkStart w:id="182" w:name="_Toc184308049"/>
      <w:bookmarkEnd w:id="182"/>
      <w:bookmarkStart w:id="183" w:name="_Toc184308089"/>
      <w:bookmarkEnd w:id="183"/>
      <w:bookmarkStart w:id="184" w:name="_Toc184308084"/>
      <w:bookmarkEnd w:id="184"/>
      <w:bookmarkStart w:id="185" w:name="_Toc184310294"/>
      <w:bookmarkEnd w:id="185"/>
      <w:bookmarkStart w:id="186" w:name="_Toc184312084"/>
      <w:bookmarkEnd w:id="186"/>
      <w:bookmarkStart w:id="187" w:name="_Toc184313269"/>
      <w:bookmarkEnd w:id="187"/>
      <w:bookmarkStart w:id="188" w:name="_Toc184314479"/>
      <w:bookmarkEnd w:id="188"/>
      <w:bookmarkStart w:id="189" w:name="_Toc184314451"/>
      <w:bookmarkEnd w:id="189"/>
      <w:bookmarkStart w:id="190" w:name="_Toc184313261"/>
      <w:bookmarkEnd w:id="190"/>
      <w:bookmarkStart w:id="191" w:name="_Toc184314423"/>
      <w:bookmarkEnd w:id="191"/>
      <w:bookmarkStart w:id="192" w:name="_Toc184310285"/>
      <w:bookmarkEnd w:id="192"/>
      <w:bookmarkStart w:id="193" w:name="_Toc184308074"/>
      <w:bookmarkEnd w:id="193"/>
      <w:bookmarkStart w:id="194" w:name="_Toc184310312"/>
      <w:bookmarkEnd w:id="194"/>
      <w:bookmarkStart w:id="195" w:name="_Toc184308037"/>
      <w:bookmarkEnd w:id="195"/>
      <w:bookmarkStart w:id="196" w:name="_Toc184312090"/>
      <w:bookmarkEnd w:id="196"/>
      <w:bookmarkStart w:id="197" w:name="_Toc184308087"/>
      <w:bookmarkEnd w:id="197"/>
      <w:bookmarkStart w:id="198" w:name="_Toc184308075"/>
      <w:bookmarkEnd w:id="198"/>
      <w:bookmarkStart w:id="199" w:name="_Toc184310334"/>
      <w:bookmarkEnd w:id="199"/>
      <w:bookmarkStart w:id="200" w:name="_Toc184313295"/>
      <w:bookmarkEnd w:id="200"/>
      <w:bookmarkStart w:id="201" w:name="_Toc184313306"/>
      <w:bookmarkEnd w:id="201"/>
      <w:bookmarkStart w:id="202" w:name="_Toc184314437"/>
      <w:bookmarkEnd w:id="202"/>
      <w:bookmarkStart w:id="203" w:name="_Toc184308061"/>
      <w:bookmarkEnd w:id="203"/>
      <w:bookmarkStart w:id="204" w:name="_Toc184310272"/>
      <w:bookmarkEnd w:id="204"/>
      <w:bookmarkStart w:id="205" w:name="_Toc184308088"/>
      <w:bookmarkEnd w:id="205"/>
      <w:bookmarkStart w:id="206" w:name="_Toc184313291"/>
      <w:bookmarkEnd w:id="206"/>
      <w:bookmarkStart w:id="207" w:name="_Toc184314425"/>
      <w:bookmarkEnd w:id="207"/>
      <w:bookmarkStart w:id="208" w:name="_Toc184310299"/>
      <w:bookmarkEnd w:id="208"/>
      <w:bookmarkStart w:id="209" w:name="_Toc184313298"/>
      <w:bookmarkEnd w:id="209"/>
      <w:bookmarkStart w:id="210" w:name="_Toc184313243"/>
      <w:bookmarkEnd w:id="210"/>
      <w:bookmarkStart w:id="211" w:name="_Toc184313241"/>
      <w:bookmarkEnd w:id="211"/>
      <w:bookmarkStart w:id="212" w:name="_Toc184308057"/>
      <w:bookmarkEnd w:id="212"/>
      <w:bookmarkStart w:id="213" w:name="_Toc184314474"/>
      <w:bookmarkEnd w:id="213"/>
      <w:bookmarkStart w:id="214" w:name="_Toc184314429"/>
      <w:bookmarkEnd w:id="214"/>
      <w:bookmarkStart w:id="215" w:name="_Toc184313288"/>
      <w:bookmarkEnd w:id="215"/>
      <w:bookmarkStart w:id="216" w:name="_Toc184314464"/>
      <w:bookmarkEnd w:id="216"/>
      <w:bookmarkStart w:id="217" w:name="_Toc184314472"/>
      <w:bookmarkEnd w:id="217"/>
      <w:bookmarkStart w:id="218" w:name="_Toc184314444"/>
      <w:bookmarkEnd w:id="218"/>
      <w:bookmarkStart w:id="219" w:name="_Toc184312135"/>
      <w:bookmarkEnd w:id="219"/>
      <w:bookmarkStart w:id="220" w:name="_Toc184310319"/>
      <w:bookmarkEnd w:id="220"/>
      <w:bookmarkStart w:id="221" w:name="_Toc184310296"/>
      <w:bookmarkEnd w:id="221"/>
      <w:bookmarkStart w:id="222" w:name="_Toc184313297"/>
      <w:bookmarkEnd w:id="222"/>
      <w:bookmarkStart w:id="223" w:name="_Toc184314463"/>
      <w:bookmarkEnd w:id="223"/>
      <w:bookmarkStart w:id="224" w:name="_Toc184313282"/>
      <w:bookmarkEnd w:id="224"/>
      <w:bookmarkStart w:id="225" w:name="_Toc184312133"/>
      <w:bookmarkEnd w:id="225"/>
      <w:bookmarkStart w:id="226" w:name="_Toc184308100"/>
      <w:bookmarkEnd w:id="226"/>
      <w:bookmarkStart w:id="227" w:name="_Toc184313285"/>
      <w:bookmarkEnd w:id="227"/>
      <w:bookmarkStart w:id="228" w:name="_Toc184314428"/>
      <w:bookmarkEnd w:id="228"/>
      <w:bookmarkStart w:id="229" w:name="_Toc184313305"/>
      <w:bookmarkEnd w:id="229"/>
      <w:bookmarkStart w:id="230" w:name="_Toc184310327"/>
      <w:bookmarkEnd w:id="230"/>
      <w:bookmarkStart w:id="231" w:name="_Toc184314430"/>
      <w:bookmarkEnd w:id="231"/>
      <w:bookmarkStart w:id="232" w:name="_Toc184314446"/>
      <w:bookmarkEnd w:id="232"/>
      <w:bookmarkStart w:id="233" w:name="_Toc184312134"/>
      <w:bookmarkEnd w:id="233"/>
      <w:bookmarkStart w:id="234" w:name="_Toc184310339"/>
      <w:bookmarkEnd w:id="234"/>
      <w:bookmarkStart w:id="235" w:name="_Toc184308070"/>
      <w:bookmarkEnd w:id="235"/>
      <w:bookmarkStart w:id="236" w:name="_Toc184313251"/>
      <w:bookmarkEnd w:id="236"/>
      <w:bookmarkStart w:id="237" w:name="_Toc184313287"/>
      <w:bookmarkEnd w:id="237"/>
      <w:bookmarkStart w:id="238" w:name="_Toc184308069"/>
      <w:bookmarkEnd w:id="238"/>
      <w:bookmarkStart w:id="239" w:name="_Toc184308066"/>
      <w:bookmarkEnd w:id="239"/>
      <w:bookmarkStart w:id="240" w:name="_Toc184308107"/>
      <w:bookmarkEnd w:id="240"/>
      <w:bookmarkStart w:id="241" w:name="_Toc184308108"/>
      <w:bookmarkEnd w:id="241"/>
      <w:bookmarkStart w:id="242" w:name="_Toc184313265"/>
      <w:bookmarkEnd w:id="242"/>
      <w:bookmarkStart w:id="243" w:name="_Toc184313238"/>
      <w:bookmarkEnd w:id="243"/>
      <w:bookmarkStart w:id="244" w:name="_Toc184313302"/>
      <w:bookmarkEnd w:id="244"/>
      <w:bookmarkStart w:id="245" w:name="_Toc184314457"/>
      <w:bookmarkEnd w:id="245"/>
      <w:bookmarkStart w:id="246" w:name="_Toc184312075"/>
      <w:bookmarkEnd w:id="246"/>
      <w:bookmarkStart w:id="247" w:name="_Toc184308058"/>
      <w:bookmarkEnd w:id="247"/>
      <w:bookmarkStart w:id="248" w:name="_Toc184308093"/>
      <w:bookmarkEnd w:id="248"/>
      <w:bookmarkStart w:id="249" w:name="_Toc184310328"/>
      <w:bookmarkEnd w:id="249"/>
      <w:bookmarkStart w:id="250" w:name="_Toc184312093"/>
      <w:bookmarkEnd w:id="250"/>
      <w:bookmarkStart w:id="251" w:name="_Toc184310287"/>
      <w:bookmarkEnd w:id="251"/>
      <w:bookmarkStart w:id="252" w:name="_Toc184313239"/>
      <w:bookmarkEnd w:id="252"/>
      <w:bookmarkStart w:id="253" w:name="_Toc184308105"/>
      <w:bookmarkEnd w:id="253"/>
      <w:bookmarkStart w:id="254" w:name="_Toc184312076"/>
      <w:bookmarkEnd w:id="254"/>
      <w:bookmarkStart w:id="255" w:name="_Toc184308038"/>
      <w:bookmarkEnd w:id="255"/>
      <w:bookmarkStart w:id="256" w:name="_Toc184313276"/>
      <w:bookmarkEnd w:id="256"/>
      <w:bookmarkStart w:id="257" w:name="_Toc184314441"/>
      <w:bookmarkEnd w:id="257"/>
      <w:bookmarkStart w:id="258" w:name="_Toc184313273"/>
      <w:bookmarkEnd w:id="258"/>
      <w:bookmarkStart w:id="259" w:name="_Toc184314476"/>
      <w:bookmarkEnd w:id="259"/>
      <w:bookmarkStart w:id="260" w:name="_Toc184313244"/>
      <w:bookmarkEnd w:id="260"/>
      <w:bookmarkStart w:id="261" w:name="_Toc184314447"/>
      <w:bookmarkEnd w:id="261"/>
      <w:bookmarkStart w:id="262" w:name="_Toc184312132"/>
      <w:bookmarkEnd w:id="262"/>
      <w:bookmarkStart w:id="263" w:name="_Toc184314431"/>
      <w:bookmarkEnd w:id="263"/>
      <w:bookmarkStart w:id="264" w:name="_Toc184312122"/>
      <w:bookmarkEnd w:id="264"/>
      <w:bookmarkStart w:id="265" w:name="_Toc184312126"/>
      <w:bookmarkEnd w:id="265"/>
      <w:bookmarkStart w:id="266" w:name="_Toc184312138"/>
      <w:bookmarkEnd w:id="266"/>
      <w:bookmarkStart w:id="267" w:name="_Toc184308102"/>
      <w:bookmarkEnd w:id="267"/>
      <w:bookmarkStart w:id="268" w:name="_Toc184313284"/>
      <w:bookmarkEnd w:id="268"/>
      <w:bookmarkStart w:id="269" w:name="_Toc184310305"/>
      <w:bookmarkEnd w:id="269"/>
      <w:bookmarkStart w:id="270" w:name="_Toc184312129"/>
      <w:bookmarkEnd w:id="270"/>
      <w:bookmarkStart w:id="271" w:name="_Toc184310314"/>
      <w:bookmarkEnd w:id="271"/>
      <w:bookmarkStart w:id="272" w:name="_Toc184310279"/>
      <w:bookmarkEnd w:id="272"/>
      <w:bookmarkStart w:id="273" w:name="_Toc184310337"/>
      <w:bookmarkEnd w:id="273"/>
      <w:bookmarkStart w:id="274" w:name="_Toc184313274"/>
      <w:bookmarkEnd w:id="274"/>
      <w:bookmarkStart w:id="275" w:name="_Toc184310306"/>
      <w:bookmarkEnd w:id="275"/>
      <w:bookmarkStart w:id="276" w:name="_Toc184314420"/>
      <w:bookmarkEnd w:id="276"/>
      <w:bookmarkStart w:id="277" w:name="_Toc184314452"/>
      <w:bookmarkEnd w:id="277"/>
      <w:bookmarkStart w:id="278" w:name="_Toc184312105"/>
      <w:bookmarkEnd w:id="278"/>
      <w:bookmarkStart w:id="279" w:name="_Toc184314439"/>
      <w:bookmarkEnd w:id="279"/>
      <w:bookmarkStart w:id="280" w:name="_Toc184308092"/>
      <w:bookmarkEnd w:id="280"/>
      <w:bookmarkStart w:id="281" w:name="_Toc184314461"/>
      <w:bookmarkEnd w:id="281"/>
      <w:bookmarkStart w:id="282" w:name="_Toc184308097"/>
      <w:bookmarkEnd w:id="282"/>
      <w:bookmarkStart w:id="283" w:name="_Toc184313242"/>
      <w:bookmarkEnd w:id="283"/>
      <w:bookmarkStart w:id="284" w:name="_Toc184308071"/>
      <w:bookmarkEnd w:id="284"/>
      <w:bookmarkStart w:id="285" w:name="_Toc184313303"/>
      <w:bookmarkEnd w:id="285"/>
      <w:bookmarkStart w:id="286" w:name="_Toc184308077"/>
      <w:bookmarkEnd w:id="286"/>
      <w:bookmarkStart w:id="287" w:name="_Toc184312121"/>
      <w:bookmarkEnd w:id="287"/>
      <w:bookmarkStart w:id="288" w:name="_Toc184312082"/>
      <w:bookmarkEnd w:id="288"/>
      <w:bookmarkStart w:id="289" w:name="_Toc184313289"/>
      <w:bookmarkEnd w:id="289"/>
      <w:bookmarkStart w:id="290" w:name="_Toc184312130"/>
      <w:bookmarkEnd w:id="290"/>
      <w:bookmarkStart w:id="291" w:name="_Toc184312116"/>
      <w:bookmarkEnd w:id="291"/>
      <w:bookmarkStart w:id="292" w:name="_Toc184313307"/>
      <w:bookmarkEnd w:id="292"/>
      <w:bookmarkStart w:id="293" w:name="_Toc184310331"/>
      <w:bookmarkEnd w:id="293"/>
      <w:bookmarkStart w:id="294" w:name="_Toc184314413"/>
      <w:bookmarkEnd w:id="294"/>
      <w:bookmarkStart w:id="295" w:name="_Toc184308080"/>
      <w:bookmarkEnd w:id="295"/>
      <w:bookmarkStart w:id="296" w:name="_Toc184310333"/>
      <w:bookmarkEnd w:id="296"/>
      <w:bookmarkStart w:id="297" w:name="_Toc184313258"/>
      <w:bookmarkEnd w:id="297"/>
      <w:bookmarkStart w:id="298" w:name="_Toc184308056"/>
      <w:bookmarkEnd w:id="298"/>
      <w:bookmarkStart w:id="299" w:name="_Toc184314470"/>
      <w:bookmarkEnd w:id="299"/>
      <w:bookmarkStart w:id="300" w:name="_Toc184310276"/>
      <w:bookmarkEnd w:id="300"/>
      <w:bookmarkStart w:id="301" w:name="_Toc184308051"/>
      <w:bookmarkEnd w:id="301"/>
      <w:bookmarkStart w:id="302" w:name="_Toc184308065"/>
      <w:bookmarkEnd w:id="302"/>
      <w:bookmarkStart w:id="303" w:name="_Toc184312074"/>
      <w:bookmarkEnd w:id="303"/>
      <w:bookmarkStart w:id="304" w:name="_Toc184312124"/>
      <w:bookmarkEnd w:id="304"/>
      <w:bookmarkStart w:id="305" w:name="_Toc184312083"/>
      <w:bookmarkEnd w:id="305"/>
      <w:bookmarkStart w:id="306" w:name="_Toc184310309"/>
      <w:bookmarkEnd w:id="306"/>
      <w:bookmarkStart w:id="307" w:name="_Toc184308072"/>
      <w:bookmarkEnd w:id="307"/>
      <w:bookmarkStart w:id="308" w:name="_Toc184312111"/>
      <w:bookmarkEnd w:id="308"/>
      <w:bookmarkStart w:id="309" w:name="_Toc184308050"/>
      <w:bookmarkEnd w:id="309"/>
      <w:bookmarkStart w:id="310" w:name="_Toc184313281"/>
      <w:bookmarkEnd w:id="310"/>
      <w:bookmarkStart w:id="311" w:name="_Toc184310298"/>
      <w:bookmarkEnd w:id="311"/>
      <w:bookmarkStart w:id="312" w:name="_Toc184308040"/>
      <w:bookmarkEnd w:id="312"/>
      <w:bookmarkStart w:id="313" w:name="_Toc184310273"/>
      <w:bookmarkEnd w:id="313"/>
      <w:bookmarkStart w:id="314" w:name="_Toc184312136"/>
      <w:bookmarkEnd w:id="314"/>
      <w:bookmarkStart w:id="315" w:name="_Toc184310292"/>
      <w:bookmarkEnd w:id="315"/>
      <w:bookmarkStart w:id="316" w:name="_Toc184308079"/>
      <w:bookmarkEnd w:id="316"/>
      <w:bookmarkStart w:id="317" w:name="_Toc184314469"/>
      <w:bookmarkEnd w:id="317"/>
      <w:bookmarkStart w:id="318" w:name="_Toc184314465"/>
      <w:bookmarkEnd w:id="318"/>
      <w:bookmarkStart w:id="319" w:name="_Toc184312099"/>
      <w:bookmarkEnd w:id="319"/>
      <w:bookmarkStart w:id="320" w:name="_Toc184308086"/>
      <w:bookmarkEnd w:id="320"/>
      <w:bookmarkStart w:id="321" w:name="_Toc184308059"/>
      <w:bookmarkEnd w:id="321"/>
      <w:bookmarkStart w:id="322" w:name="_Toc184308106"/>
      <w:bookmarkEnd w:id="322"/>
      <w:bookmarkStart w:id="323" w:name="_Toc184314475"/>
      <w:bookmarkEnd w:id="323"/>
      <w:bookmarkStart w:id="324" w:name="_Toc184308081"/>
      <w:bookmarkEnd w:id="324"/>
      <w:bookmarkStart w:id="325" w:name="_Toc184312095"/>
      <w:bookmarkEnd w:id="325"/>
      <w:bookmarkStart w:id="326" w:name="_Toc184314418"/>
      <w:bookmarkEnd w:id="326"/>
      <w:bookmarkStart w:id="327" w:name="_Toc184310320"/>
      <w:bookmarkEnd w:id="327"/>
      <w:bookmarkStart w:id="328" w:name="_Toc184314456"/>
      <w:bookmarkEnd w:id="328"/>
      <w:bookmarkStart w:id="329" w:name="_Toc184308041"/>
      <w:bookmarkEnd w:id="329"/>
      <w:bookmarkStart w:id="330" w:name="_Toc184314438"/>
      <w:bookmarkEnd w:id="330"/>
      <w:bookmarkStart w:id="331" w:name="_Toc184314460"/>
      <w:bookmarkEnd w:id="331"/>
      <w:bookmarkStart w:id="332" w:name="_Toc184310277"/>
      <w:bookmarkEnd w:id="332"/>
      <w:bookmarkStart w:id="333" w:name="_Toc184314467"/>
      <w:bookmarkEnd w:id="333"/>
      <w:bookmarkStart w:id="334" w:name="_Toc184312113"/>
      <w:bookmarkEnd w:id="334"/>
      <w:bookmarkStart w:id="335" w:name="_Toc184314419"/>
      <w:bookmarkEnd w:id="335"/>
      <w:bookmarkStart w:id="336" w:name="_Toc184314454"/>
      <w:bookmarkEnd w:id="336"/>
      <w:bookmarkStart w:id="337" w:name="_Toc184308036"/>
      <w:bookmarkEnd w:id="337"/>
      <w:bookmarkStart w:id="338" w:name="_Toc184313283"/>
      <w:bookmarkEnd w:id="338"/>
      <w:bookmarkStart w:id="339" w:name="_Toc184308082"/>
      <w:bookmarkEnd w:id="339"/>
      <w:bookmarkStart w:id="340" w:name="_Toc184310280"/>
      <w:bookmarkEnd w:id="340"/>
      <w:bookmarkStart w:id="341" w:name="_Toc184312101"/>
      <w:bookmarkEnd w:id="341"/>
      <w:bookmarkStart w:id="342" w:name="_Toc184314477"/>
      <w:bookmarkEnd w:id="342"/>
      <w:bookmarkStart w:id="343" w:name="_Toc184310289"/>
      <w:bookmarkEnd w:id="343"/>
      <w:bookmarkStart w:id="344" w:name="_Toc184314448"/>
      <w:bookmarkEnd w:id="344"/>
      <w:bookmarkStart w:id="345" w:name="_Toc184308090"/>
      <w:bookmarkEnd w:id="345"/>
      <w:bookmarkStart w:id="346" w:name="_Toc184312088"/>
      <w:bookmarkEnd w:id="346"/>
      <w:bookmarkStart w:id="347" w:name="_Toc184314468"/>
      <w:bookmarkEnd w:id="347"/>
      <w:bookmarkStart w:id="348" w:name="_Toc184313290"/>
      <w:bookmarkEnd w:id="348"/>
      <w:bookmarkStart w:id="349" w:name="_Toc184313294"/>
      <w:bookmarkEnd w:id="349"/>
      <w:bookmarkStart w:id="350" w:name="_Toc184314436"/>
      <w:bookmarkEnd w:id="350"/>
      <w:bookmarkStart w:id="351" w:name="_Toc184313260"/>
      <w:bookmarkEnd w:id="351"/>
      <w:bookmarkStart w:id="352" w:name="_Toc184310344"/>
      <w:bookmarkEnd w:id="352"/>
      <w:bookmarkStart w:id="353" w:name="_Toc184310290"/>
      <w:bookmarkEnd w:id="353"/>
      <w:bookmarkStart w:id="354" w:name="_Toc184313247"/>
      <w:bookmarkEnd w:id="354"/>
      <w:bookmarkStart w:id="355" w:name="_Toc184308104"/>
      <w:bookmarkEnd w:id="355"/>
      <w:bookmarkStart w:id="356" w:name="_Toc184312103"/>
      <w:bookmarkEnd w:id="356"/>
      <w:bookmarkStart w:id="357" w:name="_Toc184312086"/>
      <w:bookmarkEnd w:id="357"/>
      <w:bookmarkStart w:id="358" w:name="_Toc184308042"/>
      <w:bookmarkEnd w:id="358"/>
      <w:bookmarkStart w:id="359" w:name="_Toc184314449"/>
      <w:bookmarkEnd w:id="359"/>
      <w:bookmarkStart w:id="360" w:name="_Toc184313249"/>
      <w:bookmarkEnd w:id="360"/>
      <w:bookmarkStart w:id="361" w:name="_Toc184313253"/>
      <w:bookmarkEnd w:id="361"/>
      <w:bookmarkStart w:id="362" w:name="_Toc184312114"/>
      <w:bookmarkEnd w:id="362"/>
      <w:bookmarkStart w:id="363" w:name="_Toc184313255"/>
      <w:bookmarkEnd w:id="363"/>
      <w:bookmarkStart w:id="364" w:name="_Toc184310317"/>
      <w:bookmarkEnd w:id="364"/>
      <w:bookmarkStart w:id="365" w:name="_Toc184308091"/>
      <w:bookmarkEnd w:id="365"/>
      <w:bookmarkStart w:id="366" w:name="_Toc184313296"/>
      <w:bookmarkEnd w:id="366"/>
      <w:bookmarkStart w:id="367" w:name="_Toc184308062"/>
      <w:bookmarkEnd w:id="367"/>
      <w:bookmarkStart w:id="368" w:name="_Toc184308064"/>
      <w:bookmarkEnd w:id="368"/>
      <w:bookmarkStart w:id="369" w:name="_Toc184308048"/>
      <w:bookmarkEnd w:id="369"/>
      <w:bookmarkStart w:id="370" w:name="_Toc184314453"/>
      <w:bookmarkEnd w:id="370"/>
      <w:bookmarkStart w:id="371" w:name="_Toc184313299"/>
      <w:bookmarkEnd w:id="371"/>
      <w:bookmarkStart w:id="372" w:name="_Toc184314410"/>
      <w:bookmarkEnd w:id="372"/>
      <w:bookmarkStart w:id="373" w:name="_Toc184313309"/>
      <w:bookmarkEnd w:id="373"/>
      <w:bookmarkStart w:id="374" w:name="_Toc184314426"/>
      <w:bookmarkEnd w:id="374"/>
      <w:bookmarkStart w:id="375" w:name="_Toc184314416"/>
      <w:bookmarkEnd w:id="375"/>
      <w:bookmarkStart w:id="376" w:name="_Toc184312067"/>
      <w:bookmarkEnd w:id="376"/>
      <w:bookmarkStart w:id="377" w:name="_Toc184308073"/>
      <w:bookmarkEnd w:id="377"/>
      <w:bookmarkStart w:id="378" w:name="_Toc184310324"/>
      <w:bookmarkEnd w:id="378"/>
      <w:bookmarkStart w:id="379" w:name="_Toc184312118"/>
      <w:bookmarkEnd w:id="379"/>
      <w:bookmarkStart w:id="380" w:name="_Toc184313292"/>
      <w:bookmarkEnd w:id="380"/>
      <w:bookmarkStart w:id="381" w:name="_Toc184310303"/>
      <w:bookmarkEnd w:id="381"/>
      <w:bookmarkStart w:id="382" w:name="_Toc184313278"/>
      <w:bookmarkEnd w:id="382"/>
      <w:bookmarkStart w:id="383" w:name="_Toc184312091"/>
      <w:bookmarkEnd w:id="383"/>
      <w:bookmarkStart w:id="384" w:name="_Toc184314412"/>
      <w:bookmarkEnd w:id="384"/>
      <w:bookmarkStart w:id="385" w:name="_Toc184313259"/>
      <w:bookmarkEnd w:id="385"/>
      <w:bookmarkStart w:id="386" w:name="_Toc184313263"/>
      <w:bookmarkEnd w:id="386"/>
      <w:bookmarkStart w:id="387" w:name="_Toc184310281"/>
      <w:bookmarkEnd w:id="387"/>
      <w:bookmarkStart w:id="388" w:name="_Toc184312127"/>
      <w:bookmarkEnd w:id="388"/>
      <w:bookmarkStart w:id="389" w:name="_Toc184312077"/>
      <w:bookmarkEnd w:id="389"/>
      <w:bookmarkStart w:id="390" w:name="_Toc184314481"/>
      <w:bookmarkEnd w:id="390"/>
      <w:bookmarkStart w:id="391" w:name="_Toc184308046"/>
      <w:bookmarkEnd w:id="391"/>
      <w:r>
        <w:rPr>
          <w:rFonts w:hAnsi="仿宋"/>
          <w:b/>
          <w:sz w:val="36"/>
          <w:szCs w:val="36"/>
        </w:rPr>
        <w:t>评标办法</w:t>
      </w:r>
    </w:p>
    <w:p w14:paraId="408B4DC4">
      <w:pPr>
        <w:snapToGrid w:val="0"/>
        <w:spacing w:line="360" w:lineRule="auto"/>
        <w:jc w:val="center"/>
        <w:rPr>
          <w:b/>
          <w:sz w:val="32"/>
          <w:szCs w:val="20"/>
        </w:rPr>
      </w:pPr>
      <w:r>
        <w:rPr>
          <w:rFonts w:hAnsi="仿宋"/>
          <w:b/>
          <w:sz w:val="32"/>
          <w:szCs w:val="20"/>
        </w:rPr>
        <w:t>评标办法前附表</w:t>
      </w:r>
    </w:p>
    <w:tbl>
      <w:tblPr>
        <w:tblStyle w:val="62"/>
        <w:tblW w:w="102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1488"/>
        <w:gridCol w:w="6621"/>
        <w:gridCol w:w="974"/>
      </w:tblGrid>
      <w:tr w14:paraId="6F04B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1131" w:type="dxa"/>
            <w:tcBorders>
              <w:top w:val="single" w:color="auto" w:sz="4" w:space="0"/>
              <w:left w:val="single" w:color="auto" w:sz="4" w:space="0"/>
              <w:bottom w:val="single" w:color="auto" w:sz="4" w:space="0"/>
              <w:right w:val="single" w:color="auto" w:sz="4" w:space="0"/>
            </w:tcBorders>
            <w:vAlign w:val="center"/>
          </w:tcPr>
          <w:p w14:paraId="1975324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评分项目</w:t>
            </w:r>
          </w:p>
        </w:tc>
        <w:tc>
          <w:tcPr>
            <w:tcW w:w="1488" w:type="dxa"/>
            <w:tcBorders>
              <w:top w:val="single" w:color="auto" w:sz="4" w:space="0"/>
              <w:left w:val="single" w:color="auto" w:sz="4" w:space="0"/>
              <w:bottom w:val="single" w:color="auto" w:sz="4" w:space="0"/>
              <w:right w:val="single" w:color="auto" w:sz="4" w:space="0"/>
            </w:tcBorders>
            <w:vAlign w:val="center"/>
          </w:tcPr>
          <w:p w14:paraId="1AAE551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评分要点</w:t>
            </w:r>
          </w:p>
          <w:p w14:paraId="4F4507B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及分值</w:t>
            </w:r>
          </w:p>
        </w:tc>
        <w:tc>
          <w:tcPr>
            <w:tcW w:w="6621" w:type="dxa"/>
            <w:tcBorders>
              <w:top w:val="single" w:color="auto" w:sz="4" w:space="0"/>
              <w:left w:val="single" w:color="auto" w:sz="4" w:space="0"/>
              <w:bottom w:val="single" w:color="auto" w:sz="4" w:space="0"/>
              <w:right w:val="single" w:color="auto" w:sz="4" w:space="0"/>
            </w:tcBorders>
            <w:vAlign w:val="center"/>
          </w:tcPr>
          <w:p w14:paraId="59BC41C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说明</w:t>
            </w:r>
          </w:p>
        </w:tc>
        <w:tc>
          <w:tcPr>
            <w:tcW w:w="974" w:type="dxa"/>
            <w:tcBorders>
              <w:top w:val="single" w:color="auto" w:sz="4" w:space="0"/>
              <w:left w:val="single" w:color="auto" w:sz="4" w:space="0"/>
              <w:bottom w:val="single" w:color="auto" w:sz="4" w:space="0"/>
              <w:right w:val="single" w:color="auto" w:sz="4" w:space="0"/>
            </w:tcBorders>
            <w:vAlign w:val="center"/>
          </w:tcPr>
          <w:p w14:paraId="25B33A4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lang w:val="en-US" w:eastAsia="zh-CN"/>
              </w:rPr>
            </w:pPr>
            <w:r>
              <w:rPr>
                <w:rFonts w:hint="eastAsia" w:ascii="仿宋" w:hAnsi="仿宋" w:cs="仿宋"/>
                <w:sz w:val="24"/>
                <w:szCs w:val="24"/>
                <w:lang w:val="en-US" w:eastAsia="zh-CN"/>
              </w:rPr>
              <w:t>分值</w:t>
            </w:r>
          </w:p>
          <w:p w14:paraId="4F2611E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eastAsia="仿宋" w:cs="仿宋"/>
                <w:sz w:val="24"/>
                <w:szCs w:val="24"/>
                <w:lang w:val="en-US" w:eastAsia="zh-CN"/>
              </w:rPr>
            </w:pPr>
            <w:r>
              <w:rPr>
                <w:rFonts w:hint="eastAsia" w:ascii="仿宋" w:hAnsi="仿宋" w:cs="仿宋"/>
                <w:sz w:val="24"/>
                <w:szCs w:val="24"/>
                <w:lang w:val="en-US" w:eastAsia="zh-CN"/>
              </w:rPr>
              <w:t>属性</w:t>
            </w:r>
          </w:p>
        </w:tc>
      </w:tr>
      <w:tr w14:paraId="59A28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1131" w:type="dxa"/>
            <w:vMerge w:val="restart"/>
            <w:tcBorders>
              <w:top w:val="single" w:color="auto" w:sz="4" w:space="0"/>
              <w:left w:val="single" w:color="auto" w:sz="4" w:space="0"/>
              <w:right w:val="single" w:color="auto" w:sz="4" w:space="0"/>
            </w:tcBorders>
            <w:vAlign w:val="center"/>
          </w:tcPr>
          <w:p w14:paraId="458DCFE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价格分</w:t>
            </w:r>
          </w:p>
          <w:p w14:paraId="0783A48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（30分）</w:t>
            </w:r>
          </w:p>
        </w:tc>
        <w:tc>
          <w:tcPr>
            <w:tcW w:w="8109" w:type="dxa"/>
            <w:gridSpan w:val="2"/>
            <w:tcBorders>
              <w:top w:val="single" w:color="auto" w:sz="4" w:space="0"/>
              <w:left w:val="single" w:color="auto" w:sz="4" w:space="0"/>
              <w:right w:val="single" w:color="auto" w:sz="4" w:space="0"/>
            </w:tcBorders>
            <w:vAlign w:val="center"/>
          </w:tcPr>
          <w:p w14:paraId="43D921E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rPr>
            </w:pPr>
            <w:r>
              <w:rPr>
                <w:rFonts w:hint="eastAsia" w:ascii="仿宋" w:hAnsi="仿宋" w:cs="仿宋"/>
                <w:szCs w:val="22"/>
              </w:rPr>
              <w:t>评标委员会认为投标人的报价明显低于其他通过符合性审查投标人的报价，有可能影响产品质量或者不能诚信履约的，将要求其在评标现场30分钟内提供书面说明并提交相关证明材料；投标人不能证明其报价合理性的，评标委员会当将其作为无效投标处理。</w:t>
            </w:r>
          </w:p>
        </w:tc>
        <w:tc>
          <w:tcPr>
            <w:tcW w:w="974" w:type="dxa"/>
            <w:vMerge w:val="restart"/>
            <w:tcBorders>
              <w:top w:val="single" w:color="auto" w:sz="4" w:space="0"/>
              <w:left w:val="single" w:color="auto" w:sz="4" w:space="0"/>
              <w:right w:val="single" w:color="auto" w:sz="4" w:space="0"/>
            </w:tcBorders>
            <w:vAlign w:val="center"/>
          </w:tcPr>
          <w:p w14:paraId="1563FE7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sz w:val="24"/>
                <w:szCs w:val="24"/>
                <w:lang w:val="en-US" w:eastAsia="zh-CN"/>
              </w:rPr>
            </w:pPr>
            <w:r>
              <w:rPr>
                <w:rFonts w:hint="eastAsia" w:ascii="仿宋" w:hAnsi="仿宋" w:cs="仿宋"/>
                <w:sz w:val="24"/>
                <w:szCs w:val="24"/>
                <w:lang w:val="en-US" w:eastAsia="zh-CN"/>
              </w:rPr>
              <w:t>客观分</w:t>
            </w:r>
          </w:p>
        </w:tc>
      </w:tr>
      <w:tr w14:paraId="346C3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1131" w:type="dxa"/>
            <w:vMerge w:val="continue"/>
            <w:tcBorders>
              <w:left w:val="single" w:color="auto" w:sz="4" w:space="0"/>
              <w:right w:val="single" w:color="auto" w:sz="4" w:space="0"/>
            </w:tcBorders>
            <w:vAlign w:val="center"/>
          </w:tcPr>
          <w:p w14:paraId="29CD409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top w:val="single" w:color="auto" w:sz="4" w:space="0"/>
              <w:left w:val="single" w:color="auto" w:sz="4" w:space="0"/>
              <w:right w:val="single" w:color="auto" w:sz="4" w:space="0"/>
            </w:tcBorders>
            <w:vAlign w:val="center"/>
          </w:tcPr>
          <w:p w14:paraId="2007929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lang w:val="en-US" w:eastAsia="zh-CN"/>
              </w:rPr>
            </w:pPr>
            <w:r>
              <w:rPr>
                <w:rFonts w:hint="eastAsia" w:ascii="仿宋" w:hAnsi="仿宋" w:cs="仿宋"/>
                <w:szCs w:val="22"/>
                <w:lang w:val="en-US" w:eastAsia="zh-CN"/>
              </w:rPr>
              <w:t>价格</w:t>
            </w:r>
          </w:p>
          <w:p w14:paraId="736D43F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w:t>
            </w:r>
            <w:r>
              <w:rPr>
                <w:rFonts w:hint="eastAsia" w:ascii="仿宋" w:hAnsi="仿宋" w:cs="仿宋"/>
                <w:szCs w:val="22"/>
                <w:lang w:val="en-US" w:eastAsia="zh-CN"/>
              </w:rPr>
              <w:t>30</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45DD42A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rPr>
            </w:pPr>
            <w:r>
              <w:rPr>
                <w:rFonts w:hint="eastAsia" w:ascii="仿宋" w:hAnsi="仿宋" w:cs="仿宋"/>
                <w:szCs w:val="22"/>
              </w:rPr>
              <w:t>评标委员会经评审后的全部有效投标人的最低报价作为评标基准价，以此为基础，投标人价格得分按下列公式计算：投标报价得分=（评标基准价／有效投标报价）×</w:t>
            </w:r>
            <w:r>
              <w:rPr>
                <w:rFonts w:hint="eastAsia" w:ascii="仿宋" w:hAnsi="仿宋" w:cs="仿宋"/>
                <w:szCs w:val="22"/>
                <w:lang w:val="en-US" w:eastAsia="zh-CN"/>
              </w:rPr>
              <w:t>30</w:t>
            </w:r>
            <w:r>
              <w:rPr>
                <w:rFonts w:hint="eastAsia" w:ascii="仿宋" w:hAnsi="仿宋" w:cs="仿宋"/>
                <w:szCs w:val="22"/>
              </w:rPr>
              <w:t>；</w:t>
            </w:r>
          </w:p>
        </w:tc>
        <w:tc>
          <w:tcPr>
            <w:tcW w:w="974" w:type="dxa"/>
            <w:vMerge w:val="continue"/>
            <w:tcBorders>
              <w:left w:val="single" w:color="auto" w:sz="4" w:space="0"/>
              <w:bottom w:val="single" w:color="auto" w:sz="4" w:space="0"/>
              <w:right w:val="single" w:color="auto" w:sz="4" w:space="0"/>
            </w:tcBorders>
            <w:vAlign w:val="center"/>
          </w:tcPr>
          <w:p w14:paraId="1FEBF7D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sz w:val="24"/>
                <w:szCs w:val="24"/>
                <w:lang w:val="en-US" w:eastAsia="zh-CN"/>
              </w:rPr>
            </w:pPr>
          </w:p>
        </w:tc>
      </w:tr>
      <w:tr w14:paraId="140FB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restart"/>
            <w:tcBorders>
              <w:top w:val="single" w:color="auto" w:sz="4" w:space="0"/>
              <w:left w:val="single" w:color="auto" w:sz="4" w:space="0"/>
              <w:right w:val="single" w:color="auto" w:sz="4" w:space="0"/>
            </w:tcBorders>
            <w:vAlign w:val="center"/>
          </w:tcPr>
          <w:p w14:paraId="402C4E0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商务资信分</w:t>
            </w:r>
          </w:p>
          <w:p w14:paraId="1A1D516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w:t>
            </w:r>
            <w:r>
              <w:rPr>
                <w:rFonts w:hint="eastAsia" w:ascii="仿宋" w:hAnsi="仿宋" w:cs="仿宋"/>
                <w:szCs w:val="22"/>
                <w:lang w:val="en-US" w:eastAsia="zh-CN"/>
              </w:rPr>
              <w:t>5</w:t>
            </w:r>
            <w:r>
              <w:rPr>
                <w:rFonts w:hint="eastAsia" w:ascii="仿宋" w:hAnsi="仿宋" w:cs="仿宋"/>
                <w:szCs w:val="22"/>
              </w:rPr>
              <w:t>分）</w:t>
            </w:r>
          </w:p>
        </w:tc>
        <w:tc>
          <w:tcPr>
            <w:tcW w:w="1488" w:type="dxa"/>
            <w:tcBorders>
              <w:top w:val="single" w:color="auto" w:sz="4" w:space="0"/>
              <w:left w:val="single" w:color="auto" w:sz="4" w:space="0"/>
              <w:right w:val="single" w:color="auto" w:sz="4" w:space="0"/>
            </w:tcBorders>
            <w:vAlign w:val="center"/>
          </w:tcPr>
          <w:p w14:paraId="2D045E8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highlight w:val="none"/>
              </w:rPr>
            </w:pPr>
            <w:r>
              <w:rPr>
                <w:rFonts w:hint="eastAsia" w:ascii="仿宋" w:hAnsi="仿宋" w:cs="仿宋"/>
                <w:szCs w:val="22"/>
                <w:highlight w:val="none"/>
              </w:rPr>
              <w:t>业绩</w:t>
            </w:r>
          </w:p>
          <w:p w14:paraId="0B6743C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highlight w:val="none"/>
              </w:rPr>
            </w:pPr>
            <w:r>
              <w:rPr>
                <w:rFonts w:hint="eastAsia" w:ascii="仿宋" w:hAnsi="仿宋" w:cs="仿宋"/>
                <w:szCs w:val="22"/>
                <w:highlight w:val="none"/>
              </w:rPr>
              <w:t>（3分）</w:t>
            </w:r>
          </w:p>
        </w:tc>
        <w:tc>
          <w:tcPr>
            <w:tcW w:w="6621" w:type="dxa"/>
            <w:tcBorders>
              <w:top w:val="single" w:color="auto" w:sz="4" w:space="0"/>
              <w:left w:val="single" w:color="auto" w:sz="4" w:space="0"/>
              <w:bottom w:val="single" w:color="auto" w:sz="4" w:space="0"/>
              <w:right w:val="single" w:color="auto" w:sz="4" w:space="0"/>
            </w:tcBorders>
            <w:vAlign w:val="center"/>
          </w:tcPr>
          <w:p w14:paraId="1A6F754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cs="仿宋"/>
                <w:szCs w:val="22"/>
                <w:highlight w:val="none"/>
                <w:lang w:val="en-US" w:eastAsia="zh-CN"/>
              </w:rPr>
            </w:pPr>
            <w:r>
              <w:rPr>
                <w:rFonts w:hint="eastAsia" w:ascii="仿宋" w:hAnsi="仿宋" w:cs="仿宋"/>
                <w:szCs w:val="22"/>
                <w:highlight w:val="none"/>
                <w:lang w:val="en-US" w:eastAsia="zh-CN"/>
              </w:rPr>
              <w:t>提供投标人或投标品牌制造商2022年1月1日以来（以合同签订时间为准）承担过同类项目成功案例合同复印件。（每提供1个得1分，满分3分，同个单位不重复计算）</w:t>
            </w:r>
          </w:p>
          <w:p w14:paraId="4DFFCFB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highlight w:val="none"/>
              </w:rPr>
            </w:pPr>
            <w:r>
              <w:rPr>
                <w:rFonts w:hint="eastAsia" w:ascii="仿宋" w:hAnsi="仿宋" w:cs="仿宋"/>
                <w:szCs w:val="22"/>
                <w:highlight w:val="none"/>
                <w:lang w:val="en-US" w:eastAsia="zh-CN"/>
              </w:rPr>
              <w:t>备注:提供合同扫猫件加盖投标人公章。</w:t>
            </w:r>
          </w:p>
        </w:tc>
        <w:tc>
          <w:tcPr>
            <w:tcW w:w="974" w:type="dxa"/>
            <w:tcBorders>
              <w:top w:val="single" w:color="auto" w:sz="4" w:space="0"/>
              <w:left w:val="single" w:color="auto" w:sz="4" w:space="0"/>
              <w:bottom w:val="single" w:color="auto" w:sz="4" w:space="0"/>
              <w:right w:val="single" w:color="auto" w:sz="4" w:space="0"/>
            </w:tcBorders>
            <w:vAlign w:val="center"/>
          </w:tcPr>
          <w:p w14:paraId="2DCB1CE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highlight w:val="none"/>
              </w:rPr>
            </w:pPr>
            <w:r>
              <w:rPr>
                <w:rFonts w:hint="eastAsia" w:ascii="仿宋" w:hAnsi="仿宋" w:cs="仿宋"/>
                <w:sz w:val="24"/>
                <w:szCs w:val="24"/>
                <w:highlight w:val="none"/>
                <w:lang w:val="en-US" w:eastAsia="zh-CN"/>
              </w:rPr>
              <w:t>客观分</w:t>
            </w:r>
          </w:p>
        </w:tc>
      </w:tr>
      <w:tr w14:paraId="6D7E3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1131" w:type="dxa"/>
            <w:vMerge w:val="continue"/>
            <w:tcBorders>
              <w:left w:val="single" w:color="auto" w:sz="4" w:space="0"/>
              <w:right w:val="single" w:color="auto" w:sz="4" w:space="0"/>
            </w:tcBorders>
            <w:vAlign w:val="center"/>
          </w:tcPr>
          <w:p w14:paraId="0BBB0AB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top w:val="single" w:color="auto" w:sz="4" w:space="0"/>
              <w:left w:val="single" w:color="auto" w:sz="4" w:space="0"/>
              <w:bottom w:val="single" w:color="auto" w:sz="4" w:space="0"/>
              <w:right w:val="single" w:color="auto" w:sz="4" w:space="0"/>
            </w:tcBorders>
            <w:vAlign w:val="center"/>
          </w:tcPr>
          <w:p w14:paraId="77020AB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highlight w:val="none"/>
              </w:rPr>
            </w:pPr>
            <w:r>
              <w:rPr>
                <w:rFonts w:hint="eastAsia" w:ascii="仿宋" w:hAnsi="仿宋" w:cs="仿宋"/>
                <w:szCs w:val="22"/>
                <w:highlight w:val="none"/>
              </w:rPr>
              <w:t>节能、环保产品（2分）</w:t>
            </w:r>
          </w:p>
        </w:tc>
        <w:tc>
          <w:tcPr>
            <w:tcW w:w="6621" w:type="dxa"/>
            <w:tcBorders>
              <w:top w:val="single" w:color="auto" w:sz="4" w:space="0"/>
              <w:left w:val="single" w:color="auto" w:sz="4" w:space="0"/>
              <w:bottom w:val="single" w:color="auto" w:sz="4" w:space="0"/>
              <w:right w:val="single" w:color="auto" w:sz="4" w:space="0"/>
            </w:tcBorders>
            <w:vAlign w:val="center"/>
          </w:tcPr>
          <w:p w14:paraId="0F735B61">
            <w:pPr>
              <w:keepNext w:val="0"/>
              <w:keepLines w:val="0"/>
              <w:pageBreakBefore w:val="0"/>
              <w:widowControl w:val="0"/>
              <w:kinsoku/>
              <w:wordWrap/>
              <w:overflowPunct/>
              <w:topLinePunct w:val="0"/>
              <w:autoSpaceDE/>
              <w:autoSpaceDN/>
              <w:bidi w:val="0"/>
              <w:adjustRightInd w:val="0"/>
              <w:snapToGrid/>
              <w:spacing w:line="400" w:lineRule="exact"/>
              <w:jc w:val="left"/>
              <w:textAlignment w:val="auto"/>
              <w:rPr>
                <w:rFonts w:hint="eastAsia" w:ascii="宋体" w:hAnsi="宋体" w:cs="宋体"/>
                <w:bCs/>
                <w:sz w:val="24"/>
                <w:highlight w:val="none"/>
                <w:lang w:val="zh-CN"/>
              </w:rPr>
            </w:pPr>
            <w:r>
              <w:rPr>
                <w:rFonts w:hint="eastAsia" w:ascii="宋体" w:hAnsi="宋体" w:cs="宋体"/>
                <w:bCs/>
                <w:sz w:val="24"/>
                <w:highlight w:val="none"/>
                <w:lang w:val="zh-CN"/>
              </w:rPr>
              <w:t>所有投标产品属于品目清单范围且提供国家确定的认证机构出具的有效的节能产品认证证书（扫描件加盖</w:t>
            </w:r>
            <w:r>
              <w:rPr>
                <w:rFonts w:hint="eastAsia" w:ascii="宋体" w:hAnsi="宋体" w:cs="宋体"/>
                <w:bCs/>
                <w:sz w:val="24"/>
                <w:highlight w:val="none"/>
                <w:lang w:val="en-US" w:eastAsia="zh-CN"/>
              </w:rPr>
              <w:t>投标人</w:t>
            </w:r>
            <w:r>
              <w:rPr>
                <w:rFonts w:hint="eastAsia" w:ascii="宋体" w:hAnsi="宋体" w:cs="宋体"/>
                <w:bCs/>
                <w:sz w:val="24"/>
                <w:highlight w:val="none"/>
                <w:lang w:val="zh-CN"/>
              </w:rPr>
              <w:t>公章）的得1分；所有投标产品属于品目清单范围且提供国家确定的认证机构出具的有效的环境标志产品认证证书（扫描件加盖</w:t>
            </w:r>
            <w:r>
              <w:rPr>
                <w:rFonts w:hint="eastAsia" w:ascii="宋体" w:hAnsi="宋体" w:cs="宋体"/>
                <w:bCs/>
                <w:sz w:val="24"/>
                <w:highlight w:val="none"/>
                <w:lang w:val="en-US" w:eastAsia="zh-CN"/>
              </w:rPr>
              <w:t>投标人</w:t>
            </w:r>
            <w:r>
              <w:rPr>
                <w:rFonts w:hint="eastAsia" w:ascii="宋体" w:hAnsi="宋体" w:cs="宋体"/>
                <w:bCs/>
                <w:sz w:val="24"/>
                <w:highlight w:val="none"/>
                <w:lang w:val="zh-CN"/>
              </w:rPr>
              <w:t>公章）的得1分；</w:t>
            </w:r>
          </w:p>
          <w:p w14:paraId="0EE38FA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cs="仿宋"/>
                <w:szCs w:val="22"/>
                <w:highlight w:val="none"/>
              </w:rPr>
            </w:pPr>
            <w:r>
              <w:rPr>
                <w:rFonts w:hint="eastAsia" w:ascii="宋体" w:hAnsi="宋体" w:cs="宋体"/>
                <w:bCs/>
                <w:sz w:val="24"/>
                <w:highlight w:val="none"/>
                <w:lang w:val="zh-CN"/>
              </w:rPr>
              <w:t>注：政府强制采购的节能产品的除外。</w:t>
            </w:r>
          </w:p>
        </w:tc>
        <w:tc>
          <w:tcPr>
            <w:tcW w:w="974" w:type="dxa"/>
            <w:tcBorders>
              <w:top w:val="single" w:color="auto" w:sz="4" w:space="0"/>
              <w:left w:val="single" w:color="auto" w:sz="4" w:space="0"/>
              <w:bottom w:val="single" w:color="auto" w:sz="4" w:space="0"/>
              <w:right w:val="single" w:color="auto" w:sz="4" w:space="0"/>
            </w:tcBorders>
            <w:vAlign w:val="center"/>
          </w:tcPr>
          <w:p w14:paraId="4C87EF7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宋体" w:hAnsi="宋体" w:cs="宋体"/>
                <w:bCs/>
                <w:sz w:val="24"/>
                <w:szCs w:val="24"/>
                <w:highlight w:val="none"/>
                <w:lang w:val="zh-CN"/>
              </w:rPr>
            </w:pPr>
            <w:r>
              <w:rPr>
                <w:rFonts w:hint="eastAsia" w:ascii="仿宋" w:hAnsi="仿宋" w:cs="仿宋"/>
                <w:sz w:val="24"/>
                <w:szCs w:val="24"/>
                <w:highlight w:val="none"/>
                <w:lang w:val="en-US" w:eastAsia="zh-CN"/>
              </w:rPr>
              <w:t>客观分</w:t>
            </w:r>
          </w:p>
        </w:tc>
      </w:tr>
      <w:tr w14:paraId="4B581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1131" w:type="dxa"/>
            <w:vMerge w:val="restart"/>
            <w:tcBorders>
              <w:left w:val="single" w:color="auto" w:sz="4" w:space="0"/>
              <w:right w:val="single" w:color="auto" w:sz="4" w:space="0"/>
            </w:tcBorders>
            <w:vAlign w:val="center"/>
          </w:tcPr>
          <w:p w14:paraId="22477CF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技术分</w:t>
            </w:r>
          </w:p>
          <w:p w14:paraId="1549271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（6</w:t>
            </w:r>
            <w:r>
              <w:rPr>
                <w:rFonts w:hint="eastAsia" w:ascii="仿宋" w:hAnsi="仿宋" w:cs="仿宋"/>
                <w:szCs w:val="22"/>
                <w:lang w:val="en-US" w:eastAsia="zh-CN"/>
              </w:rPr>
              <w:t>5</w:t>
            </w:r>
            <w:r>
              <w:rPr>
                <w:rFonts w:hint="eastAsia" w:ascii="仿宋" w:hAnsi="仿宋" w:cs="仿宋"/>
                <w:szCs w:val="22"/>
              </w:rPr>
              <w:t>分）</w:t>
            </w:r>
          </w:p>
        </w:tc>
        <w:tc>
          <w:tcPr>
            <w:tcW w:w="1488" w:type="dxa"/>
            <w:tcBorders>
              <w:left w:val="single" w:color="auto" w:sz="4" w:space="0"/>
              <w:right w:val="single" w:color="auto" w:sz="4" w:space="0"/>
            </w:tcBorders>
            <w:vAlign w:val="center"/>
          </w:tcPr>
          <w:p w14:paraId="0134CE5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highlight w:val="none"/>
              </w:rPr>
            </w:pPr>
            <w:r>
              <w:rPr>
                <w:rFonts w:hint="eastAsia" w:ascii="仿宋" w:hAnsi="仿宋" w:cs="仿宋"/>
                <w:szCs w:val="22"/>
                <w:highlight w:val="none"/>
              </w:rPr>
              <w:t>响应程度</w:t>
            </w:r>
          </w:p>
          <w:p w14:paraId="74B040E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highlight w:val="none"/>
              </w:rPr>
            </w:pPr>
            <w:r>
              <w:rPr>
                <w:rFonts w:hint="eastAsia" w:ascii="仿宋" w:hAnsi="仿宋" w:cs="仿宋"/>
                <w:szCs w:val="22"/>
                <w:highlight w:val="none"/>
              </w:rPr>
              <w:t>（</w:t>
            </w:r>
            <w:r>
              <w:rPr>
                <w:rFonts w:hint="eastAsia" w:ascii="仿宋" w:hAnsi="仿宋" w:cs="仿宋"/>
                <w:szCs w:val="22"/>
                <w:highlight w:val="none"/>
                <w:lang w:val="en-US" w:eastAsia="zh-CN"/>
              </w:rPr>
              <w:t>15</w:t>
            </w:r>
            <w:r>
              <w:rPr>
                <w:rFonts w:hint="eastAsia" w:ascii="仿宋" w:hAnsi="仿宋" w:cs="仿宋"/>
                <w:szCs w:val="22"/>
                <w:highlight w:val="none"/>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5539DD5A">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highlight w:val="none"/>
              </w:rPr>
            </w:pPr>
            <w:r>
              <w:rPr>
                <w:rFonts w:hint="eastAsia" w:ascii="仿宋" w:hAnsi="仿宋" w:cs="仿宋"/>
                <w:szCs w:val="22"/>
                <w:highlight w:val="none"/>
                <w:lang w:val="zh-CN"/>
              </w:rPr>
              <w:t>对招标文件的技术参数条款响应情况进行综合评议。任何一条未标注“▲”采购需求的未响应或负偏离的，每条扣</w:t>
            </w:r>
            <w:r>
              <w:rPr>
                <w:rFonts w:hint="eastAsia" w:ascii="仿宋" w:hAnsi="仿宋" w:cs="仿宋"/>
                <w:szCs w:val="22"/>
                <w:highlight w:val="none"/>
                <w:lang w:val="en-US" w:eastAsia="zh-CN"/>
              </w:rPr>
              <w:t>3</w:t>
            </w:r>
            <w:r>
              <w:rPr>
                <w:rFonts w:hint="eastAsia" w:ascii="仿宋" w:hAnsi="仿宋" w:cs="仿宋"/>
                <w:szCs w:val="22"/>
                <w:highlight w:val="none"/>
                <w:lang w:val="zh-CN"/>
              </w:rPr>
              <w:t>分；任何一条标注“▲”采购需求的未响应或负偏离的，为无效标，</w:t>
            </w:r>
            <w:r>
              <w:rPr>
                <w:rFonts w:hint="eastAsia" w:ascii="仿宋" w:hAnsi="仿宋" w:cs="仿宋"/>
                <w:szCs w:val="22"/>
                <w:highlight w:val="none"/>
                <w:lang w:val="en-US" w:eastAsia="zh-CN"/>
              </w:rPr>
              <w:t>15</w:t>
            </w:r>
            <w:r>
              <w:rPr>
                <w:rFonts w:hint="eastAsia" w:ascii="仿宋" w:hAnsi="仿宋" w:cs="仿宋"/>
                <w:szCs w:val="22"/>
                <w:highlight w:val="none"/>
                <w:lang w:val="zh-CN"/>
              </w:rPr>
              <w:t>分扣完作无效标处理。</w:t>
            </w:r>
          </w:p>
        </w:tc>
        <w:tc>
          <w:tcPr>
            <w:tcW w:w="974" w:type="dxa"/>
            <w:tcBorders>
              <w:top w:val="single" w:color="auto" w:sz="4" w:space="0"/>
              <w:left w:val="single" w:color="auto" w:sz="4" w:space="0"/>
              <w:bottom w:val="single" w:color="auto" w:sz="4" w:space="0"/>
              <w:right w:val="single" w:color="auto" w:sz="4" w:space="0"/>
            </w:tcBorders>
            <w:vAlign w:val="center"/>
          </w:tcPr>
          <w:p w14:paraId="3CE3629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highlight w:val="none"/>
                <w:lang w:val="zh-CN"/>
              </w:rPr>
            </w:pPr>
            <w:r>
              <w:rPr>
                <w:rFonts w:hint="eastAsia" w:ascii="仿宋" w:hAnsi="仿宋" w:cs="仿宋"/>
                <w:sz w:val="24"/>
                <w:szCs w:val="24"/>
                <w:highlight w:val="none"/>
                <w:lang w:val="en-US" w:eastAsia="zh-CN"/>
              </w:rPr>
              <w:t>客观分</w:t>
            </w:r>
          </w:p>
        </w:tc>
      </w:tr>
      <w:tr w14:paraId="53450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672CD5D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5E2A968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lang w:val="en-US" w:eastAsia="zh-CN"/>
              </w:rPr>
              <w:t>设备匹配度</w:t>
            </w:r>
            <w:r>
              <w:rPr>
                <w:rFonts w:hint="eastAsia" w:ascii="仿宋" w:hAnsi="仿宋" w:cs="仿宋"/>
                <w:szCs w:val="22"/>
              </w:rPr>
              <w:t>（</w:t>
            </w:r>
            <w:r>
              <w:rPr>
                <w:rFonts w:hint="eastAsia" w:ascii="仿宋" w:hAnsi="仿宋" w:cs="仿宋"/>
                <w:szCs w:val="22"/>
                <w:lang w:val="en-US" w:eastAsia="zh-CN"/>
              </w:rPr>
              <w:t>9</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6C2A6B3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cs="仿宋"/>
                <w:szCs w:val="22"/>
                <w:lang w:eastAsia="zh-CN"/>
              </w:rPr>
            </w:pPr>
            <w:r>
              <w:rPr>
                <w:rFonts w:hint="eastAsia" w:ascii="仿宋" w:hAnsi="仿宋" w:cs="仿宋"/>
                <w:szCs w:val="22"/>
              </w:rPr>
              <w:t>曳引机</w:t>
            </w:r>
            <w:r>
              <w:rPr>
                <w:rFonts w:hint="eastAsia" w:ascii="仿宋" w:hAnsi="仿宋" w:cs="仿宋"/>
                <w:szCs w:val="22"/>
                <w:lang w:eastAsia="zh-CN"/>
              </w:rPr>
              <w:t>、</w:t>
            </w:r>
            <w:r>
              <w:rPr>
                <w:rFonts w:hint="eastAsia" w:ascii="仿宋" w:hAnsi="仿宋" w:cs="仿宋"/>
                <w:szCs w:val="22"/>
              </w:rPr>
              <w:t>控制系统</w:t>
            </w:r>
            <w:r>
              <w:rPr>
                <w:rFonts w:hint="eastAsia" w:ascii="仿宋" w:hAnsi="仿宋" w:cs="仿宋"/>
                <w:szCs w:val="22"/>
                <w:lang w:eastAsia="zh-CN"/>
              </w:rPr>
              <w:t>、</w:t>
            </w:r>
            <w:r>
              <w:rPr>
                <w:rFonts w:hint="eastAsia" w:ascii="仿宋" w:hAnsi="仿宋" w:cs="仿宋"/>
                <w:szCs w:val="22"/>
              </w:rPr>
              <w:t>门机</w:t>
            </w:r>
            <w:r>
              <w:rPr>
                <w:rFonts w:hint="eastAsia" w:ascii="仿宋" w:hAnsi="仿宋" w:cs="仿宋"/>
                <w:szCs w:val="22"/>
                <w:lang w:val="en-US" w:eastAsia="zh-CN"/>
              </w:rPr>
              <w:t>的</w:t>
            </w:r>
            <w:r>
              <w:rPr>
                <w:rFonts w:hint="eastAsia" w:ascii="仿宋" w:hAnsi="仿宋" w:cs="仿宋"/>
                <w:szCs w:val="22"/>
              </w:rPr>
              <w:t>使用稳定性与电梯品牌的匹配程度及主要部件的兼容性</w:t>
            </w:r>
            <w:r>
              <w:rPr>
                <w:rFonts w:hint="eastAsia" w:ascii="仿宋" w:hAnsi="仿宋" w:cs="仿宋"/>
                <w:szCs w:val="22"/>
                <w:lang w:eastAsia="zh-CN"/>
              </w:rPr>
              <w:t>。</w:t>
            </w:r>
          </w:p>
          <w:p w14:paraId="3DC009DD">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cs="仿宋"/>
                <w:szCs w:val="22"/>
              </w:rPr>
            </w:pPr>
            <w:r>
              <w:rPr>
                <w:rFonts w:hint="eastAsia" w:ascii="仿宋" w:hAnsi="仿宋" w:eastAsia="仿宋" w:cs="仿宋"/>
                <w:kern w:val="2"/>
                <w:sz w:val="24"/>
                <w:szCs w:val="22"/>
                <w:lang w:val="en-US" w:eastAsia="zh-CN" w:bidi="ar-SA"/>
              </w:rPr>
              <w:t>1.</w:t>
            </w:r>
            <w:r>
              <w:rPr>
                <w:rFonts w:hint="eastAsia" w:ascii="仿宋" w:hAnsi="仿宋" w:cs="仿宋"/>
                <w:szCs w:val="22"/>
              </w:rPr>
              <w:t>曳引机：投标产品曳引机整机与电梯品牌一致且为电梯品牌制造商自己制造生产得3分，其他得1分；</w:t>
            </w:r>
          </w:p>
          <w:p w14:paraId="606AD4A0">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0" w:leftChars="0" w:firstLine="0" w:firstLineChars="0"/>
              <w:jc w:val="left"/>
              <w:textAlignment w:val="auto"/>
              <w:rPr>
                <w:rFonts w:hint="eastAsia" w:ascii="仿宋" w:hAnsi="仿宋" w:cs="仿宋"/>
                <w:szCs w:val="22"/>
              </w:rPr>
            </w:pPr>
            <w:r>
              <w:rPr>
                <w:rFonts w:hint="eastAsia" w:ascii="仿宋" w:hAnsi="仿宋" w:eastAsia="仿宋" w:cs="仿宋"/>
                <w:kern w:val="2"/>
                <w:sz w:val="24"/>
                <w:szCs w:val="22"/>
                <w:lang w:val="en-US" w:eastAsia="zh-CN" w:bidi="ar-SA"/>
              </w:rPr>
              <w:t>2.</w:t>
            </w:r>
            <w:r>
              <w:rPr>
                <w:rFonts w:hint="eastAsia" w:ascii="仿宋" w:hAnsi="仿宋" w:cs="仿宋"/>
                <w:szCs w:val="22"/>
              </w:rPr>
              <w:t>控制系统：投标产品的控制柜整柜与电梯品牌一致，且为电梯品牌制造商自己制造生产</w:t>
            </w:r>
            <w:r>
              <w:rPr>
                <w:rFonts w:hint="eastAsia" w:ascii="仿宋" w:hAnsi="仿宋" w:cs="仿宋"/>
                <w:szCs w:val="22"/>
                <w:lang w:val="en-US" w:eastAsia="zh-CN"/>
              </w:rPr>
              <w:t>得</w:t>
            </w:r>
            <w:r>
              <w:rPr>
                <w:rFonts w:hint="eastAsia" w:ascii="仿宋" w:hAnsi="仿宋" w:cs="仿宋"/>
                <w:szCs w:val="22"/>
              </w:rPr>
              <w:t>3分；其他得1分；</w:t>
            </w:r>
          </w:p>
          <w:p w14:paraId="69507EC5">
            <w:pPr>
              <w:keepNext w:val="0"/>
              <w:keepLines w:val="0"/>
              <w:pageBreakBefore w:val="0"/>
              <w:widowControl w:val="0"/>
              <w:numPr>
                <w:ilvl w:val="0"/>
                <w:numId w:val="0"/>
              </w:numPr>
              <w:kinsoku/>
              <w:wordWrap/>
              <w:overflowPunct/>
              <w:topLinePunct w:val="0"/>
              <w:autoSpaceDE/>
              <w:autoSpaceDN/>
              <w:bidi w:val="0"/>
              <w:adjustRightInd w:val="0"/>
              <w:snapToGrid/>
              <w:spacing w:line="400" w:lineRule="exact"/>
              <w:ind w:leftChars="0"/>
              <w:jc w:val="left"/>
              <w:textAlignment w:val="auto"/>
              <w:rPr>
                <w:rFonts w:hint="eastAsia" w:ascii="仿宋" w:hAnsi="仿宋" w:cs="仿宋"/>
                <w:szCs w:val="22"/>
              </w:rPr>
            </w:pPr>
            <w:r>
              <w:rPr>
                <w:rFonts w:hint="eastAsia" w:ascii="仿宋" w:hAnsi="仿宋" w:cs="仿宋"/>
                <w:szCs w:val="22"/>
                <w:lang w:val="en-US" w:eastAsia="zh-CN"/>
              </w:rPr>
              <w:t>3.</w:t>
            </w:r>
            <w:r>
              <w:rPr>
                <w:rFonts w:hint="eastAsia" w:ascii="仿宋" w:hAnsi="仿宋" w:cs="仿宋"/>
                <w:szCs w:val="22"/>
              </w:rPr>
              <w:t>门机：投标产品的门机整机与电梯品牌一致且为电梯品牌制造商自己制造生产得3分，其他得1分；</w:t>
            </w:r>
          </w:p>
          <w:p w14:paraId="02C95AC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rPr>
            </w:pPr>
            <w:r>
              <w:rPr>
                <w:rFonts w:hint="eastAsia" w:ascii="仿宋" w:hAnsi="仿宋" w:cs="仿宋"/>
                <w:szCs w:val="22"/>
                <w:lang w:val="en-US" w:eastAsia="zh-CN"/>
              </w:rPr>
              <w:t>注：提供投标人或投标品牌制造商针对本项目投标产品的承诺文件，加盖投标人或投标品牌制造商公章；不提供则不得分。</w:t>
            </w:r>
          </w:p>
        </w:tc>
        <w:tc>
          <w:tcPr>
            <w:tcW w:w="974" w:type="dxa"/>
            <w:tcBorders>
              <w:top w:val="single" w:color="auto" w:sz="4" w:space="0"/>
              <w:left w:val="single" w:color="auto" w:sz="4" w:space="0"/>
              <w:bottom w:val="single" w:color="auto" w:sz="4" w:space="0"/>
              <w:right w:val="single" w:color="auto" w:sz="4" w:space="0"/>
            </w:tcBorders>
            <w:vAlign w:val="center"/>
          </w:tcPr>
          <w:p w14:paraId="7B72C2A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cs="仿宋"/>
                <w:sz w:val="24"/>
                <w:szCs w:val="24"/>
                <w:lang w:val="en-US" w:eastAsia="zh-CN"/>
              </w:rPr>
            </w:pPr>
            <w:r>
              <w:rPr>
                <w:rFonts w:hint="eastAsia" w:ascii="仿宋" w:hAnsi="仿宋" w:cs="仿宋"/>
                <w:sz w:val="24"/>
                <w:szCs w:val="24"/>
                <w:lang w:val="en-US" w:eastAsia="zh-CN"/>
              </w:rPr>
              <w:t>客观分</w:t>
            </w:r>
          </w:p>
        </w:tc>
      </w:tr>
      <w:tr w14:paraId="2D7E8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1BA9525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7506ACC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仿宋" w:hAnsi="仿宋" w:cs="仿宋"/>
                <w:color w:val="auto"/>
                <w:szCs w:val="22"/>
                <w:highlight w:val="none"/>
              </w:rPr>
              <w:t>电梯曳引机配置（</w:t>
            </w:r>
            <w:r>
              <w:rPr>
                <w:rFonts w:hint="eastAsia" w:ascii="仿宋" w:hAnsi="仿宋" w:cs="仿宋"/>
                <w:color w:val="auto"/>
                <w:szCs w:val="22"/>
                <w:highlight w:val="none"/>
                <w:lang w:val="en-US" w:eastAsia="zh-CN"/>
              </w:rPr>
              <w:t>3</w:t>
            </w:r>
            <w:r>
              <w:rPr>
                <w:rFonts w:hint="eastAsia" w:ascii="仿宋" w:hAnsi="仿宋" w:cs="仿宋"/>
                <w:color w:val="auto"/>
                <w:szCs w:val="22"/>
                <w:highlight w:val="none"/>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2863F41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default" w:ascii="仿宋" w:hAnsi="仿宋" w:eastAsia="仿宋" w:cs="仿宋"/>
                <w:color w:val="auto"/>
                <w:szCs w:val="22"/>
                <w:highlight w:val="none"/>
                <w:lang w:val="en-US"/>
              </w:rPr>
            </w:pPr>
            <w:r>
              <w:rPr>
                <w:rFonts w:hint="eastAsia"/>
                <w:color w:val="auto"/>
                <w:sz w:val="24"/>
                <w:szCs w:val="24"/>
                <w:highlight w:val="none"/>
                <w:vertAlign w:val="baseline"/>
                <w:lang w:val="en-US" w:eastAsia="zh-CN"/>
              </w:rPr>
              <w:t>根据电梯曳引机的</w:t>
            </w:r>
            <w:r>
              <w:rPr>
                <w:rFonts w:hint="eastAsia"/>
                <w:sz w:val="24"/>
                <w:szCs w:val="24"/>
                <w:highlight w:val="none"/>
                <w:vertAlign w:val="baseline"/>
                <w:lang w:val="en-US" w:eastAsia="zh-CN"/>
              </w:rPr>
              <w:t>合理化配置的先进性及可靠性进行打分，最高得3分。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53AA657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主观分</w:t>
            </w:r>
          </w:p>
        </w:tc>
      </w:tr>
      <w:tr w14:paraId="4A857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6010232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2A635B2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仿宋" w:hAnsi="仿宋" w:cs="仿宋"/>
                <w:color w:val="auto"/>
                <w:szCs w:val="22"/>
                <w:highlight w:val="none"/>
              </w:rPr>
              <w:t>电梯门机配置（</w:t>
            </w:r>
            <w:r>
              <w:rPr>
                <w:rFonts w:hint="eastAsia" w:ascii="仿宋" w:hAnsi="仿宋" w:cs="仿宋"/>
                <w:color w:val="auto"/>
                <w:szCs w:val="22"/>
                <w:highlight w:val="none"/>
                <w:lang w:val="en-US" w:eastAsia="zh-CN"/>
              </w:rPr>
              <w:t>3</w:t>
            </w:r>
            <w:r>
              <w:rPr>
                <w:rFonts w:hint="eastAsia" w:ascii="仿宋" w:hAnsi="仿宋" w:cs="仿宋"/>
                <w:color w:val="auto"/>
                <w:szCs w:val="22"/>
                <w:highlight w:val="none"/>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5E8EB95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default" w:ascii="仿宋" w:hAnsi="仿宋" w:eastAsia="仿宋" w:cs="仿宋"/>
                <w:color w:val="auto"/>
                <w:szCs w:val="22"/>
                <w:highlight w:val="none"/>
                <w:lang w:val="en-US"/>
              </w:rPr>
            </w:pPr>
            <w:r>
              <w:rPr>
                <w:rFonts w:hint="eastAsia" w:ascii="仿宋" w:hAnsi="仿宋" w:cs="仿宋"/>
                <w:color w:val="auto"/>
                <w:szCs w:val="22"/>
                <w:highlight w:val="none"/>
                <w:lang w:val="en-US" w:eastAsia="zh-CN"/>
              </w:rPr>
              <w:t>根据电梯门机的合理化配置的先进性及可靠性进行打分，最高得3分。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1516D89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主观分</w:t>
            </w:r>
          </w:p>
        </w:tc>
      </w:tr>
      <w:tr w14:paraId="13298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64CB6CE9">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22D89E1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宋体" w:hAnsi="宋体" w:cs="宋体"/>
                <w:bCs/>
                <w:color w:val="auto"/>
                <w:sz w:val="24"/>
                <w:highlight w:val="none"/>
                <w:lang w:val="zh-CN"/>
              </w:rPr>
              <w:t>电梯控制柜</w:t>
            </w:r>
            <w:r>
              <w:rPr>
                <w:rFonts w:hint="eastAsia" w:ascii="仿宋" w:hAnsi="仿宋" w:cs="仿宋"/>
                <w:color w:val="auto"/>
                <w:szCs w:val="22"/>
                <w:highlight w:val="none"/>
              </w:rPr>
              <w:t>（</w:t>
            </w:r>
            <w:r>
              <w:rPr>
                <w:rFonts w:hint="eastAsia" w:ascii="仿宋" w:hAnsi="仿宋" w:cs="仿宋"/>
                <w:color w:val="auto"/>
                <w:szCs w:val="22"/>
                <w:highlight w:val="none"/>
                <w:lang w:val="en-US" w:eastAsia="zh-CN"/>
              </w:rPr>
              <w:t>3</w:t>
            </w:r>
            <w:r>
              <w:rPr>
                <w:rFonts w:hint="eastAsia" w:ascii="仿宋" w:hAnsi="仿宋" w:cs="仿宋"/>
                <w:color w:val="auto"/>
                <w:szCs w:val="22"/>
                <w:highlight w:val="none"/>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0D9E735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default" w:ascii="仿宋" w:hAnsi="仿宋" w:eastAsia="仿宋" w:cs="仿宋"/>
                <w:color w:val="auto"/>
                <w:szCs w:val="22"/>
                <w:highlight w:val="none"/>
                <w:lang w:val="en-US"/>
              </w:rPr>
            </w:pPr>
            <w:r>
              <w:rPr>
                <w:rFonts w:hint="eastAsia" w:ascii="仿宋" w:hAnsi="仿宋" w:cs="仿宋"/>
                <w:color w:val="auto"/>
                <w:szCs w:val="22"/>
                <w:highlight w:val="none"/>
                <w:lang w:val="en-US" w:eastAsia="zh-CN"/>
              </w:rPr>
              <w:t>根据控制柜的合理化配置的先进性及可靠性进行打分，最高得3分。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2DD0F3F9">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主观分</w:t>
            </w:r>
          </w:p>
        </w:tc>
      </w:tr>
      <w:tr w14:paraId="4A360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3166B22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2E65FF7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lang w:val="en-US" w:eastAsia="zh-CN"/>
              </w:rPr>
            </w:pPr>
            <w:r>
              <w:rPr>
                <w:rFonts w:hint="eastAsia" w:ascii="仿宋" w:hAnsi="仿宋" w:cs="仿宋"/>
                <w:color w:val="auto"/>
                <w:szCs w:val="22"/>
                <w:highlight w:val="none"/>
                <w:lang w:val="en-US" w:eastAsia="zh-CN"/>
              </w:rPr>
              <w:t>安全部件使用寿命</w:t>
            </w:r>
          </w:p>
          <w:p w14:paraId="199B578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仿宋" w:hAnsi="仿宋" w:cs="仿宋"/>
                <w:color w:val="auto"/>
                <w:szCs w:val="22"/>
                <w:highlight w:val="none"/>
                <w:lang w:val="en-US" w:eastAsia="zh-CN"/>
              </w:rPr>
              <w:t>（3分）</w:t>
            </w:r>
          </w:p>
        </w:tc>
        <w:tc>
          <w:tcPr>
            <w:tcW w:w="6621" w:type="dxa"/>
            <w:tcBorders>
              <w:top w:val="single" w:color="auto" w:sz="4" w:space="0"/>
              <w:left w:val="single" w:color="auto" w:sz="4" w:space="0"/>
              <w:bottom w:val="single" w:color="auto" w:sz="4" w:space="0"/>
              <w:right w:val="single" w:color="auto" w:sz="4" w:space="0"/>
            </w:tcBorders>
            <w:vAlign w:val="center"/>
          </w:tcPr>
          <w:p w14:paraId="3998721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eastAsia="仿宋" w:cs="仿宋"/>
                <w:color w:val="auto"/>
                <w:szCs w:val="22"/>
                <w:highlight w:val="none"/>
              </w:rPr>
            </w:pPr>
            <w:r>
              <w:rPr>
                <w:rFonts w:hint="eastAsia" w:ascii="仿宋" w:hAnsi="仿宋" w:eastAsia="仿宋" w:cs="仿宋"/>
                <w:color w:val="auto"/>
                <w:szCs w:val="22"/>
                <w:highlight w:val="none"/>
                <w:lang w:val="en-US" w:eastAsia="zh-CN"/>
              </w:rPr>
              <w:t>根据投标品牌限速器、缓冲器、安全钳动作寿命的长短打分，三个部件同时达到30年</w:t>
            </w:r>
            <w:r>
              <w:rPr>
                <w:rFonts w:hint="eastAsia" w:ascii="仿宋" w:hAnsi="仿宋" w:cs="仿宋"/>
                <w:color w:val="auto"/>
                <w:szCs w:val="22"/>
                <w:highlight w:val="none"/>
                <w:lang w:val="en-US" w:eastAsia="zh-CN"/>
              </w:rPr>
              <w:t>的</w:t>
            </w:r>
            <w:r>
              <w:rPr>
                <w:rFonts w:hint="eastAsia" w:ascii="仿宋" w:hAnsi="仿宋" w:eastAsia="仿宋" w:cs="仿宋"/>
                <w:color w:val="auto"/>
                <w:szCs w:val="22"/>
                <w:highlight w:val="none"/>
                <w:lang w:val="en-US" w:eastAsia="zh-CN"/>
              </w:rPr>
              <w:t>3分，三个部件同时达到20年得2分，其余得1分（提供限束器形式试验报告或试验、检验报告</w:t>
            </w:r>
            <w:r>
              <w:rPr>
                <w:rFonts w:hint="eastAsia" w:ascii="仿宋" w:hAnsi="仿宋" w:cs="仿宋"/>
                <w:color w:val="auto"/>
                <w:szCs w:val="22"/>
                <w:highlight w:val="none"/>
                <w:lang w:val="en-US" w:eastAsia="zh-CN"/>
              </w:rPr>
              <w:t>扫描</w:t>
            </w:r>
            <w:r>
              <w:rPr>
                <w:rFonts w:hint="eastAsia" w:ascii="仿宋" w:hAnsi="仿宋" w:eastAsia="仿宋" w:cs="仿宋"/>
                <w:color w:val="auto"/>
                <w:szCs w:val="22"/>
                <w:highlight w:val="none"/>
                <w:lang w:val="en-US" w:eastAsia="zh-CN"/>
              </w:rPr>
              <w:t>件并加盖公章，报告中需明确体现动作寿命，</w:t>
            </w:r>
            <w:r>
              <w:rPr>
                <w:rFonts w:hint="eastAsia" w:ascii="仿宋" w:hAnsi="仿宋" w:cs="仿宋"/>
                <w:color w:val="auto"/>
                <w:szCs w:val="22"/>
                <w:highlight w:val="none"/>
                <w:lang w:val="en-US" w:eastAsia="zh-CN"/>
              </w:rPr>
              <w:t>未</w:t>
            </w:r>
            <w:r>
              <w:rPr>
                <w:rFonts w:hint="eastAsia" w:ascii="仿宋" w:hAnsi="仿宋" w:eastAsia="仿宋" w:cs="仿宋"/>
                <w:color w:val="auto"/>
                <w:szCs w:val="22"/>
                <w:highlight w:val="none"/>
                <w:lang w:val="en-US" w:eastAsia="zh-CN"/>
              </w:rPr>
              <w:t>提供不得分。）</w:t>
            </w:r>
          </w:p>
        </w:tc>
        <w:tc>
          <w:tcPr>
            <w:tcW w:w="974" w:type="dxa"/>
            <w:tcBorders>
              <w:top w:val="single" w:color="auto" w:sz="4" w:space="0"/>
              <w:left w:val="single" w:color="auto" w:sz="4" w:space="0"/>
              <w:bottom w:val="single" w:color="auto" w:sz="4" w:space="0"/>
              <w:right w:val="single" w:color="auto" w:sz="4" w:space="0"/>
            </w:tcBorders>
            <w:vAlign w:val="center"/>
          </w:tcPr>
          <w:p w14:paraId="1F3F07D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客观分</w:t>
            </w:r>
          </w:p>
        </w:tc>
      </w:tr>
      <w:tr w14:paraId="01118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1131" w:type="dxa"/>
            <w:vMerge w:val="continue"/>
            <w:tcBorders>
              <w:left w:val="single" w:color="auto" w:sz="4" w:space="0"/>
              <w:right w:val="single" w:color="auto" w:sz="4" w:space="0"/>
            </w:tcBorders>
            <w:vAlign w:val="center"/>
          </w:tcPr>
          <w:p w14:paraId="5422938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171F73F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Cs w:val="22"/>
                <w:highlight w:val="none"/>
              </w:rPr>
            </w:pPr>
            <w:r>
              <w:rPr>
                <w:rFonts w:hint="eastAsia" w:ascii="仿宋" w:hAnsi="仿宋" w:cs="仿宋"/>
                <w:color w:val="auto"/>
                <w:szCs w:val="22"/>
                <w:highlight w:val="none"/>
                <w:lang w:val="en-US" w:eastAsia="zh-CN"/>
              </w:rPr>
              <w:t>电压波动范围（3分）</w:t>
            </w:r>
          </w:p>
        </w:tc>
        <w:tc>
          <w:tcPr>
            <w:tcW w:w="6621" w:type="dxa"/>
            <w:tcBorders>
              <w:top w:val="single" w:color="auto" w:sz="4" w:space="0"/>
              <w:left w:val="single" w:color="auto" w:sz="4" w:space="0"/>
              <w:bottom w:val="single" w:color="auto" w:sz="4" w:space="0"/>
              <w:right w:val="single" w:color="auto" w:sz="4" w:space="0"/>
            </w:tcBorders>
            <w:vAlign w:val="center"/>
          </w:tcPr>
          <w:p w14:paraId="420A7C1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eastAsia="仿宋" w:cs="仿宋"/>
                <w:color w:val="auto"/>
                <w:szCs w:val="22"/>
                <w:highlight w:val="none"/>
              </w:rPr>
            </w:pPr>
            <w:r>
              <w:rPr>
                <w:rFonts w:hint="eastAsia" w:ascii="仿宋" w:hAnsi="仿宋" w:eastAsia="仿宋" w:cs="仿宋"/>
                <w:color w:val="auto"/>
                <w:szCs w:val="22"/>
                <w:highlight w:val="none"/>
                <w:lang w:val="en-US" w:eastAsia="zh-CN"/>
              </w:rPr>
              <w:t>当供电电压产生正负波动的情况下，电梯仍能安全运行</w:t>
            </w:r>
            <w:r>
              <w:rPr>
                <w:rFonts w:hint="eastAsia" w:ascii="仿宋" w:hAnsi="仿宋" w:cs="仿宋"/>
                <w:color w:val="auto"/>
                <w:szCs w:val="22"/>
                <w:highlight w:val="none"/>
                <w:lang w:val="en-US" w:eastAsia="zh-CN"/>
              </w:rPr>
              <w:t>，</w:t>
            </w:r>
            <w:r>
              <w:rPr>
                <w:rFonts w:hint="eastAsia" w:ascii="仿宋" w:hAnsi="仿宋" w:eastAsia="仿宋" w:cs="仿宋"/>
                <w:color w:val="auto"/>
                <w:szCs w:val="22"/>
                <w:highlight w:val="none"/>
                <w:lang w:val="en-US" w:eastAsia="zh-CN"/>
              </w:rPr>
              <w:t>根据其允许的电压波动范围</w:t>
            </w:r>
            <w:r>
              <w:rPr>
                <w:rFonts w:hint="eastAsia" w:ascii="仿宋" w:hAnsi="仿宋" w:cs="仿宋"/>
                <w:color w:val="auto"/>
                <w:szCs w:val="22"/>
                <w:highlight w:val="none"/>
                <w:lang w:val="en-US" w:eastAsia="zh-CN"/>
              </w:rPr>
              <w:t>打分，最高得3分</w:t>
            </w:r>
            <w:bookmarkStart w:id="398" w:name="_GoBack"/>
            <w:bookmarkEnd w:id="398"/>
            <w:r>
              <w:rPr>
                <w:rFonts w:hint="eastAsia" w:ascii="仿宋" w:hAnsi="仿宋" w:cs="仿宋"/>
                <w:color w:val="auto"/>
                <w:szCs w:val="22"/>
                <w:highlight w:val="none"/>
                <w:lang w:val="en-US" w:eastAsia="zh-CN"/>
              </w:rPr>
              <w:t>。（提供</w:t>
            </w:r>
            <w:r>
              <w:rPr>
                <w:rFonts w:hint="eastAsia" w:ascii="仿宋" w:hAnsi="仿宋" w:eastAsia="仿宋" w:cs="仿宋"/>
                <w:color w:val="auto"/>
                <w:szCs w:val="22"/>
                <w:highlight w:val="none"/>
                <w:lang w:val="en-US" w:eastAsia="zh-CN"/>
              </w:rPr>
              <w:t>第三方检测报告</w:t>
            </w:r>
            <w:r>
              <w:rPr>
                <w:rFonts w:hint="eastAsia" w:ascii="仿宋" w:hAnsi="仿宋" w:cs="仿宋"/>
                <w:color w:val="auto"/>
                <w:szCs w:val="22"/>
                <w:highlight w:val="none"/>
                <w:lang w:val="en-US" w:eastAsia="zh-CN"/>
              </w:rPr>
              <w:t>并加盖公章，未提供不得分</w:t>
            </w:r>
            <w:r>
              <w:rPr>
                <w:rFonts w:hint="eastAsia" w:ascii="仿宋" w:hAnsi="仿宋" w:eastAsia="仿宋" w:cs="仿宋"/>
                <w:color w:val="auto"/>
                <w:szCs w:val="22"/>
                <w:highlight w:val="none"/>
                <w:lang w:val="en-US" w:eastAsia="zh-CN"/>
              </w:rPr>
              <w:t>。</w:t>
            </w:r>
            <w:r>
              <w:rPr>
                <w:rFonts w:hint="eastAsia" w:ascii="仿宋" w:hAnsi="仿宋" w:cs="仿宋"/>
                <w:color w:val="auto"/>
                <w:szCs w:val="22"/>
                <w:highlight w:val="none"/>
                <w:lang w:val="en-US" w:eastAsia="zh-CN"/>
              </w:rPr>
              <w:t>）</w:t>
            </w:r>
          </w:p>
        </w:tc>
        <w:tc>
          <w:tcPr>
            <w:tcW w:w="974" w:type="dxa"/>
            <w:tcBorders>
              <w:top w:val="single" w:color="auto" w:sz="4" w:space="0"/>
              <w:left w:val="single" w:color="auto" w:sz="4" w:space="0"/>
              <w:bottom w:val="single" w:color="auto" w:sz="4" w:space="0"/>
              <w:right w:val="single" w:color="auto" w:sz="4" w:space="0"/>
            </w:tcBorders>
            <w:vAlign w:val="center"/>
          </w:tcPr>
          <w:p w14:paraId="530BE88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color w:val="auto"/>
                <w:sz w:val="24"/>
                <w:szCs w:val="24"/>
                <w:highlight w:val="none"/>
                <w:lang w:val="en-US" w:eastAsia="zh-CN"/>
              </w:rPr>
            </w:pPr>
            <w:r>
              <w:rPr>
                <w:rFonts w:hint="eastAsia" w:ascii="仿宋" w:hAnsi="仿宋" w:cs="仿宋"/>
                <w:color w:val="auto"/>
                <w:sz w:val="24"/>
                <w:szCs w:val="24"/>
                <w:highlight w:val="none"/>
                <w:lang w:val="en-US" w:eastAsia="zh-CN"/>
              </w:rPr>
              <w:t>主观分</w:t>
            </w:r>
          </w:p>
        </w:tc>
      </w:tr>
      <w:tr w14:paraId="63565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3CB2C432">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416BFE8B">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lang w:val="en-US" w:eastAsia="zh-CN"/>
              </w:rPr>
            </w:pPr>
            <w:r>
              <w:rPr>
                <w:rFonts w:hint="eastAsia" w:ascii="仿宋" w:hAnsi="仿宋" w:cs="仿宋"/>
                <w:szCs w:val="22"/>
                <w:lang w:val="en-US" w:eastAsia="zh-CN"/>
              </w:rPr>
              <w:t>装修方案</w:t>
            </w:r>
          </w:p>
          <w:p w14:paraId="63C97DF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（5分）</w:t>
            </w:r>
          </w:p>
        </w:tc>
        <w:tc>
          <w:tcPr>
            <w:tcW w:w="6621" w:type="dxa"/>
            <w:tcBorders>
              <w:top w:val="single" w:color="auto" w:sz="4" w:space="0"/>
              <w:left w:val="single" w:color="auto" w:sz="4" w:space="0"/>
              <w:bottom w:val="single" w:color="auto" w:sz="4" w:space="0"/>
              <w:right w:val="single" w:color="auto" w:sz="4" w:space="0"/>
            </w:tcBorders>
            <w:vAlign w:val="center"/>
          </w:tcPr>
          <w:p w14:paraId="5377F3D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eastAsia" w:ascii="仿宋" w:hAnsi="仿宋" w:eastAsia="仿宋" w:cs="仿宋"/>
                <w:szCs w:val="22"/>
              </w:rPr>
            </w:pPr>
            <w:r>
              <w:rPr>
                <w:rFonts w:hint="eastAsia" w:ascii="仿宋" w:hAnsi="仿宋" w:eastAsia="仿宋" w:cs="仿宋"/>
                <w:szCs w:val="22"/>
              </w:rPr>
              <w:t>电梯装修（轿厢的材质、厚度，吊顶、操纵箱、轿底、扶手情况等）的合理性、实用性。（响应文件提供装潢效果图及说明</w:t>
            </w:r>
            <w:r>
              <w:rPr>
                <w:rFonts w:hint="eastAsia" w:ascii="仿宋" w:hAnsi="仿宋" w:cs="仿宋"/>
                <w:szCs w:val="22"/>
                <w:lang w:eastAsia="zh-CN"/>
              </w:rPr>
              <w:t>，</w:t>
            </w:r>
            <w:r>
              <w:rPr>
                <w:rFonts w:hint="eastAsia" w:ascii="仿宋" w:hAnsi="仿宋" w:cs="仿宋"/>
                <w:szCs w:val="22"/>
                <w:lang w:val="en-US" w:eastAsia="zh-CN"/>
              </w:rPr>
              <w:t>未提供不得分</w:t>
            </w:r>
            <w:r>
              <w:rPr>
                <w:rFonts w:hint="eastAsia" w:ascii="仿宋" w:hAnsi="仿宋" w:eastAsia="仿宋" w:cs="仿宋"/>
                <w:szCs w:val="22"/>
              </w:rPr>
              <w:t>）（评分范围：5，4，3，2，1，0）</w:t>
            </w:r>
          </w:p>
        </w:tc>
        <w:tc>
          <w:tcPr>
            <w:tcW w:w="974" w:type="dxa"/>
            <w:tcBorders>
              <w:top w:val="single" w:color="auto" w:sz="4" w:space="0"/>
              <w:left w:val="single" w:color="auto" w:sz="4" w:space="0"/>
              <w:bottom w:val="single" w:color="auto" w:sz="4" w:space="0"/>
              <w:right w:val="single" w:color="auto" w:sz="4" w:space="0"/>
            </w:tcBorders>
            <w:vAlign w:val="center"/>
          </w:tcPr>
          <w:p w14:paraId="4047833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sz w:val="24"/>
                <w:szCs w:val="24"/>
                <w:lang w:val="en-US" w:eastAsia="zh-CN"/>
              </w:rPr>
            </w:pPr>
            <w:r>
              <w:rPr>
                <w:rFonts w:hint="eastAsia" w:ascii="仿宋" w:hAnsi="仿宋" w:cs="仿宋"/>
                <w:sz w:val="24"/>
                <w:szCs w:val="24"/>
                <w:lang w:val="en-US" w:eastAsia="zh-CN"/>
              </w:rPr>
              <w:t>主观分</w:t>
            </w:r>
          </w:p>
        </w:tc>
      </w:tr>
      <w:tr w14:paraId="366EE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1" w:type="dxa"/>
            <w:vMerge w:val="continue"/>
            <w:tcBorders>
              <w:left w:val="single" w:color="auto" w:sz="4" w:space="0"/>
              <w:right w:val="single" w:color="auto" w:sz="4" w:space="0"/>
            </w:tcBorders>
            <w:vAlign w:val="center"/>
          </w:tcPr>
          <w:p w14:paraId="73305AA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5DEF697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lang w:val="en-US" w:eastAsia="zh-CN"/>
              </w:rPr>
            </w:pPr>
            <w:r>
              <w:rPr>
                <w:rFonts w:hint="eastAsia" w:ascii="仿宋" w:hAnsi="仿宋" w:cs="仿宋"/>
                <w:szCs w:val="22"/>
                <w:lang w:val="en-US" w:eastAsia="zh-CN"/>
              </w:rPr>
              <w:t>安装方案</w:t>
            </w:r>
          </w:p>
          <w:p w14:paraId="22449327">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eastAsia="仿宋" w:cs="仿宋"/>
                <w:szCs w:val="22"/>
                <w:lang w:val="en-US" w:eastAsia="zh-CN"/>
              </w:rPr>
            </w:pPr>
            <w:r>
              <w:rPr>
                <w:rFonts w:hint="eastAsia" w:ascii="仿宋" w:hAnsi="仿宋" w:cs="仿宋"/>
                <w:szCs w:val="22"/>
              </w:rPr>
              <w:t>（</w:t>
            </w:r>
            <w:r>
              <w:rPr>
                <w:rFonts w:hint="eastAsia" w:ascii="仿宋" w:hAnsi="仿宋" w:cs="仿宋"/>
                <w:szCs w:val="22"/>
                <w:lang w:val="en-US" w:eastAsia="zh-CN"/>
              </w:rPr>
              <w:t>3</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3434572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hint="default" w:ascii="仿宋" w:hAnsi="仿宋" w:eastAsia="仿宋" w:cs="仿宋"/>
                <w:szCs w:val="22"/>
                <w:lang w:val="en-US" w:eastAsia="zh-CN"/>
              </w:rPr>
            </w:pPr>
            <w:r>
              <w:rPr>
                <w:rFonts w:hint="eastAsia" w:ascii="仿宋" w:hAnsi="仿宋" w:cs="仿宋"/>
                <w:szCs w:val="22"/>
                <w:lang w:val="en-US" w:eastAsia="zh-CN"/>
              </w:rPr>
              <w:t>根据电梯安装</w:t>
            </w:r>
            <w:r>
              <w:rPr>
                <w:rFonts w:hint="eastAsia" w:ascii="仿宋" w:hAnsi="仿宋" w:eastAsia="仿宋" w:cs="仿宋"/>
                <w:szCs w:val="22"/>
              </w:rPr>
              <w:t>进度控制</w:t>
            </w:r>
            <w:r>
              <w:rPr>
                <w:rFonts w:hint="eastAsia" w:ascii="仿宋" w:hAnsi="仿宋" w:cs="仿宋"/>
                <w:szCs w:val="22"/>
                <w:lang w:eastAsia="zh-CN"/>
              </w:rPr>
              <w:t>、</w:t>
            </w:r>
            <w:r>
              <w:rPr>
                <w:rFonts w:hint="eastAsia" w:ascii="仿宋" w:hAnsi="仿宋" w:eastAsia="仿宋" w:cs="仿宋"/>
                <w:szCs w:val="22"/>
              </w:rPr>
              <w:t>施工质量控制措施</w:t>
            </w:r>
            <w:r>
              <w:rPr>
                <w:rFonts w:hint="eastAsia" w:ascii="仿宋" w:hAnsi="仿宋" w:cs="仿宋"/>
                <w:szCs w:val="22"/>
                <w:lang w:eastAsia="zh-CN"/>
              </w:rPr>
              <w:t>、</w:t>
            </w:r>
            <w:r>
              <w:rPr>
                <w:rFonts w:hint="eastAsia" w:ascii="仿宋" w:hAnsi="仿宋" w:eastAsia="仿宋" w:cs="仿宋"/>
                <w:szCs w:val="22"/>
              </w:rPr>
              <w:t>安全文明施工</w:t>
            </w:r>
            <w:r>
              <w:rPr>
                <w:rFonts w:hint="eastAsia" w:ascii="仿宋" w:hAnsi="仿宋" w:cs="仿宋"/>
                <w:szCs w:val="22"/>
                <w:lang w:val="en-US" w:eastAsia="zh-CN"/>
              </w:rPr>
              <w:t>等内容的</w:t>
            </w:r>
            <w:r>
              <w:rPr>
                <w:rFonts w:hint="eastAsia" w:ascii="仿宋" w:hAnsi="仿宋" w:eastAsia="仿宋" w:cs="仿宋"/>
                <w:szCs w:val="22"/>
              </w:rPr>
              <w:t>合理性、针对性</w:t>
            </w:r>
            <w:r>
              <w:rPr>
                <w:rFonts w:hint="eastAsia" w:ascii="仿宋" w:hAnsi="仿宋" w:cs="仿宋"/>
                <w:szCs w:val="22"/>
                <w:lang w:val="en-US" w:eastAsia="zh-CN"/>
              </w:rPr>
              <w:t>进行打分，最高得3分。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35D1B43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lang w:val="en-US" w:eastAsia="zh-CN"/>
              </w:rPr>
            </w:pPr>
            <w:r>
              <w:rPr>
                <w:rFonts w:hint="eastAsia" w:ascii="仿宋" w:hAnsi="仿宋" w:cs="仿宋"/>
                <w:sz w:val="24"/>
                <w:szCs w:val="24"/>
                <w:lang w:val="en-US" w:eastAsia="zh-CN"/>
              </w:rPr>
              <w:t>主观分</w:t>
            </w:r>
          </w:p>
        </w:tc>
      </w:tr>
      <w:tr w14:paraId="5BA52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1131" w:type="dxa"/>
            <w:vMerge w:val="continue"/>
            <w:tcBorders>
              <w:left w:val="single" w:color="auto" w:sz="4" w:space="0"/>
              <w:right w:val="single" w:color="auto" w:sz="4" w:space="0"/>
            </w:tcBorders>
            <w:vAlign w:val="center"/>
          </w:tcPr>
          <w:p w14:paraId="0B2A079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656D4C31">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Cs w:val="22"/>
                <w:lang w:val="en-US" w:eastAsia="zh-CN"/>
              </w:rPr>
            </w:pPr>
            <w:r>
              <w:rPr>
                <w:rFonts w:hint="eastAsia" w:ascii="仿宋" w:hAnsi="仿宋" w:cs="仿宋"/>
                <w:szCs w:val="22"/>
                <w:lang w:val="en-US" w:eastAsia="zh-CN"/>
              </w:rPr>
              <w:t>质保期</w:t>
            </w:r>
          </w:p>
          <w:p w14:paraId="6281EC83">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w:t>
            </w:r>
            <w:r>
              <w:rPr>
                <w:rFonts w:hint="eastAsia" w:ascii="仿宋" w:hAnsi="仿宋" w:cs="仿宋"/>
                <w:szCs w:val="22"/>
                <w:lang w:val="en-US" w:eastAsia="zh-CN"/>
              </w:rPr>
              <w:t>2</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51F2CD6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left"/>
              <w:textAlignment w:val="auto"/>
              <w:rPr>
                <w:rFonts w:ascii="仿宋" w:hAnsi="仿宋" w:cs="仿宋"/>
                <w:szCs w:val="22"/>
              </w:rPr>
            </w:pPr>
            <w:r>
              <w:rPr>
                <w:rFonts w:hint="eastAsia" w:ascii="仿宋" w:hAnsi="仿宋" w:cs="仿宋"/>
                <w:szCs w:val="22"/>
              </w:rPr>
              <w:t>质保期（含日常保养）在满足招标文件要求的基础上同步每延长一年得1分，最多得</w:t>
            </w:r>
            <w:r>
              <w:rPr>
                <w:rFonts w:hint="eastAsia" w:ascii="仿宋" w:hAnsi="仿宋" w:cs="仿宋"/>
                <w:szCs w:val="22"/>
                <w:lang w:val="en-US" w:eastAsia="zh-CN"/>
              </w:rPr>
              <w:t>2</w:t>
            </w:r>
            <w:r>
              <w:rPr>
                <w:rFonts w:hint="eastAsia" w:ascii="仿宋" w:hAnsi="仿宋" w:cs="仿宋"/>
                <w:szCs w:val="22"/>
              </w:rPr>
              <w:t>分，延长时间不足一年的不计入得分。</w:t>
            </w:r>
          </w:p>
        </w:tc>
        <w:tc>
          <w:tcPr>
            <w:tcW w:w="974" w:type="dxa"/>
            <w:tcBorders>
              <w:top w:val="single" w:color="auto" w:sz="4" w:space="0"/>
              <w:left w:val="single" w:color="auto" w:sz="4" w:space="0"/>
              <w:bottom w:val="single" w:color="auto" w:sz="4" w:space="0"/>
              <w:right w:val="single" w:color="auto" w:sz="4" w:space="0"/>
            </w:tcBorders>
            <w:vAlign w:val="center"/>
          </w:tcPr>
          <w:p w14:paraId="6898D226">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cs="仿宋"/>
                <w:sz w:val="24"/>
                <w:szCs w:val="24"/>
              </w:rPr>
            </w:pPr>
            <w:r>
              <w:rPr>
                <w:rFonts w:hint="eastAsia" w:ascii="仿宋" w:hAnsi="仿宋" w:cs="仿宋"/>
                <w:sz w:val="24"/>
                <w:szCs w:val="24"/>
                <w:lang w:val="en-US" w:eastAsia="zh-CN"/>
              </w:rPr>
              <w:t>客观分</w:t>
            </w:r>
          </w:p>
        </w:tc>
      </w:tr>
      <w:tr w14:paraId="28BC7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1131" w:type="dxa"/>
            <w:vMerge w:val="continue"/>
            <w:tcBorders>
              <w:left w:val="single" w:color="auto" w:sz="4" w:space="0"/>
              <w:right w:val="single" w:color="auto" w:sz="4" w:space="0"/>
            </w:tcBorders>
            <w:vAlign w:val="center"/>
          </w:tcPr>
          <w:p w14:paraId="56C6956D">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tcBorders>
              <w:left w:val="single" w:color="auto" w:sz="4" w:space="0"/>
              <w:right w:val="single" w:color="auto" w:sz="4" w:space="0"/>
            </w:tcBorders>
            <w:vAlign w:val="center"/>
          </w:tcPr>
          <w:p w14:paraId="55CDC1E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技术人员情况 （</w:t>
            </w:r>
            <w:r>
              <w:rPr>
                <w:rFonts w:hint="eastAsia" w:ascii="仿宋" w:hAnsi="仿宋" w:cs="仿宋"/>
                <w:szCs w:val="22"/>
                <w:lang w:val="en-US" w:eastAsia="zh-CN"/>
              </w:rPr>
              <w:t>3</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196471C5">
            <w:pPr>
              <w:pStyle w:val="6"/>
              <w:keepNext w:val="0"/>
              <w:keepLines w:val="0"/>
              <w:pageBreakBefore w:val="0"/>
              <w:widowControl w:val="0"/>
              <w:tabs>
                <w:tab w:val="clear" w:pos="1008"/>
              </w:tabs>
              <w:kinsoku/>
              <w:wordWrap/>
              <w:overflowPunct/>
              <w:topLinePunct w:val="0"/>
              <w:autoSpaceDE/>
              <w:autoSpaceDN/>
              <w:bidi w:val="0"/>
              <w:adjustRightInd w:val="0"/>
              <w:snapToGrid/>
              <w:spacing w:before="0" w:after="0" w:line="400" w:lineRule="exact"/>
              <w:ind w:left="0" w:firstLine="0" w:firstLineChars="0"/>
              <w:jc w:val="left"/>
              <w:textAlignment w:val="auto"/>
              <w:rPr>
                <w:rFonts w:ascii="仿宋" w:hAnsi="仿宋" w:cs="仿宋"/>
                <w:b w:val="0"/>
                <w:bCs w:val="0"/>
                <w:sz w:val="24"/>
                <w:szCs w:val="22"/>
              </w:rPr>
            </w:pPr>
            <w:r>
              <w:rPr>
                <w:rFonts w:hint="eastAsia" w:ascii="仿宋" w:hAnsi="仿宋" w:cs="仿宋"/>
                <w:b w:val="0"/>
                <w:bCs w:val="0"/>
                <w:sz w:val="24"/>
                <w:szCs w:val="22"/>
                <w:lang w:val="en-US" w:eastAsia="zh-CN"/>
              </w:rPr>
              <w:t>投标人或</w:t>
            </w:r>
            <w:r>
              <w:rPr>
                <w:rFonts w:hint="eastAsia" w:ascii="仿宋" w:hAnsi="仿宋" w:cs="仿宋"/>
                <w:b w:val="0"/>
                <w:bCs w:val="0"/>
                <w:sz w:val="24"/>
                <w:szCs w:val="22"/>
              </w:rPr>
              <w:t>投标品牌厂家技术人员具有中</w:t>
            </w:r>
            <w:r>
              <w:rPr>
                <w:rFonts w:hint="eastAsia" w:ascii="仿宋" w:hAnsi="仿宋" w:cs="仿宋"/>
                <w:b w:val="0"/>
                <w:bCs w:val="0"/>
                <w:sz w:val="24"/>
                <w:szCs w:val="22"/>
                <w:lang w:val="en-US" w:eastAsia="zh-CN"/>
              </w:rPr>
              <w:t>级及以上</w:t>
            </w:r>
            <w:r>
              <w:rPr>
                <w:rFonts w:hint="eastAsia" w:ascii="仿宋" w:hAnsi="仿宋" w:cs="仿宋"/>
                <w:b w:val="0"/>
                <w:bCs w:val="0"/>
                <w:sz w:val="24"/>
                <w:szCs w:val="22"/>
              </w:rPr>
              <w:t>工程师证</w:t>
            </w:r>
            <w:r>
              <w:rPr>
                <w:rFonts w:hint="eastAsia" w:ascii="仿宋" w:hAnsi="仿宋" w:cs="仿宋"/>
                <w:b w:val="0"/>
                <w:bCs w:val="0"/>
                <w:sz w:val="24"/>
                <w:szCs w:val="22"/>
                <w:lang w:val="en-US" w:eastAsia="zh-CN"/>
              </w:rPr>
              <w:t>书</w:t>
            </w:r>
            <w:r>
              <w:rPr>
                <w:rFonts w:hint="eastAsia" w:ascii="仿宋" w:hAnsi="仿宋" w:cs="仿宋"/>
                <w:b w:val="0"/>
                <w:bCs w:val="0"/>
                <w:sz w:val="24"/>
                <w:szCs w:val="22"/>
              </w:rPr>
              <w:t>，每人得</w:t>
            </w:r>
            <w:r>
              <w:rPr>
                <w:rFonts w:hint="eastAsia" w:ascii="仿宋" w:hAnsi="仿宋" w:cs="仿宋"/>
                <w:b w:val="0"/>
                <w:bCs w:val="0"/>
                <w:sz w:val="24"/>
                <w:szCs w:val="22"/>
                <w:lang w:val="en-US" w:eastAsia="zh-CN"/>
              </w:rPr>
              <w:t>1</w:t>
            </w:r>
            <w:r>
              <w:rPr>
                <w:rFonts w:hint="eastAsia" w:ascii="仿宋" w:hAnsi="仿宋" w:cs="仿宋"/>
                <w:b w:val="0"/>
                <w:bCs w:val="0"/>
                <w:sz w:val="24"/>
                <w:szCs w:val="22"/>
              </w:rPr>
              <w:t>分，最高得3分。（提供</w:t>
            </w:r>
            <w:r>
              <w:rPr>
                <w:rFonts w:hint="eastAsia" w:ascii="仿宋" w:hAnsi="仿宋" w:cs="仿宋"/>
                <w:b w:val="0"/>
                <w:bCs w:val="0"/>
                <w:sz w:val="24"/>
                <w:szCs w:val="22"/>
                <w:lang w:val="en-US" w:eastAsia="zh-CN"/>
              </w:rPr>
              <w:t>相关证书复印件及近半年内任意一个月</w:t>
            </w:r>
            <w:r>
              <w:rPr>
                <w:rFonts w:hint="eastAsia" w:ascii="仿宋" w:hAnsi="仿宋" w:cs="仿宋"/>
                <w:b w:val="0"/>
                <w:bCs w:val="0"/>
                <w:sz w:val="24"/>
                <w:szCs w:val="22"/>
              </w:rPr>
              <w:t>社保清单并加盖</w:t>
            </w:r>
            <w:r>
              <w:rPr>
                <w:rFonts w:hint="eastAsia" w:ascii="仿宋" w:hAnsi="仿宋" w:cs="仿宋"/>
                <w:b w:val="0"/>
                <w:bCs w:val="0"/>
                <w:sz w:val="24"/>
                <w:szCs w:val="22"/>
                <w:lang w:val="en-US" w:eastAsia="zh-CN"/>
              </w:rPr>
              <w:t>投标人或</w:t>
            </w:r>
            <w:r>
              <w:rPr>
                <w:rFonts w:hint="eastAsia" w:ascii="仿宋" w:hAnsi="仿宋" w:cs="仿宋"/>
                <w:b w:val="0"/>
                <w:bCs w:val="0"/>
                <w:sz w:val="24"/>
                <w:szCs w:val="22"/>
              </w:rPr>
              <w:t>投标品牌厂家</w:t>
            </w:r>
            <w:r>
              <w:rPr>
                <w:rFonts w:hint="eastAsia" w:ascii="仿宋" w:hAnsi="仿宋" w:cs="仿宋"/>
                <w:b w:val="0"/>
                <w:bCs w:val="0"/>
                <w:sz w:val="24"/>
                <w:szCs w:val="22"/>
                <w:lang w:val="en-US" w:eastAsia="zh-CN"/>
              </w:rPr>
              <w:t>公</w:t>
            </w:r>
            <w:r>
              <w:rPr>
                <w:rFonts w:hint="eastAsia" w:ascii="仿宋" w:hAnsi="仿宋" w:cs="仿宋"/>
                <w:b w:val="0"/>
                <w:bCs w:val="0"/>
                <w:sz w:val="24"/>
                <w:szCs w:val="22"/>
              </w:rPr>
              <w:t>章）</w:t>
            </w:r>
          </w:p>
        </w:tc>
        <w:tc>
          <w:tcPr>
            <w:tcW w:w="974" w:type="dxa"/>
            <w:tcBorders>
              <w:top w:val="single" w:color="auto" w:sz="4" w:space="0"/>
              <w:left w:val="single" w:color="auto" w:sz="4" w:space="0"/>
              <w:bottom w:val="single" w:color="auto" w:sz="4" w:space="0"/>
              <w:right w:val="single" w:color="auto" w:sz="4" w:space="0"/>
            </w:tcBorders>
            <w:vAlign w:val="center"/>
          </w:tcPr>
          <w:p w14:paraId="32AE2736">
            <w:pPr>
              <w:pStyle w:val="6"/>
              <w:keepNext w:val="0"/>
              <w:keepLines w:val="0"/>
              <w:pageBreakBefore w:val="0"/>
              <w:widowControl w:val="0"/>
              <w:tabs>
                <w:tab w:val="clear" w:pos="1008"/>
              </w:tabs>
              <w:kinsoku/>
              <w:wordWrap/>
              <w:overflowPunct/>
              <w:topLinePunct w:val="0"/>
              <w:autoSpaceDE/>
              <w:autoSpaceDN/>
              <w:bidi w:val="0"/>
              <w:adjustRightInd w:val="0"/>
              <w:snapToGrid/>
              <w:spacing w:before="0" w:after="0" w:line="400" w:lineRule="exact"/>
              <w:ind w:left="0" w:firstLine="0" w:firstLineChars="0"/>
              <w:jc w:val="center"/>
              <w:textAlignment w:val="auto"/>
              <w:rPr>
                <w:rFonts w:hint="eastAsia" w:ascii="仿宋" w:hAnsi="仿宋" w:cs="仿宋"/>
                <w:b w:val="0"/>
                <w:bCs w:val="0"/>
                <w:sz w:val="24"/>
                <w:szCs w:val="24"/>
                <w:lang w:val="en-US" w:eastAsia="zh-CN"/>
              </w:rPr>
            </w:pPr>
            <w:r>
              <w:rPr>
                <w:rFonts w:hint="eastAsia" w:ascii="仿宋" w:hAnsi="仿宋" w:cs="仿宋"/>
                <w:b w:val="0"/>
                <w:bCs w:val="0"/>
                <w:sz w:val="24"/>
                <w:szCs w:val="24"/>
                <w:lang w:val="en-US" w:eastAsia="zh-CN"/>
              </w:rPr>
              <w:t>主观分</w:t>
            </w:r>
          </w:p>
        </w:tc>
      </w:tr>
      <w:tr w14:paraId="202AD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1131" w:type="dxa"/>
            <w:vMerge w:val="continue"/>
            <w:tcBorders>
              <w:left w:val="single" w:color="auto" w:sz="4" w:space="0"/>
              <w:right w:val="single" w:color="auto" w:sz="4" w:space="0"/>
            </w:tcBorders>
            <w:vAlign w:val="center"/>
          </w:tcPr>
          <w:p w14:paraId="447E06F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vMerge w:val="restart"/>
            <w:tcBorders>
              <w:left w:val="single" w:color="auto" w:sz="4" w:space="0"/>
              <w:right w:val="single" w:color="auto" w:sz="4" w:space="0"/>
            </w:tcBorders>
            <w:vAlign w:val="center"/>
          </w:tcPr>
          <w:p w14:paraId="3DB0036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售后服务</w:t>
            </w:r>
          </w:p>
          <w:p w14:paraId="5191BB7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r>
              <w:rPr>
                <w:rFonts w:hint="eastAsia" w:ascii="仿宋" w:hAnsi="仿宋" w:cs="仿宋"/>
                <w:szCs w:val="22"/>
              </w:rPr>
              <w:t>（1</w:t>
            </w:r>
            <w:r>
              <w:rPr>
                <w:rFonts w:hint="eastAsia" w:ascii="仿宋" w:hAnsi="仿宋" w:cs="仿宋"/>
                <w:szCs w:val="22"/>
                <w:lang w:val="en-US" w:eastAsia="zh-CN"/>
              </w:rPr>
              <w:t>3</w:t>
            </w:r>
            <w:r>
              <w:rPr>
                <w:rFonts w:hint="eastAsia" w:ascii="仿宋" w:hAnsi="仿宋" w:cs="仿宋"/>
                <w:szCs w:val="22"/>
              </w:rPr>
              <w:t>分）</w:t>
            </w:r>
          </w:p>
        </w:tc>
        <w:tc>
          <w:tcPr>
            <w:tcW w:w="6621" w:type="dxa"/>
            <w:tcBorders>
              <w:top w:val="single" w:color="auto" w:sz="4" w:space="0"/>
              <w:left w:val="single" w:color="auto" w:sz="4" w:space="0"/>
              <w:bottom w:val="single" w:color="auto" w:sz="4" w:space="0"/>
              <w:right w:val="single" w:color="auto" w:sz="4" w:space="0"/>
            </w:tcBorders>
            <w:vAlign w:val="center"/>
          </w:tcPr>
          <w:p w14:paraId="27415E11">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ascii="仿宋" w:hAnsi="仿宋" w:cs="仿宋"/>
                <w:szCs w:val="22"/>
              </w:rPr>
            </w:pPr>
            <w:r>
              <w:rPr>
                <w:rFonts w:hint="eastAsia" w:ascii="仿宋" w:hAnsi="仿宋" w:eastAsia="仿宋" w:cs="仿宋"/>
                <w:b w:val="0"/>
                <w:bCs w:val="0"/>
                <w:color w:val="auto"/>
                <w:kern w:val="2"/>
                <w:sz w:val="24"/>
                <w:szCs w:val="22"/>
                <w:lang w:val="en-US" w:eastAsia="zh-CN" w:bidi="ar-SA"/>
              </w:rPr>
              <w:t>培训方案：提供合理的，具有可行性的培训方案计划（包括帮助用户建立，健全电梯安全管理制度，指导隐患排查，应急救援演练等，建立完整的电梯技术档案和一梯一档。）</w:t>
            </w:r>
            <w:r>
              <w:rPr>
                <w:rFonts w:hint="eastAsia" w:ascii="仿宋" w:hAnsi="仿宋" w:cs="仿宋"/>
                <w:color w:val="auto"/>
                <w:szCs w:val="22"/>
              </w:rPr>
              <w:t>（评分范围：</w:t>
            </w:r>
            <w:r>
              <w:rPr>
                <w:rFonts w:hint="eastAsia" w:ascii="仿宋" w:hAnsi="仿宋" w:eastAsia="仿宋" w:cs="仿宋"/>
                <w:color w:val="auto"/>
                <w:szCs w:val="22"/>
              </w:rPr>
              <w:t>4，</w:t>
            </w:r>
            <w:r>
              <w:rPr>
                <w:rFonts w:hint="eastAsia" w:ascii="仿宋" w:hAnsi="仿宋" w:cs="仿宋"/>
                <w:color w:val="auto"/>
                <w:szCs w:val="22"/>
                <w:lang w:val="en-US" w:eastAsia="zh-CN"/>
              </w:rPr>
              <w:t>3</w:t>
            </w:r>
            <w:r>
              <w:rPr>
                <w:rFonts w:hint="eastAsia" w:ascii="仿宋" w:hAnsi="仿宋" w:eastAsia="仿宋" w:cs="仿宋"/>
                <w:color w:val="auto"/>
                <w:szCs w:val="22"/>
              </w:rPr>
              <w:t>，2，</w:t>
            </w:r>
            <w:r>
              <w:rPr>
                <w:rFonts w:hint="eastAsia" w:ascii="仿宋" w:hAnsi="仿宋" w:cs="仿宋"/>
                <w:color w:val="auto"/>
                <w:szCs w:val="22"/>
                <w:lang w:val="en-US" w:eastAsia="zh-CN"/>
              </w:rPr>
              <w:t>1</w:t>
            </w:r>
            <w:r>
              <w:rPr>
                <w:rFonts w:hint="eastAsia" w:ascii="仿宋" w:hAnsi="仿宋" w:eastAsia="仿宋" w:cs="仿宋"/>
                <w:color w:val="auto"/>
                <w:szCs w:val="22"/>
              </w:rPr>
              <w:t>，0</w:t>
            </w:r>
            <w:r>
              <w:rPr>
                <w:rFonts w:hint="eastAsia" w:ascii="仿宋" w:hAnsi="仿宋" w:cs="仿宋"/>
                <w:color w:val="auto"/>
                <w:szCs w:val="22"/>
              </w:rPr>
              <w:t>）</w:t>
            </w:r>
          </w:p>
        </w:tc>
        <w:tc>
          <w:tcPr>
            <w:tcW w:w="974" w:type="dxa"/>
            <w:tcBorders>
              <w:top w:val="single" w:color="auto" w:sz="4" w:space="0"/>
              <w:left w:val="single" w:color="auto" w:sz="4" w:space="0"/>
              <w:bottom w:val="single" w:color="auto" w:sz="4" w:space="0"/>
              <w:right w:val="single" w:color="auto" w:sz="4" w:space="0"/>
            </w:tcBorders>
            <w:vAlign w:val="center"/>
          </w:tcPr>
          <w:p w14:paraId="6665A8B5">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b w:val="0"/>
                <w:bCs w:val="0"/>
                <w:color w:val="FF0000"/>
                <w:kern w:val="2"/>
                <w:sz w:val="24"/>
                <w:szCs w:val="24"/>
                <w:lang w:val="en-US" w:eastAsia="zh-CN" w:bidi="ar-SA"/>
              </w:rPr>
            </w:pPr>
            <w:r>
              <w:rPr>
                <w:rFonts w:hint="eastAsia" w:ascii="仿宋" w:hAnsi="仿宋" w:cs="仿宋"/>
                <w:sz w:val="24"/>
                <w:szCs w:val="24"/>
                <w:lang w:val="en-US" w:eastAsia="zh-CN"/>
              </w:rPr>
              <w:t>主观分</w:t>
            </w:r>
          </w:p>
        </w:tc>
      </w:tr>
      <w:tr w14:paraId="3A5E2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131" w:type="dxa"/>
            <w:vMerge w:val="continue"/>
            <w:tcBorders>
              <w:left w:val="single" w:color="auto" w:sz="4" w:space="0"/>
              <w:right w:val="single" w:color="auto" w:sz="4" w:space="0"/>
            </w:tcBorders>
            <w:vAlign w:val="center"/>
          </w:tcPr>
          <w:p w14:paraId="6B541CD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vMerge w:val="continue"/>
            <w:tcBorders>
              <w:left w:val="single" w:color="auto" w:sz="4" w:space="0"/>
              <w:right w:val="single" w:color="auto" w:sz="4" w:space="0"/>
            </w:tcBorders>
            <w:vAlign w:val="center"/>
          </w:tcPr>
          <w:p w14:paraId="6C417EA4">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6621" w:type="dxa"/>
            <w:tcBorders>
              <w:top w:val="single" w:color="auto" w:sz="4" w:space="0"/>
              <w:left w:val="single" w:color="auto" w:sz="4" w:space="0"/>
              <w:bottom w:val="single" w:color="auto" w:sz="4" w:space="0"/>
              <w:right w:val="single" w:color="auto" w:sz="4" w:space="0"/>
            </w:tcBorders>
            <w:vAlign w:val="center"/>
          </w:tcPr>
          <w:p w14:paraId="2423DF37">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default" w:ascii="仿宋" w:hAnsi="仿宋" w:eastAsia="仿宋" w:cs="仿宋"/>
                <w:b w:val="0"/>
                <w:bCs w:val="0"/>
                <w:color w:val="auto"/>
                <w:kern w:val="2"/>
                <w:sz w:val="24"/>
                <w:szCs w:val="22"/>
                <w:lang w:val="en-US" w:eastAsia="zh-CN" w:bidi="ar-SA"/>
              </w:rPr>
            </w:pPr>
            <w:r>
              <w:rPr>
                <w:rFonts w:hint="eastAsia" w:ascii="仿宋" w:hAnsi="仿宋" w:eastAsia="仿宋" w:cs="仿宋"/>
                <w:b w:val="0"/>
                <w:bCs w:val="0"/>
                <w:color w:val="auto"/>
                <w:kern w:val="2"/>
                <w:sz w:val="24"/>
                <w:szCs w:val="22"/>
                <w:lang w:val="en-US" w:eastAsia="zh-CN" w:bidi="ar-SA"/>
              </w:rPr>
              <w:t>包含维保队伍安排、定期巡检（质保期内的工作应包括对所有电梯每月至少2次的常规检查、调整和润滑以及半年度检查、年度检查项目，具体的操作程序和内容须在投标时说明）、缺陷保修结束前系统检测等内容打分，最高得3分。</w:t>
            </w:r>
          </w:p>
        </w:tc>
        <w:tc>
          <w:tcPr>
            <w:tcW w:w="974" w:type="dxa"/>
            <w:tcBorders>
              <w:top w:val="single" w:color="auto" w:sz="4" w:space="0"/>
              <w:left w:val="single" w:color="auto" w:sz="4" w:space="0"/>
              <w:bottom w:val="single" w:color="auto" w:sz="4" w:space="0"/>
              <w:right w:val="single" w:color="auto" w:sz="4" w:space="0"/>
            </w:tcBorders>
            <w:vAlign w:val="center"/>
          </w:tcPr>
          <w:p w14:paraId="6736D71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kern w:val="2"/>
                <w:sz w:val="24"/>
                <w:szCs w:val="24"/>
                <w:lang w:val="en-US" w:eastAsia="zh-CN" w:bidi="ar-SA"/>
              </w:rPr>
            </w:pPr>
            <w:r>
              <w:rPr>
                <w:rFonts w:hint="eastAsia" w:ascii="仿宋" w:hAnsi="仿宋" w:cs="仿宋"/>
                <w:sz w:val="24"/>
                <w:szCs w:val="24"/>
                <w:lang w:val="en-US" w:eastAsia="zh-CN"/>
              </w:rPr>
              <w:t>主观分</w:t>
            </w:r>
          </w:p>
        </w:tc>
      </w:tr>
      <w:tr w14:paraId="64C9D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131" w:type="dxa"/>
            <w:vMerge w:val="continue"/>
            <w:tcBorders>
              <w:left w:val="single" w:color="auto" w:sz="4" w:space="0"/>
              <w:right w:val="single" w:color="auto" w:sz="4" w:space="0"/>
            </w:tcBorders>
            <w:vAlign w:val="center"/>
          </w:tcPr>
          <w:p w14:paraId="4623E6FC">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vMerge w:val="continue"/>
            <w:tcBorders>
              <w:left w:val="single" w:color="auto" w:sz="4" w:space="0"/>
              <w:right w:val="single" w:color="auto" w:sz="4" w:space="0"/>
            </w:tcBorders>
            <w:vAlign w:val="center"/>
          </w:tcPr>
          <w:p w14:paraId="7E58A99E">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6621" w:type="dxa"/>
            <w:tcBorders>
              <w:top w:val="single" w:color="auto" w:sz="4" w:space="0"/>
              <w:left w:val="single" w:color="auto" w:sz="4" w:space="0"/>
              <w:bottom w:val="single" w:color="auto" w:sz="4" w:space="0"/>
              <w:right w:val="single" w:color="auto" w:sz="4" w:space="0"/>
            </w:tcBorders>
            <w:vAlign w:val="center"/>
          </w:tcPr>
          <w:p w14:paraId="53091218">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ascii="仿宋" w:hAnsi="仿宋" w:cs="仿宋"/>
                <w:szCs w:val="22"/>
              </w:rPr>
            </w:pPr>
            <w:r>
              <w:rPr>
                <w:rFonts w:hint="eastAsia" w:ascii="仿宋" w:hAnsi="仿宋" w:eastAsia="仿宋" w:cs="仿宋"/>
                <w:kern w:val="2"/>
                <w:sz w:val="24"/>
                <w:szCs w:val="24"/>
                <w:lang w:val="en-US" w:eastAsia="zh-CN" w:bidi="ar-SA"/>
              </w:rPr>
              <w:t>质保期内，供应商应当提供 7×24 小时电话支持服务。承诺在接到困人救援电话后维修人员20分钟内到达现场，一般故障40分钟到达现场的3分，在接到困人救援电话后维修人员20-30分钟内到达现场，一般故障60分钟到达现场的1分，其余不得分。（提供承诺书，不提供不得分。）</w:t>
            </w:r>
          </w:p>
        </w:tc>
        <w:tc>
          <w:tcPr>
            <w:tcW w:w="974" w:type="dxa"/>
            <w:tcBorders>
              <w:top w:val="single" w:color="auto" w:sz="4" w:space="0"/>
              <w:left w:val="single" w:color="auto" w:sz="4" w:space="0"/>
              <w:bottom w:val="single" w:color="auto" w:sz="4" w:space="0"/>
              <w:right w:val="single" w:color="auto" w:sz="4" w:space="0"/>
            </w:tcBorders>
            <w:vAlign w:val="center"/>
          </w:tcPr>
          <w:p w14:paraId="205B9710">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default" w:ascii="仿宋" w:hAnsi="仿宋" w:eastAsia="仿宋" w:cs="仿宋"/>
                <w:kern w:val="2"/>
                <w:sz w:val="24"/>
                <w:szCs w:val="24"/>
                <w:lang w:val="en-US" w:eastAsia="zh-CN" w:bidi="ar-SA"/>
              </w:rPr>
            </w:pPr>
            <w:r>
              <w:rPr>
                <w:rFonts w:hint="eastAsia" w:ascii="仿宋" w:hAnsi="仿宋" w:cs="仿宋"/>
                <w:kern w:val="2"/>
                <w:sz w:val="24"/>
                <w:szCs w:val="24"/>
                <w:lang w:val="en-US" w:eastAsia="zh-CN" w:bidi="ar-SA"/>
              </w:rPr>
              <w:t>客观分</w:t>
            </w:r>
          </w:p>
        </w:tc>
      </w:tr>
      <w:tr w14:paraId="325B9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131" w:type="dxa"/>
            <w:vMerge w:val="continue"/>
            <w:tcBorders>
              <w:left w:val="single" w:color="auto" w:sz="4" w:space="0"/>
              <w:right w:val="single" w:color="auto" w:sz="4" w:space="0"/>
            </w:tcBorders>
            <w:vAlign w:val="center"/>
          </w:tcPr>
          <w:p w14:paraId="7F52BB3F">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1488" w:type="dxa"/>
            <w:vMerge w:val="continue"/>
            <w:tcBorders>
              <w:left w:val="single" w:color="auto" w:sz="4" w:space="0"/>
              <w:right w:val="single" w:color="auto" w:sz="4" w:space="0"/>
            </w:tcBorders>
            <w:vAlign w:val="center"/>
          </w:tcPr>
          <w:p w14:paraId="47BAF199">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ascii="仿宋" w:hAnsi="仿宋" w:cs="仿宋"/>
                <w:szCs w:val="22"/>
              </w:rPr>
            </w:pPr>
          </w:p>
        </w:tc>
        <w:tc>
          <w:tcPr>
            <w:tcW w:w="6621" w:type="dxa"/>
            <w:tcBorders>
              <w:top w:val="single" w:color="auto" w:sz="4" w:space="0"/>
              <w:left w:val="single" w:color="auto" w:sz="4" w:space="0"/>
              <w:bottom w:val="single" w:color="auto" w:sz="4" w:space="0"/>
              <w:right w:val="single" w:color="auto" w:sz="4" w:space="0"/>
            </w:tcBorders>
          </w:tcPr>
          <w:p w14:paraId="496230AF">
            <w:pPr>
              <w:keepNext w:val="0"/>
              <w:keepLines w:val="0"/>
              <w:pageBreakBefore w:val="0"/>
              <w:widowControl w:val="0"/>
              <w:kinsoku/>
              <w:wordWrap/>
              <w:overflowPunct/>
              <w:topLinePunct w:val="0"/>
              <w:autoSpaceDE/>
              <w:autoSpaceDN/>
              <w:bidi w:val="0"/>
              <w:adjustRightInd w:val="0"/>
              <w:snapToGrid/>
              <w:spacing w:line="400" w:lineRule="exact"/>
              <w:ind w:firstLine="0" w:firstLineChars="0"/>
              <w:textAlignment w:val="auto"/>
              <w:rPr>
                <w:rFonts w:hint="default" w:ascii="仿宋" w:hAnsi="仿宋" w:cs="仿宋"/>
                <w:szCs w:val="22"/>
                <w:lang w:val="en-US"/>
              </w:rPr>
            </w:pPr>
            <w:r>
              <w:rPr>
                <w:rFonts w:hint="eastAsia" w:ascii="仿宋" w:hAnsi="仿宋" w:eastAsia="仿宋" w:cs="仿宋"/>
                <w:kern w:val="2"/>
                <w:sz w:val="24"/>
                <w:szCs w:val="24"/>
                <w:lang w:val="en-US" w:eastAsia="zh-CN" w:bidi="ar-SA"/>
              </w:rPr>
              <w:t>质保期内外的后续技术支持和维护能力情况、设备的配件、附件、备品备件的准备和保障措施情况</w:t>
            </w:r>
            <w:r>
              <w:rPr>
                <w:rFonts w:hint="eastAsia" w:ascii="仿宋" w:hAnsi="仿宋" w:cs="仿宋"/>
                <w:kern w:val="2"/>
                <w:sz w:val="24"/>
                <w:szCs w:val="24"/>
                <w:lang w:val="en-US" w:eastAsia="zh-CN" w:bidi="ar-SA"/>
              </w:rPr>
              <w:t>，最高得3分。</w:t>
            </w:r>
          </w:p>
        </w:tc>
        <w:tc>
          <w:tcPr>
            <w:tcW w:w="974" w:type="dxa"/>
            <w:tcBorders>
              <w:top w:val="single" w:color="auto" w:sz="4" w:space="0"/>
              <w:left w:val="single" w:color="auto" w:sz="4" w:space="0"/>
              <w:bottom w:val="single" w:color="auto" w:sz="4" w:space="0"/>
              <w:right w:val="single" w:color="auto" w:sz="4" w:space="0"/>
            </w:tcBorders>
          </w:tcPr>
          <w:p w14:paraId="406774C8">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仿宋" w:hAnsi="仿宋" w:eastAsia="仿宋" w:cs="仿宋"/>
                <w:kern w:val="2"/>
                <w:sz w:val="24"/>
                <w:szCs w:val="24"/>
                <w:lang w:val="en-US" w:eastAsia="zh-CN" w:bidi="ar-SA"/>
              </w:rPr>
            </w:pPr>
            <w:r>
              <w:rPr>
                <w:rFonts w:hint="eastAsia" w:ascii="仿宋" w:hAnsi="仿宋" w:cs="仿宋"/>
                <w:sz w:val="24"/>
                <w:szCs w:val="24"/>
                <w:lang w:val="en-US" w:eastAsia="zh-CN"/>
              </w:rPr>
              <w:t>主观分</w:t>
            </w:r>
          </w:p>
        </w:tc>
      </w:tr>
    </w:tbl>
    <w:p w14:paraId="4BEE881D">
      <w:pPr>
        <w:adjustRightInd/>
        <w:spacing w:line="360" w:lineRule="auto"/>
        <w:ind w:firstLine="480" w:firstLineChars="200"/>
        <w:rPr>
          <w:b/>
          <w:sz w:val="32"/>
        </w:rPr>
      </w:pPr>
      <w:r>
        <w:rPr>
          <w:rFonts w:hAnsi="仿宋"/>
          <w:kern w:val="0"/>
        </w:rPr>
        <w:t>备注：投标人编制投标文件（商务技术文件部分）时，建议按此目录（序号和内容）提供评标标准相应的商务技术资料。</w:t>
      </w:r>
      <w:r>
        <w:rPr>
          <w:kern w:val="0"/>
        </w:rPr>
        <w:t> </w:t>
      </w:r>
    </w:p>
    <w:p w14:paraId="59FD5B19">
      <w:pPr>
        <w:snapToGrid w:val="0"/>
        <w:spacing w:line="360" w:lineRule="auto"/>
        <w:rPr>
          <w:b/>
          <w:sz w:val="28"/>
          <w:szCs w:val="28"/>
        </w:rPr>
      </w:pPr>
      <w:r>
        <w:rPr>
          <w:rFonts w:hAnsi="仿宋"/>
          <w:b/>
          <w:sz w:val="32"/>
        </w:rPr>
        <w:t>一、评标方法</w:t>
      </w:r>
    </w:p>
    <w:p w14:paraId="3D5D331A">
      <w:pPr>
        <w:adjustRightInd/>
        <w:spacing w:line="360" w:lineRule="auto"/>
        <w:ind w:firstLine="472" w:firstLineChars="196"/>
        <w:rPr>
          <w:kern w:val="0"/>
        </w:rPr>
      </w:pPr>
      <w:r>
        <w:rPr>
          <w:b/>
          <w:kern w:val="0"/>
        </w:rPr>
        <w:t>1.</w:t>
      </w:r>
      <w:r>
        <w:rPr>
          <w:rFonts w:hAnsi="仿宋"/>
          <w:b/>
          <w:kern w:val="0"/>
        </w:rPr>
        <w:t>本项目采用综合评分法。</w:t>
      </w:r>
      <w:r>
        <w:rPr>
          <w:rFonts w:hAnsi="仿宋"/>
          <w:kern w:val="0"/>
        </w:rPr>
        <w:t>综合评分法，是指投标文件满足招标文件全部实质性要求，且按照评审因素的量化指标评审得分最高的投标人为中标候选人的评标方法。</w:t>
      </w:r>
    </w:p>
    <w:p w14:paraId="36D6B549">
      <w:pPr>
        <w:adjustRightInd/>
        <w:spacing w:line="360" w:lineRule="auto"/>
        <w:rPr>
          <w:kern w:val="0"/>
        </w:rPr>
      </w:pPr>
      <w:r>
        <w:rPr>
          <w:rFonts w:hAnsi="仿宋"/>
          <w:b/>
          <w:sz w:val="32"/>
        </w:rPr>
        <w:t>二、评标标准</w:t>
      </w:r>
    </w:p>
    <w:p w14:paraId="07ACD1D0">
      <w:pPr>
        <w:spacing w:line="360" w:lineRule="auto"/>
        <w:ind w:firstLine="472" w:firstLineChars="196"/>
        <w:rPr>
          <w:b/>
        </w:rPr>
      </w:pPr>
      <w:r>
        <w:rPr>
          <w:b/>
        </w:rPr>
        <w:t>2.</w:t>
      </w:r>
      <w:r>
        <w:rPr>
          <w:rFonts w:hAnsi="仿宋"/>
          <w:b/>
        </w:rPr>
        <w:t>评标标准：</w:t>
      </w:r>
      <w:r>
        <w:rPr>
          <w:rFonts w:hAnsi="仿宋"/>
          <w:kern w:val="0"/>
        </w:rPr>
        <w:t>见评标办法前附表。</w:t>
      </w:r>
    </w:p>
    <w:p w14:paraId="2E4C316A">
      <w:pPr>
        <w:spacing w:line="360" w:lineRule="auto"/>
        <w:outlineLvl w:val="0"/>
        <w:rPr>
          <w:b/>
          <w:sz w:val="36"/>
          <w:szCs w:val="36"/>
        </w:rPr>
      </w:pPr>
      <w:r>
        <w:rPr>
          <w:rFonts w:hAnsi="仿宋"/>
          <w:b/>
          <w:sz w:val="36"/>
          <w:szCs w:val="36"/>
        </w:rPr>
        <w:t>三、评标程序</w:t>
      </w:r>
    </w:p>
    <w:p w14:paraId="1F15E333">
      <w:pPr>
        <w:spacing w:line="360" w:lineRule="auto"/>
        <w:ind w:firstLine="472" w:firstLineChars="196"/>
        <w:rPr>
          <w:kern w:val="0"/>
        </w:rPr>
      </w:pPr>
      <w:r>
        <w:rPr>
          <w:b/>
          <w:kern w:val="0"/>
        </w:rPr>
        <w:t>3.1</w:t>
      </w:r>
      <w:r>
        <w:rPr>
          <w:rFonts w:hAnsi="仿宋"/>
          <w:b/>
          <w:kern w:val="0"/>
        </w:rPr>
        <w:t>符合性审查。</w:t>
      </w:r>
      <w:r>
        <w:rPr>
          <w:rFonts w:hAnsi="仿宋"/>
          <w:kern w:val="0"/>
        </w:rPr>
        <w:t>评标委员会应当对符合资格的投标人的投标文件进行符合性审查，以确定其是否满足招标文件的实质性要求。不满足招标文件的实质性要求的，投标无效。</w:t>
      </w:r>
    </w:p>
    <w:p w14:paraId="7728B645">
      <w:pPr>
        <w:spacing w:line="360" w:lineRule="auto"/>
        <w:ind w:firstLine="472" w:firstLineChars="196"/>
        <w:rPr>
          <w:kern w:val="0"/>
        </w:rPr>
      </w:pPr>
      <w:r>
        <w:rPr>
          <w:b/>
          <w:kern w:val="0"/>
        </w:rPr>
        <w:t xml:space="preserve">3.2 </w:t>
      </w:r>
      <w:r>
        <w:rPr>
          <w:rFonts w:hAnsi="仿宋"/>
          <w:b/>
          <w:kern w:val="0"/>
        </w:rPr>
        <w:t>比较与评价。</w:t>
      </w:r>
      <w:r>
        <w:rPr>
          <w:rFonts w:hAnsi="仿宋"/>
          <w:kern w:val="0"/>
        </w:rPr>
        <w:t>评标委员会应当按照招标文件中规定的评标方法和标准，对符合性审查合格的投标文件进行商务和技术评估，综合比较与评价。</w:t>
      </w:r>
    </w:p>
    <w:p w14:paraId="4D6FCAA7">
      <w:pPr>
        <w:spacing w:line="360" w:lineRule="auto"/>
        <w:ind w:firstLine="472" w:firstLineChars="196"/>
        <w:rPr>
          <w:kern w:val="0"/>
        </w:rPr>
      </w:pPr>
      <w:r>
        <w:rPr>
          <w:b/>
          <w:kern w:val="0"/>
        </w:rPr>
        <w:t>3.3</w:t>
      </w:r>
      <w:r>
        <w:rPr>
          <w:rFonts w:hAnsi="仿宋"/>
          <w:b/>
          <w:kern w:val="0"/>
        </w:rPr>
        <w:t>汇总商务技术得分。</w:t>
      </w:r>
      <w:r>
        <w:rPr>
          <w:rFonts w:hAnsi="仿宋"/>
          <w:kern w:val="0"/>
        </w:rPr>
        <w:t>评标委员会各成员应当独立对每个投标人的商务和技术文件进行评价，并汇总商务技术得分情况。</w:t>
      </w:r>
    </w:p>
    <w:p w14:paraId="642DDDAD">
      <w:pPr>
        <w:spacing w:line="360" w:lineRule="auto"/>
        <w:ind w:firstLine="472" w:firstLineChars="196"/>
        <w:rPr>
          <w:b/>
          <w:kern w:val="0"/>
        </w:rPr>
      </w:pPr>
      <w:r>
        <w:rPr>
          <w:b/>
          <w:kern w:val="0"/>
        </w:rPr>
        <w:t>3.4</w:t>
      </w:r>
      <w:r>
        <w:rPr>
          <w:rFonts w:hAnsi="仿宋"/>
          <w:b/>
          <w:kern w:val="0"/>
        </w:rPr>
        <w:t>报价评审。</w:t>
      </w:r>
    </w:p>
    <w:p w14:paraId="1C078E07">
      <w:pPr>
        <w:pStyle w:val="133"/>
        <w:spacing w:before="0"/>
        <w:ind w:firstLine="480"/>
        <w:rPr>
          <w:kern w:val="0"/>
          <w:szCs w:val="24"/>
        </w:rPr>
      </w:pPr>
      <w:r>
        <w:rPr>
          <w:kern w:val="0"/>
          <w:szCs w:val="24"/>
        </w:rPr>
        <w:t>3.4.1</w:t>
      </w:r>
      <w:r>
        <w:rPr>
          <w:rFonts w:hAnsi="仿宋"/>
          <w:kern w:val="0"/>
          <w:szCs w:val="24"/>
        </w:rPr>
        <w:t>投标文件报价出现前后不一致的，按照下列规定修正：</w:t>
      </w:r>
    </w:p>
    <w:p w14:paraId="185DD312">
      <w:pPr>
        <w:pStyle w:val="133"/>
        <w:spacing w:before="0"/>
        <w:ind w:firstLine="480"/>
        <w:rPr>
          <w:kern w:val="0"/>
          <w:szCs w:val="24"/>
        </w:rPr>
      </w:pPr>
      <w:r>
        <w:rPr>
          <w:kern w:val="0"/>
          <w:szCs w:val="24"/>
        </w:rPr>
        <w:t>3.4.1.1</w:t>
      </w:r>
      <w:r>
        <w:rPr>
          <w:rFonts w:hAnsi="仿宋"/>
          <w:kern w:val="0"/>
          <w:szCs w:val="24"/>
        </w:rPr>
        <w:t>投标文件中开标一览表</w:t>
      </w:r>
      <w:r>
        <w:rPr>
          <w:kern w:val="0"/>
          <w:szCs w:val="24"/>
        </w:rPr>
        <w:t>(</w:t>
      </w:r>
      <w:r>
        <w:rPr>
          <w:rFonts w:hAnsi="仿宋"/>
          <w:kern w:val="0"/>
          <w:szCs w:val="24"/>
        </w:rPr>
        <w:t>报价表</w:t>
      </w:r>
      <w:r>
        <w:rPr>
          <w:kern w:val="0"/>
          <w:szCs w:val="24"/>
        </w:rPr>
        <w:t>)</w:t>
      </w:r>
      <w:r>
        <w:rPr>
          <w:rFonts w:hAnsi="仿宋"/>
          <w:kern w:val="0"/>
          <w:szCs w:val="24"/>
        </w:rPr>
        <w:t>内容与投标文件中相应内容不一致的，以开标一览表</w:t>
      </w:r>
      <w:r>
        <w:rPr>
          <w:kern w:val="0"/>
          <w:szCs w:val="24"/>
        </w:rPr>
        <w:t>(</w:t>
      </w:r>
      <w:r>
        <w:rPr>
          <w:rFonts w:hAnsi="仿宋"/>
          <w:kern w:val="0"/>
          <w:szCs w:val="24"/>
        </w:rPr>
        <w:t>报价表</w:t>
      </w:r>
      <w:r>
        <w:rPr>
          <w:kern w:val="0"/>
          <w:szCs w:val="24"/>
        </w:rPr>
        <w:t>)</w:t>
      </w:r>
      <w:r>
        <w:rPr>
          <w:rFonts w:hAnsi="仿宋"/>
          <w:kern w:val="0"/>
          <w:szCs w:val="24"/>
        </w:rPr>
        <w:t>为准</w:t>
      </w:r>
      <w:r>
        <w:rPr>
          <w:kern w:val="0"/>
          <w:szCs w:val="24"/>
        </w:rPr>
        <w:t>;</w:t>
      </w:r>
    </w:p>
    <w:p w14:paraId="7023F61D">
      <w:pPr>
        <w:pStyle w:val="133"/>
        <w:spacing w:before="0"/>
        <w:ind w:firstLine="480"/>
        <w:rPr>
          <w:kern w:val="0"/>
          <w:szCs w:val="24"/>
        </w:rPr>
      </w:pPr>
      <w:r>
        <w:rPr>
          <w:kern w:val="0"/>
          <w:szCs w:val="24"/>
        </w:rPr>
        <w:t>3.4.1.2</w:t>
      </w:r>
      <w:r>
        <w:rPr>
          <w:rFonts w:hAnsi="仿宋"/>
          <w:kern w:val="0"/>
          <w:szCs w:val="24"/>
        </w:rPr>
        <w:t>大写金额和小写金额不一致的，以大写金额为准</w:t>
      </w:r>
      <w:r>
        <w:rPr>
          <w:kern w:val="0"/>
          <w:szCs w:val="24"/>
        </w:rPr>
        <w:t>;</w:t>
      </w:r>
    </w:p>
    <w:p w14:paraId="74A33DB2">
      <w:pPr>
        <w:pStyle w:val="133"/>
        <w:spacing w:before="0"/>
        <w:ind w:firstLine="480"/>
        <w:rPr>
          <w:kern w:val="0"/>
          <w:szCs w:val="24"/>
        </w:rPr>
      </w:pPr>
      <w:r>
        <w:rPr>
          <w:kern w:val="0"/>
          <w:szCs w:val="24"/>
        </w:rPr>
        <w:t>3.4.1.3</w:t>
      </w:r>
      <w:r>
        <w:rPr>
          <w:rFonts w:hAnsi="仿宋"/>
          <w:kern w:val="0"/>
          <w:szCs w:val="24"/>
        </w:rPr>
        <w:t>单价金额小数点或者百分比有明显错位的，以开标一览表的总价为准，并修改单价</w:t>
      </w:r>
      <w:r>
        <w:rPr>
          <w:kern w:val="0"/>
          <w:szCs w:val="24"/>
        </w:rPr>
        <w:t>;</w:t>
      </w:r>
    </w:p>
    <w:p w14:paraId="1A2EBEE1">
      <w:pPr>
        <w:pStyle w:val="133"/>
        <w:spacing w:before="0"/>
        <w:ind w:firstLine="480"/>
        <w:rPr>
          <w:kern w:val="0"/>
          <w:szCs w:val="24"/>
        </w:rPr>
      </w:pPr>
      <w:r>
        <w:rPr>
          <w:kern w:val="0"/>
          <w:szCs w:val="24"/>
        </w:rPr>
        <w:t>3.4.1.4</w:t>
      </w:r>
      <w:r>
        <w:rPr>
          <w:rFonts w:hAnsi="仿宋"/>
          <w:kern w:val="0"/>
          <w:szCs w:val="24"/>
        </w:rPr>
        <w:t>总价金额与按单价汇总金额不一致的，以单价金额计算结果为准。</w:t>
      </w:r>
    </w:p>
    <w:p w14:paraId="34FA89D1">
      <w:pPr>
        <w:pStyle w:val="133"/>
        <w:spacing w:before="0"/>
        <w:ind w:firstLine="480"/>
        <w:rPr>
          <w:kern w:val="0"/>
          <w:szCs w:val="24"/>
        </w:rPr>
      </w:pPr>
      <w:r>
        <w:rPr>
          <w:kern w:val="0"/>
          <w:szCs w:val="24"/>
        </w:rPr>
        <w:t>3.4.1.5</w:t>
      </w:r>
      <w:r>
        <w:rPr>
          <w:rFonts w:hAnsi="仿宋"/>
          <w:kern w:val="0"/>
          <w:szCs w:val="24"/>
        </w:rPr>
        <w:t>同时出现两种以上不一致的，按照</w:t>
      </w:r>
      <w:r>
        <w:rPr>
          <w:kern w:val="0"/>
          <w:szCs w:val="24"/>
        </w:rPr>
        <w:t>3.4.1</w:t>
      </w:r>
      <w:r>
        <w:rPr>
          <w:rFonts w:hAnsi="仿宋"/>
          <w:kern w:val="0"/>
          <w:szCs w:val="24"/>
        </w:rPr>
        <w:t>规定的顺序修正。修正后的报价按照财政部第</w:t>
      </w:r>
      <w:r>
        <w:rPr>
          <w:kern w:val="0"/>
          <w:szCs w:val="24"/>
        </w:rPr>
        <w:t>87</w:t>
      </w:r>
      <w:r>
        <w:rPr>
          <w:rFonts w:hAnsi="仿宋"/>
          <w:kern w:val="0"/>
          <w:szCs w:val="24"/>
        </w:rPr>
        <w:t>号令《政府采购货物和服务招标投标管理办法》第五十一条第二款的规定经投标人确认后产生约束力。</w:t>
      </w:r>
    </w:p>
    <w:p w14:paraId="2D2C9DAA">
      <w:pPr>
        <w:pStyle w:val="133"/>
        <w:spacing w:before="0"/>
        <w:ind w:firstLine="480"/>
        <w:rPr>
          <w:kern w:val="0"/>
          <w:szCs w:val="24"/>
        </w:rPr>
      </w:pPr>
      <w:r>
        <w:rPr>
          <w:kern w:val="0"/>
          <w:szCs w:val="24"/>
        </w:rPr>
        <w:t>3.4.2</w:t>
      </w:r>
      <w:r>
        <w:rPr>
          <w:rFonts w:hAnsi="仿宋"/>
          <w:kern w:val="0"/>
          <w:szCs w:val="24"/>
        </w:rPr>
        <w:t>投标文件出现不是唯一的、有选择性投标报价的，投标无效。</w:t>
      </w:r>
    </w:p>
    <w:p w14:paraId="02AE68B7">
      <w:pPr>
        <w:pStyle w:val="133"/>
        <w:spacing w:before="0"/>
        <w:ind w:firstLine="480"/>
        <w:rPr>
          <w:kern w:val="0"/>
          <w:szCs w:val="24"/>
        </w:rPr>
      </w:pPr>
      <w:r>
        <w:rPr>
          <w:kern w:val="0"/>
          <w:szCs w:val="24"/>
        </w:rPr>
        <w:t>3.4.3</w:t>
      </w:r>
      <w:r>
        <w:rPr>
          <w:rFonts w:hAnsi="仿宋"/>
          <w:kern w:val="0"/>
          <w:szCs w:val="24"/>
        </w:rPr>
        <w:t>投标报价超过招标文件中规定的预算金额或者最高限价的，投标无效。</w:t>
      </w:r>
    </w:p>
    <w:p w14:paraId="558F0AED">
      <w:pPr>
        <w:pStyle w:val="133"/>
        <w:spacing w:before="0"/>
        <w:ind w:firstLine="480"/>
        <w:rPr>
          <w:kern w:val="0"/>
          <w:szCs w:val="24"/>
        </w:rPr>
      </w:pPr>
      <w:r>
        <w:rPr>
          <w:kern w:val="0"/>
          <w:szCs w:val="24"/>
        </w:rPr>
        <w:t>3.4.4</w:t>
      </w:r>
      <w:r>
        <w:rPr>
          <w:rFonts w:hAnsi="仿宋"/>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Pr>
          <w:kern w:val="0"/>
          <w:szCs w:val="24"/>
        </w:rPr>
        <w:t>;</w:t>
      </w:r>
      <w:r>
        <w:rPr>
          <w:rFonts w:hAnsi="仿宋"/>
          <w:kern w:val="0"/>
          <w:szCs w:val="24"/>
        </w:rPr>
        <w:t>投标人不能证明其报价合理性的，评标委员会应当将其作为无效投标处理。</w:t>
      </w:r>
    </w:p>
    <w:p w14:paraId="4D9D1354">
      <w:pPr>
        <w:spacing w:line="360" w:lineRule="auto"/>
        <w:ind w:firstLine="482" w:firstLineChars="200"/>
        <w:rPr>
          <w:kern w:val="0"/>
        </w:rPr>
      </w:pPr>
      <w:r>
        <w:rPr>
          <w:rFonts w:hint="eastAsia" w:ascii="仿宋" w:hAnsi="仿宋" w:cs="仿宋"/>
          <w:b/>
          <w:kern w:val="0"/>
        </w:rPr>
        <w:t>3.5排序与推荐。</w:t>
      </w:r>
      <w:r>
        <w:rPr>
          <w:rFonts w:hAnsi="仿宋"/>
        </w:rPr>
        <w:t>评标委员会按各有效投标人的综合得分从高到低的顺序推荐排名第一的投标人为中标人。如中标人因自身原因放弃中标或因不可抗力不能履行合同时，采购人将有权选择排名第二的候选供应商为中标供应商或</w:t>
      </w:r>
      <w:r>
        <w:rPr>
          <w:rFonts w:hAnsi="仿宋"/>
          <w:kern w:val="0"/>
        </w:rPr>
        <w:t>由采购人重新开展政府采购活动</w:t>
      </w:r>
      <w:r>
        <w:rPr>
          <w:rFonts w:hAnsi="仿宋"/>
        </w:rPr>
        <w:t>。</w:t>
      </w:r>
    </w:p>
    <w:p w14:paraId="329E260C">
      <w:pPr>
        <w:spacing w:line="360" w:lineRule="auto"/>
        <w:ind w:firstLine="480" w:firstLineChars="200"/>
        <w:rPr>
          <w:b/>
          <w:kern w:val="0"/>
        </w:rPr>
      </w:pPr>
      <w:r>
        <w:rPr>
          <w:rFonts w:hAnsi="仿宋"/>
          <w:kern w:val="0"/>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6B0F8EF">
      <w:pPr>
        <w:spacing w:line="360" w:lineRule="auto"/>
        <w:ind w:firstLine="472" w:firstLineChars="196"/>
        <w:rPr>
          <w:kern w:val="0"/>
        </w:rPr>
      </w:pPr>
      <w:r>
        <w:rPr>
          <w:b/>
          <w:kern w:val="0"/>
        </w:rPr>
        <w:t>3.6</w:t>
      </w:r>
      <w:r>
        <w:rPr>
          <w:rFonts w:hAnsi="仿宋"/>
          <w:b/>
          <w:kern w:val="0"/>
        </w:rPr>
        <w:t>编写评标报告。</w:t>
      </w:r>
      <w:r>
        <w:rPr>
          <w:rFonts w:hAnsi="仿宋"/>
          <w:kern w:val="0"/>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57D3330">
      <w:pPr>
        <w:widowControl/>
        <w:shd w:val="clear" w:color="auto" w:fill="FFFFFF"/>
        <w:adjustRightInd/>
        <w:spacing w:after="225" w:line="315" w:lineRule="atLeast"/>
        <w:jc w:val="left"/>
        <w:rPr>
          <w:b/>
          <w:sz w:val="32"/>
        </w:rPr>
      </w:pPr>
      <w:r>
        <w:rPr>
          <w:rFonts w:hAnsi="仿宋"/>
          <w:b/>
          <w:sz w:val="32"/>
        </w:rPr>
        <w:t>四、评标中的其他事项</w:t>
      </w:r>
    </w:p>
    <w:p w14:paraId="3D21AD2D">
      <w:pPr>
        <w:pStyle w:val="133"/>
        <w:spacing w:before="0"/>
        <w:ind w:firstLine="472" w:firstLineChars="196"/>
        <w:rPr>
          <w:kern w:val="0"/>
          <w:szCs w:val="24"/>
        </w:rPr>
      </w:pPr>
      <w:r>
        <w:rPr>
          <w:b/>
          <w:kern w:val="0"/>
          <w:szCs w:val="24"/>
        </w:rPr>
        <w:t>4.1</w:t>
      </w:r>
      <w:r>
        <w:rPr>
          <w:rFonts w:hAnsi="仿宋"/>
          <w:b/>
          <w:kern w:val="0"/>
          <w:szCs w:val="24"/>
        </w:rPr>
        <w:t>投标人澄清、说明或者补正。</w:t>
      </w:r>
      <w:r>
        <w:rPr>
          <w:rFonts w:hAnsi="仿宋"/>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8724DC9">
      <w:pPr>
        <w:pStyle w:val="24"/>
        <w:spacing w:line="360" w:lineRule="auto"/>
        <w:ind w:left="1021" w:leftChars="226" w:hanging="479" w:firstLineChars="0"/>
        <w:rPr>
          <w:rFonts w:ascii="Times New Roman" w:hAnsi="Times New Roman"/>
          <w:szCs w:val="21"/>
        </w:rPr>
      </w:pPr>
      <w:r>
        <w:rPr>
          <w:rFonts w:ascii="Times New Roman" w:hAnsi="Times New Roman"/>
          <w:b/>
          <w:kern w:val="0"/>
        </w:rPr>
        <w:t>4.2</w:t>
      </w:r>
      <w:r>
        <w:rPr>
          <w:rFonts w:ascii="Times New Roman" w:hAnsi="仿宋"/>
          <w:b/>
          <w:kern w:val="0"/>
        </w:rPr>
        <w:t>投标无效。</w:t>
      </w:r>
      <w:r>
        <w:rPr>
          <w:rFonts w:ascii="Times New Roman" w:hAnsi="仿宋"/>
          <w:szCs w:val="21"/>
        </w:rPr>
        <w:t>有下列情况之一的，投标无效：</w:t>
      </w:r>
    </w:p>
    <w:p w14:paraId="5043C86B">
      <w:pPr>
        <w:spacing w:line="360" w:lineRule="auto"/>
        <w:ind w:firstLine="480" w:firstLineChars="200"/>
        <w:rPr>
          <w:kern w:val="0"/>
        </w:rPr>
      </w:pPr>
      <w:r>
        <w:rPr>
          <w:kern w:val="0"/>
        </w:rPr>
        <w:t>4.2.1</w:t>
      </w:r>
      <w:r>
        <w:rPr>
          <w:rFonts w:hAnsi="仿宋"/>
          <w:kern w:val="0"/>
        </w:rPr>
        <w:t>投标人不具备招标文件中规定的资格要求的（投标人未提供有效的资格文件的，视为投标人不具备招标文件中规定的资格要求）；</w:t>
      </w:r>
    </w:p>
    <w:p w14:paraId="55EB50A9">
      <w:pPr>
        <w:spacing w:line="360" w:lineRule="auto"/>
        <w:ind w:firstLine="480" w:firstLineChars="200"/>
        <w:rPr>
          <w:kern w:val="0"/>
        </w:rPr>
      </w:pPr>
      <w:r>
        <w:rPr>
          <w:kern w:val="0"/>
        </w:rPr>
        <w:t>4.2.2</w:t>
      </w:r>
      <w:r>
        <w:rPr>
          <w:rFonts w:hAnsi="仿宋"/>
          <w:kern w:val="0"/>
        </w:rPr>
        <w:t>投标文件未按照招标文件要求签署、盖章的；</w:t>
      </w:r>
    </w:p>
    <w:p w14:paraId="4C292F49">
      <w:pPr>
        <w:spacing w:line="360" w:lineRule="auto"/>
        <w:ind w:firstLine="480" w:firstLineChars="200"/>
        <w:rPr>
          <w:kern w:val="0"/>
        </w:rPr>
      </w:pPr>
      <w:r>
        <w:rPr>
          <w:kern w:val="0"/>
        </w:rPr>
        <w:t>4.2.3</w:t>
      </w:r>
      <w:r>
        <w:rPr>
          <w:rFonts w:hAnsi="仿宋"/>
          <w:kern w:val="0"/>
        </w:rPr>
        <w:t>采购人拟采购的产品属于政府强制采购的节能产品品目清单范围的，投标人未按招标文件要求提供国家确定的认证机构出具的、处于有效期之内的节能产品认证证书的；</w:t>
      </w:r>
    </w:p>
    <w:p w14:paraId="4D60371A">
      <w:pPr>
        <w:spacing w:line="360" w:lineRule="auto"/>
        <w:ind w:firstLine="480" w:firstLineChars="200"/>
        <w:rPr>
          <w:kern w:val="0"/>
        </w:rPr>
      </w:pPr>
      <w:r>
        <w:rPr>
          <w:kern w:val="0"/>
        </w:rPr>
        <w:t>4.2.4</w:t>
      </w:r>
      <w:r>
        <w:rPr>
          <w:rFonts w:hAnsi="仿宋"/>
          <w:kern w:val="0"/>
        </w:rPr>
        <w:t>投标文件含有采购人不能接受的附加条件的；</w:t>
      </w:r>
    </w:p>
    <w:p w14:paraId="22298C94">
      <w:pPr>
        <w:spacing w:line="360" w:lineRule="auto"/>
        <w:ind w:firstLine="480" w:firstLineChars="200"/>
        <w:rPr>
          <w:kern w:val="0"/>
        </w:rPr>
      </w:pPr>
      <w:r>
        <w:rPr>
          <w:kern w:val="0"/>
        </w:rPr>
        <w:t>4.2.5</w:t>
      </w:r>
      <w:r>
        <w:rPr>
          <w:rFonts w:hAnsi="仿宋"/>
          <w:kern w:val="0"/>
        </w:rPr>
        <w:t>投标文件中承诺的投标有效期少于招标文件中载明的投标有效期的；</w:t>
      </w:r>
    </w:p>
    <w:p w14:paraId="40194EAE">
      <w:pPr>
        <w:snapToGrid w:val="0"/>
        <w:spacing w:line="360" w:lineRule="auto"/>
        <w:ind w:firstLine="480" w:firstLineChars="200"/>
        <w:jc w:val="left"/>
        <w:rPr>
          <w:kern w:val="0"/>
        </w:rPr>
      </w:pPr>
      <w:r>
        <w:rPr>
          <w:kern w:val="0"/>
        </w:rPr>
        <w:t>4.2.6</w:t>
      </w:r>
      <w:r>
        <w:rPr>
          <w:rFonts w:hAnsi="仿宋"/>
          <w:kern w:val="0"/>
        </w:rPr>
        <w:t>投标文件出现不是唯一的、有选择性投标报价的</w:t>
      </w:r>
      <w:r>
        <w:rPr>
          <w:kern w:val="0"/>
        </w:rPr>
        <w:t>;</w:t>
      </w:r>
    </w:p>
    <w:p w14:paraId="1D759CB7">
      <w:pPr>
        <w:spacing w:line="360" w:lineRule="auto"/>
        <w:ind w:firstLine="480" w:firstLineChars="200"/>
        <w:rPr>
          <w:kern w:val="0"/>
        </w:rPr>
      </w:pPr>
      <w:r>
        <w:rPr>
          <w:kern w:val="0"/>
        </w:rPr>
        <w:t>4.2.7</w:t>
      </w:r>
      <w:r>
        <w:rPr>
          <w:rFonts w:hAnsi="仿宋"/>
          <w:kern w:val="0"/>
        </w:rPr>
        <w:t>投标报价超过招标文件中规定的预算金额或者最高限价的</w:t>
      </w:r>
      <w:r>
        <w:rPr>
          <w:kern w:val="0"/>
        </w:rPr>
        <w:t>;</w:t>
      </w:r>
    </w:p>
    <w:p w14:paraId="7055A0E8">
      <w:pPr>
        <w:spacing w:line="360" w:lineRule="auto"/>
        <w:ind w:firstLine="480" w:firstLineChars="200"/>
        <w:rPr>
          <w:kern w:val="0"/>
        </w:rPr>
      </w:pPr>
      <w:r>
        <w:rPr>
          <w:kern w:val="0"/>
        </w:rPr>
        <w:t>4.2.8</w:t>
      </w:r>
      <w:r>
        <w:rPr>
          <w:rFonts w:hAnsi="仿宋"/>
          <w:kern w:val="0"/>
        </w:rPr>
        <w:t>报价明显低于其他通过符合性审查投标人的报价，有可能影响产品质量或者不能诚信履约的，未能按要求提供书面说明或者提交相关证明材料，不能证明其报价合理性的</w:t>
      </w:r>
      <w:r>
        <w:rPr>
          <w:kern w:val="0"/>
        </w:rPr>
        <w:t>;</w:t>
      </w:r>
    </w:p>
    <w:p w14:paraId="16F49803">
      <w:pPr>
        <w:spacing w:line="360" w:lineRule="auto"/>
        <w:ind w:firstLine="480" w:firstLineChars="200"/>
        <w:rPr>
          <w:kern w:val="0"/>
        </w:rPr>
      </w:pPr>
      <w:r>
        <w:rPr>
          <w:kern w:val="0"/>
        </w:rPr>
        <w:t>4.2.9</w:t>
      </w:r>
      <w:r>
        <w:rPr>
          <w:rFonts w:hAnsi="仿宋"/>
          <w:kern w:val="0"/>
        </w:rPr>
        <w:t>投标人对根据修正原则修正后的报价不确认的；</w:t>
      </w:r>
    </w:p>
    <w:p w14:paraId="116D4B23">
      <w:pPr>
        <w:spacing w:line="360" w:lineRule="auto"/>
        <w:ind w:firstLine="480" w:firstLineChars="200"/>
        <w:rPr>
          <w:kern w:val="0"/>
        </w:rPr>
      </w:pPr>
      <w:r>
        <w:rPr>
          <w:kern w:val="0"/>
        </w:rPr>
        <w:t>4.2.10</w:t>
      </w:r>
      <w:r>
        <w:rPr>
          <w:rFonts w:hAnsi="仿宋"/>
          <w:kern w:val="0"/>
        </w:rPr>
        <w:t>投标人提供虚假材料投标的；</w:t>
      </w:r>
    </w:p>
    <w:p w14:paraId="0623A966">
      <w:pPr>
        <w:spacing w:line="360" w:lineRule="auto"/>
        <w:ind w:firstLine="240" w:firstLineChars="100"/>
        <w:rPr>
          <w:kern w:val="0"/>
        </w:rPr>
      </w:pPr>
      <w:r>
        <w:rPr>
          <w:kern w:val="0"/>
        </w:rPr>
        <w:t xml:space="preserve">  4.2.11</w:t>
      </w:r>
      <w:r>
        <w:rPr>
          <w:rFonts w:hAnsi="仿宋"/>
          <w:kern w:val="0"/>
        </w:rPr>
        <w:t>投标人有恶意串通、妨碍其他投标人的竞争行为、损害采购人或者其他投标人的合法权益情形的；</w:t>
      </w:r>
    </w:p>
    <w:p w14:paraId="5AC2136E">
      <w:pPr>
        <w:spacing w:line="360" w:lineRule="auto"/>
        <w:ind w:firstLine="480" w:firstLineChars="200"/>
        <w:rPr>
          <w:kern w:val="0"/>
        </w:rPr>
      </w:pPr>
      <w:r>
        <w:rPr>
          <w:kern w:val="0"/>
        </w:rPr>
        <w:t>4.2.12</w:t>
      </w:r>
      <w:r>
        <w:rPr>
          <w:rFonts w:hAnsi="仿宋"/>
          <w:kern w:val="0"/>
        </w:rPr>
        <w:t>投标人仅提交备份投标文件，没有在电子交易平台传输递交投标文件的，投标无效；</w:t>
      </w:r>
    </w:p>
    <w:p w14:paraId="197C3892">
      <w:pPr>
        <w:pStyle w:val="3"/>
        <w:ind w:left="924" w:leftChars="205"/>
        <w:rPr>
          <w:rFonts w:ascii="Times New Roman" w:hAnsi="Times New Roman" w:eastAsia="仿宋"/>
          <w:b w:val="0"/>
          <w:bCs w:val="0"/>
          <w:kern w:val="0"/>
          <w:sz w:val="24"/>
          <w:szCs w:val="24"/>
          <w:lang w:val="en-US"/>
        </w:rPr>
      </w:pPr>
      <w:r>
        <w:rPr>
          <w:rFonts w:ascii="Times New Roman" w:hAnsi="Times New Roman" w:eastAsia="仿宋"/>
          <w:b w:val="0"/>
          <w:bCs w:val="0"/>
          <w:kern w:val="0"/>
          <w:sz w:val="24"/>
          <w:szCs w:val="24"/>
          <w:lang w:val="en-US"/>
        </w:rPr>
        <w:t xml:space="preserve">4.2.13 </w:t>
      </w:r>
      <w:r>
        <w:rPr>
          <w:rFonts w:ascii="Times New Roman" w:eastAsia="仿宋"/>
          <w:b w:val="0"/>
          <w:bCs w:val="0"/>
          <w:kern w:val="0"/>
          <w:sz w:val="24"/>
          <w:szCs w:val="24"/>
          <w:lang w:val="en-US"/>
        </w:rPr>
        <w:t>投标文件不满足招标文件的其它实质性要求的；</w:t>
      </w:r>
    </w:p>
    <w:p w14:paraId="60CF3C99">
      <w:pPr>
        <w:spacing w:line="360" w:lineRule="auto"/>
        <w:ind w:firstLine="480" w:firstLineChars="200"/>
        <w:rPr>
          <w:kern w:val="0"/>
        </w:rPr>
      </w:pPr>
      <w:r>
        <w:rPr>
          <w:kern w:val="0"/>
        </w:rPr>
        <w:t>4.2.14</w:t>
      </w:r>
      <w:r>
        <w:rPr>
          <w:rFonts w:hAnsi="仿宋"/>
          <w:kern w:val="0"/>
        </w:rPr>
        <w:t>法律、法规、规章（适用本市的）及省级以上规范性文件（适用本市的）规定的其他无效情形。</w:t>
      </w:r>
    </w:p>
    <w:p w14:paraId="77F51DD4">
      <w:pPr>
        <w:pStyle w:val="24"/>
        <w:snapToGrid w:val="0"/>
        <w:spacing w:line="360" w:lineRule="auto"/>
        <w:ind w:firstLine="472" w:firstLineChars="196"/>
        <w:rPr>
          <w:rFonts w:ascii="Times New Roman" w:hAnsi="Times New Roman"/>
        </w:rPr>
      </w:pPr>
      <w:r>
        <w:rPr>
          <w:rFonts w:ascii="Times New Roman" w:hAnsi="Times New Roman"/>
          <w:b/>
        </w:rPr>
        <w:t>5.</w:t>
      </w:r>
      <w:r>
        <w:rPr>
          <w:rFonts w:ascii="Times New Roman" w:hAnsi="仿宋"/>
          <w:b/>
        </w:rPr>
        <w:t>废标。</w:t>
      </w:r>
      <w:r>
        <w:rPr>
          <w:rFonts w:ascii="Times New Roman" w:hAnsi="仿宋"/>
        </w:rPr>
        <w:t>根据《中华人民共和国政府采购法》第三十六条之规定，在采购中，出现下列情形之一的，应予废标：</w:t>
      </w:r>
    </w:p>
    <w:p w14:paraId="79FF10B6">
      <w:pPr>
        <w:pStyle w:val="24"/>
        <w:snapToGrid w:val="0"/>
        <w:spacing w:line="360" w:lineRule="auto"/>
        <w:rPr>
          <w:rFonts w:ascii="Times New Roman" w:hAnsi="Times New Roman"/>
        </w:rPr>
      </w:pPr>
      <w:r>
        <w:rPr>
          <w:rFonts w:ascii="Times New Roman" w:hAnsi="Times New Roman"/>
        </w:rPr>
        <w:t>5.1</w:t>
      </w:r>
      <w:r>
        <w:rPr>
          <w:rFonts w:ascii="Times New Roman" w:hAnsi="仿宋"/>
        </w:rPr>
        <w:t>符合专业条件的供应商或者对招标文件作实质响应的供应商不足</w:t>
      </w:r>
      <w:r>
        <w:rPr>
          <w:rFonts w:ascii="Times New Roman" w:hAnsi="Times New Roman"/>
        </w:rPr>
        <w:t>3</w:t>
      </w:r>
      <w:r>
        <w:rPr>
          <w:rFonts w:ascii="Times New Roman" w:hAnsi="仿宋"/>
        </w:rPr>
        <w:t>家的；</w:t>
      </w:r>
    </w:p>
    <w:p w14:paraId="2FB20D31">
      <w:pPr>
        <w:pStyle w:val="24"/>
        <w:snapToGrid w:val="0"/>
        <w:spacing w:line="360" w:lineRule="auto"/>
        <w:rPr>
          <w:rFonts w:ascii="Times New Roman" w:hAnsi="Times New Roman"/>
        </w:rPr>
      </w:pPr>
      <w:r>
        <w:rPr>
          <w:rFonts w:ascii="Times New Roman" w:hAnsi="Times New Roman"/>
        </w:rPr>
        <w:t>5.2</w:t>
      </w:r>
      <w:r>
        <w:rPr>
          <w:rFonts w:ascii="Times New Roman" w:hAnsi="仿宋"/>
        </w:rPr>
        <w:t>出现影响采购公正的违法、违规行为的；</w:t>
      </w:r>
    </w:p>
    <w:p w14:paraId="0D45A822">
      <w:pPr>
        <w:pStyle w:val="24"/>
        <w:snapToGrid w:val="0"/>
        <w:spacing w:line="360" w:lineRule="auto"/>
        <w:rPr>
          <w:rFonts w:ascii="Times New Roman" w:hAnsi="Times New Roman"/>
        </w:rPr>
      </w:pPr>
      <w:r>
        <w:rPr>
          <w:rFonts w:ascii="Times New Roman" w:hAnsi="Times New Roman"/>
        </w:rPr>
        <w:t>5.3</w:t>
      </w:r>
      <w:r>
        <w:rPr>
          <w:rFonts w:ascii="Times New Roman" w:hAnsi="仿宋"/>
        </w:rPr>
        <w:t>投标人的报价均超过了采购预算，采购人不能支付的；</w:t>
      </w:r>
    </w:p>
    <w:p w14:paraId="292FAF39">
      <w:pPr>
        <w:pStyle w:val="24"/>
        <w:snapToGrid w:val="0"/>
        <w:spacing w:line="360" w:lineRule="auto"/>
        <w:rPr>
          <w:rFonts w:ascii="Times New Roman" w:hAnsi="Times New Roman"/>
        </w:rPr>
      </w:pPr>
      <w:r>
        <w:rPr>
          <w:rFonts w:ascii="Times New Roman" w:hAnsi="Times New Roman"/>
        </w:rPr>
        <w:t>5.4</w:t>
      </w:r>
      <w:r>
        <w:rPr>
          <w:rFonts w:ascii="Times New Roman" w:hAnsi="仿宋"/>
        </w:rPr>
        <w:t>因重大变故，采购任务取消的。</w:t>
      </w:r>
    </w:p>
    <w:p w14:paraId="63CADED2">
      <w:pPr>
        <w:pStyle w:val="24"/>
        <w:snapToGrid w:val="0"/>
        <w:spacing w:line="360" w:lineRule="auto"/>
        <w:rPr>
          <w:rFonts w:ascii="Times New Roman" w:hAnsi="Times New Roman"/>
        </w:rPr>
      </w:pPr>
      <w:r>
        <w:rPr>
          <w:rFonts w:ascii="Times New Roman" w:hAnsi="仿宋"/>
        </w:rPr>
        <w:t>废标后，采购机构应当将废标理由通知所有投标人。</w:t>
      </w:r>
    </w:p>
    <w:p w14:paraId="350B0398">
      <w:pPr>
        <w:pStyle w:val="24"/>
        <w:snapToGrid w:val="0"/>
        <w:spacing w:line="360" w:lineRule="auto"/>
        <w:ind w:firstLine="590" w:firstLineChars="245"/>
        <w:rPr>
          <w:rFonts w:ascii="Times New Roman" w:hAnsi="Times New Roman"/>
        </w:rPr>
      </w:pPr>
      <w:r>
        <w:rPr>
          <w:rFonts w:ascii="Times New Roman" w:hAnsi="Times New Roman"/>
          <w:b/>
        </w:rPr>
        <w:t>6.</w:t>
      </w:r>
      <w:r>
        <w:rPr>
          <w:rFonts w:ascii="Times New Roman" w:hAnsi="仿宋"/>
          <w:b/>
        </w:rPr>
        <w:t>修改招标文件，重新组织采购活动。</w:t>
      </w:r>
      <w:r>
        <w:rPr>
          <w:rFonts w:ascii="Times New Roman" w:hAnsi="仿宋"/>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F272177">
      <w:pPr>
        <w:pStyle w:val="24"/>
        <w:snapToGrid w:val="0"/>
        <w:spacing w:line="360" w:lineRule="auto"/>
        <w:ind w:firstLine="590" w:firstLineChars="245"/>
        <w:rPr>
          <w:rFonts w:ascii="Times New Roman" w:hAnsi="Times New Roman"/>
        </w:rPr>
      </w:pPr>
      <w:r>
        <w:rPr>
          <w:rFonts w:ascii="Times New Roman" w:hAnsi="Times New Roman"/>
          <w:b/>
          <w:kern w:val="0"/>
        </w:rPr>
        <w:t>7.</w:t>
      </w:r>
      <w:r>
        <w:rPr>
          <w:rFonts w:ascii="Times New Roman" w:hAnsi="仿宋"/>
          <w:b/>
          <w:kern w:val="0"/>
        </w:rPr>
        <w:t>重新开展采购。</w:t>
      </w:r>
      <w:r>
        <w:rPr>
          <w:rFonts w:ascii="Times New Roman" w:hAnsi="仿宋"/>
        </w:rPr>
        <w:t>有政府采购法第七十一条、第七十二条规定的违法行为之一，影响或者可能影响中标、成交结果的，依照下列规定处理：</w:t>
      </w:r>
    </w:p>
    <w:p w14:paraId="2AC07869">
      <w:pPr>
        <w:pStyle w:val="24"/>
        <w:snapToGrid w:val="0"/>
        <w:spacing w:line="360" w:lineRule="auto"/>
        <w:ind w:firstLine="600" w:firstLineChars="250"/>
        <w:rPr>
          <w:rFonts w:ascii="Times New Roman" w:hAnsi="Times New Roman"/>
        </w:rPr>
      </w:pPr>
      <w:r>
        <w:rPr>
          <w:rFonts w:ascii="Times New Roman" w:hAnsi="Times New Roman"/>
        </w:rPr>
        <w:t>7.1</w:t>
      </w:r>
      <w:r>
        <w:rPr>
          <w:rFonts w:ascii="Times New Roman" w:hAnsi="仿宋"/>
        </w:rPr>
        <w:t>未确定中标或者中标人的，终止本次政府采购活动，重新开展政府采购活动。</w:t>
      </w:r>
    </w:p>
    <w:p w14:paraId="4A3FDD19">
      <w:pPr>
        <w:pStyle w:val="24"/>
        <w:snapToGrid w:val="0"/>
        <w:spacing w:line="360" w:lineRule="auto"/>
        <w:ind w:firstLine="600" w:firstLineChars="250"/>
        <w:rPr>
          <w:rFonts w:ascii="Times New Roman" w:hAnsi="Times New Roman"/>
        </w:rPr>
      </w:pPr>
      <w:r>
        <w:rPr>
          <w:rFonts w:ascii="Times New Roman" w:hAnsi="Times New Roman"/>
        </w:rPr>
        <w:t>7.2</w:t>
      </w:r>
      <w:r>
        <w:rPr>
          <w:rFonts w:ascii="Times New Roman" w:hAnsi="仿宋"/>
        </w:rPr>
        <w:t>已确定中标或者中标人但尚未签订政府采购合同的，中标或者成交结果无效，从合格的中标或者成交候选人中另行确定中标或者中标人；没有合格的中标或者成交候选人的，重新开展政府采购活动。</w:t>
      </w:r>
    </w:p>
    <w:p w14:paraId="384BCBC3">
      <w:pPr>
        <w:pStyle w:val="24"/>
        <w:snapToGrid w:val="0"/>
        <w:spacing w:line="360" w:lineRule="auto"/>
        <w:ind w:firstLine="600" w:firstLineChars="250"/>
        <w:rPr>
          <w:rFonts w:ascii="Times New Roman" w:hAnsi="Times New Roman"/>
        </w:rPr>
      </w:pPr>
      <w:r>
        <w:rPr>
          <w:rFonts w:ascii="Times New Roman" w:hAnsi="Times New Roman"/>
        </w:rPr>
        <w:t>7.3</w:t>
      </w:r>
      <w:r>
        <w:rPr>
          <w:rFonts w:ascii="Times New Roman" w:hAnsi="仿宋"/>
        </w:rPr>
        <w:t>政府采购合同已签订但尚未履行的，撤销合同，从合格的中标或者成交候选人中另行确定中标或者中标人；没有合格的中标或者成交候选人的，重新开展政府采购活动。</w:t>
      </w:r>
    </w:p>
    <w:p w14:paraId="605BAACE">
      <w:pPr>
        <w:pStyle w:val="24"/>
        <w:snapToGrid w:val="0"/>
        <w:spacing w:line="360" w:lineRule="auto"/>
        <w:rPr>
          <w:rFonts w:ascii="Times New Roman" w:hAnsi="Times New Roman"/>
        </w:rPr>
      </w:pPr>
      <w:r>
        <w:rPr>
          <w:rFonts w:ascii="Times New Roman" w:hAnsi="Times New Roman"/>
        </w:rPr>
        <w:t>7.4</w:t>
      </w:r>
      <w:r>
        <w:rPr>
          <w:rFonts w:ascii="Times New Roman" w:hAnsi="仿宋"/>
        </w:rPr>
        <w:t>政府采购合同已经履行，给采购人、供应商造成损失的，由责任人承担赔偿责任。</w:t>
      </w:r>
    </w:p>
    <w:p w14:paraId="7D92FBDC">
      <w:pPr>
        <w:pStyle w:val="24"/>
        <w:snapToGrid w:val="0"/>
        <w:spacing w:line="360" w:lineRule="auto"/>
        <w:rPr>
          <w:rFonts w:ascii="Times New Roman" w:hAnsi="Times New Roman"/>
        </w:rPr>
      </w:pPr>
      <w:r>
        <w:rPr>
          <w:rFonts w:ascii="Times New Roman" w:hAnsi="Times New Roman"/>
        </w:rPr>
        <w:t>7.5</w:t>
      </w:r>
      <w:r>
        <w:rPr>
          <w:rFonts w:ascii="Times New Roman" w:hAnsi="仿宋"/>
        </w:rPr>
        <w:t>政府采购当事人有其他违反政府采购法</w:t>
      </w:r>
      <w:r>
        <w:rPr>
          <w:rFonts w:ascii="Times New Roman" w:hAnsi="仿宋"/>
          <w:kern w:val="0"/>
        </w:rPr>
        <w:t>或者政府采购法实施条例等法律法规规定</w:t>
      </w:r>
      <w:r>
        <w:rPr>
          <w:rFonts w:ascii="Times New Roman" w:hAnsi="仿宋"/>
        </w:rPr>
        <w:t>的行为，经改正后仍然影响或者可能影响中标、成交结果或者依法被认定为中标、成交无效的，依照</w:t>
      </w:r>
      <w:r>
        <w:rPr>
          <w:rFonts w:ascii="Times New Roman" w:hAnsi="Times New Roman"/>
        </w:rPr>
        <w:t>7.1-7.4</w:t>
      </w:r>
      <w:r>
        <w:rPr>
          <w:rFonts w:ascii="Times New Roman" w:hAnsi="仿宋"/>
        </w:rPr>
        <w:t>规定处理。</w:t>
      </w:r>
      <w:bookmarkEnd w:id="24"/>
      <w:bookmarkStart w:id="392" w:name="第五部分"/>
      <w:bookmarkStart w:id="393" w:name="_Toc86217003"/>
    </w:p>
    <w:p w14:paraId="07F003AD">
      <w:pPr>
        <w:pageBreakBefore/>
        <w:spacing w:line="360" w:lineRule="auto"/>
        <w:jc w:val="center"/>
        <w:outlineLvl w:val="0"/>
        <w:rPr>
          <w:b/>
          <w:sz w:val="36"/>
          <w:szCs w:val="36"/>
        </w:rPr>
      </w:pPr>
      <w:r>
        <w:rPr>
          <w:rFonts w:hAnsi="仿宋"/>
          <w:b/>
          <w:sz w:val="36"/>
          <w:szCs w:val="36"/>
        </w:rPr>
        <w:t>第五部分拟签订的合同文本</w:t>
      </w:r>
    </w:p>
    <w:p w14:paraId="72D54BF0">
      <w:pPr>
        <w:snapToGrid w:val="0"/>
        <w:spacing w:line="500" w:lineRule="exact"/>
        <w:rPr>
          <w:rFonts w:ascii="仿宋" w:hAnsi="仿宋" w:cs="仿宋"/>
        </w:rPr>
      </w:pPr>
      <w:r>
        <w:rPr>
          <w:rFonts w:hint="eastAsia" w:ascii="仿宋" w:hAnsi="仿宋" w:cs="仿宋"/>
        </w:rPr>
        <w:t>甲方：浙江省公安厅人民警察服务中心</w:t>
      </w:r>
    </w:p>
    <w:p w14:paraId="21322DE0">
      <w:pPr>
        <w:snapToGrid w:val="0"/>
        <w:spacing w:line="500" w:lineRule="exact"/>
        <w:rPr>
          <w:rFonts w:ascii="仿宋" w:hAnsi="仿宋" w:cs="仿宋"/>
        </w:rPr>
      </w:pPr>
      <w:r>
        <w:rPr>
          <w:rFonts w:hint="eastAsia" w:ascii="仿宋" w:hAnsi="仿宋" w:cs="仿宋"/>
        </w:rPr>
        <w:t>乙方：</w:t>
      </w:r>
    </w:p>
    <w:p w14:paraId="2A4A135A">
      <w:pPr>
        <w:snapToGrid w:val="0"/>
        <w:spacing w:line="500" w:lineRule="exact"/>
        <w:ind w:firstLine="480" w:firstLineChars="200"/>
        <w:rPr>
          <w:rFonts w:ascii="仿宋" w:hAnsi="仿宋" w:cs="仿宋"/>
        </w:rPr>
      </w:pPr>
      <w:r>
        <w:rPr>
          <w:rFonts w:hint="eastAsia" w:ascii="仿宋" w:hAnsi="仿宋" w:cs="仿宋"/>
        </w:rPr>
        <w:t>甲、乙双方根据【</w:t>
      </w:r>
      <w:r>
        <w:rPr>
          <w:rFonts w:hint="eastAsia" w:ascii="仿宋" w:hAnsi="仿宋" w:cs="仿宋"/>
          <w:lang w:eastAsia="zh-CN"/>
        </w:rPr>
        <w:t>2025</w:t>
      </w:r>
      <w:r>
        <w:rPr>
          <w:rFonts w:hint="eastAsia" w:ascii="仿宋" w:hAnsi="仿宋" w:cs="仿宋"/>
        </w:rPr>
        <w:t>年月日】关于【</w:t>
      </w:r>
      <w:r>
        <w:rPr>
          <w:rFonts w:hint="eastAsia" w:ascii="仿宋" w:hAnsi="仿宋" w:cs="仿宋"/>
          <w:lang w:eastAsia="zh-CN"/>
        </w:rPr>
        <w:t>浙江省公安厅人民警察服务中心1号电梯更新项目</w:t>
      </w:r>
      <w:r>
        <w:rPr>
          <w:rFonts w:hint="eastAsia" w:ascii="仿宋" w:hAnsi="仿宋" w:cs="仿宋"/>
        </w:rPr>
        <w:t>】的【项目编号：】的公开招标结果，签署本合同。</w:t>
      </w:r>
    </w:p>
    <w:p w14:paraId="4D26C595">
      <w:pPr>
        <w:snapToGrid w:val="0"/>
        <w:spacing w:line="500" w:lineRule="exact"/>
        <w:ind w:firstLine="482" w:firstLineChars="200"/>
        <w:rPr>
          <w:rFonts w:ascii="仿宋" w:hAnsi="仿宋" w:cs="仿宋"/>
          <w:b/>
          <w:bCs/>
          <w:lang w:val="zh-CN"/>
        </w:rPr>
      </w:pPr>
      <w:r>
        <w:rPr>
          <w:rFonts w:hint="eastAsia" w:ascii="仿宋" w:hAnsi="仿宋" w:cs="仿宋"/>
          <w:b/>
          <w:bCs/>
          <w:lang w:val="zh-CN"/>
        </w:rPr>
        <w:t>一、合同货物、数量</w:t>
      </w:r>
    </w:p>
    <w:p w14:paraId="18D9F387">
      <w:pPr>
        <w:snapToGrid w:val="0"/>
        <w:spacing w:line="500" w:lineRule="exact"/>
        <w:ind w:firstLine="480" w:firstLineChars="200"/>
        <w:rPr>
          <w:rFonts w:ascii="仿宋" w:hAnsi="仿宋" w:cs="仿宋"/>
          <w:lang w:val="zh-CN"/>
        </w:rPr>
      </w:pPr>
      <w:r>
        <w:rPr>
          <w:rFonts w:hint="eastAsia" w:ascii="仿宋" w:hAnsi="仿宋" w:cs="仿宋"/>
        </w:rPr>
        <w:t>1</w:t>
      </w:r>
      <w:r>
        <w:rPr>
          <w:rFonts w:hint="eastAsia" w:ascii="仿宋" w:hAnsi="仿宋" w:cs="仿宋"/>
          <w:lang w:val="en-US" w:eastAsia="zh-CN"/>
        </w:rPr>
        <w:t>.</w:t>
      </w:r>
      <w:r>
        <w:rPr>
          <w:rFonts w:hint="eastAsia" w:ascii="仿宋" w:hAnsi="仿宋" w:cs="仿宋"/>
          <w:lang w:val="zh-CN"/>
        </w:rPr>
        <w:t>本合同项下包含的货物及价格清单如下表：</w:t>
      </w:r>
    </w:p>
    <w:tbl>
      <w:tblPr>
        <w:tblStyle w:val="62"/>
        <w:tblW w:w="86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6"/>
        <w:gridCol w:w="1770"/>
        <w:gridCol w:w="1200"/>
        <w:gridCol w:w="1775"/>
        <w:gridCol w:w="1455"/>
        <w:gridCol w:w="1506"/>
      </w:tblGrid>
      <w:tr w14:paraId="0F7B6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14:paraId="220F5617">
            <w:pPr>
              <w:snapToGrid w:val="0"/>
              <w:spacing w:line="520" w:lineRule="exact"/>
              <w:jc w:val="center"/>
              <w:rPr>
                <w:rFonts w:ascii="仿宋" w:hAnsi="仿宋" w:cs="仿宋"/>
                <w:lang w:val="zh-CN"/>
              </w:rPr>
            </w:pPr>
            <w:r>
              <w:rPr>
                <w:rFonts w:hint="eastAsia" w:ascii="仿宋" w:hAnsi="仿宋" w:cs="仿宋"/>
                <w:lang w:val="zh-CN"/>
              </w:rPr>
              <w:t>序号</w:t>
            </w:r>
          </w:p>
        </w:tc>
        <w:tc>
          <w:tcPr>
            <w:tcW w:w="1770" w:type="dxa"/>
            <w:tcBorders>
              <w:top w:val="single" w:color="auto" w:sz="4" w:space="0"/>
              <w:left w:val="single" w:color="auto" w:sz="4" w:space="0"/>
              <w:bottom w:val="single" w:color="auto" w:sz="4" w:space="0"/>
              <w:right w:val="single" w:color="auto" w:sz="4" w:space="0"/>
            </w:tcBorders>
            <w:vAlign w:val="center"/>
          </w:tcPr>
          <w:p w14:paraId="607B491D">
            <w:pPr>
              <w:snapToGrid w:val="0"/>
              <w:spacing w:line="520" w:lineRule="exact"/>
              <w:jc w:val="center"/>
              <w:rPr>
                <w:rFonts w:ascii="仿宋" w:hAnsi="仿宋" w:cs="仿宋"/>
                <w:lang w:val="zh-CN"/>
              </w:rPr>
            </w:pPr>
            <w:r>
              <w:rPr>
                <w:rFonts w:hint="eastAsia" w:ascii="仿宋" w:hAnsi="仿宋" w:cs="仿宋"/>
                <w:lang w:val="zh-CN"/>
              </w:rPr>
              <w:t>产品名称</w:t>
            </w:r>
          </w:p>
        </w:tc>
        <w:tc>
          <w:tcPr>
            <w:tcW w:w="1200" w:type="dxa"/>
            <w:tcBorders>
              <w:top w:val="single" w:color="auto" w:sz="4" w:space="0"/>
              <w:left w:val="single" w:color="auto" w:sz="4" w:space="0"/>
              <w:bottom w:val="single" w:color="auto" w:sz="4" w:space="0"/>
              <w:right w:val="single" w:color="auto" w:sz="4" w:space="0"/>
            </w:tcBorders>
            <w:vAlign w:val="center"/>
          </w:tcPr>
          <w:p w14:paraId="1C5D5FF8">
            <w:pPr>
              <w:snapToGrid w:val="0"/>
              <w:spacing w:line="520" w:lineRule="exact"/>
              <w:jc w:val="center"/>
              <w:rPr>
                <w:rFonts w:ascii="仿宋" w:hAnsi="仿宋" w:cs="仿宋"/>
                <w:lang w:val="zh-CN"/>
              </w:rPr>
            </w:pPr>
            <w:r>
              <w:rPr>
                <w:rFonts w:hint="eastAsia" w:ascii="仿宋" w:hAnsi="仿宋" w:cs="仿宋"/>
                <w:lang w:val="zh-CN"/>
              </w:rPr>
              <w:t>单位</w:t>
            </w:r>
          </w:p>
        </w:tc>
        <w:tc>
          <w:tcPr>
            <w:tcW w:w="1775" w:type="dxa"/>
            <w:tcBorders>
              <w:top w:val="single" w:color="auto" w:sz="4" w:space="0"/>
              <w:left w:val="single" w:color="auto" w:sz="4" w:space="0"/>
              <w:bottom w:val="single" w:color="auto" w:sz="4" w:space="0"/>
              <w:right w:val="single" w:color="auto" w:sz="4" w:space="0"/>
            </w:tcBorders>
            <w:vAlign w:val="center"/>
          </w:tcPr>
          <w:p w14:paraId="18A2CDBA">
            <w:pPr>
              <w:snapToGrid w:val="0"/>
              <w:spacing w:line="520" w:lineRule="exact"/>
              <w:jc w:val="center"/>
              <w:rPr>
                <w:rFonts w:ascii="仿宋" w:hAnsi="仿宋" w:cs="仿宋"/>
                <w:lang w:val="zh-CN"/>
              </w:rPr>
            </w:pPr>
            <w:r>
              <w:rPr>
                <w:rFonts w:hint="eastAsia" w:ascii="仿宋" w:hAnsi="仿宋" w:cs="仿宋"/>
                <w:lang w:val="zh-CN"/>
              </w:rPr>
              <w:t>规格</w:t>
            </w:r>
          </w:p>
        </w:tc>
        <w:tc>
          <w:tcPr>
            <w:tcW w:w="1455" w:type="dxa"/>
            <w:tcBorders>
              <w:top w:val="single" w:color="auto" w:sz="4" w:space="0"/>
              <w:left w:val="single" w:color="auto" w:sz="4" w:space="0"/>
              <w:bottom w:val="single" w:color="auto" w:sz="4" w:space="0"/>
              <w:right w:val="single" w:color="auto" w:sz="4" w:space="0"/>
            </w:tcBorders>
            <w:vAlign w:val="center"/>
          </w:tcPr>
          <w:p w14:paraId="75895DA8">
            <w:pPr>
              <w:snapToGrid w:val="0"/>
              <w:spacing w:line="520" w:lineRule="exact"/>
              <w:jc w:val="center"/>
              <w:rPr>
                <w:rFonts w:ascii="仿宋" w:hAnsi="仿宋" w:cs="仿宋"/>
                <w:lang w:val="zh-CN"/>
              </w:rPr>
            </w:pPr>
            <w:r>
              <w:rPr>
                <w:rFonts w:hint="eastAsia" w:ascii="仿宋" w:hAnsi="仿宋" w:cs="仿宋"/>
                <w:lang w:val="zh-CN"/>
              </w:rPr>
              <w:t>品牌</w:t>
            </w:r>
          </w:p>
        </w:tc>
        <w:tc>
          <w:tcPr>
            <w:tcW w:w="1506" w:type="dxa"/>
            <w:tcBorders>
              <w:top w:val="single" w:color="auto" w:sz="4" w:space="0"/>
              <w:left w:val="single" w:color="auto" w:sz="4" w:space="0"/>
              <w:bottom w:val="single" w:color="auto" w:sz="4" w:space="0"/>
              <w:right w:val="single" w:color="auto" w:sz="4" w:space="0"/>
            </w:tcBorders>
            <w:vAlign w:val="center"/>
          </w:tcPr>
          <w:p w14:paraId="4CDB795E">
            <w:pPr>
              <w:snapToGrid w:val="0"/>
              <w:spacing w:line="520" w:lineRule="exact"/>
              <w:jc w:val="center"/>
              <w:rPr>
                <w:rFonts w:ascii="仿宋" w:hAnsi="仿宋" w:cs="仿宋"/>
              </w:rPr>
            </w:pPr>
            <w:r>
              <w:rPr>
                <w:rFonts w:hint="eastAsia" w:ascii="仿宋" w:hAnsi="仿宋" w:cs="仿宋"/>
                <w:lang w:val="zh-CN"/>
              </w:rPr>
              <w:t>单价（</w:t>
            </w:r>
            <w:r>
              <w:rPr>
                <w:rFonts w:hint="eastAsia" w:ascii="仿宋" w:hAnsi="仿宋" w:cs="仿宋"/>
              </w:rPr>
              <w:t>元</w:t>
            </w:r>
            <w:r>
              <w:rPr>
                <w:rFonts w:hint="eastAsia" w:ascii="仿宋" w:hAnsi="仿宋" w:cs="仿宋"/>
                <w:lang w:val="zh-CN"/>
              </w:rPr>
              <w:t>）</w:t>
            </w:r>
          </w:p>
        </w:tc>
      </w:tr>
      <w:tr w14:paraId="67842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14:paraId="657F9DFC">
            <w:pPr>
              <w:snapToGrid w:val="0"/>
              <w:spacing w:line="520" w:lineRule="exact"/>
              <w:jc w:val="center"/>
              <w:rPr>
                <w:rFonts w:ascii="仿宋" w:hAnsi="仿宋" w:cs="仿宋"/>
                <w:lang w:val="zh-CN"/>
              </w:rPr>
            </w:pPr>
            <w:r>
              <w:rPr>
                <w:rFonts w:hint="eastAsia" w:ascii="仿宋" w:hAnsi="仿宋" w:cs="仿宋"/>
                <w:lang w:val="zh-CN"/>
              </w:rPr>
              <w:t>1</w:t>
            </w:r>
          </w:p>
        </w:tc>
        <w:tc>
          <w:tcPr>
            <w:tcW w:w="1770" w:type="dxa"/>
            <w:tcBorders>
              <w:top w:val="single" w:color="auto" w:sz="4" w:space="0"/>
              <w:left w:val="single" w:color="auto" w:sz="4" w:space="0"/>
              <w:bottom w:val="single" w:color="auto" w:sz="4" w:space="0"/>
              <w:right w:val="single" w:color="auto" w:sz="4" w:space="0"/>
            </w:tcBorders>
            <w:vAlign w:val="center"/>
          </w:tcPr>
          <w:p w14:paraId="2EA58361">
            <w:pPr>
              <w:snapToGrid w:val="0"/>
              <w:spacing w:line="520" w:lineRule="exact"/>
              <w:jc w:val="center"/>
              <w:rPr>
                <w:rFonts w:ascii="仿宋" w:hAnsi="仿宋" w:cs="仿宋"/>
              </w:rPr>
            </w:pPr>
          </w:p>
        </w:tc>
        <w:tc>
          <w:tcPr>
            <w:tcW w:w="1200" w:type="dxa"/>
            <w:tcBorders>
              <w:top w:val="single" w:color="auto" w:sz="4" w:space="0"/>
              <w:left w:val="single" w:color="auto" w:sz="4" w:space="0"/>
              <w:bottom w:val="single" w:color="auto" w:sz="4" w:space="0"/>
              <w:right w:val="single" w:color="auto" w:sz="4" w:space="0"/>
            </w:tcBorders>
            <w:vAlign w:val="center"/>
          </w:tcPr>
          <w:p w14:paraId="531C8875">
            <w:pPr>
              <w:snapToGrid w:val="0"/>
              <w:spacing w:line="520" w:lineRule="exact"/>
              <w:jc w:val="center"/>
              <w:rPr>
                <w:rFonts w:ascii="仿宋" w:hAnsi="仿宋" w:cs="仿宋"/>
              </w:rPr>
            </w:pPr>
          </w:p>
        </w:tc>
        <w:tc>
          <w:tcPr>
            <w:tcW w:w="1775" w:type="dxa"/>
            <w:tcBorders>
              <w:top w:val="single" w:color="auto" w:sz="4" w:space="0"/>
              <w:left w:val="single" w:color="auto" w:sz="4" w:space="0"/>
              <w:bottom w:val="single" w:color="auto" w:sz="4" w:space="0"/>
              <w:right w:val="single" w:color="auto" w:sz="4" w:space="0"/>
            </w:tcBorders>
            <w:vAlign w:val="center"/>
          </w:tcPr>
          <w:p w14:paraId="4050968C">
            <w:pPr>
              <w:snapToGrid w:val="0"/>
              <w:spacing w:line="520" w:lineRule="exact"/>
              <w:jc w:val="center"/>
              <w:rPr>
                <w:rFonts w:ascii="仿宋" w:hAnsi="仿宋" w:cs="仿宋"/>
                <w:lang w:val="zh-CN"/>
              </w:rPr>
            </w:pPr>
          </w:p>
        </w:tc>
        <w:tc>
          <w:tcPr>
            <w:tcW w:w="1455" w:type="dxa"/>
            <w:tcBorders>
              <w:top w:val="single" w:color="auto" w:sz="4" w:space="0"/>
              <w:left w:val="single" w:color="auto" w:sz="4" w:space="0"/>
              <w:bottom w:val="single" w:color="auto" w:sz="4" w:space="0"/>
              <w:right w:val="single" w:color="auto" w:sz="4" w:space="0"/>
            </w:tcBorders>
            <w:vAlign w:val="center"/>
          </w:tcPr>
          <w:p w14:paraId="4821B974">
            <w:pPr>
              <w:snapToGrid w:val="0"/>
              <w:spacing w:line="520" w:lineRule="exact"/>
              <w:jc w:val="center"/>
              <w:rPr>
                <w:rFonts w:ascii="仿宋" w:hAnsi="仿宋" w:cs="仿宋"/>
              </w:rPr>
            </w:pPr>
          </w:p>
        </w:tc>
        <w:tc>
          <w:tcPr>
            <w:tcW w:w="1506" w:type="dxa"/>
            <w:tcBorders>
              <w:top w:val="single" w:color="auto" w:sz="4" w:space="0"/>
              <w:left w:val="single" w:color="auto" w:sz="4" w:space="0"/>
              <w:bottom w:val="single" w:color="auto" w:sz="4" w:space="0"/>
              <w:right w:val="single" w:color="auto" w:sz="4" w:space="0"/>
            </w:tcBorders>
            <w:vAlign w:val="center"/>
          </w:tcPr>
          <w:p w14:paraId="7306C489">
            <w:pPr>
              <w:snapToGrid w:val="0"/>
              <w:spacing w:line="520" w:lineRule="exact"/>
              <w:jc w:val="center"/>
              <w:rPr>
                <w:rFonts w:ascii="仿宋" w:hAnsi="仿宋" w:cs="仿宋"/>
              </w:rPr>
            </w:pPr>
          </w:p>
        </w:tc>
      </w:tr>
      <w:tr w14:paraId="61E50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14:paraId="252BB495">
            <w:pPr>
              <w:snapToGrid w:val="0"/>
              <w:spacing w:line="520" w:lineRule="exact"/>
              <w:jc w:val="center"/>
              <w:rPr>
                <w:rFonts w:ascii="仿宋" w:hAnsi="仿宋" w:cs="仿宋"/>
                <w:lang w:val="zh-CN"/>
              </w:rPr>
            </w:pPr>
            <w:r>
              <w:rPr>
                <w:rFonts w:hint="eastAsia" w:ascii="仿宋" w:hAnsi="仿宋" w:cs="仿宋"/>
                <w:lang w:val="zh-CN"/>
              </w:rPr>
              <w:t>2</w:t>
            </w:r>
          </w:p>
        </w:tc>
        <w:tc>
          <w:tcPr>
            <w:tcW w:w="1770" w:type="dxa"/>
            <w:tcBorders>
              <w:top w:val="single" w:color="auto" w:sz="4" w:space="0"/>
              <w:left w:val="single" w:color="auto" w:sz="4" w:space="0"/>
              <w:bottom w:val="single" w:color="auto" w:sz="4" w:space="0"/>
              <w:right w:val="single" w:color="auto" w:sz="4" w:space="0"/>
            </w:tcBorders>
            <w:vAlign w:val="center"/>
          </w:tcPr>
          <w:p w14:paraId="44364C6C">
            <w:pPr>
              <w:snapToGrid w:val="0"/>
              <w:spacing w:line="520" w:lineRule="exact"/>
              <w:jc w:val="center"/>
              <w:rPr>
                <w:rFonts w:ascii="仿宋" w:hAnsi="仿宋" w:cs="仿宋"/>
              </w:rPr>
            </w:pPr>
          </w:p>
        </w:tc>
        <w:tc>
          <w:tcPr>
            <w:tcW w:w="1200" w:type="dxa"/>
            <w:tcBorders>
              <w:top w:val="single" w:color="auto" w:sz="4" w:space="0"/>
              <w:left w:val="single" w:color="auto" w:sz="4" w:space="0"/>
              <w:bottom w:val="single" w:color="auto" w:sz="4" w:space="0"/>
              <w:right w:val="single" w:color="auto" w:sz="4" w:space="0"/>
            </w:tcBorders>
            <w:vAlign w:val="center"/>
          </w:tcPr>
          <w:p w14:paraId="7176DD67">
            <w:pPr>
              <w:snapToGrid w:val="0"/>
              <w:spacing w:line="520" w:lineRule="exact"/>
              <w:jc w:val="center"/>
              <w:rPr>
                <w:rFonts w:ascii="仿宋" w:hAnsi="仿宋" w:cs="仿宋"/>
              </w:rPr>
            </w:pPr>
          </w:p>
        </w:tc>
        <w:tc>
          <w:tcPr>
            <w:tcW w:w="1775" w:type="dxa"/>
            <w:tcBorders>
              <w:top w:val="single" w:color="auto" w:sz="4" w:space="0"/>
              <w:left w:val="single" w:color="auto" w:sz="4" w:space="0"/>
              <w:bottom w:val="single" w:color="auto" w:sz="4" w:space="0"/>
              <w:right w:val="single" w:color="auto" w:sz="4" w:space="0"/>
            </w:tcBorders>
            <w:vAlign w:val="center"/>
          </w:tcPr>
          <w:p w14:paraId="4E9885A0">
            <w:pPr>
              <w:snapToGrid w:val="0"/>
              <w:spacing w:line="520" w:lineRule="exact"/>
              <w:jc w:val="center"/>
              <w:rPr>
                <w:rFonts w:ascii="仿宋" w:hAnsi="仿宋" w:cs="仿宋"/>
                <w:lang w:val="zh-CN"/>
              </w:rPr>
            </w:pPr>
          </w:p>
        </w:tc>
        <w:tc>
          <w:tcPr>
            <w:tcW w:w="1455" w:type="dxa"/>
            <w:tcBorders>
              <w:top w:val="single" w:color="auto" w:sz="4" w:space="0"/>
              <w:left w:val="single" w:color="auto" w:sz="4" w:space="0"/>
              <w:bottom w:val="single" w:color="auto" w:sz="4" w:space="0"/>
              <w:right w:val="single" w:color="auto" w:sz="4" w:space="0"/>
            </w:tcBorders>
            <w:vAlign w:val="center"/>
          </w:tcPr>
          <w:p w14:paraId="61BB9F66">
            <w:pPr>
              <w:snapToGrid w:val="0"/>
              <w:spacing w:line="520" w:lineRule="exact"/>
              <w:jc w:val="center"/>
              <w:rPr>
                <w:rFonts w:ascii="仿宋" w:hAnsi="仿宋" w:cs="仿宋"/>
                <w:lang w:val="zh-CN"/>
              </w:rPr>
            </w:pPr>
          </w:p>
        </w:tc>
        <w:tc>
          <w:tcPr>
            <w:tcW w:w="1506" w:type="dxa"/>
            <w:tcBorders>
              <w:top w:val="single" w:color="auto" w:sz="4" w:space="0"/>
              <w:left w:val="single" w:color="auto" w:sz="4" w:space="0"/>
              <w:bottom w:val="single" w:color="auto" w:sz="4" w:space="0"/>
              <w:right w:val="single" w:color="auto" w:sz="4" w:space="0"/>
            </w:tcBorders>
            <w:vAlign w:val="center"/>
          </w:tcPr>
          <w:p w14:paraId="281D1753">
            <w:pPr>
              <w:snapToGrid w:val="0"/>
              <w:spacing w:line="520" w:lineRule="exact"/>
              <w:jc w:val="center"/>
              <w:rPr>
                <w:rFonts w:ascii="仿宋" w:hAnsi="仿宋" w:cs="仿宋"/>
              </w:rPr>
            </w:pPr>
          </w:p>
        </w:tc>
      </w:tr>
      <w:tr w14:paraId="7EE06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2746" w:type="dxa"/>
            <w:gridSpan w:val="2"/>
            <w:tcBorders>
              <w:top w:val="single" w:color="auto" w:sz="4" w:space="0"/>
              <w:left w:val="single" w:color="auto" w:sz="4" w:space="0"/>
              <w:bottom w:val="single" w:color="auto" w:sz="4" w:space="0"/>
              <w:right w:val="single" w:color="auto" w:sz="4" w:space="0"/>
            </w:tcBorders>
            <w:vAlign w:val="center"/>
          </w:tcPr>
          <w:p w14:paraId="06B0457A">
            <w:pPr>
              <w:snapToGrid w:val="0"/>
              <w:spacing w:line="520" w:lineRule="exact"/>
              <w:jc w:val="center"/>
              <w:rPr>
                <w:rFonts w:hint="eastAsia" w:ascii="仿宋" w:hAnsi="仿宋" w:eastAsia="仿宋" w:cs="仿宋"/>
                <w:lang w:val="en-US" w:eastAsia="zh-CN"/>
              </w:rPr>
            </w:pPr>
            <w:r>
              <w:rPr>
                <w:rFonts w:hint="eastAsia" w:ascii="仿宋" w:hAnsi="仿宋" w:cs="仿宋"/>
                <w:lang w:val="en-US" w:eastAsia="zh-CN"/>
              </w:rPr>
              <w:t>合计：</w:t>
            </w:r>
          </w:p>
        </w:tc>
        <w:tc>
          <w:tcPr>
            <w:tcW w:w="5936" w:type="dxa"/>
            <w:gridSpan w:val="4"/>
            <w:tcBorders>
              <w:top w:val="single" w:color="auto" w:sz="4" w:space="0"/>
              <w:left w:val="single" w:color="auto" w:sz="4" w:space="0"/>
              <w:bottom w:val="single" w:color="auto" w:sz="4" w:space="0"/>
              <w:right w:val="single" w:color="auto" w:sz="4" w:space="0"/>
            </w:tcBorders>
            <w:vAlign w:val="center"/>
          </w:tcPr>
          <w:p w14:paraId="5FFC16A7">
            <w:pPr>
              <w:snapToGrid w:val="0"/>
              <w:spacing w:line="520" w:lineRule="exact"/>
              <w:jc w:val="center"/>
              <w:rPr>
                <w:rFonts w:ascii="仿宋" w:hAnsi="仿宋" w:cs="仿宋"/>
              </w:rPr>
            </w:pPr>
          </w:p>
        </w:tc>
      </w:tr>
    </w:tbl>
    <w:p w14:paraId="71445689">
      <w:pPr>
        <w:snapToGrid w:val="0"/>
        <w:spacing w:line="500" w:lineRule="exact"/>
        <w:ind w:firstLine="480" w:firstLineChars="200"/>
        <w:rPr>
          <w:rFonts w:ascii="仿宋" w:hAnsi="仿宋" w:cs="仿宋"/>
        </w:rPr>
      </w:pPr>
      <w:r>
        <w:rPr>
          <w:rFonts w:hint="eastAsia" w:ascii="仿宋" w:hAnsi="仿宋" w:cs="仿宋"/>
        </w:rPr>
        <w:t>2</w:t>
      </w:r>
      <w:r>
        <w:rPr>
          <w:rFonts w:hint="eastAsia" w:ascii="仿宋" w:hAnsi="仿宋" w:cs="仿宋"/>
          <w:lang w:val="en-US" w:eastAsia="zh-CN"/>
        </w:rPr>
        <w:t>.</w:t>
      </w:r>
      <w:r>
        <w:rPr>
          <w:rFonts w:hint="eastAsia" w:ascii="仿宋" w:hAnsi="仿宋" w:cs="仿宋"/>
        </w:rPr>
        <w:t xml:space="preserve">以上商品总价包含产品送达甲方指定地点并能正常使用所需的一切费用，甲方无需支付其他费用。 </w:t>
      </w:r>
    </w:p>
    <w:p w14:paraId="0AA4CB11">
      <w:pPr>
        <w:snapToGrid w:val="0"/>
        <w:spacing w:line="500" w:lineRule="exact"/>
        <w:ind w:firstLine="480" w:firstLineChars="200"/>
        <w:rPr>
          <w:rFonts w:ascii="仿宋" w:hAnsi="仿宋" w:cs="仿宋"/>
        </w:rPr>
      </w:pPr>
      <w:r>
        <w:rPr>
          <w:rFonts w:hint="eastAsia" w:ascii="仿宋" w:hAnsi="仿宋" w:cs="仿宋"/>
        </w:rPr>
        <w:t>3</w:t>
      </w:r>
      <w:r>
        <w:rPr>
          <w:rFonts w:hint="eastAsia" w:ascii="仿宋" w:hAnsi="仿宋" w:cs="仿宋"/>
          <w:lang w:val="en-US" w:eastAsia="zh-CN"/>
        </w:rPr>
        <w:t>.</w:t>
      </w:r>
      <w:r>
        <w:rPr>
          <w:rFonts w:hint="eastAsia" w:ascii="仿宋" w:hAnsi="仿宋" w:cs="仿宋"/>
        </w:rPr>
        <w:t>乙方提供的发票必须是等额正规的货物销售发票（增值税专用发票）。</w:t>
      </w:r>
    </w:p>
    <w:p w14:paraId="32B98A9D">
      <w:pPr>
        <w:snapToGrid w:val="0"/>
        <w:spacing w:line="500" w:lineRule="exact"/>
        <w:ind w:firstLine="480" w:firstLineChars="200"/>
        <w:rPr>
          <w:rFonts w:ascii="仿宋" w:hAnsi="仿宋" w:cs="仿宋"/>
        </w:rPr>
      </w:pPr>
      <w:r>
        <w:rPr>
          <w:rFonts w:hint="eastAsia" w:ascii="仿宋" w:hAnsi="仿宋" w:cs="仿宋"/>
        </w:rPr>
        <w:t>4</w:t>
      </w:r>
      <w:r>
        <w:rPr>
          <w:rFonts w:hint="eastAsia" w:ascii="仿宋" w:hAnsi="仿宋" w:cs="仿宋"/>
          <w:lang w:val="en-US" w:eastAsia="zh-CN"/>
        </w:rPr>
        <w:t>.</w:t>
      </w:r>
      <w:r>
        <w:rPr>
          <w:rFonts w:hint="eastAsia" w:ascii="仿宋" w:hAnsi="仿宋" w:cs="仿宋"/>
        </w:rPr>
        <w:t>乙方须提供完善的安全保密生产规章制度及相关资料，确保生产产品不外流。</w:t>
      </w:r>
    </w:p>
    <w:p w14:paraId="1D7FCAF8">
      <w:pPr>
        <w:snapToGrid w:val="0"/>
        <w:spacing w:line="500" w:lineRule="exact"/>
        <w:ind w:firstLine="241" w:firstLineChars="100"/>
        <w:rPr>
          <w:rFonts w:ascii="仿宋" w:hAnsi="仿宋" w:cs="仿宋"/>
        </w:rPr>
      </w:pPr>
      <w:r>
        <w:rPr>
          <w:rFonts w:hint="eastAsia" w:ascii="仿宋" w:hAnsi="仿宋" w:cs="仿宋"/>
          <w:b/>
          <w:bCs/>
          <w:lang w:val="zh-CN"/>
        </w:rPr>
        <w:t>二、项目期限：</w:t>
      </w:r>
      <w:r>
        <w:rPr>
          <w:rFonts w:hint="eastAsia" w:ascii="仿宋" w:hAnsi="仿宋" w:cs="仿宋"/>
          <w:b w:val="0"/>
          <w:bCs w:val="0"/>
          <w:lang w:val="zh-CN"/>
        </w:rPr>
        <w:t>合同生效，在接到</w:t>
      </w:r>
      <w:r>
        <w:rPr>
          <w:rFonts w:hint="eastAsia" w:ascii="仿宋" w:hAnsi="仿宋" w:cs="仿宋"/>
          <w:b w:val="0"/>
          <w:bCs w:val="0"/>
          <w:lang w:val="en-US" w:eastAsia="zh-CN"/>
        </w:rPr>
        <w:t>甲方</w:t>
      </w:r>
      <w:r>
        <w:rPr>
          <w:rFonts w:hint="eastAsia" w:ascii="仿宋" w:hAnsi="仿宋" w:cs="仿宋"/>
          <w:b w:val="0"/>
          <w:bCs w:val="0"/>
          <w:lang w:val="zh-CN"/>
        </w:rPr>
        <w:t>排产通知后120天内进场施工，1个月内安装调试完毕，现场具备验收条件后5个日历天内完成质量技术监督局的验收取得合格证，并将电梯及电梯相关资料移交给</w:t>
      </w:r>
      <w:r>
        <w:rPr>
          <w:rFonts w:hint="eastAsia" w:ascii="仿宋" w:hAnsi="仿宋" w:cs="仿宋"/>
          <w:b w:val="0"/>
          <w:bCs w:val="0"/>
          <w:lang w:val="en-US" w:eastAsia="zh-CN"/>
        </w:rPr>
        <w:t>甲方</w:t>
      </w:r>
      <w:r>
        <w:rPr>
          <w:rFonts w:hint="eastAsia" w:ascii="仿宋" w:hAnsi="仿宋" w:cs="仿宋"/>
          <w:b w:val="0"/>
          <w:bCs w:val="0"/>
          <w:lang w:val="zh-CN"/>
        </w:rPr>
        <w:t>。</w:t>
      </w:r>
    </w:p>
    <w:p w14:paraId="64DD8DC7">
      <w:pPr>
        <w:snapToGrid w:val="0"/>
        <w:spacing w:line="500" w:lineRule="exact"/>
        <w:ind w:firstLine="482" w:firstLineChars="200"/>
        <w:rPr>
          <w:rFonts w:ascii="仿宋" w:hAnsi="仿宋" w:cs="仿宋"/>
          <w:b/>
          <w:bCs/>
        </w:rPr>
      </w:pPr>
      <w:r>
        <w:rPr>
          <w:rFonts w:hint="eastAsia" w:ascii="仿宋" w:hAnsi="仿宋" w:cs="仿宋"/>
          <w:b/>
          <w:bCs/>
          <w:lang w:val="zh-CN"/>
        </w:rPr>
        <w:t>三、</w:t>
      </w:r>
      <w:r>
        <w:rPr>
          <w:rFonts w:hint="eastAsia" w:ascii="仿宋" w:hAnsi="仿宋" w:cs="仿宋"/>
          <w:b/>
          <w:bCs/>
        </w:rPr>
        <w:t>质保期</w:t>
      </w:r>
    </w:p>
    <w:p w14:paraId="5313D455">
      <w:pPr>
        <w:snapToGrid w:val="0"/>
        <w:spacing w:line="500" w:lineRule="exact"/>
        <w:ind w:firstLine="480" w:firstLineChars="200"/>
        <w:rPr>
          <w:rFonts w:ascii="仿宋" w:hAnsi="仿宋" w:cs="仿宋"/>
          <w:kern w:val="0"/>
          <w:lang w:val="zh-CN"/>
        </w:rPr>
      </w:pPr>
      <w:r>
        <w:rPr>
          <w:rFonts w:hint="eastAsia" w:ascii="仿宋" w:hAnsi="仿宋" w:cs="仿宋"/>
          <w:kern w:val="0"/>
        </w:rPr>
        <w:t>1</w:t>
      </w:r>
      <w:r>
        <w:rPr>
          <w:rFonts w:hint="eastAsia" w:ascii="仿宋" w:hAnsi="仿宋" w:cs="仿宋"/>
          <w:kern w:val="0"/>
          <w:lang w:val="en-US" w:eastAsia="zh-CN"/>
        </w:rPr>
        <w:t>.质保期为项目验收合格之日起     年。</w:t>
      </w:r>
    </w:p>
    <w:p w14:paraId="2610FEBE">
      <w:pPr>
        <w:snapToGrid w:val="0"/>
        <w:spacing w:line="500" w:lineRule="exact"/>
        <w:ind w:firstLine="480" w:firstLineChars="200"/>
        <w:rPr>
          <w:rFonts w:ascii="仿宋" w:hAnsi="仿宋" w:cs="仿宋"/>
          <w:bCs/>
          <w:kern w:val="0"/>
          <w:lang w:val="zh-CN"/>
        </w:rPr>
      </w:pPr>
      <w:r>
        <w:rPr>
          <w:rFonts w:hint="eastAsia" w:ascii="仿宋" w:hAnsi="仿宋" w:cs="仿宋"/>
          <w:bCs/>
          <w:kern w:val="0"/>
        </w:rPr>
        <w:t>2</w:t>
      </w:r>
      <w:r>
        <w:rPr>
          <w:rFonts w:hint="eastAsia" w:ascii="仿宋" w:hAnsi="仿宋" w:cs="仿宋"/>
          <w:bCs/>
          <w:kern w:val="0"/>
          <w:lang w:val="en-US" w:eastAsia="zh-CN"/>
        </w:rPr>
        <w:t>.</w:t>
      </w:r>
      <w:r>
        <w:rPr>
          <w:rFonts w:hint="eastAsia" w:ascii="仿宋" w:hAnsi="仿宋" w:cs="仿宋"/>
          <w:bCs/>
          <w:kern w:val="0"/>
          <w:lang w:val="zh-CN"/>
        </w:rPr>
        <w:t>在质保期内如发现质量问题，乙方负责“三包”（</w:t>
      </w:r>
      <w:r>
        <w:rPr>
          <w:rFonts w:hint="eastAsia" w:ascii="仿宋" w:hAnsi="仿宋" w:cs="仿宋"/>
          <w:bCs/>
          <w:kern w:val="0"/>
        </w:rPr>
        <w:t>包修、包退、包换</w:t>
      </w:r>
      <w:r>
        <w:rPr>
          <w:rFonts w:hint="eastAsia" w:ascii="仿宋" w:hAnsi="仿宋" w:cs="仿宋"/>
          <w:bCs/>
          <w:kern w:val="0"/>
          <w:lang w:val="zh-CN"/>
        </w:rPr>
        <w:t>），相应费用由</w:t>
      </w:r>
      <w:r>
        <w:rPr>
          <w:rFonts w:hint="eastAsia" w:ascii="仿宋" w:hAnsi="仿宋" w:cs="仿宋"/>
          <w:bCs/>
          <w:kern w:val="0"/>
        </w:rPr>
        <w:t>乙方</w:t>
      </w:r>
      <w:r>
        <w:rPr>
          <w:rFonts w:hint="eastAsia" w:ascii="仿宋" w:hAnsi="仿宋" w:cs="仿宋"/>
          <w:bCs/>
          <w:kern w:val="0"/>
          <w:lang w:val="zh-CN"/>
        </w:rPr>
        <w:t>负责。</w:t>
      </w:r>
    </w:p>
    <w:p w14:paraId="1FB0A127">
      <w:pPr>
        <w:snapToGrid w:val="0"/>
        <w:spacing w:line="500" w:lineRule="exact"/>
        <w:ind w:firstLine="482" w:firstLineChars="200"/>
        <w:rPr>
          <w:rFonts w:ascii="仿宋" w:hAnsi="仿宋" w:cs="仿宋"/>
          <w:b/>
          <w:bCs/>
        </w:rPr>
      </w:pPr>
      <w:r>
        <w:rPr>
          <w:rFonts w:hint="eastAsia" w:ascii="仿宋" w:hAnsi="仿宋" w:cs="仿宋"/>
          <w:b/>
          <w:bCs/>
        </w:rPr>
        <w:t>四、调试和验收要求</w:t>
      </w:r>
    </w:p>
    <w:p w14:paraId="490D4D0E">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1.</w:t>
      </w:r>
      <w:r>
        <w:rPr>
          <w:rFonts w:hint="eastAsia" w:ascii="仿宋" w:hAnsi="仿宋" w:cs="仿宋"/>
          <w:b w:val="0"/>
          <w:bCs/>
        </w:rPr>
        <w:t>甲方对乙方提交的货物依据招标文件上的技术规格要求和国家有关质量标准进行现场初步验收，乙方提供的货物必须逐条响应合同及招标文件上提出的技术条款。若不能百分百完全满足技术条款的内容，甲方有权验收不合格。乙方应按照合同内容向甲方逐一核对货物的数量，演示并核对功能、性能、程序、达到的参数或/和指标等；如第一次调试未成功，乙方应找出失败的原因，并在双方约定的时间内完成二次调试，因此产生的费用由乙方承担；如第二次调试结果仍不能完全符合验收文件预定的合格条件，甲方有权拒绝接受该货物，乙方应承担甲方的一切损失。乙方提供的产品调试至符合技术要求，甲方才做最终验收。</w:t>
      </w:r>
    </w:p>
    <w:p w14:paraId="74B347A8">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2.</w:t>
      </w:r>
      <w:r>
        <w:rPr>
          <w:rFonts w:hint="eastAsia" w:ascii="仿宋" w:hAnsi="仿宋" w:cs="仿宋"/>
          <w:b w:val="0"/>
          <w:bCs/>
        </w:rPr>
        <w:t>乙方交货前应对产品作出全面检查和对验收文件进行整理，并列出清单，作为甲方收货验收和使用的技术条件依据，检验的结果应随货物交甲方。</w:t>
      </w:r>
    </w:p>
    <w:p w14:paraId="7FA30DE8">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3.</w:t>
      </w:r>
      <w:r>
        <w:rPr>
          <w:rFonts w:hint="eastAsia" w:ascii="仿宋" w:hAnsi="仿宋" w:cs="仿宋"/>
          <w:b w:val="0"/>
          <w:bCs/>
        </w:rPr>
        <w:t>对技术复杂的货物，甲方应请国家认可的专业检测机构参与初步验收及最终验收，并由其出具质量检测报告。</w:t>
      </w:r>
    </w:p>
    <w:p w14:paraId="1951F3B9">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4.</w:t>
      </w:r>
      <w:r>
        <w:rPr>
          <w:rFonts w:hint="eastAsia" w:ascii="仿宋" w:hAnsi="仿宋" w:cs="仿宋"/>
          <w:b w:val="0"/>
          <w:bCs/>
        </w:rPr>
        <w:t>验收时乙方必须在现场，验收完毕后作出验收结果报告；验收费用由乙方负责。</w:t>
      </w:r>
    </w:p>
    <w:p w14:paraId="340F5AA7">
      <w:pPr>
        <w:snapToGrid w:val="0"/>
        <w:spacing w:line="500" w:lineRule="exact"/>
        <w:ind w:firstLine="480" w:firstLineChars="200"/>
        <w:rPr>
          <w:rFonts w:hint="eastAsia" w:ascii="仿宋" w:hAnsi="仿宋" w:cs="仿宋"/>
          <w:b w:val="0"/>
          <w:bCs/>
        </w:rPr>
      </w:pPr>
      <w:r>
        <w:rPr>
          <w:rFonts w:hint="eastAsia" w:ascii="仿宋" w:hAnsi="仿宋" w:cs="仿宋"/>
          <w:b w:val="0"/>
          <w:bCs/>
          <w:lang w:val="en-US" w:eastAsia="zh-CN"/>
        </w:rPr>
        <w:t>5.</w:t>
      </w:r>
      <w:r>
        <w:rPr>
          <w:rFonts w:hint="eastAsia" w:ascii="仿宋" w:hAnsi="仿宋" w:cs="仿宋"/>
          <w:b w:val="0"/>
          <w:bCs/>
        </w:rPr>
        <w:t>乙方应免费提供详细的专业管理和技术培训方案及措施，无条件提供免费的软件安装、调试工作，必须对甲方的使用操作人员进行不少于2次（至少1天）的现场培训工作，以保证甲方人员熟练使用。</w:t>
      </w:r>
    </w:p>
    <w:p w14:paraId="48427A22">
      <w:pPr>
        <w:snapToGrid w:val="0"/>
        <w:spacing w:line="500" w:lineRule="exact"/>
        <w:ind w:firstLine="482" w:firstLineChars="200"/>
        <w:rPr>
          <w:rFonts w:ascii="仿宋" w:hAnsi="仿宋" w:cs="仿宋"/>
          <w:b/>
          <w:bCs/>
        </w:rPr>
      </w:pPr>
      <w:r>
        <w:rPr>
          <w:rFonts w:hint="eastAsia" w:ascii="仿宋" w:hAnsi="仿宋" w:cs="仿宋"/>
          <w:b/>
          <w:bCs/>
        </w:rPr>
        <w:t>五、质量保证及售后服务</w:t>
      </w:r>
    </w:p>
    <w:p w14:paraId="331A4054">
      <w:pPr>
        <w:snapToGrid w:val="0"/>
        <w:spacing w:line="500" w:lineRule="exact"/>
        <w:ind w:firstLine="480" w:firstLineChars="200"/>
        <w:rPr>
          <w:rFonts w:hint="eastAsia" w:ascii="仿宋" w:hAnsi="仿宋" w:cs="仿宋"/>
        </w:rPr>
      </w:pPr>
      <w:r>
        <w:rPr>
          <w:rFonts w:hint="eastAsia" w:ascii="仿宋" w:hAnsi="仿宋" w:cs="仿宋"/>
          <w:lang w:val="en-US" w:eastAsia="zh-CN"/>
        </w:rPr>
        <w:t>1.</w:t>
      </w:r>
      <w:r>
        <w:rPr>
          <w:rFonts w:hint="eastAsia" w:ascii="仿宋" w:hAnsi="仿宋" w:cs="仿宋"/>
        </w:rPr>
        <w:t>乙方应按招标文件规定的货物性能、技术要求、质量标准向甲方提供未经使用的全新产品。</w:t>
      </w:r>
    </w:p>
    <w:p w14:paraId="293B8C03">
      <w:pPr>
        <w:snapToGrid w:val="0"/>
        <w:spacing w:line="500" w:lineRule="exact"/>
        <w:ind w:firstLine="480" w:firstLineChars="200"/>
        <w:rPr>
          <w:rFonts w:hint="eastAsia" w:ascii="仿宋" w:hAnsi="仿宋" w:cs="仿宋"/>
        </w:rPr>
      </w:pPr>
      <w:r>
        <w:rPr>
          <w:rFonts w:hint="eastAsia" w:ascii="仿宋" w:hAnsi="仿宋" w:cs="仿宋"/>
          <w:lang w:val="en-US" w:eastAsia="zh-CN"/>
        </w:rPr>
        <w:t>2.</w:t>
      </w:r>
      <w:r>
        <w:rPr>
          <w:rFonts w:hint="eastAsia" w:ascii="仿宋" w:hAnsi="仿宋" w:cs="仿宋"/>
        </w:rPr>
        <w:t>乙方提供的货物在质量期内因货物本身的质量问题发生故障，乙方应负责免费更换。对达不到技术要求者，根据实际情况，经双方协商，可按以下办法处理：</w:t>
      </w:r>
    </w:p>
    <w:p w14:paraId="7026A3BF">
      <w:pPr>
        <w:snapToGrid w:val="0"/>
        <w:spacing w:line="500" w:lineRule="exact"/>
        <w:ind w:firstLine="480" w:firstLineChars="200"/>
        <w:rPr>
          <w:rFonts w:hint="eastAsia" w:ascii="仿宋" w:hAnsi="仿宋" w:cs="仿宋"/>
        </w:rPr>
      </w:pPr>
      <w:r>
        <w:rPr>
          <w:rFonts w:hint="eastAsia" w:ascii="仿宋" w:hAnsi="仿宋" w:cs="仿宋"/>
        </w:rPr>
        <w:t>⑴更换：由乙方承担所发生的全部费用。</w:t>
      </w:r>
    </w:p>
    <w:p w14:paraId="09AEE9D4">
      <w:pPr>
        <w:snapToGrid w:val="0"/>
        <w:spacing w:line="500" w:lineRule="exact"/>
        <w:ind w:firstLine="480" w:firstLineChars="200"/>
        <w:rPr>
          <w:rFonts w:hint="eastAsia" w:ascii="仿宋" w:hAnsi="仿宋" w:cs="仿宋"/>
        </w:rPr>
      </w:pPr>
      <w:r>
        <w:rPr>
          <w:rFonts w:hint="eastAsia" w:ascii="仿宋" w:hAnsi="仿宋" w:cs="仿宋"/>
        </w:rPr>
        <w:t>⑵贬值处理：由甲乙双方合议定价。</w:t>
      </w:r>
    </w:p>
    <w:p w14:paraId="2032FB09">
      <w:pPr>
        <w:snapToGrid w:val="0"/>
        <w:spacing w:line="500" w:lineRule="exact"/>
        <w:ind w:firstLine="480" w:firstLineChars="200"/>
        <w:rPr>
          <w:rFonts w:hint="eastAsia" w:ascii="仿宋" w:hAnsi="仿宋" w:cs="仿宋"/>
        </w:rPr>
      </w:pPr>
      <w:r>
        <w:rPr>
          <w:rFonts w:hint="eastAsia" w:ascii="仿宋" w:hAnsi="仿宋" w:cs="仿宋"/>
        </w:rPr>
        <w:t>⑶退货处理：乙方应退还甲方支付的合同款，同时应承担该货物的直接费用（运输、保险、检验、货款利息及银行手续费等）。</w:t>
      </w:r>
    </w:p>
    <w:p w14:paraId="1F5B7CA3">
      <w:pPr>
        <w:numPr>
          <w:ilvl w:val="0"/>
          <w:numId w:val="0"/>
        </w:numPr>
        <w:snapToGrid w:val="0"/>
        <w:spacing w:line="500" w:lineRule="exact"/>
        <w:ind w:left="0" w:leftChars="0" w:firstLine="480" w:firstLineChars="200"/>
        <w:rPr>
          <w:rFonts w:hint="eastAsia" w:ascii="仿宋" w:hAnsi="仿宋" w:cs="仿宋"/>
        </w:rPr>
      </w:pPr>
      <w:r>
        <w:rPr>
          <w:rFonts w:hint="eastAsia" w:ascii="仿宋" w:hAnsi="仿宋" w:eastAsia="仿宋" w:cs="仿宋"/>
          <w:kern w:val="2"/>
          <w:sz w:val="24"/>
          <w:szCs w:val="24"/>
          <w:lang w:val="en-US" w:eastAsia="zh-CN" w:bidi="ar-SA"/>
        </w:rPr>
        <w:t>3.</w:t>
      </w:r>
      <w:r>
        <w:rPr>
          <w:rFonts w:hint="eastAsia" w:ascii="仿宋" w:hAnsi="仿宋" w:cs="仿宋"/>
        </w:rPr>
        <w:t>乙方须提供7×24小时电话服务，24小时售后服务热线，联系人。系统发生故障时，乙方应在接到甲方维护/维修相关要求后立即响应，1小时内到达现场，4小时内修复普通故障，8小时内修复重大故障。如遇现场无法修复的，将用同类产品代替使用，直至故障完全修复。保修期内乙方应提供每季度一次的免费现场巡检检修服务。</w:t>
      </w:r>
    </w:p>
    <w:p w14:paraId="53077DE1">
      <w:pPr>
        <w:spacing w:line="500" w:lineRule="exact"/>
        <w:ind w:firstLine="472" w:firstLineChars="196"/>
        <w:rPr>
          <w:rFonts w:hint="eastAsia" w:ascii="仿宋" w:hAnsi="仿宋" w:cs="仿宋"/>
          <w:b/>
          <w:bCs/>
          <w:kern w:val="0"/>
          <w:lang w:val="en-US" w:eastAsia="zh-CN"/>
        </w:rPr>
      </w:pPr>
      <w:r>
        <w:rPr>
          <w:rFonts w:hint="eastAsia" w:ascii="仿宋" w:hAnsi="仿宋" w:cs="仿宋"/>
          <w:b/>
          <w:bCs/>
          <w:kern w:val="0"/>
          <w:lang w:val="en-US" w:eastAsia="zh-CN"/>
        </w:rPr>
        <w:t>六、货物包装、发运及运输</w:t>
      </w:r>
    </w:p>
    <w:p w14:paraId="5E01983B">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1.乙方应在货物发运前对其进行满足运输距离、防潮、防震、防锈和防破损装卸等要求包装，以保证货物安全运达甲方指定地点。</w:t>
      </w:r>
    </w:p>
    <w:p w14:paraId="540A69C6">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2.使用说明书、质量检验证明书、随配附件和工具以及清单一并附于货物内。</w:t>
      </w:r>
    </w:p>
    <w:p w14:paraId="73CBEA47">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3.乙方在货物发运手续办理完毕后24小时内或货到甲方48小时前通知甲方，以准备接货。</w:t>
      </w:r>
    </w:p>
    <w:p w14:paraId="32AC5E94">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4.货物在交付甲方前发生的风险均由乙方负责。</w:t>
      </w:r>
    </w:p>
    <w:p w14:paraId="24B72F6A">
      <w:pPr>
        <w:spacing w:line="500" w:lineRule="exact"/>
        <w:ind w:firstLine="470" w:firstLineChars="196"/>
        <w:rPr>
          <w:rFonts w:hint="eastAsia" w:ascii="仿宋" w:hAnsi="仿宋" w:cs="仿宋"/>
          <w:b w:val="0"/>
          <w:bCs w:val="0"/>
          <w:kern w:val="0"/>
          <w:lang w:val="en-US" w:eastAsia="zh-CN"/>
        </w:rPr>
      </w:pPr>
      <w:r>
        <w:rPr>
          <w:rFonts w:hint="eastAsia" w:ascii="仿宋" w:hAnsi="仿宋" w:cs="仿宋"/>
          <w:b w:val="0"/>
          <w:bCs w:val="0"/>
          <w:kern w:val="0"/>
          <w:lang w:val="en-US" w:eastAsia="zh-CN"/>
        </w:rPr>
        <w:t>5.货物在规定的交付期限内由乙方送达甲方指定的地点视为交付，乙方同时需通知甲方货物已送达。</w:t>
      </w:r>
    </w:p>
    <w:p w14:paraId="334ECAAB">
      <w:pPr>
        <w:spacing w:line="500" w:lineRule="exact"/>
        <w:ind w:firstLine="472" w:firstLineChars="196"/>
        <w:rPr>
          <w:rFonts w:ascii="仿宋" w:hAnsi="仿宋" w:cs="仿宋"/>
          <w:b/>
          <w:bCs/>
          <w:kern w:val="0"/>
          <w:highlight w:val="none"/>
          <w:lang w:val="zh-CN"/>
        </w:rPr>
      </w:pPr>
      <w:r>
        <w:rPr>
          <w:rFonts w:hint="eastAsia" w:ascii="仿宋" w:hAnsi="仿宋" w:cs="仿宋"/>
          <w:b/>
          <w:bCs/>
          <w:kern w:val="0"/>
          <w:highlight w:val="none"/>
          <w:lang w:val="en-US" w:eastAsia="zh-CN"/>
        </w:rPr>
        <w:t>七</w:t>
      </w:r>
      <w:r>
        <w:rPr>
          <w:rFonts w:hint="eastAsia" w:ascii="仿宋" w:hAnsi="仿宋" w:cs="仿宋"/>
          <w:b/>
          <w:bCs/>
          <w:kern w:val="0"/>
          <w:highlight w:val="none"/>
          <w:lang w:val="zh-CN"/>
        </w:rPr>
        <w:t>、付款方式</w:t>
      </w:r>
    </w:p>
    <w:p w14:paraId="5971685D">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cs="仿宋"/>
          <w:b w:val="0"/>
          <w:bCs w:val="0"/>
          <w:szCs w:val="22"/>
          <w:highlight w:val="none"/>
          <w:lang w:val="en-US" w:eastAsia="zh-CN"/>
        </w:rPr>
      </w:pPr>
      <w:r>
        <w:rPr>
          <w:rFonts w:hint="eastAsia" w:ascii="仿宋" w:hAnsi="仿宋" w:cs="仿宋"/>
          <w:b w:val="0"/>
          <w:bCs w:val="0"/>
          <w:szCs w:val="22"/>
          <w:highlight w:val="none"/>
          <w:lang w:val="en-US" w:eastAsia="zh-CN"/>
        </w:rPr>
        <w:t>合同生效以及具备实施条件后7个工作日内，甲方向乙方支付合同总价的40%，合同货物送达采购人指定地点，货到安装、调试完成且通过特检所验收合格取得相关证书后采购人支付至合同总价的95%，余5%等决算审计后支付合同总价的100%（凭货物发票）。</w:t>
      </w:r>
    </w:p>
    <w:p w14:paraId="720314DC">
      <w:pPr>
        <w:snapToGrid w:val="0"/>
        <w:spacing w:line="500" w:lineRule="exact"/>
        <w:ind w:firstLine="482" w:firstLineChars="200"/>
        <w:rPr>
          <w:rFonts w:ascii="仿宋" w:hAnsi="仿宋" w:cs="仿宋"/>
          <w:b/>
          <w:lang w:val="zh-CN"/>
        </w:rPr>
      </w:pPr>
      <w:r>
        <w:rPr>
          <w:rFonts w:hint="eastAsia" w:ascii="仿宋" w:hAnsi="仿宋" w:cs="仿宋"/>
          <w:b/>
          <w:lang w:val="en-US" w:eastAsia="zh-CN"/>
        </w:rPr>
        <w:t>八</w:t>
      </w:r>
      <w:r>
        <w:rPr>
          <w:rFonts w:hint="eastAsia" w:ascii="仿宋" w:hAnsi="仿宋" w:cs="仿宋"/>
          <w:b/>
          <w:lang w:val="zh-CN"/>
        </w:rPr>
        <w:t>、保密条款</w:t>
      </w:r>
    </w:p>
    <w:p w14:paraId="5E5093F0">
      <w:pPr>
        <w:snapToGrid w:val="0"/>
        <w:spacing w:line="500" w:lineRule="exact"/>
        <w:ind w:firstLine="480" w:firstLineChars="200"/>
        <w:rPr>
          <w:rFonts w:ascii="仿宋" w:hAnsi="仿宋" w:cs="仿宋"/>
          <w:lang w:val="zh-CN"/>
        </w:rPr>
      </w:pPr>
      <w:r>
        <w:rPr>
          <w:rFonts w:hint="eastAsia" w:ascii="仿宋" w:hAnsi="仿宋" w:cs="仿宋"/>
          <w:lang w:val="zh-CN"/>
        </w:rPr>
        <w:t>8.1本合同所有文档及本合同项目所接触的双方资料，未经对方授权代表书面许可，不得向与合同无关的其他方泄漏任何技术文件或与合同有关的数据，双方须严守资料中所涉秘密、妥善保管，不得遗失、转借、复印。</w:t>
      </w:r>
    </w:p>
    <w:p w14:paraId="12C34483">
      <w:pPr>
        <w:snapToGrid w:val="0"/>
        <w:spacing w:line="500" w:lineRule="exact"/>
        <w:ind w:firstLine="480" w:firstLineChars="200"/>
        <w:rPr>
          <w:rFonts w:ascii="仿宋" w:hAnsi="仿宋" w:cs="仿宋"/>
          <w:lang w:val="zh-CN"/>
        </w:rPr>
      </w:pPr>
      <w:r>
        <w:rPr>
          <w:rFonts w:hint="eastAsia" w:ascii="仿宋" w:hAnsi="仿宋" w:cs="仿宋"/>
          <w:lang w:val="zh-CN"/>
        </w:rPr>
        <w:t>8.2任何一方发现另一方的保密事项已经泄露或可能泄露时，应当立即采取补救措施，并及时通知另一方；任何一方造成的泄失密事件，须承担有关法律责任，并赔偿相应经济损失。</w:t>
      </w:r>
    </w:p>
    <w:p w14:paraId="3BF76C86">
      <w:pPr>
        <w:snapToGrid w:val="0"/>
        <w:spacing w:line="500" w:lineRule="exact"/>
        <w:ind w:firstLine="480" w:firstLineChars="200"/>
        <w:rPr>
          <w:rFonts w:ascii="仿宋" w:hAnsi="仿宋" w:cs="仿宋"/>
          <w:lang w:val="zh-CN"/>
        </w:rPr>
      </w:pPr>
      <w:r>
        <w:rPr>
          <w:rFonts w:hint="eastAsia" w:ascii="仿宋" w:hAnsi="仿宋" w:cs="仿宋"/>
          <w:lang w:val="zh-CN"/>
        </w:rPr>
        <w:t>8.3本项目保密期限为永久。</w:t>
      </w:r>
    </w:p>
    <w:p w14:paraId="55804F1E">
      <w:pPr>
        <w:snapToGrid w:val="0"/>
        <w:spacing w:line="500" w:lineRule="exact"/>
        <w:ind w:firstLine="480" w:firstLineChars="200"/>
        <w:rPr>
          <w:rFonts w:ascii="仿宋" w:hAnsi="仿宋" w:cs="仿宋"/>
          <w:lang w:val="zh-CN"/>
        </w:rPr>
      </w:pPr>
      <w:r>
        <w:rPr>
          <w:rFonts w:hint="eastAsia" w:ascii="仿宋" w:hAnsi="仿宋" w:cs="仿宋"/>
          <w:lang w:val="zh-CN"/>
        </w:rPr>
        <w:t>8.4 本合同终止或解除后，本条内约定的所有保密条款依然独立有效。</w:t>
      </w:r>
    </w:p>
    <w:p w14:paraId="6394644B">
      <w:pPr>
        <w:snapToGrid w:val="0"/>
        <w:spacing w:line="500" w:lineRule="exact"/>
        <w:ind w:firstLine="482" w:firstLineChars="200"/>
        <w:rPr>
          <w:rFonts w:ascii="仿宋" w:hAnsi="仿宋" w:cs="仿宋"/>
          <w:b/>
          <w:lang w:val="zh-CN"/>
        </w:rPr>
      </w:pPr>
      <w:r>
        <w:rPr>
          <w:rFonts w:hint="eastAsia" w:ascii="仿宋" w:hAnsi="仿宋" w:cs="仿宋"/>
          <w:b/>
          <w:lang w:val="zh-CN"/>
        </w:rPr>
        <w:t>九、违约责任</w:t>
      </w:r>
    </w:p>
    <w:p w14:paraId="30421B5E">
      <w:pPr>
        <w:spacing w:line="500" w:lineRule="exact"/>
        <w:ind w:firstLine="480" w:firstLineChars="200"/>
        <w:rPr>
          <w:rFonts w:ascii="仿宋" w:hAnsi="仿宋" w:cs="仿宋"/>
          <w:kern w:val="0"/>
          <w:lang w:val="zh-CN"/>
        </w:rPr>
      </w:pPr>
      <w:r>
        <w:rPr>
          <w:rFonts w:hint="eastAsia" w:ascii="仿宋" w:hAnsi="仿宋" w:cs="仿宋"/>
          <w:kern w:val="0"/>
          <w:lang w:val="zh-CN"/>
        </w:rPr>
        <w:t>9.1.乙方根据招标文件要求不得将本项目进行转包、分包，一经发现本项目存在转包、分包情况，将立即终止合同，取消乙方供货资格，并将库存物资由乙方运回，货款已支付的乙方应当返还甲方已经支付的全部款项。</w:t>
      </w:r>
    </w:p>
    <w:p w14:paraId="496A65BB">
      <w:pPr>
        <w:spacing w:line="500" w:lineRule="exact"/>
        <w:ind w:firstLine="480" w:firstLineChars="200"/>
        <w:rPr>
          <w:rFonts w:ascii="仿宋" w:hAnsi="仿宋" w:cs="仿宋"/>
          <w:kern w:val="0"/>
          <w:lang w:val="zh-CN"/>
        </w:rPr>
      </w:pPr>
      <w:r>
        <w:rPr>
          <w:rFonts w:hint="eastAsia" w:ascii="仿宋" w:hAnsi="仿宋" w:cs="仿宋"/>
          <w:kern w:val="0"/>
          <w:lang w:val="zh-CN"/>
        </w:rPr>
        <w:t>9.2乙方如不能按照合同规定的时限内供货，需承担违约责任并按相应比例交纳违约金：延误30个自然日（含）以内，每天支付当期应交付产品的合计金额千分之一的违约金；逾期超过30个自然日以上的，甲方有权提前解除本合同，且乙方应当返还甲方已经支付的全部款项并一次性支付合同总价30%的违约金。</w:t>
      </w:r>
    </w:p>
    <w:p w14:paraId="382F0011">
      <w:pPr>
        <w:spacing w:line="500" w:lineRule="exact"/>
        <w:ind w:firstLine="480" w:firstLineChars="200"/>
        <w:rPr>
          <w:rFonts w:ascii="仿宋" w:hAnsi="仿宋" w:cs="仿宋"/>
          <w:kern w:val="0"/>
          <w:lang w:val="zh-CN"/>
        </w:rPr>
      </w:pPr>
      <w:r>
        <w:rPr>
          <w:rFonts w:hint="eastAsia" w:ascii="仿宋" w:hAnsi="仿宋" w:cs="仿宋"/>
          <w:kern w:val="0"/>
          <w:lang w:val="zh-CN"/>
        </w:rPr>
        <w:t>9.3在履行合同过程中，如果乙方遇到不可抗力情形，导致妨碍按时交货和提供服务的情况时，应及时以书面形式将拖延的事实、可能拖延的时间和原因通知甲方。甲方在收到乙方通知后，应尽快对情况进行评价，并确定是否酌情延长交货时间和提供服务以及是否收取误期赔偿费（若符合不可抗力情形的免除乙方迟延履行的赔偿责任，并同意相应顺延交货时间；否则按照乙方迟延交付处理）。延期应通过双方认可的信函方式确认。经甲方确认可延期的交货和提供服务可不作为乙方的履约延误，可免交违约金。</w:t>
      </w:r>
    </w:p>
    <w:p w14:paraId="59501684">
      <w:pPr>
        <w:spacing w:line="500" w:lineRule="exact"/>
        <w:ind w:firstLine="480" w:firstLineChars="200"/>
        <w:rPr>
          <w:rFonts w:ascii="仿宋" w:hAnsi="仿宋" w:cs="仿宋"/>
          <w:kern w:val="0"/>
          <w:lang w:val="zh-CN"/>
        </w:rPr>
      </w:pPr>
      <w:r>
        <w:rPr>
          <w:rFonts w:hint="eastAsia" w:ascii="仿宋" w:hAnsi="仿宋" w:cs="仿宋"/>
          <w:kern w:val="0"/>
          <w:lang w:val="zh-CN"/>
        </w:rPr>
        <w:t>9.4甲方无正当理由拒收货物、拒付货款的，由甲方向乙方偿付合同总价的5%。</w:t>
      </w:r>
    </w:p>
    <w:p w14:paraId="0F0BDA2A">
      <w:pPr>
        <w:spacing w:line="500" w:lineRule="exact"/>
        <w:ind w:firstLine="480" w:firstLineChars="200"/>
        <w:rPr>
          <w:rFonts w:ascii="仿宋" w:hAnsi="仿宋" w:cs="仿宋"/>
          <w:kern w:val="0"/>
          <w:lang w:val="zh-CN"/>
        </w:rPr>
      </w:pPr>
      <w:r>
        <w:rPr>
          <w:rFonts w:hint="eastAsia" w:ascii="仿宋" w:hAnsi="仿宋" w:cs="仿宋"/>
          <w:kern w:val="0"/>
          <w:lang w:val="zh-CN"/>
        </w:rPr>
        <w:t>9.5因乙方原因导致甲方解除本合同的，乙方应退还甲方已支付的全部款项，并支付本合同总金额5%的违约金。如甲方损失高于违约金的，乙方还应继续赔偿。</w:t>
      </w:r>
    </w:p>
    <w:p w14:paraId="4DBD84B5">
      <w:pPr>
        <w:snapToGrid w:val="0"/>
        <w:spacing w:line="500" w:lineRule="exact"/>
        <w:ind w:firstLine="482" w:firstLineChars="200"/>
        <w:rPr>
          <w:rFonts w:ascii="仿宋" w:hAnsi="仿宋" w:cs="仿宋"/>
          <w:b/>
          <w:lang w:val="zh-CN"/>
        </w:rPr>
      </w:pPr>
      <w:r>
        <w:rPr>
          <w:rFonts w:hint="eastAsia" w:ascii="仿宋" w:hAnsi="仿宋" w:cs="仿宋"/>
          <w:b/>
          <w:lang w:val="zh-CN"/>
        </w:rPr>
        <w:t>十、不可抗力</w:t>
      </w:r>
    </w:p>
    <w:p w14:paraId="168EC888">
      <w:pPr>
        <w:snapToGrid w:val="0"/>
        <w:spacing w:line="500" w:lineRule="exact"/>
        <w:ind w:firstLine="480" w:firstLineChars="200"/>
        <w:rPr>
          <w:rFonts w:ascii="仿宋" w:hAnsi="仿宋" w:cs="仿宋"/>
          <w:lang w:val="zh-CN"/>
        </w:rPr>
      </w:pPr>
      <w:r>
        <w:rPr>
          <w:rFonts w:hint="eastAsia" w:ascii="仿宋" w:hAnsi="仿宋" w:cs="仿宋"/>
          <w:lang w:val="zh-CN"/>
        </w:rPr>
        <w:t>10.1双方任一方由于受不可抗力事件的影响而不能执行合同时，履行合同的期限应予以延长，其延长的期限应相当于事件所影响的时间。不可抗力事件系指甲乙双方在缔结合同时所不能预见的，并且它的发生及其后果是无法避免和无法克服的事件，诸如战争、严重火灾、洪水、台风、地震等，以及双方同意的其他不可抗力事件。</w:t>
      </w:r>
    </w:p>
    <w:p w14:paraId="08F550BA">
      <w:pPr>
        <w:snapToGrid w:val="0"/>
        <w:spacing w:line="500" w:lineRule="exact"/>
        <w:ind w:firstLine="480" w:firstLineChars="200"/>
        <w:rPr>
          <w:rFonts w:ascii="仿宋" w:hAnsi="仿宋" w:cs="仿宋"/>
          <w:lang w:val="zh-CN"/>
        </w:rPr>
      </w:pPr>
      <w:r>
        <w:rPr>
          <w:rFonts w:hint="eastAsia" w:ascii="仿宋" w:hAnsi="仿宋" w:cs="仿宋"/>
          <w:lang w:val="zh-CN"/>
        </w:rPr>
        <w:t>10.2受阻一方应在不可抗力事件发生后尽快用电子邮件、传真或电话通知对方，并于事件发生后14个自然日内将有关当局出具的证明文件用特快专递或挂号信寄给对方审阅确认。一旦不可抗力事件的影响持续120个自然日以上，双方应通过友好协商在合理的时间内达成进一步履行合同的协议，甲方也可考虑解除合同。</w:t>
      </w:r>
    </w:p>
    <w:p w14:paraId="3CB0428D">
      <w:pPr>
        <w:snapToGrid w:val="0"/>
        <w:spacing w:line="500" w:lineRule="exact"/>
        <w:ind w:firstLine="482" w:firstLineChars="200"/>
        <w:rPr>
          <w:rFonts w:ascii="仿宋" w:hAnsi="仿宋" w:cs="仿宋"/>
          <w:b/>
          <w:lang w:val="zh-CN"/>
        </w:rPr>
      </w:pPr>
      <w:r>
        <w:rPr>
          <w:rFonts w:hint="eastAsia" w:ascii="仿宋" w:hAnsi="仿宋" w:cs="仿宋"/>
          <w:b/>
          <w:lang w:val="zh-CN"/>
        </w:rPr>
        <w:t>十一、争端的解决</w:t>
      </w:r>
    </w:p>
    <w:p w14:paraId="208FE2D6">
      <w:pPr>
        <w:snapToGrid w:val="0"/>
        <w:spacing w:line="500" w:lineRule="exact"/>
        <w:ind w:firstLine="480" w:firstLineChars="200"/>
        <w:rPr>
          <w:rFonts w:ascii="仿宋" w:hAnsi="仿宋" w:cs="仿宋"/>
          <w:lang w:val="zh-CN"/>
        </w:rPr>
      </w:pPr>
      <w:r>
        <w:rPr>
          <w:rFonts w:hint="eastAsia" w:ascii="仿宋" w:hAnsi="仿宋" w:cs="仿宋"/>
          <w:lang w:val="zh-CN"/>
        </w:rPr>
        <w:t>11.1合同实施或与合同有关的一切争端应通过双方友好协商解决。如果友好协商开始后60个自然日还不能解决，可向甲方所在地人民法院提起诉讼。</w:t>
      </w:r>
    </w:p>
    <w:p w14:paraId="1B1A3D10">
      <w:pPr>
        <w:snapToGrid w:val="0"/>
        <w:spacing w:line="500" w:lineRule="exact"/>
        <w:ind w:firstLine="480" w:firstLineChars="200"/>
        <w:rPr>
          <w:rFonts w:ascii="仿宋" w:hAnsi="仿宋" w:cs="仿宋"/>
          <w:lang w:val="zh-CN"/>
        </w:rPr>
      </w:pPr>
      <w:r>
        <w:rPr>
          <w:rFonts w:hint="eastAsia" w:ascii="仿宋" w:hAnsi="仿宋" w:cs="仿宋"/>
          <w:lang w:val="zh-CN"/>
        </w:rPr>
        <w:t>11.2在诉讼期间，除正在进行诉讼的部分外，本合同其它部分应继续执行。</w:t>
      </w:r>
    </w:p>
    <w:p w14:paraId="06674BB8">
      <w:pPr>
        <w:snapToGrid w:val="0"/>
        <w:spacing w:line="500" w:lineRule="exact"/>
        <w:ind w:firstLine="480" w:firstLineChars="200"/>
        <w:rPr>
          <w:rFonts w:ascii="仿宋" w:hAnsi="仿宋" w:cs="仿宋"/>
          <w:lang w:val="zh-CN"/>
        </w:rPr>
      </w:pPr>
      <w:r>
        <w:rPr>
          <w:rFonts w:hint="eastAsia" w:ascii="仿宋" w:hAnsi="仿宋" w:cs="仿宋"/>
          <w:lang w:val="zh-CN"/>
        </w:rPr>
        <w:t>11.3胜诉方因主张权利引起的合理费用（包含但不限于：律师费、公证费、差旅费等），均由败诉方承担。</w:t>
      </w:r>
    </w:p>
    <w:p w14:paraId="18182C02">
      <w:pPr>
        <w:snapToGrid w:val="0"/>
        <w:spacing w:line="500" w:lineRule="exact"/>
        <w:ind w:firstLine="482" w:firstLineChars="200"/>
        <w:rPr>
          <w:rFonts w:ascii="仿宋" w:hAnsi="仿宋" w:cs="仿宋"/>
          <w:b/>
          <w:lang w:val="zh-CN"/>
        </w:rPr>
      </w:pPr>
      <w:r>
        <w:rPr>
          <w:rFonts w:hint="eastAsia" w:ascii="仿宋" w:hAnsi="仿宋" w:cs="仿宋"/>
          <w:b/>
          <w:lang w:val="zh-CN"/>
        </w:rPr>
        <w:t>十二、合同生效</w:t>
      </w:r>
    </w:p>
    <w:p w14:paraId="6A76C5D3">
      <w:pPr>
        <w:snapToGrid w:val="0"/>
        <w:spacing w:line="500" w:lineRule="exact"/>
        <w:ind w:firstLine="480" w:firstLineChars="200"/>
        <w:rPr>
          <w:rFonts w:ascii="仿宋" w:hAnsi="仿宋" w:cs="仿宋"/>
          <w:lang w:val="zh-CN"/>
        </w:rPr>
      </w:pPr>
      <w:r>
        <w:rPr>
          <w:rFonts w:hint="eastAsia" w:ascii="仿宋" w:hAnsi="仿宋" w:cs="仿宋"/>
          <w:lang w:val="zh-CN"/>
        </w:rPr>
        <w:t>12.1本合同自各方法定代表人或委托代理人签字并加盖公章后生效。</w:t>
      </w:r>
    </w:p>
    <w:p w14:paraId="46ADA53B">
      <w:pPr>
        <w:snapToGrid w:val="0"/>
        <w:spacing w:line="500" w:lineRule="exact"/>
        <w:ind w:firstLine="480" w:firstLineChars="200"/>
        <w:rPr>
          <w:rFonts w:ascii="仿宋" w:hAnsi="仿宋" w:cs="仿宋"/>
          <w:lang w:val="zh-CN"/>
        </w:rPr>
      </w:pPr>
      <w:r>
        <w:rPr>
          <w:rFonts w:hint="eastAsia" w:ascii="仿宋" w:hAnsi="仿宋" w:cs="仿宋"/>
          <w:lang w:val="zh-CN"/>
        </w:rPr>
        <w:t>12.2对本合同条款的任何补充、增添或修改应以书面方式进行，由各方法定代表人或委托代理人签字并加盖公章，作为合同不可分割的组成部分。</w:t>
      </w:r>
    </w:p>
    <w:p w14:paraId="2EC790F8">
      <w:pPr>
        <w:snapToGrid w:val="0"/>
        <w:spacing w:line="500" w:lineRule="exact"/>
        <w:ind w:firstLine="482" w:firstLineChars="200"/>
        <w:rPr>
          <w:rFonts w:ascii="仿宋" w:hAnsi="仿宋" w:cs="仿宋"/>
          <w:b/>
          <w:lang w:val="zh-CN"/>
        </w:rPr>
      </w:pPr>
      <w:r>
        <w:rPr>
          <w:rFonts w:hint="eastAsia" w:ascii="仿宋" w:hAnsi="仿宋" w:cs="仿宋"/>
          <w:b/>
          <w:lang w:val="zh-CN"/>
        </w:rPr>
        <w:t>十三、其它约定事项</w:t>
      </w:r>
    </w:p>
    <w:p w14:paraId="0280A029">
      <w:pPr>
        <w:snapToGrid w:val="0"/>
        <w:spacing w:line="500" w:lineRule="exact"/>
        <w:ind w:firstLine="480" w:firstLineChars="200"/>
        <w:rPr>
          <w:rFonts w:ascii="仿宋" w:hAnsi="仿宋" w:cs="仿宋"/>
          <w:lang w:val="zh-CN"/>
        </w:rPr>
      </w:pPr>
      <w:r>
        <w:rPr>
          <w:rFonts w:hint="eastAsia" w:ascii="仿宋" w:hAnsi="仿宋" w:cs="仿宋"/>
          <w:lang w:val="zh-CN"/>
        </w:rPr>
        <w:t>13.1在本合同执行过程中，乙方应及时答复和解决与合同有关的技术问题，并负责提供相应的技术文件。</w:t>
      </w:r>
    </w:p>
    <w:p w14:paraId="4ED45F17">
      <w:pPr>
        <w:snapToGrid w:val="0"/>
        <w:spacing w:line="500" w:lineRule="exact"/>
        <w:ind w:firstLine="480" w:firstLineChars="200"/>
        <w:rPr>
          <w:rFonts w:ascii="仿宋" w:hAnsi="仿宋" w:cs="仿宋"/>
          <w:lang w:val="zh-CN"/>
        </w:rPr>
      </w:pPr>
      <w:r>
        <w:rPr>
          <w:rFonts w:hint="eastAsia" w:ascii="仿宋" w:hAnsi="仿宋" w:cs="仿宋"/>
          <w:lang w:val="zh-CN"/>
        </w:rPr>
        <w:t>13.2各方的单位地址、邮编、开户行及账号、项目负责人、电话等若有变更，须及时书面通知对方。</w:t>
      </w:r>
    </w:p>
    <w:p w14:paraId="5DE19875">
      <w:pPr>
        <w:snapToGrid w:val="0"/>
        <w:spacing w:line="500" w:lineRule="exact"/>
        <w:ind w:firstLine="480" w:firstLineChars="200"/>
        <w:rPr>
          <w:rFonts w:ascii="仿宋" w:hAnsi="仿宋" w:cs="仿宋"/>
          <w:lang w:val="zh-CN"/>
        </w:rPr>
      </w:pPr>
      <w:r>
        <w:rPr>
          <w:rFonts w:hint="eastAsia" w:ascii="仿宋" w:hAnsi="仿宋" w:cs="仿宋"/>
          <w:lang w:val="zh-CN"/>
        </w:rPr>
        <w:t>13.3采购文件、投标文件作为合同附件，本合同中没有详细说明的，以采购文件、投标文件为依据。</w:t>
      </w:r>
    </w:p>
    <w:p w14:paraId="4C136092">
      <w:pPr>
        <w:snapToGrid w:val="0"/>
        <w:spacing w:line="500" w:lineRule="exact"/>
        <w:ind w:firstLine="482" w:firstLineChars="200"/>
        <w:rPr>
          <w:rFonts w:ascii="仿宋" w:hAnsi="仿宋" w:cs="仿宋"/>
          <w:b/>
          <w:lang w:val="zh-CN"/>
        </w:rPr>
      </w:pPr>
      <w:r>
        <w:rPr>
          <w:rFonts w:hint="eastAsia" w:ascii="仿宋" w:hAnsi="仿宋" w:cs="仿宋"/>
          <w:b/>
          <w:lang w:val="zh-CN"/>
        </w:rPr>
        <w:t>十四、本合同一式捌份，甲方执</w:t>
      </w:r>
      <w:r>
        <w:rPr>
          <w:rFonts w:hint="eastAsia" w:ascii="仿宋" w:hAnsi="仿宋" w:cs="仿宋"/>
          <w:b/>
        </w:rPr>
        <w:t>陆</w:t>
      </w:r>
      <w:r>
        <w:rPr>
          <w:rFonts w:hint="eastAsia" w:ascii="仿宋" w:hAnsi="仿宋" w:cs="仿宋"/>
          <w:b/>
          <w:lang w:val="zh-CN"/>
        </w:rPr>
        <w:t>份，乙方执贰份，均具有同等法律效力。</w:t>
      </w:r>
    </w:p>
    <w:p w14:paraId="3D3CAD09">
      <w:pPr>
        <w:snapToGrid w:val="0"/>
        <w:spacing w:line="500" w:lineRule="exact"/>
        <w:ind w:firstLine="482" w:firstLineChars="200"/>
        <w:rPr>
          <w:rFonts w:ascii="仿宋" w:hAnsi="仿宋" w:cs="仿宋"/>
          <w:b/>
          <w:lang w:val="zh-CN"/>
        </w:rPr>
      </w:pPr>
      <w:r>
        <w:rPr>
          <w:rFonts w:hint="eastAsia" w:ascii="仿宋" w:hAnsi="仿宋" w:cs="仿宋"/>
          <w:b/>
          <w:lang w:val="zh-CN"/>
        </w:rPr>
        <w:t>十五、本合同文字为中文。</w:t>
      </w:r>
    </w:p>
    <w:p w14:paraId="15CA5F3A">
      <w:pPr>
        <w:pStyle w:val="513"/>
        <w:spacing w:line="500" w:lineRule="exact"/>
        <w:ind w:firstLine="460"/>
        <w:rPr>
          <w:rFonts w:ascii="仿宋" w:hAnsi="仿宋" w:cs="仿宋"/>
          <w:szCs w:val="24"/>
          <w:lang w:val="zh-CN"/>
        </w:rPr>
      </w:pPr>
      <w:r>
        <w:rPr>
          <w:rFonts w:hint="eastAsia" w:ascii="仿宋" w:hAnsi="仿宋" w:cs="仿宋"/>
          <w:szCs w:val="24"/>
          <w:lang w:val="zh-CN"/>
        </w:rPr>
        <w:t>【以下无正文】</w:t>
      </w:r>
    </w:p>
    <w:p w14:paraId="1BF5C7F5">
      <w:pPr>
        <w:pStyle w:val="61"/>
        <w:spacing w:line="500" w:lineRule="exact"/>
        <w:ind w:firstLine="0"/>
      </w:pPr>
    </w:p>
    <w:p w14:paraId="5C4FFFE3">
      <w:pPr>
        <w:snapToGrid w:val="0"/>
        <w:spacing w:line="500" w:lineRule="exact"/>
        <w:ind w:firstLine="480" w:firstLineChars="200"/>
        <w:rPr>
          <w:rFonts w:ascii="仿宋" w:hAnsi="仿宋" w:cs="仿宋"/>
        </w:rPr>
      </w:pPr>
      <w:r>
        <w:rPr>
          <w:rFonts w:hint="eastAsia" w:ascii="仿宋" w:hAnsi="仿宋" w:cs="仿宋"/>
        </w:rPr>
        <w:t>甲方（盖章）：                    乙方（盖章）：</w:t>
      </w:r>
    </w:p>
    <w:p w14:paraId="5DAC89A9">
      <w:pPr>
        <w:snapToGrid w:val="0"/>
        <w:spacing w:line="500" w:lineRule="exact"/>
        <w:ind w:firstLine="480" w:firstLineChars="200"/>
        <w:rPr>
          <w:rFonts w:ascii="仿宋" w:hAnsi="仿宋" w:cs="仿宋"/>
        </w:rPr>
      </w:pPr>
      <w:r>
        <w:rPr>
          <w:rFonts w:hint="eastAsia" w:ascii="仿宋" w:hAnsi="仿宋" w:cs="仿宋"/>
        </w:rPr>
        <w:t>地址：        地址：</w:t>
      </w:r>
    </w:p>
    <w:p w14:paraId="6DDF3765">
      <w:pPr>
        <w:snapToGrid w:val="0"/>
        <w:spacing w:line="500" w:lineRule="exact"/>
        <w:ind w:firstLine="480" w:firstLineChars="200"/>
        <w:rPr>
          <w:rFonts w:ascii="仿宋" w:hAnsi="仿宋" w:cs="仿宋"/>
        </w:rPr>
      </w:pPr>
      <w:r>
        <w:rPr>
          <w:rFonts w:hint="eastAsia" w:ascii="仿宋" w:hAnsi="仿宋" w:cs="仿宋"/>
        </w:rPr>
        <w:t>法定代表人或委托代理人：          法定代表人或委托代理人：</w:t>
      </w:r>
    </w:p>
    <w:p w14:paraId="160B63A9">
      <w:pPr>
        <w:snapToGrid w:val="0"/>
        <w:spacing w:line="500" w:lineRule="exact"/>
        <w:ind w:firstLine="480" w:firstLineChars="200"/>
        <w:rPr>
          <w:rFonts w:ascii="仿宋" w:hAnsi="仿宋" w:cs="仿宋"/>
        </w:rPr>
      </w:pPr>
      <w:r>
        <w:rPr>
          <w:rFonts w:hint="eastAsia" w:ascii="仿宋" w:hAnsi="仿宋" w:cs="仿宋"/>
        </w:rPr>
        <w:t>电话：                            电话：</w:t>
      </w:r>
    </w:p>
    <w:p w14:paraId="37C8171D">
      <w:pPr>
        <w:snapToGrid w:val="0"/>
        <w:spacing w:line="500" w:lineRule="exact"/>
        <w:ind w:left="6000" w:leftChars="200" w:hanging="5520" w:hangingChars="2300"/>
        <w:rPr>
          <w:rFonts w:ascii="仿宋" w:hAnsi="仿宋" w:cs="仿宋"/>
        </w:rPr>
      </w:pPr>
      <w:r>
        <w:rPr>
          <w:rFonts w:hint="eastAsia" w:ascii="仿宋" w:hAnsi="仿宋" w:cs="仿宋"/>
        </w:rPr>
        <w:t>开户银行：                        开户银行：</w:t>
      </w:r>
    </w:p>
    <w:p w14:paraId="6BB158FA">
      <w:pPr>
        <w:snapToGrid w:val="0"/>
        <w:spacing w:line="500" w:lineRule="exact"/>
        <w:ind w:firstLine="480" w:firstLineChars="200"/>
        <w:rPr>
          <w:rFonts w:ascii="仿宋" w:hAnsi="仿宋" w:cs="仿宋"/>
        </w:rPr>
      </w:pPr>
      <w:r>
        <w:rPr>
          <w:rFonts w:hint="eastAsia" w:ascii="仿宋" w:hAnsi="仿宋" w:cs="仿宋"/>
        </w:rPr>
        <w:t>帐号：                             帐号：</w:t>
      </w:r>
    </w:p>
    <w:p w14:paraId="7AABA206">
      <w:pPr>
        <w:snapToGrid w:val="0"/>
        <w:spacing w:line="500" w:lineRule="exact"/>
        <w:ind w:firstLine="480" w:firstLineChars="200"/>
        <w:jc w:val="center"/>
        <w:rPr>
          <w:rFonts w:ascii="仿宋" w:hAnsi="仿宋" w:cs="仿宋"/>
        </w:rPr>
      </w:pPr>
    </w:p>
    <w:p w14:paraId="5890E4B3">
      <w:pPr>
        <w:snapToGrid w:val="0"/>
        <w:spacing w:line="500" w:lineRule="exact"/>
        <w:ind w:firstLine="480" w:firstLineChars="200"/>
        <w:jc w:val="center"/>
        <w:rPr>
          <w:rFonts w:ascii="仿宋" w:hAnsi="仿宋" w:cs="仿宋"/>
        </w:rPr>
      </w:pPr>
      <w:r>
        <w:rPr>
          <w:rFonts w:hint="eastAsia" w:ascii="仿宋" w:hAnsi="仿宋" w:cs="仿宋"/>
        </w:rPr>
        <w:t>签约时间：    年    月    日</w:t>
      </w:r>
      <w:bookmarkStart w:id="394" w:name="_Hlk9782306"/>
    </w:p>
    <w:bookmarkEnd w:id="394"/>
    <w:p w14:paraId="3A4066A7">
      <w:pPr>
        <w:pageBreakBefore/>
        <w:snapToGrid w:val="0"/>
        <w:spacing w:line="560" w:lineRule="exact"/>
        <w:ind w:firstLine="723" w:firstLineChars="200"/>
        <w:jc w:val="center"/>
        <w:rPr>
          <w:b/>
          <w:sz w:val="36"/>
          <w:szCs w:val="20"/>
        </w:rPr>
      </w:pPr>
      <w:r>
        <w:rPr>
          <w:rFonts w:hAnsi="仿宋"/>
          <w:b/>
          <w:sz w:val="36"/>
          <w:szCs w:val="20"/>
        </w:rPr>
        <w:t>第六部分</w:t>
      </w:r>
      <w:bookmarkEnd w:id="392"/>
      <w:bookmarkEnd w:id="393"/>
      <w:r>
        <w:rPr>
          <w:rFonts w:hAnsi="仿宋"/>
          <w:b/>
          <w:sz w:val="36"/>
          <w:szCs w:val="20"/>
        </w:rPr>
        <w:t>应提交的有关格式范例</w:t>
      </w:r>
    </w:p>
    <w:p w14:paraId="529B577E">
      <w:pPr>
        <w:spacing w:line="360" w:lineRule="auto"/>
        <w:jc w:val="center"/>
        <w:outlineLvl w:val="0"/>
        <w:rPr>
          <w:b/>
          <w:kern w:val="0"/>
          <w:sz w:val="36"/>
          <w:szCs w:val="36"/>
        </w:rPr>
      </w:pPr>
    </w:p>
    <w:p w14:paraId="444C682B">
      <w:pPr>
        <w:spacing w:line="360" w:lineRule="auto"/>
        <w:jc w:val="center"/>
        <w:outlineLvl w:val="0"/>
        <w:rPr>
          <w:b/>
          <w:kern w:val="0"/>
          <w:sz w:val="36"/>
          <w:szCs w:val="36"/>
        </w:rPr>
      </w:pPr>
      <w:r>
        <w:rPr>
          <w:rFonts w:hAnsi="仿宋"/>
          <w:b/>
          <w:kern w:val="0"/>
          <w:sz w:val="36"/>
          <w:szCs w:val="36"/>
        </w:rPr>
        <w:t>资格文件部分</w:t>
      </w:r>
    </w:p>
    <w:p w14:paraId="4570A424">
      <w:pPr>
        <w:spacing w:line="360" w:lineRule="auto"/>
        <w:jc w:val="center"/>
        <w:outlineLvl w:val="0"/>
        <w:rPr>
          <w:b/>
          <w:kern w:val="0"/>
          <w:sz w:val="36"/>
          <w:szCs w:val="36"/>
        </w:rPr>
      </w:pPr>
      <w:r>
        <w:rPr>
          <w:rFonts w:hAnsi="仿宋"/>
          <w:b/>
          <w:kern w:val="0"/>
          <w:sz w:val="36"/>
          <w:szCs w:val="36"/>
        </w:rPr>
        <w:t>目录</w:t>
      </w:r>
    </w:p>
    <w:p w14:paraId="55E87268">
      <w:pPr>
        <w:spacing w:line="360" w:lineRule="auto"/>
        <w:jc w:val="center"/>
        <w:outlineLvl w:val="0"/>
        <w:rPr>
          <w:b/>
          <w:kern w:val="0"/>
          <w:sz w:val="36"/>
          <w:szCs w:val="36"/>
        </w:rPr>
      </w:pPr>
    </w:p>
    <w:p w14:paraId="1F17258B">
      <w:pPr>
        <w:snapToGrid w:val="0"/>
        <w:spacing w:line="360" w:lineRule="auto"/>
      </w:pPr>
      <w:r>
        <w:rPr>
          <w:rFonts w:hAnsi="仿宋"/>
        </w:rPr>
        <w:t>（</w:t>
      </w:r>
      <w:r>
        <w:t>1</w:t>
      </w:r>
      <w:r>
        <w:rPr>
          <w:rFonts w:hAnsi="仿宋"/>
        </w:rPr>
        <w:t>）投标人营业执照</w:t>
      </w:r>
      <w:r>
        <w:t>……………………………………………………………</w:t>
      </w:r>
      <w:r>
        <w:rPr>
          <w:rFonts w:hAnsi="仿宋"/>
        </w:rPr>
        <w:t>（页码）</w:t>
      </w:r>
    </w:p>
    <w:p w14:paraId="5D527CF8">
      <w:pPr>
        <w:snapToGrid w:val="0"/>
        <w:spacing w:line="360" w:lineRule="auto"/>
      </w:pPr>
      <w:r>
        <w:rPr>
          <w:rFonts w:hAnsi="仿宋"/>
        </w:rPr>
        <w:t>（</w:t>
      </w:r>
      <w:r>
        <w:t>2</w:t>
      </w:r>
      <w:r>
        <w:rPr>
          <w:rFonts w:hAnsi="仿宋"/>
        </w:rPr>
        <w:t>）符合参加政府采购活动应当具备的一般条件的承诺函</w:t>
      </w:r>
      <w:r>
        <w:t>…………………</w:t>
      </w:r>
      <w:r>
        <w:rPr>
          <w:rFonts w:hAnsi="仿宋"/>
        </w:rPr>
        <w:t>（页码）</w:t>
      </w:r>
    </w:p>
    <w:p w14:paraId="35C4A918">
      <w:pPr>
        <w:snapToGrid w:val="0"/>
        <w:spacing w:line="360" w:lineRule="auto"/>
      </w:pPr>
      <w:r>
        <w:rPr>
          <w:rFonts w:hAnsi="仿宋"/>
        </w:rPr>
        <w:t>（</w:t>
      </w:r>
      <w:r>
        <w:rPr>
          <w:rFonts w:hint="eastAsia"/>
          <w:lang w:val="en-US" w:eastAsia="zh-CN"/>
        </w:rPr>
        <w:t>3</w:t>
      </w:r>
      <w:r>
        <w:rPr>
          <w:rFonts w:hAnsi="仿宋"/>
        </w:rPr>
        <w:t>）信用证明截图</w:t>
      </w:r>
      <w:r>
        <w:t>………………………………………………………………</w:t>
      </w:r>
      <w:r>
        <w:rPr>
          <w:rFonts w:hAnsi="仿宋"/>
        </w:rPr>
        <w:t>（页码）</w:t>
      </w:r>
    </w:p>
    <w:p w14:paraId="726A9AB6">
      <w:pPr>
        <w:snapToGrid w:val="0"/>
        <w:spacing w:line="360" w:lineRule="auto"/>
      </w:pPr>
      <w:r>
        <w:rPr>
          <w:rFonts w:hAnsi="仿宋"/>
        </w:rPr>
        <w:t>（</w:t>
      </w:r>
      <w:r>
        <w:rPr>
          <w:rFonts w:hint="eastAsia"/>
          <w:lang w:val="en-US" w:eastAsia="zh-CN"/>
        </w:rPr>
        <w:t>4</w:t>
      </w:r>
      <w:r>
        <w:rPr>
          <w:rFonts w:hAnsi="仿宋"/>
        </w:rPr>
        <w:t>）本项目的特定资格要求</w:t>
      </w:r>
      <w:r>
        <w:t>……………………………………………………</w:t>
      </w:r>
      <w:r>
        <w:rPr>
          <w:rFonts w:hAnsi="仿宋"/>
        </w:rPr>
        <w:t>（页码）</w:t>
      </w:r>
    </w:p>
    <w:p w14:paraId="770719B0">
      <w:pPr>
        <w:snapToGrid w:val="0"/>
        <w:spacing w:line="360" w:lineRule="auto"/>
        <w:ind w:firstLine="480" w:firstLineChars="200"/>
      </w:pPr>
    </w:p>
    <w:p w14:paraId="54BFEAFB">
      <w:pPr>
        <w:spacing w:line="360" w:lineRule="auto"/>
        <w:ind w:firstLine="480" w:firstLineChars="200"/>
      </w:pPr>
    </w:p>
    <w:p w14:paraId="25A93800">
      <w:pPr>
        <w:snapToGrid w:val="0"/>
        <w:spacing w:line="360" w:lineRule="auto"/>
        <w:ind w:right="480"/>
        <w:jc w:val="center"/>
        <w:rPr>
          <w:b/>
          <w:kern w:val="0"/>
          <w:sz w:val="32"/>
          <w:szCs w:val="32"/>
        </w:rPr>
      </w:pPr>
      <w:r>
        <w:rPr>
          <w:kern w:val="0"/>
        </w:rPr>
        <w:br w:type="page"/>
      </w:r>
      <w:r>
        <w:rPr>
          <w:rFonts w:hAnsi="仿宋"/>
          <w:b/>
          <w:kern w:val="0"/>
          <w:sz w:val="32"/>
          <w:szCs w:val="32"/>
        </w:rPr>
        <w:t>一、符合参加政府采购活动应当具备的一般条件的承诺函</w:t>
      </w:r>
    </w:p>
    <w:p w14:paraId="209FB69C">
      <w:pPr>
        <w:snapToGrid w:val="0"/>
        <w:spacing w:line="360" w:lineRule="auto"/>
      </w:pPr>
      <w:r>
        <w:rPr>
          <w:rFonts w:hAnsi="仿宋"/>
        </w:rPr>
        <w:t>（采购人）、（采购代理机构）：</w:t>
      </w:r>
    </w:p>
    <w:p w14:paraId="24E1305C">
      <w:pPr>
        <w:snapToGrid w:val="0"/>
        <w:spacing w:line="360" w:lineRule="auto"/>
        <w:ind w:firstLine="480" w:firstLineChars="200"/>
      </w:pPr>
      <w:r>
        <w:rPr>
          <w:rFonts w:hAnsi="仿宋"/>
        </w:rPr>
        <w:t>我方参与（项目名称）【招标编号：（采购编号）】政府采购活动，郑重承诺：</w:t>
      </w:r>
    </w:p>
    <w:p w14:paraId="668C9F81">
      <w:pPr>
        <w:snapToGrid w:val="0"/>
        <w:spacing w:line="360" w:lineRule="auto"/>
        <w:ind w:firstLine="360" w:firstLineChars="150"/>
      </w:pPr>
      <w:r>
        <w:rPr>
          <w:rFonts w:hAnsi="仿宋"/>
        </w:rPr>
        <w:t>（一）具备《中华人民共和国政府采购法》第二十二条第一款规定的条件：</w:t>
      </w:r>
    </w:p>
    <w:p w14:paraId="66352F4E">
      <w:pPr>
        <w:snapToGrid w:val="0"/>
        <w:spacing w:line="360" w:lineRule="auto"/>
        <w:ind w:firstLine="480" w:firstLineChars="200"/>
      </w:pPr>
      <w:r>
        <w:t>1</w:t>
      </w:r>
      <w:r>
        <w:rPr>
          <w:rFonts w:hAnsi="仿宋"/>
        </w:rPr>
        <w:t>、具有独立承担民事责任的能力；</w:t>
      </w:r>
    </w:p>
    <w:p w14:paraId="669C83D9">
      <w:pPr>
        <w:snapToGrid w:val="0"/>
        <w:spacing w:line="360" w:lineRule="auto"/>
        <w:ind w:firstLine="480" w:firstLineChars="200"/>
      </w:pPr>
      <w:r>
        <w:t>2</w:t>
      </w:r>
      <w:r>
        <w:rPr>
          <w:rFonts w:hAnsi="仿宋"/>
        </w:rPr>
        <w:t>、具有良好的商业信誉和健全的财务会计制度；</w:t>
      </w:r>
    </w:p>
    <w:p w14:paraId="5F06DC54">
      <w:pPr>
        <w:snapToGrid w:val="0"/>
        <w:spacing w:line="360" w:lineRule="auto"/>
        <w:ind w:firstLine="480" w:firstLineChars="200"/>
      </w:pPr>
      <w:r>
        <w:t>3</w:t>
      </w:r>
      <w:r>
        <w:rPr>
          <w:rFonts w:hAnsi="仿宋"/>
        </w:rPr>
        <w:t>、具有履行合同所必需的设备和专业技术能力；</w:t>
      </w:r>
    </w:p>
    <w:p w14:paraId="175EAC73">
      <w:pPr>
        <w:snapToGrid w:val="0"/>
        <w:spacing w:line="360" w:lineRule="auto"/>
        <w:ind w:firstLine="480" w:firstLineChars="200"/>
      </w:pPr>
      <w:r>
        <w:t>4</w:t>
      </w:r>
      <w:r>
        <w:rPr>
          <w:rFonts w:hAnsi="仿宋"/>
        </w:rPr>
        <w:t>、有依法缴纳税收和社会保障资金的良好记录；</w:t>
      </w:r>
    </w:p>
    <w:p w14:paraId="4633FB21">
      <w:pPr>
        <w:snapToGrid w:val="0"/>
        <w:spacing w:line="360" w:lineRule="auto"/>
        <w:ind w:firstLine="480" w:firstLineChars="200"/>
      </w:pPr>
      <w:r>
        <w:t>5</w:t>
      </w:r>
      <w:r>
        <w:rPr>
          <w:rFonts w:hAnsi="仿宋"/>
        </w:rPr>
        <w:t>、参加政府采购活动前三年内，在经营活动中没有重大违法记录；</w:t>
      </w:r>
    </w:p>
    <w:p w14:paraId="557EECB9">
      <w:pPr>
        <w:snapToGrid w:val="0"/>
        <w:spacing w:line="360" w:lineRule="auto"/>
        <w:ind w:firstLine="480" w:firstLineChars="200"/>
      </w:pPr>
      <w:r>
        <w:t>6</w:t>
      </w:r>
      <w:r>
        <w:rPr>
          <w:rFonts w:hAnsi="仿宋"/>
        </w:rPr>
        <w:t>、具有法律、行政法规规定的其他条件。</w:t>
      </w:r>
    </w:p>
    <w:p w14:paraId="286875C0">
      <w:pPr>
        <w:snapToGrid w:val="0"/>
        <w:spacing w:line="360" w:lineRule="auto"/>
        <w:ind w:firstLine="480" w:firstLineChars="200"/>
      </w:pPr>
      <w:r>
        <w:rPr>
          <w:rFonts w:hAnsi="仿宋"/>
        </w:rPr>
        <w:t>（二）未被信用中国（</w:t>
      </w:r>
      <w:r>
        <w:t>www.creditchina.gov.cn)</w:t>
      </w:r>
      <w:r>
        <w:rPr>
          <w:rFonts w:hAnsi="仿宋"/>
        </w:rPr>
        <w:t>、中国政府采购网（</w:t>
      </w:r>
      <w:r>
        <w:t>www.ccgp.gov.cn</w:t>
      </w:r>
      <w:r>
        <w:rPr>
          <w:rFonts w:hAnsi="仿宋"/>
        </w:rPr>
        <w:t>）列入失信被执行人、重大税收违法案件当事人名单、政府采购严重违法失信行为记录名单。</w:t>
      </w:r>
    </w:p>
    <w:p w14:paraId="57675090">
      <w:pPr>
        <w:snapToGrid w:val="0"/>
        <w:spacing w:line="360" w:lineRule="auto"/>
        <w:ind w:firstLine="480" w:firstLineChars="200"/>
      </w:pPr>
      <w:r>
        <w:rPr>
          <w:rFonts w:hAnsi="仿宋"/>
        </w:rPr>
        <w:t>（三）不存在以下情况：</w:t>
      </w:r>
    </w:p>
    <w:p w14:paraId="7BDE8B48">
      <w:pPr>
        <w:snapToGrid w:val="0"/>
        <w:spacing w:line="360" w:lineRule="auto"/>
        <w:ind w:firstLine="480" w:firstLineChars="200"/>
      </w:pPr>
      <w:r>
        <w:t>1</w:t>
      </w:r>
      <w:r>
        <w:rPr>
          <w:rFonts w:hAnsi="仿宋"/>
        </w:rPr>
        <w:t>、单位负责人为同一人或者存在直接控股、管理关系的不同供应商参加同一合同项下的政府采购活动的；</w:t>
      </w:r>
    </w:p>
    <w:p w14:paraId="1DD69AC7">
      <w:pPr>
        <w:snapToGrid w:val="0"/>
        <w:spacing w:line="360" w:lineRule="auto"/>
        <w:ind w:firstLine="480" w:firstLineChars="200"/>
      </w:pPr>
      <w:r>
        <w:t>2</w:t>
      </w:r>
      <w:r>
        <w:rPr>
          <w:rFonts w:hAnsi="仿宋"/>
        </w:rPr>
        <w:t>、为采购项目提供整体设计、规范编制或者项目管理、监理、检测等服务后再参加该采购项目的其他采购活动的。</w:t>
      </w:r>
    </w:p>
    <w:p w14:paraId="6EF7591A">
      <w:pPr>
        <w:snapToGrid w:val="0"/>
        <w:spacing w:line="360" w:lineRule="auto"/>
        <w:ind w:firstLine="5520" w:firstLineChars="2300"/>
        <w:rPr>
          <w:kern w:val="0"/>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4CBFCE66">
      <w:pPr>
        <w:snapToGrid w:val="0"/>
        <w:spacing w:line="360" w:lineRule="auto"/>
        <w:ind w:firstLine="5640" w:firstLineChars="2350"/>
        <w:rPr>
          <w:kern w:val="0"/>
        </w:rPr>
      </w:pPr>
      <w:r>
        <w:rPr>
          <w:rFonts w:hAnsi="仿宋"/>
          <w:kern w:val="0"/>
          <w:lang w:val="zh-CN"/>
        </w:rPr>
        <w:t>日期</w:t>
      </w:r>
      <w:r>
        <w:rPr>
          <w:rFonts w:hAnsi="仿宋"/>
          <w:kern w:val="0"/>
        </w:rPr>
        <w:t>：年</w:t>
      </w:r>
      <w:r>
        <w:rPr>
          <w:rFonts w:hAnsi="仿宋"/>
          <w:kern w:val="0"/>
          <w:lang w:val="zh-CN"/>
        </w:rPr>
        <w:t>月日</w:t>
      </w:r>
    </w:p>
    <w:p w14:paraId="11417923">
      <w:pPr>
        <w:snapToGrid w:val="0"/>
        <w:spacing w:line="360" w:lineRule="auto"/>
        <w:ind w:right="480"/>
        <w:jc w:val="center"/>
        <w:rPr>
          <w:b/>
          <w:kern w:val="0"/>
          <w:sz w:val="32"/>
          <w:szCs w:val="32"/>
        </w:rPr>
      </w:pPr>
    </w:p>
    <w:p w14:paraId="4EE25F2E">
      <w:pPr>
        <w:snapToGrid w:val="0"/>
        <w:spacing w:line="360" w:lineRule="auto"/>
        <w:ind w:right="480"/>
        <w:jc w:val="center"/>
        <w:rPr>
          <w:b/>
          <w:kern w:val="0"/>
          <w:sz w:val="32"/>
          <w:szCs w:val="32"/>
        </w:rPr>
      </w:pPr>
    </w:p>
    <w:p w14:paraId="666DF538">
      <w:pPr>
        <w:snapToGrid w:val="0"/>
        <w:spacing w:line="360" w:lineRule="auto"/>
        <w:ind w:right="480"/>
        <w:jc w:val="center"/>
        <w:rPr>
          <w:b/>
          <w:kern w:val="0"/>
          <w:sz w:val="32"/>
          <w:szCs w:val="32"/>
        </w:rPr>
      </w:pPr>
    </w:p>
    <w:p w14:paraId="7066FF5C"/>
    <w:p w14:paraId="4524B488">
      <w:pPr>
        <w:snapToGrid w:val="0"/>
        <w:spacing w:line="360" w:lineRule="auto"/>
        <w:ind w:right="480"/>
        <w:jc w:val="center"/>
        <w:rPr>
          <w:b/>
          <w:kern w:val="0"/>
          <w:sz w:val="32"/>
          <w:szCs w:val="32"/>
        </w:rPr>
      </w:pPr>
    </w:p>
    <w:p w14:paraId="0EA0DC11">
      <w:pPr>
        <w:snapToGrid w:val="0"/>
        <w:spacing w:line="360" w:lineRule="auto"/>
        <w:ind w:right="480"/>
        <w:jc w:val="center"/>
        <w:rPr>
          <w:b/>
          <w:kern w:val="0"/>
          <w:sz w:val="32"/>
          <w:szCs w:val="32"/>
        </w:rPr>
      </w:pPr>
    </w:p>
    <w:p w14:paraId="2EFD7FB7">
      <w:pPr>
        <w:snapToGrid w:val="0"/>
        <w:spacing w:line="360" w:lineRule="auto"/>
        <w:ind w:right="480"/>
        <w:jc w:val="center"/>
        <w:rPr>
          <w:b/>
          <w:kern w:val="0"/>
          <w:sz w:val="32"/>
          <w:szCs w:val="32"/>
        </w:rPr>
      </w:pPr>
    </w:p>
    <w:p w14:paraId="578E8B45">
      <w:pPr>
        <w:snapToGrid w:val="0"/>
        <w:spacing w:line="360" w:lineRule="auto"/>
        <w:ind w:right="480"/>
        <w:jc w:val="center"/>
        <w:rPr>
          <w:rFonts w:hAnsi="仿宋"/>
          <w:b/>
          <w:kern w:val="0"/>
          <w:sz w:val="32"/>
          <w:szCs w:val="32"/>
        </w:rPr>
      </w:pPr>
    </w:p>
    <w:p w14:paraId="3F825FA8">
      <w:pPr>
        <w:snapToGrid w:val="0"/>
        <w:spacing w:line="360" w:lineRule="auto"/>
        <w:ind w:right="480"/>
        <w:jc w:val="center"/>
        <w:rPr>
          <w:b/>
          <w:kern w:val="0"/>
          <w:sz w:val="32"/>
          <w:szCs w:val="32"/>
        </w:rPr>
      </w:pPr>
      <w:r>
        <w:rPr>
          <w:rFonts w:hAnsi="仿宋"/>
          <w:b/>
          <w:kern w:val="0"/>
          <w:sz w:val="32"/>
          <w:szCs w:val="32"/>
        </w:rPr>
        <w:t>二、信用证明截图</w:t>
      </w:r>
    </w:p>
    <w:p w14:paraId="0A04FF85">
      <w:pPr>
        <w:widowControl/>
        <w:spacing w:line="360" w:lineRule="auto"/>
        <w:ind w:left="150"/>
        <w:jc w:val="center"/>
        <w:rPr>
          <w:b/>
          <w:kern w:val="0"/>
          <w:sz w:val="32"/>
          <w:szCs w:val="32"/>
        </w:rPr>
      </w:pPr>
    </w:p>
    <w:p w14:paraId="1E061832">
      <w:pPr>
        <w:pageBreakBefore/>
        <w:widowControl/>
        <w:spacing w:line="360" w:lineRule="auto"/>
        <w:ind w:left="147"/>
        <w:jc w:val="center"/>
        <w:rPr>
          <w:b/>
          <w:kern w:val="0"/>
          <w:sz w:val="32"/>
          <w:szCs w:val="32"/>
        </w:rPr>
      </w:pPr>
      <w:r>
        <w:rPr>
          <w:rFonts w:hAnsi="仿宋"/>
          <w:b/>
          <w:kern w:val="0"/>
          <w:sz w:val="32"/>
          <w:szCs w:val="32"/>
        </w:rPr>
        <w:t>三、本项目的特定资格要求</w:t>
      </w:r>
    </w:p>
    <w:p w14:paraId="0EE276D4">
      <w:pPr>
        <w:spacing w:line="360" w:lineRule="auto"/>
        <w:jc w:val="center"/>
      </w:pPr>
      <w:r>
        <w:rPr>
          <w:rFonts w:hAnsi="仿宋"/>
        </w:rPr>
        <w:t>（根据招标公告本项目的特定资格要求提供相应的材料；未要求的，无需提供）</w:t>
      </w:r>
    </w:p>
    <w:p w14:paraId="2075A0ED"/>
    <w:p w14:paraId="30A2653C">
      <w:pPr>
        <w:snapToGrid w:val="0"/>
        <w:spacing w:line="360" w:lineRule="auto"/>
        <w:ind w:right="480"/>
        <w:jc w:val="center"/>
        <w:rPr>
          <w:b/>
          <w:kern w:val="0"/>
          <w:sz w:val="32"/>
          <w:szCs w:val="32"/>
        </w:rPr>
      </w:pPr>
    </w:p>
    <w:p w14:paraId="391C0882">
      <w:pPr>
        <w:snapToGrid w:val="0"/>
        <w:spacing w:line="360" w:lineRule="auto"/>
        <w:ind w:right="480"/>
        <w:jc w:val="center"/>
        <w:rPr>
          <w:b/>
          <w:kern w:val="0"/>
          <w:sz w:val="32"/>
          <w:szCs w:val="32"/>
        </w:rPr>
      </w:pPr>
    </w:p>
    <w:p w14:paraId="48227118">
      <w:pPr>
        <w:snapToGrid w:val="0"/>
        <w:spacing w:line="360" w:lineRule="auto"/>
        <w:ind w:right="480"/>
        <w:jc w:val="center"/>
        <w:rPr>
          <w:b/>
          <w:kern w:val="0"/>
          <w:sz w:val="32"/>
          <w:szCs w:val="32"/>
        </w:rPr>
      </w:pPr>
    </w:p>
    <w:p w14:paraId="55E2B54B">
      <w:pPr>
        <w:snapToGrid w:val="0"/>
        <w:spacing w:line="360" w:lineRule="auto"/>
        <w:ind w:right="480"/>
        <w:jc w:val="center"/>
        <w:rPr>
          <w:b/>
          <w:kern w:val="0"/>
          <w:sz w:val="32"/>
          <w:szCs w:val="32"/>
        </w:rPr>
      </w:pPr>
    </w:p>
    <w:p w14:paraId="44537FFA">
      <w:pPr>
        <w:snapToGrid w:val="0"/>
        <w:spacing w:line="360" w:lineRule="auto"/>
        <w:ind w:right="480"/>
        <w:jc w:val="center"/>
        <w:rPr>
          <w:b/>
          <w:kern w:val="0"/>
          <w:sz w:val="32"/>
          <w:szCs w:val="32"/>
        </w:rPr>
      </w:pPr>
    </w:p>
    <w:p w14:paraId="00257809">
      <w:pPr>
        <w:snapToGrid w:val="0"/>
        <w:spacing w:line="360" w:lineRule="auto"/>
        <w:ind w:right="480"/>
        <w:jc w:val="center"/>
        <w:rPr>
          <w:b/>
          <w:kern w:val="0"/>
          <w:sz w:val="32"/>
          <w:szCs w:val="32"/>
        </w:rPr>
      </w:pPr>
    </w:p>
    <w:p w14:paraId="62BFFD24">
      <w:pPr>
        <w:spacing w:line="360" w:lineRule="auto"/>
        <w:jc w:val="center"/>
        <w:outlineLvl w:val="0"/>
        <w:rPr>
          <w:b/>
          <w:kern w:val="0"/>
          <w:sz w:val="36"/>
          <w:szCs w:val="36"/>
        </w:rPr>
      </w:pPr>
    </w:p>
    <w:p w14:paraId="267A5919">
      <w:pPr>
        <w:snapToGrid w:val="0"/>
        <w:spacing w:line="360" w:lineRule="auto"/>
        <w:ind w:right="480"/>
        <w:jc w:val="center"/>
        <w:rPr>
          <w:b/>
          <w:kern w:val="0"/>
          <w:sz w:val="32"/>
          <w:szCs w:val="32"/>
        </w:rPr>
      </w:pPr>
    </w:p>
    <w:p w14:paraId="55218A0D">
      <w:pPr>
        <w:spacing w:line="360" w:lineRule="auto"/>
        <w:jc w:val="center"/>
        <w:outlineLvl w:val="0"/>
        <w:rPr>
          <w:b/>
          <w:kern w:val="0"/>
          <w:sz w:val="36"/>
          <w:szCs w:val="36"/>
        </w:rPr>
      </w:pPr>
    </w:p>
    <w:p w14:paraId="19FF0E03">
      <w:pPr>
        <w:snapToGrid w:val="0"/>
        <w:spacing w:line="360" w:lineRule="auto"/>
        <w:ind w:right="480"/>
        <w:jc w:val="center"/>
        <w:rPr>
          <w:b/>
          <w:kern w:val="0"/>
          <w:sz w:val="32"/>
          <w:szCs w:val="32"/>
        </w:rPr>
      </w:pPr>
    </w:p>
    <w:p w14:paraId="6187E528">
      <w:pPr>
        <w:spacing w:line="360" w:lineRule="auto"/>
        <w:jc w:val="center"/>
        <w:outlineLvl w:val="0"/>
        <w:rPr>
          <w:b/>
          <w:kern w:val="0"/>
          <w:sz w:val="36"/>
          <w:szCs w:val="36"/>
        </w:rPr>
      </w:pPr>
    </w:p>
    <w:p w14:paraId="08531145">
      <w:pPr>
        <w:pageBreakBefore/>
        <w:spacing w:line="360" w:lineRule="auto"/>
        <w:ind w:right="420" w:firstLine="3614" w:firstLineChars="1000"/>
        <w:rPr>
          <w:b/>
          <w:kern w:val="0"/>
          <w:sz w:val="36"/>
          <w:szCs w:val="36"/>
        </w:rPr>
      </w:pPr>
      <w:r>
        <w:rPr>
          <w:rFonts w:hAnsi="仿宋"/>
          <w:b/>
          <w:kern w:val="0"/>
          <w:sz w:val="36"/>
          <w:szCs w:val="36"/>
        </w:rPr>
        <w:t>商务技术文件部分</w:t>
      </w:r>
    </w:p>
    <w:p w14:paraId="2EF83261">
      <w:pPr>
        <w:spacing w:line="360" w:lineRule="auto"/>
        <w:jc w:val="center"/>
        <w:outlineLvl w:val="0"/>
        <w:rPr>
          <w:b/>
          <w:kern w:val="0"/>
        </w:rPr>
      </w:pPr>
    </w:p>
    <w:p w14:paraId="01B1491F">
      <w:pPr>
        <w:spacing w:line="360" w:lineRule="auto"/>
        <w:jc w:val="center"/>
        <w:outlineLvl w:val="0"/>
        <w:rPr>
          <w:b/>
          <w:kern w:val="0"/>
          <w:sz w:val="28"/>
          <w:szCs w:val="28"/>
        </w:rPr>
      </w:pPr>
      <w:r>
        <w:rPr>
          <w:rFonts w:hAnsi="仿宋"/>
          <w:b/>
          <w:kern w:val="0"/>
          <w:sz w:val="28"/>
          <w:szCs w:val="28"/>
        </w:rPr>
        <w:t>目录</w:t>
      </w:r>
    </w:p>
    <w:p w14:paraId="6A85D91D">
      <w:pPr>
        <w:numPr>
          <w:ilvl w:val="0"/>
          <w:numId w:val="2"/>
        </w:numPr>
        <w:rPr>
          <w:rFonts w:hAnsi="仿宋"/>
        </w:rPr>
      </w:pPr>
      <w:r>
        <w:rPr>
          <w:rFonts w:hAnsi="仿宋"/>
        </w:rPr>
        <w:t>投标函</w:t>
      </w:r>
      <w:r>
        <w:t>…………………………………………………………………………</w:t>
      </w:r>
      <w:r>
        <w:rPr>
          <w:rFonts w:hAnsi="仿宋"/>
        </w:rPr>
        <w:t>（页码）</w:t>
      </w:r>
    </w:p>
    <w:p w14:paraId="30177B14">
      <w:pPr>
        <w:numPr>
          <w:ilvl w:val="0"/>
          <w:numId w:val="2"/>
        </w:numPr>
      </w:pPr>
      <w:r>
        <w:rPr>
          <w:rFonts w:hAnsi="仿宋"/>
        </w:rPr>
        <w:t>授权委托书或法定代表人（单位负责人、自然人本人）身份证明</w:t>
      </w:r>
      <w:r>
        <w:t>………</w:t>
      </w:r>
      <w:r>
        <w:rPr>
          <w:rFonts w:hAnsi="仿宋"/>
        </w:rPr>
        <w:t>（页码）</w:t>
      </w:r>
    </w:p>
    <w:p w14:paraId="43F3B483">
      <w:r>
        <w:rPr>
          <w:rFonts w:hAnsi="仿宋"/>
        </w:rPr>
        <w:t>（</w:t>
      </w:r>
      <w:r>
        <w:t>3</w:t>
      </w:r>
      <w:r>
        <w:rPr>
          <w:rFonts w:hAnsi="仿宋"/>
        </w:rPr>
        <w:t>）联合协议</w:t>
      </w:r>
      <w:r>
        <w:t>………………………………………………………………………</w:t>
      </w:r>
      <w:r>
        <w:rPr>
          <w:rFonts w:hAnsi="仿宋"/>
        </w:rPr>
        <w:t>（页码）</w:t>
      </w:r>
    </w:p>
    <w:p w14:paraId="063598C4">
      <w:r>
        <w:rPr>
          <w:rFonts w:hAnsi="仿宋"/>
        </w:rPr>
        <w:t>（</w:t>
      </w:r>
      <w:r>
        <w:t>4</w:t>
      </w:r>
      <w:r>
        <w:rPr>
          <w:rFonts w:hAnsi="仿宋"/>
        </w:rPr>
        <w:t>）分包意向协议</w:t>
      </w:r>
      <w:r>
        <w:t>…………………………………………………………………</w:t>
      </w:r>
      <w:r>
        <w:rPr>
          <w:rFonts w:hAnsi="仿宋"/>
        </w:rPr>
        <w:t>（页码）</w:t>
      </w:r>
    </w:p>
    <w:p w14:paraId="10639E4B">
      <w:r>
        <w:rPr>
          <w:rFonts w:hAnsi="仿宋"/>
        </w:rPr>
        <w:t>（</w:t>
      </w:r>
      <w:r>
        <w:t>5</w:t>
      </w:r>
      <w:r>
        <w:rPr>
          <w:rFonts w:hAnsi="仿宋"/>
        </w:rPr>
        <w:t>）符合性审查资料</w:t>
      </w:r>
      <w:r>
        <w:t>………………………………………………………………</w:t>
      </w:r>
      <w:r>
        <w:rPr>
          <w:rFonts w:hAnsi="仿宋"/>
        </w:rPr>
        <w:t>（页码）</w:t>
      </w:r>
    </w:p>
    <w:p w14:paraId="2C48FA2E">
      <w:r>
        <w:rPr>
          <w:rFonts w:hAnsi="仿宋"/>
        </w:rPr>
        <w:t>（</w:t>
      </w:r>
      <w:r>
        <w:t>6</w:t>
      </w:r>
      <w:r>
        <w:rPr>
          <w:rFonts w:hAnsi="仿宋"/>
        </w:rPr>
        <w:t>）评标标准相应的商务技术资料</w:t>
      </w:r>
      <w:r>
        <w:t>………………………………………………</w:t>
      </w:r>
      <w:r>
        <w:rPr>
          <w:rFonts w:hAnsi="仿宋"/>
        </w:rPr>
        <w:t>（页码）</w:t>
      </w:r>
    </w:p>
    <w:p w14:paraId="3577A35C">
      <w:r>
        <w:rPr>
          <w:rFonts w:hAnsi="仿宋"/>
        </w:rPr>
        <w:t>（</w:t>
      </w:r>
      <w:r>
        <w:t>7</w:t>
      </w:r>
      <w:r>
        <w:rPr>
          <w:rFonts w:hAnsi="仿宋"/>
        </w:rPr>
        <w:t>）商务技术偏离表</w:t>
      </w:r>
      <w:r>
        <w:t>………………………………………………………………</w:t>
      </w:r>
      <w:r>
        <w:rPr>
          <w:rFonts w:hAnsi="仿宋"/>
        </w:rPr>
        <w:t>（页码）</w:t>
      </w:r>
    </w:p>
    <w:p w14:paraId="212C559B">
      <w:r>
        <w:rPr>
          <w:rFonts w:hAnsi="仿宋"/>
          <w:lang w:val="zh-CN"/>
        </w:rPr>
        <w:t>（</w:t>
      </w:r>
      <w:r>
        <w:t>8</w:t>
      </w:r>
      <w:r>
        <w:rPr>
          <w:rFonts w:hAnsi="仿宋"/>
          <w:lang w:val="zh-CN"/>
        </w:rPr>
        <w:t>）政府采购供应商廉洁自律承诺书</w:t>
      </w:r>
      <w:r>
        <w:t>……………………………………………</w:t>
      </w:r>
      <w:r>
        <w:rPr>
          <w:rFonts w:hAnsi="仿宋"/>
        </w:rPr>
        <w:t>（页码）</w:t>
      </w:r>
    </w:p>
    <w:p w14:paraId="0039CB6A">
      <w:pPr>
        <w:snapToGrid w:val="0"/>
        <w:spacing w:line="360" w:lineRule="auto"/>
        <w:jc w:val="center"/>
        <w:rPr>
          <w:b/>
          <w:kern w:val="0"/>
          <w:sz w:val="32"/>
          <w:szCs w:val="32"/>
          <w:lang w:val="zh-CN"/>
        </w:rPr>
      </w:pPr>
    </w:p>
    <w:p w14:paraId="54E81307">
      <w:pPr>
        <w:snapToGrid w:val="0"/>
        <w:spacing w:line="360" w:lineRule="auto"/>
        <w:jc w:val="center"/>
        <w:rPr>
          <w:b/>
          <w:kern w:val="0"/>
          <w:sz w:val="32"/>
          <w:szCs w:val="32"/>
          <w:lang w:val="zh-CN"/>
        </w:rPr>
      </w:pPr>
    </w:p>
    <w:p w14:paraId="2F809140">
      <w:pPr>
        <w:snapToGrid w:val="0"/>
        <w:spacing w:line="360" w:lineRule="auto"/>
        <w:jc w:val="center"/>
        <w:rPr>
          <w:b/>
          <w:kern w:val="0"/>
          <w:sz w:val="32"/>
          <w:szCs w:val="32"/>
          <w:lang w:val="zh-CN"/>
        </w:rPr>
      </w:pPr>
    </w:p>
    <w:p w14:paraId="0E2CDB31">
      <w:pPr>
        <w:snapToGrid w:val="0"/>
        <w:spacing w:line="360" w:lineRule="auto"/>
        <w:jc w:val="center"/>
        <w:rPr>
          <w:b/>
          <w:kern w:val="0"/>
          <w:sz w:val="32"/>
          <w:szCs w:val="32"/>
          <w:lang w:val="zh-CN"/>
        </w:rPr>
      </w:pPr>
    </w:p>
    <w:p w14:paraId="25C820DA">
      <w:pPr>
        <w:snapToGrid w:val="0"/>
        <w:spacing w:line="360" w:lineRule="auto"/>
        <w:jc w:val="center"/>
        <w:rPr>
          <w:b/>
          <w:kern w:val="0"/>
          <w:sz w:val="32"/>
          <w:szCs w:val="32"/>
          <w:lang w:val="zh-CN"/>
        </w:rPr>
      </w:pPr>
    </w:p>
    <w:p w14:paraId="1EC18BFB">
      <w:pPr>
        <w:snapToGrid w:val="0"/>
        <w:spacing w:line="360" w:lineRule="auto"/>
        <w:jc w:val="center"/>
        <w:outlineLvl w:val="0"/>
        <w:rPr>
          <w:b/>
          <w:kern w:val="0"/>
          <w:sz w:val="32"/>
          <w:szCs w:val="32"/>
        </w:rPr>
      </w:pPr>
    </w:p>
    <w:p w14:paraId="25017405">
      <w:pPr>
        <w:snapToGrid w:val="0"/>
        <w:spacing w:line="360" w:lineRule="auto"/>
        <w:jc w:val="center"/>
        <w:outlineLvl w:val="0"/>
        <w:rPr>
          <w:b/>
          <w:kern w:val="0"/>
          <w:sz w:val="32"/>
          <w:szCs w:val="32"/>
        </w:rPr>
      </w:pPr>
    </w:p>
    <w:p w14:paraId="6861F106">
      <w:pPr>
        <w:pageBreakBefore/>
        <w:snapToGrid w:val="0"/>
        <w:spacing w:line="360" w:lineRule="auto"/>
        <w:jc w:val="center"/>
        <w:outlineLvl w:val="0"/>
        <w:rPr>
          <w:b/>
          <w:sz w:val="32"/>
          <w:szCs w:val="32"/>
        </w:rPr>
      </w:pPr>
      <w:r>
        <w:rPr>
          <w:rFonts w:hAnsi="仿宋"/>
          <w:b/>
          <w:kern w:val="0"/>
          <w:sz w:val="32"/>
          <w:szCs w:val="32"/>
        </w:rPr>
        <w:t>一、投标</w:t>
      </w:r>
      <w:r>
        <w:rPr>
          <w:rFonts w:hAnsi="仿宋"/>
          <w:b/>
          <w:sz w:val="32"/>
          <w:szCs w:val="32"/>
        </w:rPr>
        <w:t>函</w:t>
      </w:r>
    </w:p>
    <w:p w14:paraId="5878AECE">
      <w:pPr>
        <w:snapToGrid w:val="0"/>
        <w:spacing w:line="360" w:lineRule="auto"/>
      </w:pPr>
      <w:r>
        <w:rPr>
          <w:rFonts w:hAnsi="仿宋"/>
        </w:rPr>
        <w:t>（采购人）、（采购代理机构）：</w:t>
      </w:r>
    </w:p>
    <w:p w14:paraId="1438D930">
      <w:pPr>
        <w:snapToGrid w:val="0"/>
        <w:spacing w:line="360" w:lineRule="auto"/>
        <w:ind w:firstLine="480" w:firstLineChars="200"/>
      </w:pPr>
      <w:r>
        <w:rPr>
          <w:rFonts w:hAnsi="仿宋"/>
        </w:rPr>
        <w:t>我方参加你方组织的（项目名称）【招标编号：（采购编号）】招标的有关活动，并对此项目进行投标。为此：</w:t>
      </w:r>
    </w:p>
    <w:p w14:paraId="4B08B4D3">
      <w:pPr>
        <w:snapToGrid w:val="0"/>
        <w:spacing w:line="360" w:lineRule="auto"/>
        <w:ind w:firstLine="480" w:firstLineChars="200"/>
      </w:pPr>
      <w:r>
        <w:t>1</w:t>
      </w:r>
      <w:r>
        <w:rPr>
          <w:rFonts w:hAnsi="仿宋"/>
        </w:rPr>
        <w:t>、我方承诺投标有效期从提交投标文件的截止之日起天（不少于</w:t>
      </w:r>
      <w:r>
        <w:t>90</w:t>
      </w:r>
      <w:r>
        <w:rPr>
          <w:rFonts w:hAnsi="仿宋"/>
        </w:rPr>
        <w:t>天），本投标文件在投标有效期满之前均具有约束力。</w:t>
      </w:r>
    </w:p>
    <w:p w14:paraId="2092ADEF">
      <w:pPr>
        <w:snapToGrid w:val="0"/>
        <w:spacing w:line="360" w:lineRule="auto"/>
        <w:ind w:firstLine="480" w:firstLineChars="200"/>
      </w:pPr>
      <w:r>
        <w:t>2</w:t>
      </w:r>
      <w:r>
        <w:rPr>
          <w:rFonts w:hAnsi="仿宋"/>
        </w:rPr>
        <w:t>、我方的投标文件包括以下内容：</w:t>
      </w:r>
    </w:p>
    <w:p w14:paraId="5D04E683">
      <w:pPr>
        <w:snapToGrid w:val="0"/>
        <w:spacing w:line="360" w:lineRule="auto"/>
        <w:ind w:left="240" w:leftChars="100" w:firstLine="480" w:firstLineChars="200"/>
      </w:pPr>
      <w:r>
        <w:t>2.1</w:t>
      </w:r>
      <w:r>
        <w:rPr>
          <w:rFonts w:hAnsi="仿宋"/>
        </w:rPr>
        <w:t>资格文件：</w:t>
      </w:r>
    </w:p>
    <w:p w14:paraId="62784C67">
      <w:pPr>
        <w:snapToGrid w:val="0"/>
        <w:spacing w:line="360" w:lineRule="auto"/>
        <w:ind w:left="480" w:leftChars="200" w:firstLine="480" w:firstLineChars="200"/>
      </w:pPr>
      <w:r>
        <w:t>2.1.1</w:t>
      </w:r>
      <w:r>
        <w:rPr>
          <w:rFonts w:hAnsi="仿宋"/>
        </w:rPr>
        <w:t>承诺函；</w:t>
      </w:r>
    </w:p>
    <w:p w14:paraId="5C8E952A">
      <w:pPr>
        <w:snapToGrid w:val="0"/>
        <w:spacing w:line="360" w:lineRule="auto"/>
        <w:ind w:left="480" w:leftChars="200" w:firstLine="480" w:firstLineChars="200"/>
      </w:pPr>
      <w:r>
        <w:t>2.1.2</w:t>
      </w:r>
      <w:r>
        <w:rPr>
          <w:rFonts w:hAnsi="仿宋"/>
        </w:rPr>
        <w:t>落实政府采购政策需满足的资格要求（如果有）；</w:t>
      </w:r>
    </w:p>
    <w:p w14:paraId="0187522F">
      <w:pPr>
        <w:snapToGrid w:val="0"/>
        <w:spacing w:line="360" w:lineRule="auto"/>
        <w:ind w:left="480" w:leftChars="200" w:firstLine="480" w:firstLineChars="200"/>
      </w:pPr>
      <w:r>
        <w:t>2.1.3</w:t>
      </w:r>
      <w:r>
        <w:rPr>
          <w:rFonts w:hAnsi="仿宋"/>
        </w:rPr>
        <w:t>本项目的特定资格要求（如果有）。</w:t>
      </w:r>
    </w:p>
    <w:p w14:paraId="2287AE4B">
      <w:pPr>
        <w:snapToGrid w:val="0"/>
        <w:spacing w:line="360" w:lineRule="auto"/>
        <w:ind w:left="240" w:leftChars="100" w:firstLine="480" w:firstLineChars="200"/>
        <w:rPr>
          <w:lang w:val="zh-CN"/>
        </w:rPr>
      </w:pPr>
      <w:r>
        <w:t>2</w:t>
      </w:r>
      <w:r>
        <w:rPr>
          <w:lang w:val="zh-CN"/>
        </w:rPr>
        <w:t>.</w:t>
      </w:r>
      <w:r>
        <w:t>2</w:t>
      </w:r>
      <w:r>
        <w:rPr>
          <w:rFonts w:hAnsi="仿宋"/>
        </w:rPr>
        <w:t>商务技术</w:t>
      </w:r>
      <w:r>
        <w:rPr>
          <w:rFonts w:hAnsi="仿宋"/>
          <w:lang w:val="zh-CN"/>
        </w:rPr>
        <w:t>文件：</w:t>
      </w:r>
    </w:p>
    <w:p w14:paraId="25948460">
      <w:pPr>
        <w:snapToGrid w:val="0"/>
        <w:spacing w:line="360" w:lineRule="auto"/>
        <w:ind w:left="480" w:leftChars="200" w:firstLine="480" w:firstLineChars="200"/>
      </w:pPr>
      <w:r>
        <w:t>2.2.1</w:t>
      </w:r>
      <w:r>
        <w:rPr>
          <w:rFonts w:hAnsi="仿宋"/>
        </w:rPr>
        <w:t>投标函；</w:t>
      </w:r>
    </w:p>
    <w:p w14:paraId="7A111147">
      <w:pPr>
        <w:snapToGrid w:val="0"/>
        <w:spacing w:line="360" w:lineRule="auto"/>
        <w:ind w:left="480" w:leftChars="200" w:firstLine="480" w:firstLineChars="200"/>
      </w:pPr>
      <w:r>
        <w:t>2.2.2</w:t>
      </w:r>
      <w:r>
        <w:rPr>
          <w:rFonts w:hAnsi="仿宋"/>
        </w:rPr>
        <w:t>授权委托书或法定代表人（单位负责人）身份证明；</w:t>
      </w:r>
    </w:p>
    <w:p w14:paraId="5CF69F43">
      <w:pPr>
        <w:snapToGrid w:val="0"/>
        <w:spacing w:line="360" w:lineRule="auto"/>
        <w:ind w:left="480" w:leftChars="200" w:firstLine="480" w:firstLineChars="200"/>
      </w:pPr>
      <w:r>
        <w:t>2.2.3</w:t>
      </w:r>
      <w:r>
        <w:rPr>
          <w:rFonts w:hAnsi="仿宋"/>
        </w:rPr>
        <w:t>联合协议（如果有）；</w:t>
      </w:r>
    </w:p>
    <w:p w14:paraId="003F619B">
      <w:pPr>
        <w:snapToGrid w:val="0"/>
        <w:spacing w:line="360" w:lineRule="auto"/>
        <w:ind w:left="480" w:leftChars="200" w:firstLine="480" w:firstLineChars="200"/>
      </w:pPr>
      <w:r>
        <w:t>2.2.4</w:t>
      </w:r>
      <w:r>
        <w:rPr>
          <w:rFonts w:hAnsi="仿宋"/>
        </w:rPr>
        <w:t>分包意向协议（如果有）；</w:t>
      </w:r>
    </w:p>
    <w:p w14:paraId="080B4BA7">
      <w:pPr>
        <w:snapToGrid w:val="0"/>
        <w:spacing w:line="360" w:lineRule="auto"/>
        <w:ind w:left="480" w:leftChars="200" w:firstLine="480" w:firstLineChars="200"/>
      </w:pPr>
      <w:r>
        <w:t>2.2.5</w:t>
      </w:r>
      <w:r>
        <w:rPr>
          <w:rFonts w:hAnsi="仿宋"/>
        </w:rPr>
        <w:t>符合性审查资料；</w:t>
      </w:r>
    </w:p>
    <w:p w14:paraId="49528AA3">
      <w:pPr>
        <w:snapToGrid w:val="0"/>
        <w:spacing w:line="360" w:lineRule="auto"/>
        <w:ind w:left="480" w:leftChars="200" w:firstLine="480" w:firstLineChars="200"/>
      </w:pPr>
      <w:r>
        <w:t>2.2.6</w:t>
      </w:r>
      <w:r>
        <w:rPr>
          <w:rFonts w:hAnsi="仿宋"/>
        </w:rPr>
        <w:t>评标标准相应的商务技术资料；</w:t>
      </w:r>
    </w:p>
    <w:p w14:paraId="257FC9FF">
      <w:pPr>
        <w:snapToGrid w:val="0"/>
        <w:spacing w:line="360" w:lineRule="auto"/>
        <w:ind w:left="480" w:leftChars="200" w:firstLine="480" w:firstLineChars="200"/>
      </w:pPr>
      <w:r>
        <w:t>2.2.7</w:t>
      </w:r>
      <w:r>
        <w:rPr>
          <w:rFonts w:hAnsi="仿宋"/>
        </w:rPr>
        <w:t>商务技术偏离表；</w:t>
      </w:r>
    </w:p>
    <w:p w14:paraId="21F4E478">
      <w:pPr>
        <w:snapToGrid w:val="0"/>
        <w:spacing w:line="360" w:lineRule="auto"/>
        <w:ind w:left="480" w:leftChars="200" w:firstLine="480" w:firstLineChars="200"/>
        <w:rPr>
          <w:lang w:val="zh-CN"/>
        </w:rPr>
      </w:pPr>
      <w:r>
        <w:t>2</w:t>
      </w:r>
      <w:r>
        <w:rPr>
          <w:lang w:val="zh-CN"/>
        </w:rPr>
        <w:t>.</w:t>
      </w:r>
      <w:r>
        <w:t>2</w:t>
      </w:r>
      <w:r>
        <w:rPr>
          <w:lang w:val="zh-CN"/>
        </w:rPr>
        <w:t>.</w:t>
      </w:r>
      <w:r>
        <w:t>8</w:t>
      </w:r>
      <w:r>
        <w:rPr>
          <w:rFonts w:hAnsi="仿宋"/>
          <w:lang w:val="zh-CN"/>
        </w:rPr>
        <w:t>政府采购供应商廉洁自律承诺书；</w:t>
      </w:r>
    </w:p>
    <w:p w14:paraId="52D920D6">
      <w:pPr>
        <w:snapToGrid w:val="0"/>
        <w:spacing w:line="360" w:lineRule="auto"/>
        <w:ind w:left="240" w:leftChars="100" w:firstLine="480" w:firstLineChars="200"/>
      </w:pPr>
      <w:r>
        <w:t>2</w:t>
      </w:r>
      <w:r>
        <w:rPr>
          <w:lang w:val="zh-CN"/>
        </w:rPr>
        <w:t>.</w:t>
      </w:r>
      <w:r>
        <w:t>3</w:t>
      </w:r>
      <w:r>
        <w:rPr>
          <w:rFonts w:hAnsi="仿宋"/>
        </w:rPr>
        <w:t>报价文件</w:t>
      </w:r>
    </w:p>
    <w:p w14:paraId="6D6DA278">
      <w:pPr>
        <w:snapToGrid w:val="0"/>
        <w:spacing w:line="360" w:lineRule="auto"/>
        <w:ind w:left="480" w:leftChars="200" w:firstLine="480" w:firstLineChars="200"/>
      </w:pPr>
      <w:r>
        <w:t>2.3.1</w:t>
      </w:r>
      <w:r>
        <w:rPr>
          <w:rFonts w:hAnsi="仿宋"/>
        </w:rPr>
        <w:t>开标一览表（报价表）；</w:t>
      </w:r>
    </w:p>
    <w:p w14:paraId="31DA1953">
      <w:pPr>
        <w:snapToGrid w:val="0"/>
        <w:spacing w:line="360" w:lineRule="auto"/>
        <w:ind w:left="480" w:leftChars="200" w:firstLine="480" w:firstLineChars="200"/>
      </w:pPr>
      <w:r>
        <w:t>2.3.2</w:t>
      </w:r>
      <w:r>
        <w:rPr>
          <w:rFonts w:hAnsi="仿宋"/>
        </w:rPr>
        <w:t>中小企业声明函（如果有）。</w:t>
      </w:r>
    </w:p>
    <w:p w14:paraId="743423DB">
      <w:pPr>
        <w:snapToGrid w:val="0"/>
        <w:spacing w:line="360" w:lineRule="auto"/>
        <w:ind w:firstLine="480" w:firstLineChars="200"/>
      </w:pPr>
      <w:r>
        <w:t>3</w:t>
      </w:r>
      <w:r>
        <w:rPr>
          <w:rFonts w:hAnsi="仿宋"/>
        </w:rPr>
        <w:t>、我方承诺除商务技术偏离表列出的偏离外，我方响应招标文件的全部要求。</w:t>
      </w:r>
    </w:p>
    <w:p w14:paraId="0F2474B5">
      <w:pPr>
        <w:snapToGrid w:val="0"/>
        <w:spacing w:line="360" w:lineRule="auto"/>
        <w:ind w:firstLine="480" w:firstLineChars="200"/>
      </w:pPr>
      <w:r>
        <w:t>4</w:t>
      </w:r>
      <w:r>
        <w:rPr>
          <w:rFonts w:hAnsi="仿宋"/>
        </w:rPr>
        <w:t>、如我方中标，我方承诺：</w:t>
      </w:r>
    </w:p>
    <w:p w14:paraId="58E212C6">
      <w:pPr>
        <w:snapToGrid w:val="0"/>
        <w:spacing w:line="360" w:lineRule="auto"/>
        <w:ind w:left="240" w:leftChars="100" w:firstLine="480" w:firstLineChars="200"/>
      </w:pPr>
      <w:r>
        <w:t>4.1</w:t>
      </w:r>
      <w:r>
        <w:rPr>
          <w:rFonts w:hAnsi="仿宋"/>
        </w:rPr>
        <w:t>在收到中标通知书后，在中标通知书规定的期限内与你方签订合同；</w:t>
      </w:r>
    </w:p>
    <w:p w14:paraId="0E267819">
      <w:pPr>
        <w:snapToGrid w:val="0"/>
        <w:spacing w:line="360" w:lineRule="auto"/>
        <w:ind w:left="240" w:leftChars="100" w:firstLine="480" w:firstLineChars="200"/>
      </w:pPr>
      <w:r>
        <w:t>4.2</w:t>
      </w:r>
      <w:r>
        <w:rPr>
          <w:rFonts w:hAnsi="仿宋"/>
        </w:rPr>
        <w:t>在签订合同时不向你方提出附加条件；</w:t>
      </w:r>
    </w:p>
    <w:p w14:paraId="196B69A0">
      <w:pPr>
        <w:snapToGrid w:val="0"/>
        <w:spacing w:line="360" w:lineRule="auto"/>
        <w:ind w:left="240" w:leftChars="100" w:firstLine="480" w:firstLineChars="200"/>
      </w:pPr>
      <w:r>
        <w:t>4.3</w:t>
      </w:r>
      <w:r>
        <w:rPr>
          <w:rFonts w:hAnsi="仿宋"/>
        </w:rPr>
        <w:t>按照招标文件要求提交履约保证金；</w:t>
      </w:r>
    </w:p>
    <w:p w14:paraId="7EA156B9">
      <w:pPr>
        <w:snapToGrid w:val="0"/>
        <w:spacing w:line="360" w:lineRule="auto"/>
        <w:ind w:left="240" w:leftChars="100" w:firstLine="480" w:firstLineChars="200"/>
      </w:pPr>
      <w:r>
        <w:t>4.4</w:t>
      </w:r>
      <w:r>
        <w:rPr>
          <w:rFonts w:hAnsi="仿宋"/>
        </w:rPr>
        <w:t>在合同约定的期限内完成合同规定的全部义务。</w:t>
      </w:r>
    </w:p>
    <w:p w14:paraId="50E9FA68">
      <w:pPr>
        <w:snapToGrid w:val="0"/>
        <w:spacing w:line="360" w:lineRule="auto"/>
        <w:ind w:left="240" w:leftChars="100" w:firstLine="480" w:firstLineChars="200"/>
      </w:pPr>
      <w:r>
        <w:t>5</w:t>
      </w:r>
      <w:r>
        <w:rPr>
          <w:rFonts w:hAnsi="仿宋"/>
        </w:rPr>
        <w:t>、其他补充说明</w:t>
      </w:r>
      <w:r>
        <w:t>:</w:t>
      </w:r>
      <w:r>
        <w:rPr>
          <w:rFonts w:hAnsi="仿宋"/>
        </w:rPr>
        <w:t>。</w:t>
      </w:r>
    </w:p>
    <w:p w14:paraId="625ABD15">
      <w:pPr>
        <w:spacing w:line="360" w:lineRule="auto"/>
        <w:ind w:firstLine="3600" w:firstLineChars="1500"/>
      </w:pPr>
      <w:r>
        <w:rPr>
          <w:rFonts w:hAnsi="仿宋"/>
        </w:rPr>
        <w:t>投标人名称（电子签名）：</w:t>
      </w:r>
    </w:p>
    <w:p w14:paraId="4A4BF47E">
      <w:pPr>
        <w:spacing w:line="360" w:lineRule="auto"/>
        <w:jc w:val="center"/>
      </w:pPr>
      <w:r>
        <w:rPr>
          <w:rFonts w:hAnsi="仿宋"/>
        </w:rPr>
        <w:t>日期：年月日</w:t>
      </w:r>
    </w:p>
    <w:p w14:paraId="145541A7">
      <w:pPr>
        <w:snapToGrid w:val="0"/>
        <w:spacing w:line="360" w:lineRule="auto"/>
        <w:ind w:left="480" w:leftChars="200" w:firstLine="4200" w:firstLineChars="1750"/>
        <w:rPr>
          <w:kern w:val="0"/>
          <w:u w:val="single"/>
          <w:lang w:val="zh-CN"/>
        </w:rPr>
      </w:pPr>
    </w:p>
    <w:p w14:paraId="2EC65524">
      <w:pPr>
        <w:snapToGrid w:val="0"/>
        <w:spacing w:line="360" w:lineRule="auto"/>
        <w:jc w:val="center"/>
        <w:rPr>
          <w:b/>
          <w:kern w:val="0"/>
          <w:sz w:val="32"/>
          <w:szCs w:val="32"/>
          <w:lang w:val="zh-CN"/>
        </w:rPr>
      </w:pPr>
    </w:p>
    <w:p w14:paraId="6238B1E2">
      <w:pPr>
        <w:snapToGrid w:val="0"/>
        <w:spacing w:line="360" w:lineRule="auto"/>
      </w:pPr>
    </w:p>
    <w:p w14:paraId="4E680347">
      <w:pPr>
        <w:jc w:val="center"/>
        <w:rPr>
          <w:b/>
          <w:kern w:val="0"/>
          <w:sz w:val="32"/>
          <w:szCs w:val="32"/>
          <w:lang w:val="zh-CN"/>
        </w:rPr>
      </w:pPr>
    </w:p>
    <w:p w14:paraId="07067105">
      <w:pPr>
        <w:jc w:val="center"/>
        <w:rPr>
          <w:b/>
          <w:kern w:val="0"/>
          <w:sz w:val="32"/>
          <w:szCs w:val="32"/>
          <w:lang w:val="zh-CN"/>
        </w:rPr>
      </w:pPr>
    </w:p>
    <w:p w14:paraId="6AC0D5DC">
      <w:pPr>
        <w:jc w:val="center"/>
        <w:rPr>
          <w:b/>
          <w:kern w:val="0"/>
          <w:sz w:val="32"/>
          <w:szCs w:val="32"/>
          <w:lang w:val="zh-CN"/>
        </w:rPr>
      </w:pPr>
    </w:p>
    <w:p w14:paraId="59707784">
      <w:pPr>
        <w:jc w:val="center"/>
        <w:rPr>
          <w:b/>
          <w:kern w:val="0"/>
          <w:sz w:val="32"/>
          <w:szCs w:val="32"/>
          <w:lang w:val="zh-CN"/>
        </w:rPr>
      </w:pPr>
    </w:p>
    <w:p w14:paraId="354314E8">
      <w:pPr>
        <w:jc w:val="center"/>
        <w:rPr>
          <w:b/>
          <w:kern w:val="0"/>
          <w:sz w:val="32"/>
          <w:szCs w:val="32"/>
          <w:lang w:val="zh-CN"/>
        </w:rPr>
      </w:pPr>
    </w:p>
    <w:p w14:paraId="152AA175">
      <w:pPr>
        <w:jc w:val="center"/>
        <w:rPr>
          <w:b/>
          <w:kern w:val="0"/>
          <w:sz w:val="32"/>
          <w:szCs w:val="32"/>
          <w:lang w:val="zh-CN"/>
        </w:rPr>
      </w:pPr>
    </w:p>
    <w:p w14:paraId="33BC62B7">
      <w:pPr>
        <w:jc w:val="center"/>
        <w:rPr>
          <w:b/>
          <w:kern w:val="0"/>
          <w:sz w:val="32"/>
          <w:szCs w:val="32"/>
          <w:lang w:val="zh-CN"/>
        </w:rPr>
      </w:pPr>
    </w:p>
    <w:p w14:paraId="6BBEC916">
      <w:pPr>
        <w:jc w:val="center"/>
        <w:rPr>
          <w:b/>
          <w:kern w:val="0"/>
          <w:sz w:val="32"/>
          <w:szCs w:val="32"/>
          <w:lang w:val="zh-CN"/>
        </w:rPr>
      </w:pPr>
    </w:p>
    <w:p w14:paraId="3CF7BE8E">
      <w:pPr>
        <w:jc w:val="center"/>
        <w:rPr>
          <w:b/>
          <w:kern w:val="0"/>
          <w:sz w:val="32"/>
          <w:szCs w:val="32"/>
          <w:lang w:val="zh-CN"/>
        </w:rPr>
      </w:pPr>
    </w:p>
    <w:p w14:paraId="3C1012FE">
      <w:pPr>
        <w:jc w:val="center"/>
        <w:rPr>
          <w:b/>
          <w:kern w:val="0"/>
          <w:sz w:val="32"/>
          <w:szCs w:val="32"/>
          <w:lang w:val="zh-CN"/>
        </w:rPr>
      </w:pPr>
    </w:p>
    <w:p w14:paraId="73FD7AFB">
      <w:pPr>
        <w:jc w:val="center"/>
        <w:rPr>
          <w:b/>
          <w:kern w:val="0"/>
          <w:sz w:val="32"/>
          <w:szCs w:val="32"/>
          <w:lang w:val="zh-CN"/>
        </w:rPr>
      </w:pPr>
    </w:p>
    <w:p w14:paraId="78EF51B7">
      <w:pPr>
        <w:jc w:val="center"/>
        <w:rPr>
          <w:b/>
          <w:kern w:val="0"/>
          <w:sz w:val="32"/>
          <w:szCs w:val="32"/>
          <w:lang w:val="zh-CN"/>
        </w:rPr>
      </w:pPr>
    </w:p>
    <w:p w14:paraId="76CD21B1">
      <w:pPr>
        <w:jc w:val="center"/>
        <w:rPr>
          <w:b/>
          <w:kern w:val="0"/>
          <w:sz w:val="32"/>
          <w:szCs w:val="32"/>
          <w:lang w:val="zh-CN"/>
        </w:rPr>
      </w:pPr>
    </w:p>
    <w:p w14:paraId="3C575CD3">
      <w:pPr>
        <w:jc w:val="center"/>
        <w:rPr>
          <w:b/>
          <w:kern w:val="0"/>
          <w:sz w:val="32"/>
          <w:szCs w:val="32"/>
          <w:lang w:val="zh-CN"/>
        </w:rPr>
      </w:pPr>
    </w:p>
    <w:p w14:paraId="36AD70F0">
      <w:pPr>
        <w:jc w:val="center"/>
        <w:rPr>
          <w:b/>
          <w:kern w:val="0"/>
          <w:sz w:val="32"/>
          <w:szCs w:val="32"/>
          <w:lang w:val="zh-CN"/>
        </w:rPr>
      </w:pPr>
    </w:p>
    <w:p w14:paraId="4A1A730A">
      <w:pPr>
        <w:jc w:val="center"/>
        <w:rPr>
          <w:b/>
          <w:kern w:val="0"/>
          <w:sz w:val="32"/>
          <w:szCs w:val="32"/>
          <w:lang w:val="zh-CN"/>
        </w:rPr>
      </w:pPr>
    </w:p>
    <w:p w14:paraId="604B9FA4">
      <w:pPr>
        <w:jc w:val="center"/>
        <w:rPr>
          <w:b/>
          <w:kern w:val="0"/>
          <w:sz w:val="32"/>
          <w:szCs w:val="32"/>
          <w:lang w:val="zh-CN"/>
        </w:rPr>
      </w:pPr>
    </w:p>
    <w:p w14:paraId="5A4DC008">
      <w:pPr>
        <w:jc w:val="center"/>
        <w:rPr>
          <w:b/>
          <w:kern w:val="0"/>
          <w:sz w:val="32"/>
          <w:szCs w:val="32"/>
          <w:lang w:val="zh-CN"/>
        </w:rPr>
      </w:pPr>
    </w:p>
    <w:p w14:paraId="4AFC3480">
      <w:pPr>
        <w:jc w:val="center"/>
        <w:rPr>
          <w:b/>
          <w:kern w:val="0"/>
          <w:sz w:val="32"/>
          <w:szCs w:val="32"/>
          <w:lang w:val="zh-CN"/>
        </w:rPr>
      </w:pPr>
    </w:p>
    <w:p w14:paraId="00D39824">
      <w:pPr>
        <w:jc w:val="center"/>
        <w:rPr>
          <w:b/>
          <w:kern w:val="0"/>
          <w:sz w:val="32"/>
          <w:szCs w:val="32"/>
          <w:lang w:val="zh-CN"/>
        </w:rPr>
      </w:pPr>
    </w:p>
    <w:p w14:paraId="74D242AD">
      <w:pPr>
        <w:jc w:val="center"/>
        <w:rPr>
          <w:b/>
          <w:kern w:val="0"/>
          <w:sz w:val="32"/>
          <w:szCs w:val="32"/>
          <w:lang w:val="zh-CN"/>
        </w:rPr>
      </w:pPr>
    </w:p>
    <w:p w14:paraId="5ACFBCEA">
      <w:pPr>
        <w:jc w:val="center"/>
        <w:rPr>
          <w:b/>
          <w:kern w:val="0"/>
          <w:sz w:val="32"/>
          <w:szCs w:val="32"/>
          <w:lang w:val="zh-CN"/>
        </w:rPr>
      </w:pPr>
    </w:p>
    <w:p w14:paraId="498777F6">
      <w:pPr>
        <w:jc w:val="center"/>
        <w:rPr>
          <w:b/>
          <w:kern w:val="0"/>
          <w:sz w:val="32"/>
          <w:szCs w:val="32"/>
          <w:lang w:val="zh-CN"/>
        </w:rPr>
      </w:pPr>
    </w:p>
    <w:p w14:paraId="12C9F547">
      <w:pPr>
        <w:jc w:val="center"/>
        <w:rPr>
          <w:b/>
          <w:kern w:val="0"/>
          <w:sz w:val="32"/>
          <w:szCs w:val="32"/>
          <w:lang w:val="zh-CN"/>
        </w:rPr>
      </w:pPr>
    </w:p>
    <w:p w14:paraId="4E18BE66">
      <w:pPr>
        <w:jc w:val="center"/>
        <w:rPr>
          <w:b/>
          <w:kern w:val="0"/>
          <w:sz w:val="32"/>
          <w:szCs w:val="32"/>
          <w:lang w:val="zh-CN"/>
        </w:rPr>
      </w:pPr>
    </w:p>
    <w:p w14:paraId="44EDDD9E">
      <w:pPr>
        <w:jc w:val="center"/>
        <w:rPr>
          <w:b/>
          <w:kern w:val="0"/>
          <w:sz w:val="32"/>
          <w:szCs w:val="32"/>
          <w:lang w:val="zh-CN"/>
        </w:rPr>
      </w:pPr>
    </w:p>
    <w:p w14:paraId="318D891A">
      <w:pPr>
        <w:jc w:val="center"/>
        <w:rPr>
          <w:rFonts w:hAnsi="仿宋"/>
          <w:b/>
          <w:kern w:val="0"/>
          <w:sz w:val="32"/>
          <w:szCs w:val="32"/>
          <w:lang w:val="zh-CN"/>
        </w:rPr>
      </w:pPr>
    </w:p>
    <w:p w14:paraId="6F4B310D">
      <w:pPr>
        <w:jc w:val="center"/>
        <w:rPr>
          <w:rFonts w:hAnsi="仿宋"/>
          <w:b/>
          <w:kern w:val="0"/>
          <w:sz w:val="32"/>
          <w:szCs w:val="32"/>
          <w:lang w:val="zh-CN"/>
        </w:rPr>
      </w:pPr>
    </w:p>
    <w:p w14:paraId="2AB5FEE0">
      <w:pPr>
        <w:jc w:val="center"/>
        <w:rPr>
          <w:rFonts w:hAnsi="仿宋"/>
          <w:b/>
          <w:kern w:val="0"/>
          <w:sz w:val="32"/>
          <w:szCs w:val="32"/>
          <w:lang w:val="zh-CN"/>
        </w:rPr>
      </w:pPr>
    </w:p>
    <w:p w14:paraId="6D832330">
      <w:pPr>
        <w:jc w:val="center"/>
        <w:rPr>
          <w:b/>
          <w:kern w:val="0"/>
          <w:sz w:val="32"/>
          <w:szCs w:val="32"/>
          <w:lang w:val="zh-CN"/>
        </w:rPr>
      </w:pPr>
      <w:r>
        <w:rPr>
          <w:rFonts w:hAnsi="仿宋"/>
          <w:b/>
          <w:kern w:val="0"/>
          <w:sz w:val="32"/>
          <w:szCs w:val="32"/>
          <w:lang w:val="zh-CN"/>
        </w:rPr>
        <w:t>二、授权委托书或法定代表人（单位负责人、自然人本人）身份证明</w:t>
      </w:r>
    </w:p>
    <w:p w14:paraId="339E560C">
      <w:pPr>
        <w:snapToGrid w:val="0"/>
        <w:spacing w:line="360" w:lineRule="auto"/>
      </w:pPr>
    </w:p>
    <w:p w14:paraId="5349A3C5">
      <w:pPr>
        <w:snapToGrid w:val="0"/>
        <w:spacing w:line="360" w:lineRule="auto"/>
        <w:ind w:firstLine="2872" w:firstLineChars="894"/>
      </w:pPr>
      <w:r>
        <w:rPr>
          <w:rFonts w:hAnsi="仿宋"/>
          <w:b/>
          <w:kern w:val="0"/>
          <w:sz w:val="32"/>
          <w:szCs w:val="32"/>
          <w:lang w:val="zh-CN"/>
        </w:rPr>
        <w:t>授权委托书（适用于非联合体投标）</w:t>
      </w:r>
    </w:p>
    <w:p w14:paraId="095269DC">
      <w:pPr>
        <w:snapToGrid w:val="0"/>
        <w:spacing w:line="360" w:lineRule="auto"/>
        <w:rPr>
          <w:kern w:val="0"/>
        </w:rPr>
      </w:pPr>
      <w:r>
        <w:rPr>
          <w:rFonts w:hAnsi="仿宋"/>
        </w:rPr>
        <w:t>（采购人）、（采购代理机构）</w:t>
      </w:r>
      <w:r>
        <w:rPr>
          <w:rFonts w:hAnsi="仿宋"/>
          <w:kern w:val="0"/>
          <w:lang w:val="zh-CN"/>
        </w:rPr>
        <w:t>：</w:t>
      </w:r>
    </w:p>
    <w:p w14:paraId="100EC076">
      <w:pPr>
        <w:snapToGrid w:val="0"/>
        <w:spacing w:line="360" w:lineRule="auto"/>
        <w:ind w:firstLine="576"/>
        <w:rPr>
          <w:kern w:val="0"/>
        </w:rPr>
      </w:pPr>
      <w:r>
        <w:rPr>
          <w:rFonts w:hAnsi="仿宋"/>
          <w:kern w:val="0"/>
        </w:rPr>
        <w:t>现</w:t>
      </w:r>
      <w:r>
        <w:rPr>
          <w:rFonts w:hAnsi="仿宋"/>
          <w:kern w:val="0"/>
          <w:lang w:val="zh-CN"/>
        </w:rPr>
        <w:t>委托（姓名）为我方代理人（身份证号码：，手机：），以我方名义处理</w:t>
      </w:r>
      <w:r>
        <w:rPr>
          <w:rFonts w:hAnsi="仿宋"/>
        </w:rPr>
        <w:t>（项目名称）【招标编号：（采购编号）】</w:t>
      </w:r>
      <w:r>
        <w:rPr>
          <w:rFonts w:hAnsi="仿宋"/>
          <w:kern w:val="0"/>
          <w:lang w:val="zh-CN"/>
        </w:rPr>
        <w:t>政府采购投标的一切事项，其法律后果由我方承担。</w:t>
      </w:r>
    </w:p>
    <w:p w14:paraId="2B09A621">
      <w:pPr>
        <w:snapToGrid w:val="0"/>
        <w:spacing w:line="360" w:lineRule="auto"/>
        <w:rPr>
          <w:kern w:val="0"/>
        </w:rPr>
      </w:pPr>
      <w:r>
        <w:rPr>
          <w:rFonts w:hAnsi="仿宋"/>
          <w:kern w:val="0"/>
          <w:lang w:val="zh-CN"/>
        </w:rPr>
        <w:t>委托期限</w:t>
      </w:r>
      <w:r>
        <w:rPr>
          <w:rFonts w:hAnsi="仿宋"/>
          <w:kern w:val="0"/>
        </w:rPr>
        <w:t>：</w:t>
      </w:r>
      <w:r>
        <w:rPr>
          <w:rFonts w:hAnsi="仿宋"/>
          <w:kern w:val="0"/>
          <w:lang w:val="zh-CN"/>
        </w:rPr>
        <w:t>自年月日起至年月日止。</w:t>
      </w:r>
    </w:p>
    <w:p w14:paraId="4C9E0EBE">
      <w:pPr>
        <w:snapToGrid w:val="0"/>
        <w:spacing w:line="360" w:lineRule="auto"/>
        <w:rPr>
          <w:kern w:val="0"/>
        </w:rPr>
      </w:pPr>
      <w:r>
        <w:rPr>
          <w:rFonts w:hAnsi="仿宋"/>
          <w:kern w:val="0"/>
          <w:lang w:val="zh-CN"/>
        </w:rPr>
        <w:t>特此告知。</w:t>
      </w:r>
    </w:p>
    <w:p w14:paraId="12E41CEB">
      <w:pPr>
        <w:snapToGrid w:val="0"/>
        <w:spacing w:line="360" w:lineRule="auto"/>
        <w:rPr>
          <w:kern w:val="0"/>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5E4305DE">
      <w:pPr>
        <w:snapToGrid w:val="0"/>
        <w:spacing w:line="360" w:lineRule="auto"/>
        <w:rPr>
          <w:kern w:val="0"/>
          <w:lang w:val="zh-CN"/>
        </w:rPr>
      </w:pPr>
      <w:r>
        <w:rPr>
          <w:rFonts w:hAnsi="仿宋"/>
          <w:kern w:val="0"/>
          <w:lang w:val="zh-CN"/>
        </w:rPr>
        <w:t>签发日期：年月日</w:t>
      </w:r>
    </w:p>
    <w:p w14:paraId="20E5B34A">
      <w:pPr>
        <w:snapToGrid w:val="0"/>
        <w:spacing w:line="360" w:lineRule="auto"/>
      </w:pPr>
    </w:p>
    <w:p w14:paraId="4CF74DE1">
      <w:pPr>
        <w:snapToGrid w:val="0"/>
        <w:spacing w:line="360" w:lineRule="auto"/>
      </w:pPr>
    </w:p>
    <w:p w14:paraId="5A143950">
      <w:pPr>
        <w:snapToGrid w:val="0"/>
        <w:spacing w:line="360" w:lineRule="auto"/>
      </w:pPr>
    </w:p>
    <w:p w14:paraId="7A1B8F41">
      <w:pPr>
        <w:jc w:val="center"/>
        <w:rPr>
          <w:b/>
          <w:kern w:val="0"/>
          <w:sz w:val="32"/>
          <w:szCs w:val="32"/>
        </w:rPr>
      </w:pPr>
      <w:r>
        <w:rPr>
          <w:rFonts w:hAnsi="仿宋"/>
          <w:b/>
          <w:kern w:val="0"/>
          <w:sz w:val="32"/>
          <w:szCs w:val="32"/>
          <w:lang w:val="zh-CN"/>
        </w:rPr>
        <w:t>授权委托书（适用于联合体投标）</w:t>
      </w:r>
    </w:p>
    <w:p w14:paraId="339769B7">
      <w:pPr>
        <w:snapToGrid w:val="0"/>
        <w:spacing w:line="360" w:lineRule="auto"/>
        <w:rPr>
          <w:kern w:val="0"/>
        </w:rPr>
      </w:pPr>
      <w:r>
        <w:rPr>
          <w:rFonts w:hAnsi="仿宋"/>
        </w:rPr>
        <w:t>（采购人）、（采购代理机构）</w:t>
      </w:r>
      <w:r>
        <w:rPr>
          <w:rFonts w:hAnsi="仿宋"/>
          <w:kern w:val="0"/>
          <w:lang w:val="zh-CN"/>
        </w:rPr>
        <w:t>：</w:t>
      </w:r>
    </w:p>
    <w:p w14:paraId="488EE87D">
      <w:pPr>
        <w:snapToGrid w:val="0"/>
        <w:spacing w:line="360" w:lineRule="auto"/>
        <w:ind w:firstLine="576"/>
        <w:rPr>
          <w:kern w:val="0"/>
        </w:rPr>
      </w:pPr>
      <w:r>
        <w:rPr>
          <w:rFonts w:hAnsi="仿宋"/>
          <w:kern w:val="0"/>
        </w:rPr>
        <w:t>现</w:t>
      </w:r>
      <w:r>
        <w:rPr>
          <w:rFonts w:hAnsi="仿宋"/>
          <w:kern w:val="0"/>
          <w:lang w:val="zh-CN"/>
        </w:rPr>
        <w:t>委托（姓名）为我方代理人（身份证号码：，手机：），以我方名义处理</w:t>
      </w:r>
      <w:r>
        <w:rPr>
          <w:rFonts w:hAnsi="仿宋"/>
        </w:rPr>
        <w:t>（项目名称）【招标编号：（采购编号）】</w:t>
      </w:r>
      <w:r>
        <w:rPr>
          <w:rFonts w:hAnsi="仿宋"/>
          <w:kern w:val="0"/>
          <w:lang w:val="zh-CN"/>
        </w:rPr>
        <w:t>政府采购投标的一切事项，其法律后果由我方承担。</w:t>
      </w:r>
    </w:p>
    <w:p w14:paraId="347830C7">
      <w:pPr>
        <w:snapToGrid w:val="0"/>
        <w:spacing w:line="360" w:lineRule="auto"/>
        <w:rPr>
          <w:kern w:val="0"/>
        </w:rPr>
      </w:pPr>
      <w:r>
        <w:rPr>
          <w:rFonts w:hAnsi="仿宋"/>
          <w:kern w:val="0"/>
          <w:lang w:val="zh-CN"/>
        </w:rPr>
        <w:t>委托期限</w:t>
      </w:r>
      <w:r>
        <w:rPr>
          <w:rFonts w:hAnsi="仿宋"/>
          <w:kern w:val="0"/>
        </w:rPr>
        <w:t>：</w:t>
      </w:r>
      <w:r>
        <w:rPr>
          <w:rFonts w:hAnsi="仿宋"/>
          <w:kern w:val="0"/>
          <w:lang w:val="zh-CN"/>
        </w:rPr>
        <w:t>自年月日起至年月日止。</w:t>
      </w:r>
    </w:p>
    <w:p w14:paraId="0BC71310">
      <w:pPr>
        <w:snapToGrid w:val="0"/>
        <w:spacing w:line="360" w:lineRule="auto"/>
        <w:rPr>
          <w:kern w:val="0"/>
        </w:rPr>
      </w:pPr>
      <w:r>
        <w:rPr>
          <w:rFonts w:hAnsi="仿宋"/>
          <w:kern w:val="0"/>
          <w:lang w:val="zh-CN"/>
        </w:rPr>
        <w:t>特此告知。</w:t>
      </w:r>
    </w:p>
    <w:p w14:paraId="38D991FB">
      <w:pPr>
        <w:jc w:val="center"/>
        <w:rPr>
          <w:b/>
          <w:kern w:val="0"/>
          <w:sz w:val="32"/>
          <w:szCs w:val="32"/>
        </w:rPr>
      </w:pPr>
    </w:p>
    <w:p w14:paraId="4CB9E35E">
      <w:pPr>
        <w:rPr>
          <w:b/>
          <w:kern w:val="0"/>
          <w:sz w:val="32"/>
          <w:szCs w:val="32"/>
        </w:rPr>
      </w:pPr>
    </w:p>
    <w:p w14:paraId="1E56D663"/>
    <w:p w14:paraId="1FF86342">
      <w:pPr>
        <w:snapToGrid w:val="0"/>
        <w:spacing w:line="360" w:lineRule="auto"/>
        <w:ind w:firstLine="5040" w:firstLineChars="2100"/>
        <w:rPr>
          <w:kern w:val="0"/>
          <w:lang w:val="zh-CN"/>
        </w:rPr>
      </w:pPr>
      <w:r>
        <w:rPr>
          <w:rFonts w:hAnsi="仿宋"/>
          <w:kern w:val="0"/>
          <w:lang w:val="zh-CN"/>
        </w:rPr>
        <w:t>联合体成员名称</w:t>
      </w:r>
      <w:r>
        <w:rPr>
          <w:kern w:val="0"/>
          <w:lang w:val="zh-CN"/>
        </w:rPr>
        <w:t>(</w:t>
      </w:r>
      <w:r>
        <w:rPr>
          <w:rFonts w:hAnsi="仿宋"/>
          <w:kern w:val="0"/>
          <w:lang w:val="zh-CN"/>
        </w:rPr>
        <w:t>电子签名</w:t>
      </w:r>
      <w:r>
        <w:rPr>
          <w:kern w:val="0"/>
          <w:lang w:val="zh-CN"/>
        </w:rPr>
        <w:t>/</w:t>
      </w:r>
      <w:r>
        <w:rPr>
          <w:rFonts w:hAnsi="仿宋"/>
          <w:kern w:val="0"/>
          <w:lang w:val="zh-CN"/>
        </w:rPr>
        <w:t>公章</w:t>
      </w:r>
      <w:r>
        <w:rPr>
          <w:kern w:val="0"/>
          <w:lang w:val="zh-CN"/>
        </w:rPr>
        <w:t>)</w:t>
      </w:r>
      <w:r>
        <w:rPr>
          <w:rFonts w:hAnsi="仿宋"/>
          <w:kern w:val="0"/>
          <w:lang w:val="zh-CN"/>
        </w:rPr>
        <w:t>：</w:t>
      </w:r>
    </w:p>
    <w:p w14:paraId="6E1950CE">
      <w:pPr>
        <w:snapToGrid w:val="0"/>
        <w:spacing w:line="360" w:lineRule="auto"/>
        <w:ind w:firstLine="5040" w:firstLineChars="2100"/>
        <w:rPr>
          <w:kern w:val="0"/>
          <w:lang w:val="zh-CN"/>
        </w:rPr>
      </w:pPr>
      <w:r>
        <w:rPr>
          <w:rFonts w:hAnsi="仿宋"/>
          <w:kern w:val="0"/>
          <w:lang w:val="zh-CN"/>
        </w:rPr>
        <w:t>联合体成员名称</w:t>
      </w:r>
      <w:r>
        <w:rPr>
          <w:kern w:val="0"/>
          <w:lang w:val="zh-CN"/>
        </w:rPr>
        <w:t>(</w:t>
      </w:r>
      <w:r>
        <w:rPr>
          <w:rFonts w:hAnsi="仿宋"/>
          <w:kern w:val="0"/>
          <w:lang w:val="zh-CN"/>
        </w:rPr>
        <w:t>电子签名</w:t>
      </w:r>
      <w:r>
        <w:rPr>
          <w:kern w:val="0"/>
          <w:lang w:val="zh-CN"/>
        </w:rPr>
        <w:t>/</w:t>
      </w:r>
      <w:r>
        <w:rPr>
          <w:rFonts w:hAnsi="仿宋"/>
          <w:kern w:val="0"/>
          <w:lang w:val="zh-CN"/>
        </w:rPr>
        <w:t>公章</w:t>
      </w:r>
      <w:r>
        <w:rPr>
          <w:kern w:val="0"/>
          <w:lang w:val="zh-CN"/>
        </w:rPr>
        <w:t>)</w:t>
      </w:r>
      <w:r>
        <w:rPr>
          <w:rFonts w:hAnsi="仿宋"/>
          <w:kern w:val="0"/>
          <w:lang w:val="zh-CN"/>
        </w:rPr>
        <w:t>：</w:t>
      </w:r>
    </w:p>
    <w:p w14:paraId="0CFA2FC7">
      <w:pPr>
        <w:snapToGrid w:val="0"/>
        <w:spacing w:line="360" w:lineRule="auto"/>
        <w:ind w:firstLine="5760" w:firstLineChars="2400"/>
      </w:pPr>
      <w:r>
        <w:rPr>
          <w:kern w:val="0"/>
          <w:lang w:val="zh-CN"/>
        </w:rPr>
        <w:t>……</w:t>
      </w:r>
    </w:p>
    <w:p w14:paraId="5635AC96">
      <w:pPr>
        <w:snapToGrid w:val="0"/>
        <w:spacing w:line="360" w:lineRule="auto"/>
        <w:rPr>
          <w:kern w:val="0"/>
          <w:lang w:val="zh-CN"/>
        </w:rPr>
      </w:pPr>
      <w:r>
        <w:rPr>
          <w:rFonts w:hAnsi="仿宋"/>
          <w:kern w:val="0"/>
          <w:lang w:val="zh-CN"/>
        </w:rPr>
        <w:t>日期：年月日</w:t>
      </w:r>
    </w:p>
    <w:p w14:paraId="575858D8">
      <w:pPr>
        <w:autoSpaceDE w:val="0"/>
        <w:autoSpaceDN w:val="0"/>
        <w:spacing w:line="360" w:lineRule="auto"/>
        <w:jc w:val="center"/>
        <w:rPr>
          <w:b/>
        </w:rPr>
      </w:pPr>
      <w:r>
        <w:rPr>
          <w:rFonts w:hAnsi="仿宋"/>
          <w:b/>
          <w:kern w:val="0"/>
          <w:sz w:val="32"/>
          <w:szCs w:val="32"/>
          <w:lang w:val="zh-CN"/>
        </w:rPr>
        <w:t>法定代表人、单位负责人或自然人本人</w:t>
      </w:r>
      <w:r>
        <w:rPr>
          <w:rFonts w:hAnsi="仿宋"/>
          <w:b/>
          <w:sz w:val="30"/>
          <w:szCs w:val="30"/>
        </w:rPr>
        <w:t>的身份证明（适用于法定代表人、单位负责人或者自然人本人代表投标人参加投标）</w:t>
      </w:r>
    </w:p>
    <w:p w14:paraId="11063477">
      <w:pPr>
        <w:pStyle w:val="151"/>
        <w:spacing w:line="360" w:lineRule="auto"/>
        <w:rPr>
          <w:rFonts w:ascii="Times New Roman" w:hAnsi="Times New Roman" w:eastAsia="仿宋"/>
          <w:bCs/>
          <w:sz w:val="24"/>
        </w:rPr>
      </w:pPr>
      <w:r>
        <w:rPr>
          <w:rFonts w:ascii="Times New Roman" w:hAnsi="仿宋" w:eastAsia="仿宋"/>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DA08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9B23FB5">
            <w:pPr>
              <w:pStyle w:val="151"/>
              <w:adjustRightInd w:val="0"/>
              <w:spacing w:line="360" w:lineRule="auto"/>
              <w:rPr>
                <w:rFonts w:ascii="Times New Roman" w:hAnsi="Times New Roman" w:eastAsia="仿宋"/>
                <w:bCs/>
                <w:sz w:val="24"/>
              </w:rPr>
            </w:pPr>
            <w:r>
              <w:rPr>
                <w:rFonts w:ascii="Times New Roman" w:hAnsi="仿宋" w:eastAsia="仿宋"/>
                <w:bCs/>
                <w:sz w:val="24"/>
              </w:rPr>
              <w:t>正面：反面：</w:t>
            </w:r>
          </w:p>
          <w:p w14:paraId="11D7FC77">
            <w:pPr>
              <w:pStyle w:val="151"/>
              <w:adjustRightInd w:val="0"/>
              <w:spacing w:line="360" w:lineRule="auto"/>
              <w:rPr>
                <w:rFonts w:ascii="Times New Roman" w:hAnsi="Times New Roman" w:eastAsia="仿宋"/>
                <w:bCs/>
                <w:sz w:val="24"/>
              </w:rPr>
            </w:pPr>
          </w:p>
        </w:tc>
      </w:tr>
    </w:tbl>
    <w:p w14:paraId="6DF708A8">
      <w:pPr>
        <w:snapToGrid w:val="0"/>
        <w:spacing w:line="360" w:lineRule="auto"/>
        <w:ind w:firstLine="576"/>
        <w:jc w:val="center"/>
        <w:rPr>
          <w:kern w:val="0"/>
          <w:lang w:val="zh-CN"/>
        </w:rPr>
      </w:pPr>
    </w:p>
    <w:p w14:paraId="759CECFA">
      <w:pPr>
        <w:snapToGrid w:val="0"/>
        <w:spacing w:line="360" w:lineRule="auto"/>
        <w:ind w:firstLine="576"/>
        <w:jc w:val="center"/>
        <w:rPr>
          <w:kern w:val="0"/>
          <w:lang w:val="zh-CN"/>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4587CB01">
      <w:pPr>
        <w:spacing w:line="360" w:lineRule="auto"/>
        <w:jc w:val="center"/>
        <w:rPr>
          <w:kern w:val="0"/>
          <w:lang w:val="zh-CN"/>
        </w:rPr>
      </w:pPr>
      <w:r>
        <w:rPr>
          <w:rFonts w:hAnsi="仿宋"/>
          <w:kern w:val="0"/>
          <w:lang w:val="zh-CN"/>
        </w:rPr>
        <w:t>日期：年月日</w:t>
      </w:r>
    </w:p>
    <w:p w14:paraId="6C1E88F6">
      <w:pPr>
        <w:jc w:val="center"/>
        <w:rPr>
          <w:b/>
          <w:kern w:val="0"/>
          <w:sz w:val="32"/>
          <w:szCs w:val="32"/>
        </w:rPr>
      </w:pPr>
    </w:p>
    <w:p w14:paraId="6206A4D2">
      <w:pPr>
        <w:jc w:val="center"/>
        <w:rPr>
          <w:b/>
          <w:kern w:val="0"/>
          <w:sz w:val="32"/>
          <w:szCs w:val="32"/>
        </w:rPr>
      </w:pPr>
    </w:p>
    <w:p w14:paraId="2853B781">
      <w:pPr>
        <w:jc w:val="center"/>
        <w:rPr>
          <w:b/>
          <w:kern w:val="0"/>
          <w:sz w:val="32"/>
          <w:szCs w:val="32"/>
        </w:rPr>
      </w:pPr>
    </w:p>
    <w:p w14:paraId="74052907">
      <w:pPr>
        <w:jc w:val="center"/>
        <w:rPr>
          <w:b/>
          <w:kern w:val="0"/>
          <w:sz w:val="32"/>
          <w:szCs w:val="32"/>
        </w:rPr>
      </w:pPr>
    </w:p>
    <w:p w14:paraId="7F51DA7A">
      <w:pPr>
        <w:jc w:val="center"/>
        <w:rPr>
          <w:b/>
          <w:kern w:val="0"/>
          <w:sz w:val="32"/>
          <w:szCs w:val="32"/>
        </w:rPr>
      </w:pPr>
    </w:p>
    <w:p w14:paraId="27630C6B">
      <w:pPr>
        <w:jc w:val="center"/>
        <w:rPr>
          <w:b/>
          <w:kern w:val="0"/>
          <w:sz w:val="32"/>
          <w:szCs w:val="32"/>
        </w:rPr>
      </w:pPr>
    </w:p>
    <w:p w14:paraId="331D4A79">
      <w:pPr>
        <w:jc w:val="center"/>
        <w:rPr>
          <w:b/>
          <w:kern w:val="0"/>
          <w:sz w:val="32"/>
          <w:szCs w:val="32"/>
        </w:rPr>
      </w:pPr>
    </w:p>
    <w:p w14:paraId="267052C9">
      <w:pPr>
        <w:jc w:val="center"/>
        <w:rPr>
          <w:b/>
          <w:kern w:val="0"/>
          <w:sz w:val="32"/>
          <w:szCs w:val="32"/>
        </w:rPr>
      </w:pPr>
    </w:p>
    <w:p w14:paraId="383CCF88">
      <w:pPr>
        <w:jc w:val="center"/>
        <w:rPr>
          <w:b/>
          <w:kern w:val="0"/>
          <w:sz w:val="32"/>
          <w:szCs w:val="32"/>
        </w:rPr>
      </w:pPr>
    </w:p>
    <w:p w14:paraId="32960F37">
      <w:pPr>
        <w:jc w:val="center"/>
        <w:rPr>
          <w:b/>
          <w:kern w:val="0"/>
          <w:sz w:val="32"/>
          <w:szCs w:val="32"/>
        </w:rPr>
      </w:pPr>
    </w:p>
    <w:p w14:paraId="080E156B">
      <w:pPr>
        <w:jc w:val="center"/>
        <w:rPr>
          <w:b/>
          <w:kern w:val="0"/>
          <w:sz w:val="32"/>
          <w:szCs w:val="32"/>
        </w:rPr>
      </w:pPr>
    </w:p>
    <w:p w14:paraId="2D0DE501">
      <w:pPr>
        <w:jc w:val="center"/>
        <w:rPr>
          <w:b/>
          <w:kern w:val="0"/>
          <w:sz w:val="32"/>
          <w:szCs w:val="32"/>
        </w:rPr>
      </w:pPr>
    </w:p>
    <w:p w14:paraId="44E5DC97">
      <w:pPr>
        <w:jc w:val="center"/>
        <w:rPr>
          <w:b/>
          <w:kern w:val="0"/>
          <w:sz w:val="32"/>
          <w:szCs w:val="32"/>
        </w:rPr>
      </w:pPr>
    </w:p>
    <w:p w14:paraId="2EE7A0E3">
      <w:pPr>
        <w:jc w:val="center"/>
        <w:rPr>
          <w:b/>
          <w:kern w:val="0"/>
          <w:sz w:val="32"/>
          <w:szCs w:val="32"/>
        </w:rPr>
      </w:pPr>
    </w:p>
    <w:p w14:paraId="5387A0DD">
      <w:pPr>
        <w:pageBreakBefore/>
        <w:jc w:val="center"/>
        <w:rPr>
          <w:b/>
          <w:kern w:val="0"/>
          <w:sz w:val="32"/>
          <w:szCs w:val="32"/>
          <w:lang w:val="zh-CN"/>
        </w:rPr>
      </w:pPr>
      <w:r>
        <w:rPr>
          <w:rFonts w:hAnsi="仿宋"/>
          <w:b/>
          <w:kern w:val="0"/>
          <w:sz w:val="32"/>
          <w:szCs w:val="32"/>
        </w:rPr>
        <w:t>三、</w:t>
      </w:r>
      <w:r>
        <w:rPr>
          <w:rFonts w:hAnsi="仿宋"/>
          <w:b/>
          <w:kern w:val="0"/>
          <w:sz w:val="32"/>
          <w:szCs w:val="32"/>
          <w:lang w:val="zh-CN"/>
        </w:rPr>
        <w:t>联合协议</w:t>
      </w:r>
    </w:p>
    <w:p w14:paraId="2C893AF1">
      <w:pPr>
        <w:widowControl/>
        <w:spacing w:line="360" w:lineRule="auto"/>
        <w:ind w:firstLine="482" w:firstLineChars="200"/>
        <w:jc w:val="center"/>
        <w:rPr>
          <w:b/>
        </w:rPr>
      </w:pPr>
      <w:r>
        <w:rPr>
          <w:rFonts w:hAnsi="仿宋"/>
          <w:b/>
        </w:rPr>
        <w:t>（以联合体形式投标的，提供联合协议）</w:t>
      </w:r>
    </w:p>
    <w:p w14:paraId="728D6192">
      <w:pPr>
        <w:snapToGrid w:val="0"/>
        <w:spacing w:line="360" w:lineRule="auto"/>
        <w:ind w:firstLine="576"/>
        <w:rPr>
          <w:kern w:val="0"/>
          <w:lang w:val="zh-CN"/>
        </w:rPr>
      </w:pPr>
      <w:r>
        <w:rPr>
          <w:rFonts w:hAnsi="仿宋"/>
          <w:kern w:val="0"/>
          <w:u w:val="single"/>
        </w:rPr>
        <w:t>（联合体所有成员名称）</w:t>
      </w:r>
      <w:r>
        <w:rPr>
          <w:rFonts w:hAnsi="仿宋"/>
          <w:kern w:val="0"/>
        </w:rPr>
        <w:t>自愿</w:t>
      </w:r>
      <w:r>
        <w:rPr>
          <w:rFonts w:hAnsi="仿宋"/>
          <w:kern w:val="0"/>
          <w:lang w:val="zh-CN"/>
        </w:rPr>
        <w:t>组成一个联合体，以一个投标人的身份</w:t>
      </w:r>
      <w:r>
        <w:rPr>
          <w:rFonts w:hAnsi="仿宋"/>
          <w:kern w:val="0"/>
        </w:rPr>
        <w:t>参加</w:t>
      </w:r>
      <w:r>
        <w:rPr>
          <w:rFonts w:hAnsi="仿宋"/>
        </w:rPr>
        <w:t>（项目名称）【招标编号：（采购编号）】</w:t>
      </w:r>
      <w:r>
        <w:rPr>
          <w:rFonts w:hAnsi="仿宋"/>
          <w:kern w:val="0"/>
          <w:lang w:val="zh-CN"/>
        </w:rPr>
        <w:t>投标。</w:t>
      </w:r>
    </w:p>
    <w:p w14:paraId="70B080D2">
      <w:pPr>
        <w:snapToGrid w:val="0"/>
        <w:spacing w:line="360" w:lineRule="auto"/>
        <w:ind w:firstLine="576"/>
        <w:rPr>
          <w:kern w:val="0"/>
          <w:lang w:val="zh-CN"/>
        </w:rPr>
      </w:pPr>
      <w:r>
        <w:rPr>
          <w:rFonts w:hAnsi="仿宋"/>
          <w:kern w:val="0"/>
          <w:lang w:val="zh-CN"/>
        </w:rPr>
        <w:t>一、各方一致决定，</w:t>
      </w:r>
      <w:r>
        <w:rPr>
          <w:rFonts w:hAnsi="仿宋"/>
          <w:kern w:val="0"/>
          <w:u w:val="single"/>
        </w:rPr>
        <w:t>（某联合体成员名称）</w:t>
      </w:r>
      <w:r>
        <w:rPr>
          <w:rFonts w:hAnsi="仿宋"/>
          <w:kern w:val="0"/>
        </w:rPr>
        <w:t>为联合体</w:t>
      </w:r>
      <w:r>
        <w:rPr>
          <w:rFonts w:hAnsi="仿宋"/>
          <w:kern w:val="0"/>
          <w:lang w:val="zh-CN"/>
        </w:rPr>
        <w:t>牵头人</w:t>
      </w:r>
      <w:r>
        <w:rPr>
          <w:rFonts w:hAnsi="仿宋"/>
        </w:rPr>
        <w:t>，代表所有联合体成员负责投标和合同实施阶段的主办、协调工作</w:t>
      </w:r>
      <w:r>
        <w:rPr>
          <w:rFonts w:hAnsi="仿宋"/>
          <w:kern w:val="0"/>
          <w:lang w:val="zh-CN"/>
        </w:rPr>
        <w:t>。</w:t>
      </w:r>
    </w:p>
    <w:p w14:paraId="0E8D8716">
      <w:pPr>
        <w:snapToGrid w:val="0"/>
        <w:spacing w:line="360" w:lineRule="auto"/>
        <w:ind w:firstLine="576"/>
        <w:rPr>
          <w:kern w:val="0"/>
          <w:lang w:val="zh-CN"/>
        </w:rPr>
      </w:pPr>
      <w:r>
        <w:rPr>
          <w:rFonts w:hAnsi="仿宋"/>
          <w:kern w:val="0"/>
          <w:lang w:val="zh-CN"/>
        </w:rPr>
        <w:t>二、</w:t>
      </w:r>
      <w:r>
        <w:rPr>
          <w:rFonts w:hAnsi="仿宋"/>
        </w:rPr>
        <w:t>所有联合体成员各方签署授权书，授权书载明的</w:t>
      </w:r>
      <w:r>
        <w:rPr>
          <w:rFonts w:hAnsi="仿宋"/>
          <w:kern w:val="0"/>
          <w:lang w:val="zh-CN"/>
        </w:rPr>
        <w:t>授权代表根据招标文件规定及投标内容而对采购人、采购机构所作的任何合法承诺，包括书面澄清及相应等均对联合投标各方产生约束力。</w:t>
      </w:r>
    </w:p>
    <w:p w14:paraId="5E92A4B4">
      <w:pPr>
        <w:snapToGrid w:val="0"/>
        <w:spacing w:line="360" w:lineRule="auto"/>
        <w:ind w:firstLine="576"/>
        <w:rPr>
          <w:kern w:val="0"/>
          <w:lang w:val="zh-CN"/>
        </w:rPr>
      </w:pPr>
      <w:r>
        <w:rPr>
          <w:rFonts w:hAnsi="仿宋"/>
          <w:kern w:val="0"/>
          <w:lang w:val="zh-CN"/>
        </w:rPr>
        <w:t>三、本次联合投标中，分工如下：</w:t>
      </w:r>
      <w:r>
        <w:rPr>
          <w:rFonts w:hAnsi="仿宋"/>
          <w:kern w:val="0"/>
          <w:u w:val="single"/>
        </w:rPr>
        <w:t>（联合体其中一方成员名称）</w:t>
      </w:r>
      <w:r>
        <w:rPr>
          <w:rFonts w:hAnsi="仿宋"/>
          <w:kern w:val="0"/>
          <w:lang w:val="zh-CN"/>
        </w:rPr>
        <w:t>承担的工作和义务为：；</w:t>
      </w:r>
      <w:r>
        <w:rPr>
          <w:kern w:val="0"/>
          <w:lang w:val="zh-CN"/>
        </w:rPr>
        <w:t>……</w:t>
      </w:r>
      <w:r>
        <w:rPr>
          <w:rFonts w:hAnsi="仿宋"/>
          <w:kern w:val="0"/>
          <w:lang w:val="zh-CN"/>
        </w:rPr>
        <w:t>。</w:t>
      </w:r>
    </w:p>
    <w:p w14:paraId="77A919D3">
      <w:pPr>
        <w:snapToGrid w:val="0"/>
        <w:spacing w:line="360" w:lineRule="auto"/>
        <w:ind w:firstLine="576"/>
        <w:rPr>
          <w:b/>
          <w:kern w:val="0"/>
          <w:lang w:val="zh-CN"/>
        </w:rPr>
      </w:pPr>
      <w:r>
        <w:rPr>
          <w:rFonts w:hAnsi="仿宋"/>
          <w:kern w:val="0"/>
          <w:lang w:val="zh-CN"/>
        </w:rPr>
        <w:t>四、</w:t>
      </w:r>
      <w:r>
        <w:rPr>
          <w:rFonts w:hAnsi="仿宋"/>
          <w:kern w:val="0"/>
          <w:u w:val="single"/>
        </w:rPr>
        <w:t>（联合体其中一方成员名称）</w:t>
      </w:r>
      <w:r>
        <w:rPr>
          <w:rFonts w:hAnsi="仿宋"/>
          <w:kern w:val="0"/>
        </w:rPr>
        <w:t>提供的全部货物由小微企业制造，其合同份额占到合同总金额</w:t>
      </w:r>
      <w:r>
        <w:rPr>
          <w:kern w:val="0"/>
        </w:rPr>
        <w:t>%</w:t>
      </w:r>
      <w:r>
        <w:rPr>
          <w:rFonts w:hAnsi="仿宋"/>
          <w:kern w:val="0"/>
        </w:rPr>
        <w:t>以上；</w:t>
      </w:r>
      <w:r>
        <w:rPr>
          <w:kern w:val="0"/>
          <w:lang w:val="zh-CN"/>
        </w:rPr>
        <w:t>……</w:t>
      </w:r>
      <w:r>
        <w:rPr>
          <w:rFonts w:hAnsi="仿宋"/>
          <w:kern w:val="0"/>
          <w:lang w:val="zh-CN"/>
        </w:rPr>
        <w:t>。</w:t>
      </w:r>
    </w:p>
    <w:p w14:paraId="14AA8379">
      <w:pPr>
        <w:snapToGrid w:val="0"/>
        <w:spacing w:line="360" w:lineRule="auto"/>
        <w:ind w:firstLine="576"/>
        <w:rPr>
          <w:kern w:val="0"/>
          <w:lang w:val="zh-CN"/>
        </w:rPr>
      </w:pPr>
      <w:r>
        <w:rPr>
          <w:rFonts w:hAnsi="仿宋"/>
          <w:kern w:val="0"/>
          <w:lang w:val="zh-CN"/>
        </w:rPr>
        <w:t>五、如果中标，</w:t>
      </w:r>
      <w:r>
        <w:rPr>
          <w:rFonts w:hAnsi="仿宋"/>
        </w:rPr>
        <w:t>联合体各成员方共同与采购人签订合同，并就采购合同约定的事项对采购人承担连带责任。</w:t>
      </w:r>
    </w:p>
    <w:p w14:paraId="1B5E2F4E">
      <w:pPr>
        <w:snapToGrid w:val="0"/>
        <w:spacing w:line="360" w:lineRule="auto"/>
        <w:ind w:firstLine="576"/>
        <w:rPr>
          <w:kern w:val="0"/>
          <w:lang w:val="zh-CN"/>
        </w:rPr>
      </w:pPr>
      <w:r>
        <w:rPr>
          <w:rFonts w:hAnsi="仿宋"/>
          <w:kern w:val="0"/>
          <w:lang w:val="zh-CN"/>
        </w:rPr>
        <w:t>六、有关本次联合投标的其他事宜：</w:t>
      </w:r>
    </w:p>
    <w:p w14:paraId="38959367">
      <w:pPr>
        <w:snapToGrid w:val="0"/>
        <w:spacing w:line="360" w:lineRule="auto"/>
        <w:ind w:firstLine="576"/>
        <w:rPr>
          <w:kern w:val="0"/>
          <w:lang w:val="zh-CN"/>
        </w:rPr>
      </w:pPr>
      <w:r>
        <w:rPr>
          <w:kern w:val="0"/>
          <w:lang w:val="zh-CN"/>
        </w:rPr>
        <w:t>1</w:t>
      </w:r>
      <w:r>
        <w:rPr>
          <w:rFonts w:hAnsi="仿宋"/>
          <w:kern w:val="0"/>
          <w:lang w:val="zh-CN"/>
        </w:rPr>
        <w:t>、联合体各方不再单独参加或者与其他供应商另外组成联合体参加同一合同项下的政府采购活动。</w:t>
      </w:r>
    </w:p>
    <w:p w14:paraId="14B63240">
      <w:pPr>
        <w:snapToGrid w:val="0"/>
        <w:spacing w:line="360" w:lineRule="auto"/>
        <w:ind w:firstLine="576"/>
        <w:rPr>
          <w:kern w:val="0"/>
          <w:lang w:val="zh-CN"/>
        </w:rPr>
      </w:pPr>
      <w:r>
        <w:rPr>
          <w:kern w:val="0"/>
          <w:lang w:val="zh-CN"/>
        </w:rPr>
        <w:t>2</w:t>
      </w:r>
      <w:r>
        <w:rPr>
          <w:rFonts w:hAnsi="仿宋"/>
          <w:kern w:val="0"/>
          <w:lang w:val="zh-CN"/>
        </w:rPr>
        <w:t>、联合体中有同类资质的各方按照联合体分工承担相同工作的，按照资质等级较低的供应商确定资质等级。</w:t>
      </w:r>
    </w:p>
    <w:p w14:paraId="2478E47C">
      <w:pPr>
        <w:snapToGrid w:val="0"/>
        <w:spacing w:line="360" w:lineRule="auto"/>
        <w:ind w:firstLine="576"/>
        <w:rPr>
          <w:kern w:val="0"/>
          <w:lang w:val="zh-CN"/>
        </w:rPr>
      </w:pPr>
      <w:r>
        <w:rPr>
          <w:kern w:val="0"/>
          <w:lang w:val="zh-CN"/>
        </w:rPr>
        <w:t>3</w:t>
      </w:r>
      <w:r>
        <w:rPr>
          <w:rFonts w:hAnsi="仿宋"/>
          <w:kern w:val="0"/>
          <w:lang w:val="zh-CN"/>
        </w:rPr>
        <w:t>、本协议提交采购人、采购机构后，联合体各方不得以任何形式对上述内容进行修改或撤销。</w:t>
      </w:r>
    </w:p>
    <w:p w14:paraId="2617D5E3">
      <w:pPr>
        <w:snapToGrid w:val="0"/>
        <w:spacing w:line="360" w:lineRule="auto"/>
        <w:ind w:firstLine="5040" w:firstLineChars="2100"/>
        <w:rPr>
          <w:kern w:val="0"/>
          <w:lang w:val="zh-CN"/>
        </w:rPr>
      </w:pPr>
      <w:r>
        <w:rPr>
          <w:rFonts w:hAnsi="仿宋"/>
          <w:kern w:val="0"/>
          <w:lang w:val="zh-CN"/>
        </w:rPr>
        <w:t>联合体成员名称</w:t>
      </w:r>
      <w:r>
        <w:rPr>
          <w:kern w:val="0"/>
          <w:lang w:val="zh-CN"/>
        </w:rPr>
        <w:t>(</w:t>
      </w:r>
      <w:r>
        <w:rPr>
          <w:rFonts w:hAnsi="仿宋"/>
          <w:kern w:val="0"/>
          <w:lang w:val="zh-CN"/>
        </w:rPr>
        <w:t>电子签名</w:t>
      </w:r>
      <w:r>
        <w:rPr>
          <w:kern w:val="0"/>
          <w:lang w:val="zh-CN"/>
        </w:rPr>
        <w:t>/</w:t>
      </w:r>
      <w:r>
        <w:rPr>
          <w:rFonts w:hAnsi="仿宋"/>
          <w:kern w:val="0"/>
          <w:lang w:val="zh-CN"/>
        </w:rPr>
        <w:t>公章</w:t>
      </w:r>
      <w:r>
        <w:rPr>
          <w:kern w:val="0"/>
          <w:lang w:val="zh-CN"/>
        </w:rPr>
        <w:t>)</w:t>
      </w:r>
      <w:r>
        <w:rPr>
          <w:rFonts w:hAnsi="仿宋"/>
          <w:kern w:val="0"/>
          <w:lang w:val="zh-CN"/>
        </w:rPr>
        <w:t>：</w:t>
      </w:r>
    </w:p>
    <w:p w14:paraId="766972B4">
      <w:pPr>
        <w:snapToGrid w:val="0"/>
        <w:spacing w:line="360" w:lineRule="auto"/>
        <w:ind w:firstLine="5760" w:firstLineChars="2400"/>
      </w:pPr>
      <w:r>
        <w:rPr>
          <w:kern w:val="0"/>
          <w:lang w:val="zh-CN"/>
        </w:rPr>
        <w:t>……</w:t>
      </w:r>
    </w:p>
    <w:p w14:paraId="11DAE792">
      <w:pPr>
        <w:snapToGrid w:val="0"/>
        <w:spacing w:line="360" w:lineRule="auto"/>
        <w:rPr>
          <w:kern w:val="0"/>
          <w:lang w:val="zh-CN"/>
        </w:rPr>
      </w:pPr>
      <w:r>
        <w:rPr>
          <w:rFonts w:hAnsi="仿宋"/>
          <w:kern w:val="0"/>
          <w:lang w:val="zh-CN"/>
        </w:rPr>
        <w:t>日期：年月日</w:t>
      </w:r>
    </w:p>
    <w:p w14:paraId="603B1144">
      <w:pPr>
        <w:snapToGrid w:val="0"/>
        <w:spacing w:line="360" w:lineRule="auto"/>
        <w:ind w:right="480"/>
        <w:rPr>
          <w:b/>
          <w:kern w:val="0"/>
          <w:sz w:val="32"/>
          <w:szCs w:val="32"/>
          <w:lang w:val="zh-CN"/>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05096086">
      <w:pPr>
        <w:snapToGrid w:val="0"/>
        <w:spacing w:line="360" w:lineRule="auto"/>
        <w:ind w:firstLine="3534" w:firstLineChars="1100"/>
        <w:rPr>
          <w:b/>
          <w:kern w:val="0"/>
          <w:sz w:val="32"/>
          <w:szCs w:val="32"/>
        </w:rPr>
      </w:pPr>
      <w:r>
        <w:rPr>
          <w:rFonts w:hAnsi="仿宋"/>
          <w:b/>
          <w:kern w:val="0"/>
          <w:sz w:val="32"/>
          <w:szCs w:val="32"/>
        </w:rPr>
        <w:t>四、分包意向协议</w:t>
      </w:r>
    </w:p>
    <w:p w14:paraId="562DC488">
      <w:pPr>
        <w:widowControl/>
        <w:spacing w:line="360" w:lineRule="auto"/>
        <w:ind w:firstLine="120" w:firstLineChars="50"/>
        <w:jc w:val="left"/>
      </w:pPr>
      <w:r>
        <w:rPr>
          <w:rFonts w:hAnsi="仿宋"/>
        </w:rPr>
        <w:t>（</w:t>
      </w:r>
      <w:r>
        <w:rPr>
          <w:rFonts w:hAnsi="仿宋"/>
          <w:b/>
        </w:rPr>
        <w:t>中标后以分包方式履行合同的，提供分包意向协议；采购人不同意分包或者投标人中标后不以分包方式履行合同的，则不需要提供。</w:t>
      </w:r>
      <w:r>
        <w:rPr>
          <w:rFonts w:hAnsi="仿宋"/>
        </w:rPr>
        <w:t>）</w:t>
      </w:r>
    </w:p>
    <w:p w14:paraId="0812AF86">
      <w:pPr>
        <w:snapToGrid w:val="0"/>
        <w:spacing w:line="360" w:lineRule="auto"/>
        <w:ind w:firstLine="576"/>
        <w:rPr>
          <w:kern w:val="0"/>
          <w:lang w:val="zh-CN"/>
        </w:rPr>
      </w:pPr>
      <w:r>
        <w:rPr>
          <w:rFonts w:hAnsi="仿宋"/>
          <w:kern w:val="0"/>
          <w:u w:val="single"/>
        </w:rPr>
        <w:t>（投标人名称）</w:t>
      </w:r>
      <w:r>
        <w:rPr>
          <w:rFonts w:hAnsi="仿宋"/>
          <w:kern w:val="0"/>
          <w:lang w:val="zh-CN"/>
        </w:rPr>
        <w:t>若成为</w:t>
      </w:r>
      <w:r>
        <w:rPr>
          <w:rFonts w:hAnsi="仿宋"/>
        </w:rPr>
        <w:t>（项目名称）【招标编号：（采购编号）】</w:t>
      </w:r>
      <w:r>
        <w:rPr>
          <w:rFonts w:hAnsi="仿宋"/>
          <w:kern w:val="0"/>
          <w:lang w:val="zh-CN"/>
        </w:rPr>
        <w:t>的中标供应商，将依法采取分包方式履行合同。</w:t>
      </w:r>
      <w:r>
        <w:rPr>
          <w:rFonts w:hAnsi="仿宋"/>
          <w:kern w:val="0"/>
          <w:u w:val="single"/>
        </w:rPr>
        <w:t>（投标人名称）</w:t>
      </w:r>
      <w:r>
        <w:rPr>
          <w:rFonts w:hAnsi="仿宋"/>
          <w:kern w:val="0"/>
        </w:rPr>
        <w:t>与</w:t>
      </w:r>
      <w:r>
        <w:rPr>
          <w:rFonts w:hAnsi="仿宋"/>
          <w:kern w:val="0"/>
          <w:u w:val="single"/>
        </w:rPr>
        <w:t>（所有分包供应商名称）</w:t>
      </w:r>
      <w:r>
        <w:rPr>
          <w:rFonts w:hAnsi="仿宋"/>
          <w:kern w:val="0"/>
        </w:rPr>
        <w:t>达成分包意向协议</w:t>
      </w:r>
      <w:r>
        <w:rPr>
          <w:rFonts w:hAnsi="仿宋"/>
          <w:kern w:val="0"/>
          <w:lang w:val="zh-CN"/>
        </w:rPr>
        <w:t>。</w:t>
      </w:r>
    </w:p>
    <w:p w14:paraId="0C7B7714">
      <w:pPr>
        <w:snapToGrid w:val="0"/>
        <w:spacing w:line="360" w:lineRule="auto"/>
        <w:ind w:firstLine="576"/>
        <w:rPr>
          <w:kern w:val="0"/>
          <w:lang w:val="zh-CN"/>
        </w:rPr>
      </w:pPr>
      <w:r>
        <w:rPr>
          <w:rFonts w:hAnsi="仿宋"/>
          <w:kern w:val="0"/>
          <w:lang w:val="zh-CN"/>
        </w:rPr>
        <w:t>一、分包标的及数量</w:t>
      </w:r>
    </w:p>
    <w:p w14:paraId="1A49C03E">
      <w:pPr>
        <w:snapToGrid w:val="0"/>
        <w:spacing w:line="360" w:lineRule="auto"/>
        <w:ind w:firstLine="576"/>
        <w:rPr>
          <w:kern w:val="0"/>
          <w:lang w:val="zh-CN"/>
        </w:rPr>
      </w:pPr>
      <w:r>
        <w:rPr>
          <w:rFonts w:hAnsi="仿宋"/>
          <w:kern w:val="0"/>
          <w:u w:val="single"/>
        </w:rPr>
        <w:t>（投标人名称）</w:t>
      </w:r>
      <w:r>
        <w:rPr>
          <w:rFonts w:hAnsi="仿宋"/>
          <w:kern w:val="0"/>
          <w:lang w:val="zh-CN"/>
        </w:rPr>
        <w:t>将</w:t>
      </w:r>
      <w:r>
        <w:rPr>
          <w:u w:val="single"/>
        </w:rPr>
        <w:t xml:space="preserve">   XX</w:t>
      </w:r>
      <w:r>
        <w:rPr>
          <w:rFonts w:hAnsi="仿宋"/>
          <w:u w:val="single"/>
        </w:rPr>
        <w:t>工作内容</w:t>
      </w:r>
      <w:r>
        <w:rPr>
          <w:rFonts w:hAnsi="仿宋"/>
        </w:rPr>
        <w:t>分包给</w:t>
      </w:r>
      <w:r>
        <w:rPr>
          <w:rFonts w:hAnsi="仿宋"/>
          <w:kern w:val="0"/>
          <w:u w:val="single"/>
        </w:rPr>
        <w:t>（某分包供应商名称）</w:t>
      </w:r>
      <w:r>
        <w:rPr>
          <w:rFonts w:hAnsi="仿宋"/>
          <w:kern w:val="0"/>
          <w:lang w:val="zh-CN"/>
        </w:rPr>
        <w:t>，</w:t>
      </w:r>
      <w:r>
        <w:rPr>
          <w:rFonts w:hAnsi="仿宋"/>
          <w:kern w:val="0"/>
          <w:u w:val="single"/>
        </w:rPr>
        <w:t>（某分包供应商名称），</w:t>
      </w:r>
      <w:r>
        <w:rPr>
          <w:rFonts w:hAnsi="仿宋"/>
          <w:kern w:val="0"/>
          <w:lang w:val="zh-CN"/>
        </w:rPr>
        <w:t>具备承</w:t>
      </w:r>
      <w:r>
        <w:rPr>
          <w:rFonts w:hAnsi="仿宋"/>
          <w:kern w:val="0"/>
        </w:rPr>
        <w:t>担</w:t>
      </w:r>
      <w:r>
        <w:rPr>
          <w:kern w:val="0"/>
          <w:u w:val="single"/>
          <w:lang w:val="zh-CN"/>
        </w:rPr>
        <w:t>XX</w:t>
      </w:r>
      <w:r>
        <w:rPr>
          <w:rFonts w:hAnsi="仿宋"/>
          <w:kern w:val="0"/>
          <w:u w:val="single"/>
          <w:lang w:val="zh-CN"/>
        </w:rPr>
        <w:t>工作内容</w:t>
      </w:r>
      <w:r>
        <w:rPr>
          <w:rFonts w:hAnsi="仿宋"/>
          <w:kern w:val="0"/>
          <w:lang w:val="zh-CN"/>
        </w:rPr>
        <w:t>相应资质条件且不得再次分包；</w:t>
      </w:r>
    </w:p>
    <w:p w14:paraId="0FD690D4">
      <w:pPr>
        <w:pStyle w:val="3"/>
        <w:ind w:left="758" w:leftChars="316" w:firstLine="229" w:firstLineChars="95"/>
        <w:rPr>
          <w:rFonts w:ascii="Times New Roman" w:hAnsi="Times New Roman" w:eastAsia="仿宋"/>
        </w:rPr>
      </w:pPr>
      <w:r>
        <w:rPr>
          <w:rFonts w:ascii="Times New Roman" w:hAnsi="Times New Roman" w:eastAsia="仿宋"/>
          <w:kern w:val="0"/>
          <w:sz w:val="24"/>
          <w:szCs w:val="24"/>
        </w:rPr>
        <w:t>……</w:t>
      </w:r>
    </w:p>
    <w:p w14:paraId="7E445B6C">
      <w:pPr>
        <w:snapToGrid w:val="0"/>
        <w:spacing w:line="360" w:lineRule="auto"/>
        <w:ind w:firstLine="576"/>
        <w:rPr>
          <w:kern w:val="0"/>
          <w:lang w:val="zh-CN"/>
        </w:rPr>
      </w:pPr>
      <w:r>
        <w:rPr>
          <w:rFonts w:hAnsi="仿宋"/>
          <w:kern w:val="0"/>
          <w:lang w:val="zh-CN"/>
        </w:rPr>
        <w:t>二、分包工作履行期限、地点、方式</w:t>
      </w:r>
    </w:p>
    <w:p w14:paraId="255254B8">
      <w:pPr>
        <w:snapToGrid w:val="0"/>
        <w:spacing w:line="360" w:lineRule="auto"/>
        <w:ind w:firstLine="576"/>
        <w:rPr>
          <w:u w:val="single"/>
        </w:rPr>
      </w:pPr>
    </w:p>
    <w:p w14:paraId="59F643E0">
      <w:pPr>
        <w:snapToGrid w:val="0"/>
        <w:spacing w:line="360" w:lineRule="auto"/>
        <w:ind w:firstLine="576"/>
        <w:rPr>
          <w:kern w:val="0"/>
          <w:lang w:val="zh-CN"/>
        </w:rPr>
      </w:pPr>
      <w:r>
        <w:rPr>
          <w:rFonts w:hAnsi="仿宋"/>
          <w:kern w:val="0"/>
          <w:lang w:val="zh-CN"/>
        </w:rPr>
        <w:t>三、质量</w:t>
      </w:r>
    </w:p>
    <w:p w14:paraId="5674DDCF">
      <w:pPr>
        <w:snapToGrid w:val="0"/>
        <w:spacing w:line="360" w:lineRule="auto"/>
        <w:ind w:firstLine="576"/>
        <w:rPr>
          <w:kern w:val="0"/>
          <w:lang w:val="zh-CN"/>
        </w:rPr>
      </w:pPr>
    </w:p>
    <w:p w14:paraId="4D29F643">
      <w:pPr>
        <w:snapToGrid w:val="0"/>
        <w:spacing w:line="360" w:lineRule="auto"/>
        <w:ind w:firstLine="576"/>
        <w:rPr>
          <w:kern w:val="0"/>
          <w:lang w:val="zh-CN"/>
        </w:rPr>
      </w:pPr>
      <w:r>
        <w:rPr>
          <w:rFonts w:hAnsi="仿宋"/>
          <w:kern w:val="0"/>
          <w:lang w:val="zh-CN"/>
        </w:rPr>
        <w:t>四、价款或者报酬</w:t>
      </w:r>
    </w:p>
    <w:p w14:paraId="27D3C2DE">
      <w:pPr>
        <w:snapToGrid w:val="0"/>
        <w:spacing w:line="360" w:lineRule="auto"/>
        <w:ind w:left="655" w:leftChars="273"/>
        <w:rPr>
          <w:kern w:val="0"/>
          <w:lang w:val="zh-CN"/>
        </w:rPr>
      </w:pPr>
    </w:p>
    <w:p w14:paraId="2B0CF9EA">
      <w:pPr>
        <w:snapToGrid w:val="0"/>
        <w:spacing w:line="360" w:lineRule="auto"/>
        <w:ind w:left="655" w:leftChars="273"/>
        <w:rPr>
          <w:kern w:val="0"/>
          <w:lang w:val="zh-CN"/>
        </w:rPr>
      </w:pPr>
      <w:r>
        <w:rPr>
          <w:rFonts w:hAnsi="仿宋"/>
          <w:kern w:val="0"/>
          <w:lang w:val="zh-CN"/>
        </w:rPr>
        <w:t>五、违约责任</w:t>
      </w:r>
    </w:p>
    <w:p w14:paraId="3F4FC662">
      <w:pPr>
        <w:snapToGrid w:val="0"/>
        <w:spacing w:line="360" w:lineRule="auto"/>
        <w:ind w:firstLine="576"/>
        <w:rPr>
          <w:kern w:val="0"/>
          <w:lang w:val="zh-CN"/>
        </w:rPr>
      </w:pPr>
    </w:p>
    <w:p w14:paraId="66FB86FF">
      <w:pPr>
        <w:snapToGrid w:val="0"/>
        <w:spacing w:line="360" w:lineRule="auto"/>
        <w:ind w:firstLine="576"/>
        <w:rPr>
          <w:kern w:val="0"/>
          <w:lang w:val="zh-CN"/>
        </w:rPr>
      </w:pPr>
      <w:r>
        <w:rPr>
          <w:rFonts w:hAnsi="仿宋"/>
          <w:kern w:val="0"/>
          <w:lang w:val="zh-CN"/>
        </w:rPr>
        <w:t>六、争议解决的办法</w:t>
      </w:r>
    </w:p>
    <w:p w14:paraId="4BE9797D">
      <w:pPr>
        <w:snapToGrid w:val="0"/>
        <w:spacing w:line="360" w:lineRule="auto"/>
        <w:ind w:firstLine="576"/>
        <w:rPr>
          <w:kern w:val="0"/>
          <w:lang w:val="zh-CN"/>
        </w:rPr>
      </w:pPr>
    </w:p>
    <w:p w14:paraId="6FEF3F57">
      <w:pPr>
        <w:snapToGrid w:val="0"/>
        <w:spacing w:line="360" w:lineRule="auto"/>
        <w:ind w:firstLine="576"/>
        <w:rPr>
          <w:kern w:val="0"/>
          <w:lang w:val="zh-CN"/>
        </w:rPr>
      </w:pPr>
      <w:r>
        <w:rPr>
          <w:rFonts w:hAnsi="仿宋"/>
          <w:kern w:val="0"/>
          <w:lang w:val="zh-CN"/>
        </w:rPr>
        <w:t>七、其他</w:t>
      </w:r>
    </w:p>
    <w:p w14:paraId="53EDA5D7">
      <w:pPr>
        <w:snapToGrid w:val="0"/>
        <w:spacing w:line="360" w:lineRule="auto"/>
        <w:ind w:firstLine="576"/>
        <w:rPr>
          <w:b/>
          <w:kern w:val="0"/>
          <w:lang w:val="zh-CN"/>
        </w:rPr>
      </w:pPr>
      <w:r>
        <w:rPr>
          <w:rFonts w:hAnsi="仿宋"/>
          <w:kern w:val="0"/>
          <w:u w:val="single"/>
        </w:rPr>
        <w:t>（分包供应商名称）提供的货物全部由小微企业制造，</w:t>
      </w:r>
      <w:r>
        <w:rPr>
          <w:rFonts w:hAnsi="仿宋"/>
          <w:kern w:val="0"/>
        </w:rPr>
        <w:t>其合同份额占到合同总金额</w:t>
      </w:r>
      <w:r>
        <w:rPr>
          <w:kern w:val="0"/>
        </w:rPr>
        <w:t>%</w:t>
      </w:r>
      <w:r>
        <w:rPr>
          <w:rFonts w:hAnsi="仿宋"/>
          <w:kern w:val="0"/>
        </w:rPr>
        <w:t>以上</w:t>
      </w:r>
      <w:r>
        <w:rPr>
          <w:rFonts w:hAnsi="仿宋"/>
        </w:rPr>
        <w:t>。</w:t>
      </w:r>
    </w:p>
    <w:p w14:paraId="4DED7E62">
      <w:pPr>
        <w:snapToGrid w:val="0"/>
        <w:spacing w:line="360" w:lineRule="auto"/>
        <w:rPr>
          <w:kern w:val="0"/>
          <w:lang w:val="zh-CN"/>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02CBD94B">
      <w:pPr>
        <w:snapToGrid w:val="0"/>
        <w:spacing w:line="360" w:lineRule="auto"/>
        <w:ind w:firstLine="5640" w:firstLineChars="2350"/>
        <w:rPr>
          <w:kern w:val="0"/>
          <w:lang w:val="zh-CN"/>
        </w:rPr>
      </w:pPr>
      <w:r>
        <w:rPr>
          <w:rFonts w:hAnsi="仿宋"/>
          <w:kern w:val="0"/>
          <w:lang w:val="zh-CN"/>
        </w:rPr>
        <w:t>分包供应商名称：</w:t>
      </w:r>
    </w:p>
    <w:p w14:paraId="409AACA0">
      <w:pPr>
        <w:snapToGrid w:val="0"/>
        <w:spacing w:line="360" w:lineRule="auto"/>
        <w:ind w:firstLine="5760" w:firstLineChars="2400"/>
      </w:pPr>
      <w:r>
        <w:rPr>
          <w:kern w:val="0"/>
          <w:lang w:val="zh-CN"/>
        </w:rPr>
        <w:t>……</w:t>
      </w:r>
    </w:p>
    <w:p w14:paraId="11C790F4">
      <w:pPr>
        <w:snapToGrid w:val="0"/>
        <w:spacing w:line="360" w:lineRule="auto"/>
        <w:rPr>
          <w:kern w:val="0"/>
          <w:lang w:val="zh-CN"/>
        </w:rPr>
      </w:pPr>
      <w:r>
        <w:rPr>
          <w:rFonts w:hAnsi="仿宋"/>
          <w:kern w:val="0"/>
          <w:lang w:val="zh-CN"/>
        </w:rPr>
        <w:t>日期：年月日</w:t>
      </w:r>
    </w:p>
    <w:p w14:paraId="781BC43B">
      <w:pPr>
        <w:jc w:val="center"/>
        <w:rPr>
          <w:b/>
          <w:kern w:val="0"/>
          <w:sz w:val="32"/>
          <w:szCs w:val="32"/>
        </w:rPr>
      </w:pPr>
    </w:p>
    <w:p w14:paraId="6E0C613D">
      <w:pPr>
        <w:jc w:val="center"/>
        <w:rPr>
          <w:b/>
          <w:kern w:val="0"/>
          <w:sz w:val="32"/>
          <w:szCs w:val="32"/>
        </w:rPr>
      </w:pPr>
    </w:p>
    <w:p w14:paraId="12E34DE8">
      <w:pPr>
        <w:jc w:val="center"/>
        <w:rPr>
          <w:rFonts w:hAnsi="仿宋"/>
          <w:b/>
          <w:kern w:val="0"/>
          <w:sz w:val="32"/>
          <w:szCs w:val="32"/>
        </w:rPr>
      </w:pPr>
    </w:p>
    <w:p w14:paraId="797502C6">
      <w:pPr>
        <w:jc w:val="center"/>
        <w:rPr>
          <w:b/>
          <w:kern w:val="0"/>
          <w:sz w:val="32"/>
          <w:szCs w:val="32"/>
        </w:rPr>
      </w:pPr>
      <w:r>
        <w:rPr>
          <w:rFonts w:hAnsi="仿宋"/>
          <w:b/>
          <w:kern w:val="0"/>
          <w:sz w:val="32"/>
          <w:szCs w:val="32"/>
        </w:rPr>
        <w:t>五、符合性审查资料</w:t>
      </w:r>
    </w:p>
    <w:p w14:paraId="4E7CBB02">
      <w:pPr>
        <w:jc w:val="center"/>
        <w:rPr>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173A9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E0EF9EC">
            <w:pPr>
              <w:snapToGrid w:val="0"/>
              <w:spacing w:line="240" w:lineRule="atLeast"/>
              <w:jc w:val="center"/>
              <w:rPr>
                <w:b/>
              </w:rPr>
            </w:pPr>
            <w:r>
              <w:rPr>
                <w:rFonts w:hAnsi="仿宋"/>
                <w:b/>
              </w:rPr>
              <w:t>序号</w:t>
            </w:r>
          </w:p>
        </w:tc>
        <w:tc>
          <w:tcPr>
            <w:tcW w:w="4991" w:type="dxa"/>
            <w:vAlign w:val="center"/>
          </w:tcPr>
          <w:p w14:paraId="5738B614">
            <w:pPr>
              <w:snapToGrid w:val="0"/>
              <w:spacing w:line="240" w:lineRule="atLeast"/>
              <w:jc w:val="center"/>
              <w:rPr>
                <w:b/>
              </w:rPr>
            </w:pPr>
            <w:r>
              <w:rPr>
                <w:rFonts w:hAnsi="仿宋"/>
                <w:b/>
              </w:rPr>
              <w:t>实质性要求</w:t>
            </w:r>
          </w:p>
        </w:tc>
        <w:tc>
          <w:tcPr>
            <w:tcW w:w="2551" w:type="dxa"/>
            <w:vAlign w:val="center"/>
          </w:tcPr>
          <w:p w14:paraId="79B1DE3B">
            <w:pPr>
              <w:snapToGrid w:val="0"/>
              <w:spacing w:line="240" w:lineRule="atLeast"/>
              <w:jc w:val="center"/>
              <w:rPr>
                <w:b/>
              </w:rPr>
            </w:pPr>
            <w:r>
              <w:rPr>
                <w:rFonts w:hAnsi="仿宋"/>
                <w:b/>
              </w:rPr>
              <w:t>需要提供的符合性审查资料</w:t>
            </w:r>
          </w:p>
        </w:tc>
        <w:tc>
          <w:tcPr>
            <w:tcW w:w="1418" w:type="dxa"/>
            <w:vAlign w:val="center"/>
          </w:tcPr>
          <w:p w14:paraId="37624EAB">
            <w:pPr>
              <w:snapToGrid w:val="0"/>
              <w:spacing w:line="240" w:lineRule="atLeast"/>
              <w:jc w:val="center"/>
              <w:rPr>
                <w:b/>
              </w:rPr>
            </w:pPr>
            <w:r>
              <w:rPr>
                <w:rFonts w:hAnsi="仿宋"/>
                <w:b/>
              </w:rPr>
              <w:t>投标文件中的</w:t>
            </w:r>
          </w:p>
          <w:p w14:paraId="212BE412">
            <w:pPr>
              <w:snapToGrid w:val="0"/>
              <w:spacing w:line="240" w:lineRule="atLeast"/>
              <w:jc w:val="center"/>
              <w:rPr>
                <w:b/>
              </w:rPr>
            </w:pPr>
            <w:r>
              <w:rPr>
                <w:rFonts w:hAnsi="仿宋"/>
                <w:b/>
              </w:rPr>
              <w:t>页码位置</w:t>
            </w:r>
          </w:p>
        </w:tc>
      </w:tr>
      <w:tr w14:paraId="5C6D3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B02BD9">
            <w:r>
              <w:t>1</w:t>
            </w:r>
          </w:p>
        </w:tc>
        <w:tc>
          <w:tcPr>
            <w:tcW w:w="4991" w:type="dxa"/>
          </w:tcPr>
          <w:p w14:paraId="56396DC5">
            <w:pPr>
              <w:spacing w:line="360" w:lineRule="auto"/>
            </w:pPr>
            <w:r>
              <w:rPr>
                <w:rFonts w:hAnsi="仿宋"/>
              </w:rPr>
              <w:t>投标文件按照招标文件要求签署、盖章。</w:t>
            </w:r>
          </w:p>
        </w:tc>
        <w:tc>
          <w:tcPr>
            <w:tcW w:w="2551" w:type="dxa"/>
            <w:vAlign w:val="center"/>
          </w:tcPr>
          <w:p w14:paraId="5A165EF8">
            <w:pPr>
              <w:spacing w:line="360" w:lineRule="auto"/>
            </w:pPr>
            <w:r>
              <w:rPr>
                <w:rFonts w:hAnsi="仿宋"/>
              </w:rPr>
              <w:t>需要使用电子签名或者签字盖章的投标文件的组成部分</w:t>
            </w:r>
          </w:p>
        </w:tc>
        <w:tc>
          <w:tcPr>
            <w:tcW w:w="1418" w:type="dxa"/>
          </w:tcPr>
          <w:p w14:paraId="4A62C57D">
            <w:pPr>
              <w:spacing w:line="360" w:lineRule="auto"/>
            </w:pPr>
          </w:p>
          <w:p w14:paraId="4FABEDD8">
            <w:pPr>
              <w:spacing w:line="360" w:lineRule="auto"/>
            </w:pPr>
            <w:r>
              <w:rPr>
                <w:rFonts w:hAnsi="仿宋"/>
              </w:rPr>
              <w:t>见投标文件</w:t>
            </w:r>
          </w:p>
          <w:p w14:paraId="4D6307CB">
            <w:pPr>
              <w:spacing w:line="360" w:lineRule="auto"/>
            </w:pPr>
            <w:r>
              <w:rPr>
                <w:rFonts w:hAnsi="仿宋"/>
              </w:rPr>
              <w:t>第页</w:t>
            </w:r>
          </w:p>
        </w:tc>
      </w:tr>
      <w:tr w14:paraId="13884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BDEA7C2">
            <w:pPr>
              <w:spacing w:line="360" w:lineRule="auto"/>
            </w:pPr>
            <w:r>
              <w:t>2</w:t>
            </w:r>
          </w:p>
        </w:tc>
        <w:tc>
          <w:tcPr>
            <w:tcW w:w="4991" w:type="dxa"/>
          </w:tcPr>
          <w:p w14:paraId="3C2B11A7">
            <w:pPr>
              <w:spacing w:line="360" w:lineRule="auto"/>
            </w:pPr>
            <w:r>
              <w:rPr>
                <w:rFonts w:hAnsi="仿宋"/>
              </w:rPr>
              <w:t>采购人拟采购的产品（如有）属于政府强制采购的节能产品品目清单范围的，投标人按招标文件要求提供国家确定的认证机构出具的、处于有效期之内的节能产品认证证书。</w:t>
            </w:r>
          </w:p>
        </w:tc>
        <w:tc>
          <w:tcPr>
            <w:tcW w:w="2551" w:type="dxa"/>
            <w:vAlign w:val="center"/>
          </w:tcPr>
          <w:p w14:paraId="7B2B66CD">
            <w:pPr>
              <w:spacing w:line="360" w:lineRule="auto"/>
            </w:pPr>
            <w:r>
              <w:rPr>
                <w:rFonts w:hAnsi="仿宋"/>
              </w:rPr>
              <w:t>节能产品认证证书（本项目拟采购的产品不属于政府强制采购的节能产品品目清单范围的，无需提供）</w:t>
            </w:r>
          </w:p>
        </w:tc>
        <w:tc>
          <w:tcPr>
            <w:tcW w:w="1418" w:type="dxa"/>
          </w:tcPr>
          <w:p w14:paraId="5FD34B68">
            <w:pPr>
              <w:spacing w:line="360" w:lineRule="auto"/>
            </w:pPr>
          </w:p>
          <w:p w14:paraId="71CCF548">
            <w:pPr>
              <w:spacing w:line="360" w:lineRule="auto"/>
            </w:pPr>
          </w:p>
          <w:p w14:paraId="245B29AA">
            <w:pPr>
              <w:spacing w:line="360" w:lineRule="auto"/>
            </w:pPr>
            <w:r>
              <w:rPr>
                <w:rFonts w:hAnsi="仿宋"/>
              </w:rPr>
              <w:t>见投标文件</w:t>
            </w:r>
          </w:p>
          <w:p w14:paraId="2071D4E1">
            <w:pPr>
              <w:spacing w:line="360" w:lineRule="auto"/>
            </w:pPr>
            <w:r>
              <w:rPr>
                <w:rFonts w:hAnsi="仿宋"/>
              </w:rPr>
              <w:t>第</w:t>
            </w:r>
            <w:r>
              <w:t>/</w:t>
            </w:r>
            <w:r>
              <w:rPr>
                <w:rFonts w:hAnsi="仿宋"/>
              </w:rPr>
              <w:t>页</w:t>
            </w:r>
          </w:p>
        </w:tc>
      </w:tr>
      <w:tr w14:paraId="303F4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F4273D">
            <w:r>
              <w:t>3</w:t>
            </w:r>
          </w:p>
        </w:tc>
        <w:tc>
          <w:tcPr>
            <w:tcW w:w="4991" w:type="dxa"/>
          </w:tcPr>
          <w:p w14:paraId="7AECF48D">
            <w:pPr>
              <w:spacing w:line="360" w:lineRule="auto"/>
            </w:pPr>
            <w:r>
              <w:rPr>
                <w:rFonts w:hAnsi="仿宋"/>
              </w:rPr>
              <w:t>投标文件中承诺的投标有效期不少于招标文件中载明的投标有效期。</w:t>
            </w:r>
          </w:p>
        </w:tc>
        <w:tc>
          <w:tcPr>
            <w:tcW w:w="2551" w:type="dxa"/>
            <w:vAlign w:val="center"/>
          </w:tcPr>
          <w:p w14:paraId="15C25E1C">
            <w:pPr>
              <w:spacing w:line="360" w:lineRule="auto"/>
            </w:pPr>
            <w:r>
              <w:rPr>
                <w:rFonts w:hAnsi="仿宋"/>
              </w:rPr>
              <w:t>投标函</w:t>
            </w:r>
          </w:p>
        </w:tc>
        <w:tc>
          <w:tcPr>
            <w:tcW w:w="1418" w:type="dxa"/>
          </w:tcPr>
          <w:p w14:paraId="692E7FE4">
            <w:pPr>
              <w:spacing w:line="360" w:lineRule="auto"/>
            </w:pPr>
            <w:r>
              <w:rPr>
                <w:rFonts w:hAnsi="仿宋"/>
              </w:rPr>
              <w:t>见投标文件第页</w:t>
            </w:r>
          </w:p>
        </w:tc>
      </w:tr>
      <w:tr w14:paraId="5B29D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7B14D20">
            <w:r>
              <w:t>4</w:t>
            </w:r>
          </w:p>
        </w:tc>
        <w:tc>
          <w:tcPr>
            <w:tcW w:w="4991" w:type="dxa"/>
          </w:tcPr>
          <w:p w14:paraId="6EB87D2F">
            <w:pPr>
              <w:spacing w:line="360" w:lineRule="auto"/>
            </w:pPr>
            <w:r>
              <w:rPr>
                <w:rFonts w:hAnsi="仿宋"/>
              </w:rPr>
              <w:t>投标文件满足招标文件的其它实质性要求。</w:t>
            </w:r>
          </w:p>
        </w:tc>
        <w:tc>
          <w:tcPr>
            <w:tcW w:w="2551" w:type="dxa"/>
            <w:vAlign w:val="center"/>
          </w:tcPr>
          <w:p w14:paraId="2BFD5614">
            <w:pPr>
              <w:spacing w:line="360" w:lineRule="auto"/>
            </w:pPr>
            <w:r>
              <w:rPr>
                <w:rFonts w:hAnsi="仿宋"/>
              </w:rPr>
              <w:t>招标文件其它实质性要求相应的材料或承诺函（</w:t>
            </w:r>
            <w:r>
              <w:t xml:space="preserve">“▲” </w:t>
            </w:r>
            <w:r>
              <w:rPr>
                <w:rFonts w:hAnsi="仿宋"/>
              </w:rPr>
              <w:t>系指实质性要求条款，招标文件无其它实质性要求的，无需提供）</w:t>
            </w:r>
          </w:p>
        </w:tc>
        <w:tc>
          <w:tcPr>
            <w:tcW w:w="1418" w:type="dxa"/>
          </w:tcPr>
          <w:p w14:paraId="4287C647">
            <w:pPr>
              <w:spacing w:line="360" w:lineRule="auto"/>
            </w:pPr>
            <w:r>
              <w:rPr>
                <w:rFonts w:hAnsi="仿宋"/>
              </w:rPr>
              <w:t>见投标文件第页</w:t>
            </w:r>
          </w:p>
        </w:tc>
      </w:tr>
    </w:tbl>
    <w:p w14:paraId="62436419">
      <w:pPr>
        <w:jc w:val="center"/>
        <w:rPr>
          <w:b/>
          <w:kern w:val="0"/>
          <w:sz w:val="32"/>
          <w:szCs w:val="32"/>
        </w:rPr>
      </w:pPr>
    </w:p>
    <w:p w14:paraId="1F1C6044">
      <w:pPr>
        <w:jc w:val="center"/>
        <w:rPr>
          <w:b/>
          <w:kern w:val="0"/>
          <w:sz w:val="32"/>
          <w:szCs w:val="32"/>
        </w:rPr>
      </w:pPr>
    </w:p>
    <w:p w14:paraId="3E373008">
      <w:pPr>
        <w:jc w:val="center"/>
        <w:rPr>
          <w:b/>
          <w:kern w:val="0"/>
          <w:sz w:val="32"/>
          <w:szCs w:val="32"/>
        </w:rPr>
      </w:pPr>
    </w:p>
    <w:p w14:paraId="627F1173">
      <w:pPr>
        <w:jc w:val="center"/>
        <w:rPr>
          <w:b/>
          <w:kern w:val="0"/>
          <w:sz w:val="32"/>
          <w:szCs w:val="32"/>
        </w:rPr>
      </w:pPr>
    </w:p>
    <w:p w14:paraId="4FB2C96D">
      <w:pPr>
        <w:jc w:val="center"/>
        <w:rPr>
          <w:b/>
          <w:kern w:val="0"/>
          <w:sz w:val="32"/>
          <w:szCs w:val="32"/>
        </w:rPr>
      </w:pPr>
    </w:p>
    <w:p w14:paraId="1B3E409E">
      <w:pPr>
        <w:jc w:val="center"/>
        <w:rPr>
          <w:b/>
          <w:kern w:val="0"/>
          <w:sz w:val="32"/>
          <w:szCs w:val="32"/>
        </w:rPr>
      </w:pPr>
    </w:p>
    <w:p w14:paraId="0836E2F6">
      <w:pPr>
        <w:jc w:val="center"/>
        <w:rPr>
          <w:b/>
          <w:kern w:val="0"/>
          <w:sz w:val="32"/>
          <w:szCs w:val="32"/>
        </w:rPr>
      </w:pPr>
    </w:p>
    <w:p w14:paraId="08B67EF3">
      <w:pPr>
        <w:jc w:val="center"/>
        <w:rPr>
          <w:b/>
          <w:kern w:val="0"/>
          <w:sz w:val="32"/>
          <w:szCs w:val="32"/>
        </w:rPr>
      </w:pPr>
    </w:p>
    <w:p w14:paraId="0B446B96">
      <w:pPr>
        <w:jc w:val="center"/>
        <w:rPr>
          <w:b/>
          <w:kern w:val="0"/>
          <w:sz w:val="32"/>
          <w:szCs w:val="32"/>
        </w:rPr>
      </w:pPr>
    </w:p>
    <w:p w14:paraId="250BC1AE">
      <w:pPr>
        <w:jc w:val="center"/>
        <w:rPr>
          <w:b/>
          <w:kern w:val="0"/>
          <w:sz w:val="32"/>
          <w:szCs w:val="32"/>
        </w:rPr>
      </w:pPr>
    </w:p>
    <w:p w14:paraId="17D09814">
      <w:pPr>
        <w:jc w:val="center"/>
        <w:rPr>
          <w:b/>
          <w:kern w:val="0"/>
          <w:sz w:val="32"/>
          <w:szCs w:val="32"/>
        </w:rPr>
      </w:pPr>
    </w:p>
    <w:p w14:paraId="55B0A989">
      <w:pPr>
        <w:jc w:val="center"/>
        <w:rPr>
          <w:rFonts w:hAnsi="仿宋"/>
          <w:b/>
          <w:kern w:val="0"/>
          <w:sz w:val="32"/>
          <w:szCs w:val="32"/>
        </w:rPr>
      </w:pPr>
    </w:p>
    <w:p w14:paraId="1B1836DB">
      <w:pPr>
        <w:jc w:val="center"/>
        <w:rPr>
          <w:rFonts w:hAnsi="仿宋"/>
          <w:b/>
          <w:kern w:val="0"/>
          <w:sz w:val="32"/>
          <w:szCs w:val="32"/>
        </w:rPr>
      </w:pPr>
    </w:p>
    <w:p w14:paraId="287CA389">
      <w:pPr>
        <w:jc w:val="center"/>
      </w:pPr>
      <w:r>
        <w:rPr>
          <w:rFonts w:hAnsi="仿宋"/>
          <w:b/>
          <w:kern w:val="0"/>
          <w:sz w:val="32"/>
          <w:szCs w:val="32"/>
        </w:rPr>
        <w:t>六、评标标准相应的商务技术资料</w:t>
      </w:r>
    </w:p>
    <w:p w14:paraId="7754D22E">
      <w:pPr>
        <w:snapToGrid w:val="0"/>
        <w:spacing w:line="360" w:lineRule="auto"/>
        <w:jc w:val="left"/>
        <w:rPr>
          <w:b/>
        </w:rPr>
      </w:pPr>
      <w:r>
        <w:rPr>
          <w:rFonts w:hAnsi="仿宋"/>
          <w:b/>
        </w:rPr>
        <w:t>（按招标文件第四部分评标办法前附表中</w:t>
      </w:r>
      <w:r>
        <w:rPr>
          <w:b/>
        </w:rPr>
        <w:t>“</w:t>
      </w:r>
      <w:r>
        <w:rPr>
          <w:rFonts w:hAnsi="仿宋"/>
          <w:b/>
        </w:rPr>
        <w:t>投标文件中评标标准相应的商务技术资料目录</w:t>
      </w:r>
      <w:r>
        <w:rPr>
          <w:b/>
        </w:rPr>
        <w:t>”</w:t>
      </w:r>
      <w:r>
        <w:rPr>
          <w:rFonts w:hAnsi="仿宋"/>
          <w:b/>
        </w:rPr>
        <w:t>提供资料）</w:t>
      </w:r>
    </w:p>
    <w:p w14:paraId="152B58A3">
      <w:pPr>
        <w:jc w:val="center"/>
        <w:rPr>
          <w:b/>
          <w:kern w:val="0"/>
          <w:sz w:val="32"/>
          <w:szCs w:val="32"/>
        </w:rPr>
      </w:pPr>
    </w:p>
    <w:p w14:paraId="1AF90958">
      <w:pPr>
        <w:jc w:val="center"/>
        <w:rPr>
          <w:b/>
          <w:kern w:val="0"/>
          <w:sz w:val="32"/>
          <w:szCs w:val="32"/>
        </w:rPr>
      </w:pPr>
    </w:p>
    <w:p w14:paraId="17C91F81">
      <w:pPr>
        <w:jc w:val="center"/>
        <w:rPr>
          <w:b/>
          <w:kern w:val="0"/>
          <w:sz w:val="32"/>
          <w:szCs w:val="32"/>
        </w:rPr>
      </w:pPr>
    </w:p>
    <w:p w14:paraId="036B7926">
      <w:pPr>
        <w:jc w:val="center"/>
        <w:rPr>
          <w:b/>
          <w:kern w:val="0"/>
          <w:sz w:val="32"/>
          <w:szCs w:val="32"/>
        </w:rPr>
      </w:pPr>
    </w:p>
    <w:p w14:paraId="3608C947">
      <w:pPr>
        <w:jc w:val="center"/>
        <w:rPr>
          <w:b/>
          <w:kern w:val="0"/>
          <w:sz w:val="32"/>
          <w:szCs w:val="32"/>
        </w:rPr>
      </w:pPr>
    </w:p>
    <w:p w14:paraId="2EE6E509">
      <w:pPr>
        <w:jc w:val="center"/>
        <w:rPr>
          <w:b/>
          <w:kern w:val="0"/>
          <w:sz w:val="32"/>
          <w:szCs w:val="32"/>
        </w:rPr>
      </w:pPr>
    </w:p>
    <w:p w14:paraId="504F2E61">
      <w:pPr>
        <w:jc w:val="center"/>
        <w:rPr>
          <w:b/>
          <w:kern w:val="0"/>
          <w:sz w:val="32"/>
          <w:szCs w:val="32"/>
        </w:rPr>
      </w:pPr>
    </w:p>
    <w:p w14:paraId="3ED044BD">
      <w:pPr>
        <w:jc w:val="center"/>
        <w:rPr>
          <w:b/>
          <w:kern w:val="0"/>
          <w:sz w:val="32"/>
          <w:szCs w:val="32"/>
        </w:rPr>
      </w:pPr>
    </w:p>
    <w:p w14:paraId="5CD43A49">
      <w:pPr>
        <w:jc w:val="center"/>
        <w:rPr>
          <w:b/>
          <w:kern w:val="0"/>
          <w:sz w:val="32"/>
          <w:szCs w:val="32"/>
        </w:rPr>
      </w:pPr>
    </w:p>
    <w:p w14:paraId="30121EA3">
      <w:pPr>
        <w:jc w:val="center"/>
        <w:rPr>
          <w:b/>
          <w:kern w:val="0"/>
          <w:sz w:val="32"/>
          <w:szCs w:val="32"/>
        </w:rPr>
      </w:pPr>
    </w:p>
    <w:p w14:paraId="361386CC">
      <w:pPr>
        <w:jc w:val="center"/>
        <w:rPr>
          <w:b/>
          <w:kern w:val="0"/>
          <w:sz w:val="32"/>
          <w:szCs w:val="32"/>
        </w:rPr>
      </w:pPr>
    </w:p>
    <w:p w14:paraId="258819CE">
      <w:pPr>
        <w:jc w:val="center"/>
        <w:rPr>
          <w:b/>
          <w:kern w:val="0"/>
          <w:sz w:val="32"/>
          <w:szCs w:val="32"/>
        </w:rPr>
      </w:pPr>
    </w:p>
    <w:p w14:paraId="076E4313">
      <w:pPr>
        <w:jc w:val="center"/>
        <w:rPr>
          <w:b/>
          <w:kern w:val="0"/>
          <w:sz w:val="32"/>
          <w:szCs w:val="32"/>
        </w:rPr>
      </w:pPr>
    </w:p>
    <w:p w14:paraId="490C6D46">
      <w:pPr>
        <w:jc w:val="center"/>
        <w:rPr>
          <w:b/>
          <w:kern w:val="0"/>
          <w:sz w:val="32"/>
          <w:szCs w:val="32"/>
        </w:rPr>
      </w:pPr>
    </w:p>
    <w:p w14:paraId="50F85687">
      <w:pPr>
        <w:jc w:val="center"/>
        <w:rPr>
          <w:b/>
          <w:kern w:val="0"/>
          <w:sz w:val="32"/>
          <w:szCs w:val="32"/>
        </w:rPr>
      </w:pPr>
    </w:p>
    <w:p w14:paraId="114CBA2C">
      <w:pPr>
        <w:jc w:val="center"/>
        <w:rPr>
          <w:b/>
          <w:kern w:val="0"/>
          <w:sz w:val="32"/>
          <w:szCs w:val="32"/>
        </w:rPr>
      </w:pPr>
    </w:p>
    <w:p w14:paraId="19AB8FE9">
      <w:pPr>
        <w:jc w:val="center"/>
        <w:rPr>
          <w:b/>
          <w:kern w:val="0"/>
          <w:sz w:val="32"/>
          <w:szCs w:val="32"/>
        </w:rPr>
      </w:pPr>
    </w:p>
    <w:p w14:paraId="65322D80">
      <w:pPr>
        <w:jc w:val="center"/>
        <w:rPr>
          <w:b/>
          <w:kern w:val="0"/>
          <w:sz w:val="32"/>
          <w:szCs w:val="32"/>
        </w:rPr>
      </w:pPr>
    </w:p>
    <w:p w14:paraId="2A75C93E">
      <w:pPr>
        <w:jc w:val="center"/>
        <w:rPr>
          <w:b/>
          <w:kern w:val="0"/>
          <w:sz w:val="32"/>
          <w:szCs w:val="32"/>
        </w:rPr>
      </w:pPr>
    </w:p>
    <w:p w14:paraId="4B65FC0E">
      <w:pPr>
        <w:jc w:val="center"/>
        <w:rPr>
          <w:b/>
          <w:kern w:val="0"/>
          <w:sz w:val="32"/>
          <w:szCs w:val="32"/>
        </w:rPr>
      </w:pPr>
    </w:p>
    <w:p w14:paraId="1C7922BF">
      <w:pPr>
        <w:jc w:val="center"/>
        <w:rPr>
          <w:b/>
          <w:kern w:val="0"/>
          <w:sz w:val="32"/>
          <w:szCs w:val="32"/>
        </w:rPr>
      </w:pPr>
    </w:p>
    <w:p w14:paraId="05D44785">
      <w:pPr>
        <w:jc w:val="center"/>
        <w:rPr>
          <w:b/>
          <w:kern w:val="0"/>
          <w:sz w:val="32"/>
          <w:szCs w:val="32"/>
        </w:rPr>
      </w:pPr>
    </w:p>
    <w:p w14:paraId="4CD7A91B">
      <w:pPr>
        <w:jc w:val="center"/>
        <w:rPr>
          <w:b/>
          <w:kern w:val="0"/>
          <w:sz w:val="32"/>
          <w:szCs w:val="32"/>
        </w:rPr>
      </w:pPr>
    </w:p>
    <w:p w14:paraId="7565305D">
      <w:pPr>
        <w:jc w:val="center"/>
        <w:rPr>
          <w:b/>
          <w:kern w:val="0"/>
          <w:sz w:val="32"/>
          <w:szCs w:val="32"/>
        </w:rPr>
      </w:pPr>
    </w:p>
    <w:p w14:paraId="74527401">
      <w:pPr>
        <w:jc w:val="center"/>
        <w:rPr>
          <w:b/>
          <w:kern w:val="0"/>
          <w:sz w:val="32"/>
          <w:szCs w:val="32"/>
        </w:rPr>
      </w:pPr>
    </w:p>
    <w:p w14:paraId="5EEE6793">
      <w:pPr>
        <w:jc w:val="center"/>
        <w:rPr>
          <w:b/>
          <w:kern w:val="0"/>
          <w:sz w:val="32"/>
          <w:szCs w:val="32"/>
        </w:rPr>
      </w:pPr>
    </w:p>
    <w:p w14:paraId="2B623337">
      <w:pPr>
        <w:jc w:val="center"/>
        <w:rPr>
          <w:b/>
          <w:kern w:val="0"/>
          <w:sz w:val="32"/>
          <w:szCs w:val="32"/>
        </w:rPr>
      </w:pPr>
    </w:p>
    <w:p w14:paraId="18EF33E5">
      <w:pPr>
        <w:jc w:val="center"/>
        <w:rPr>
          <w:b/>
          <w:kern w:val="0"/>
          <w:sz w:val="32"/>
          <w:szCs w:val="32"/>
        </w:rPr>
      </w:pPr>
    </w:p>
    <w:p w14:paraId="47C9D035">
      <w:pPr>
        <w:jc w:val="center"/>
        <w:rPr>
          <w:b/>
          <w:kern w:val="0"/>
          <w:sz w:val="32"/>
          <w:szCs w:val="32"/>
        </w:rPr>
      </w:pPr>
    </w:p>
    <w:p w14:paraId="5705A91A">
      <w:pPr>
        <w:jc w:val="center"/>
        <w:rPr>
          <w:rFonts w:hAnsi="仿宋"/>
          <w:b/>
          <w:kern w:val="0"/>
          <w:sz w:val="32"/>
          <w:szCs w:val="32"/>
        </w:rPr>
      </w:pPr>
    </w:p>
    <w:p w14:paraId="6C8EEF00">
      <w:pPr>
        <w:jc w:val="center"/>
        <w:rPr>
          <w:rFonts w:hAnsi="仿宋"/>
          <w:b/>
          <w:kern w:val="0"/>
          <w:sz w:val="32"/>
          <w:szCs w:val="32"/>
        </w:rPr>
      </w:pPr>
    </w:p>
    <w:p w14:paraId="4E7D2526">
      <w:pPr>
        <w:jc w:val="center"/>
        <w:rPr>
          <w:rFonts w:hAnsi="仿宋"/>
          <w:b/>
          <w:kern w:val="0"/>
          <w:sz w:val="32"/>
          <w:szCs w:val="32"/>
        </w:rPr>
      </w:pPr>
    </w:p>
    <w:p w14:paraId="44738B06">
      <w:pPr>
        <w:jc w:val="center"/>
        <w:rPr>
          <w:b/>
          <w:kern w:val="0"/>
          <w:sz w:val="32"/>
          <w:szCs w:val="32"/>
        </w:rPr>
      </w:pPr>
      <w:r>
        <w:rPr>
          <w:rFonts w:hAnsi="仿宋"/>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949F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9FA90F2">
            <w:pPr>
              <w:jc w:val="center"/>
              <w:rPr>
                <w:b/>
                <w:bCs/>
              </w:rPr>
            </w:pPr>
            <w:r>
              <w:rPr>
                <w:rFonts w:hAnsi="仿宋"/>
                <w:b/>
                <w:bCs/>
              </w:rPr>
              <w:t>序号</w:t>
            </w:r>
          </w:p>
        </w:tc>
        <w:tc>
          <w:tcPr>
            <w:tcW w:w="3683" w:type="dxa"/>
          </w:tcPr>
          <w:p w14:paraId="0BF57ED4">
            <w:pPr>
              <w:jc w:val="center"/>
              <w:rPr>
                <w:b/>
                <w:bCs/>
              </w:rPr>
            </w:pPr>
            <w:r>
              <w:rPr>
                <w:rFonts w:hAnsi="仿宋"/>
                <w:b/>
                <w:bCs/>
              </w:rPr>
              <w:t>招标文件章节及具体内容</w:t>
            </w:r>
          </w:p>
        </w:tc>
        <w:tc>
          <w:tcPr>
            <w:tcW w:w="3546" w:type="dxa"/>
          </w:tcPr>
          <w:p w14:paraId="57CDF5B9">
            <w:pPr>
              <w:jc w:val="center"/>
              <w:rPr>
                <w:b/>
                <w:bCs/>
              </w:rPr>
            </w:pPr>
            <w:r>
              <w:rPr>
                <w:rFonts w:hAnsi="仿宋"/>
                <w:b/>
                <w:bCs/>
              </w:rPr>
              <w:t>投标文件章节及具体内容</w:t>
            </w:r>
          </w:p>
        </w:tc>
        <w:tc>
          <w:tcPr>
            <w:tcW w:w="1276" w:type="dxa"/>
          </w:tcPr>
          <w:p w14:paraId="4A3C0787">
            <w:pPr>
              <w:jc w:val="center"/>
              <w:rPr>
                <w:b/>
                <w:bCs/>
              </w:rPr>
            </w:pPr>
            <w:r>
              <w:rPr>
                <w:rFonts w:hAnsi="仿宋"/>
                <w:b/>
                <w:bCs/>
              </w:rPr>
              <w:t>偏离说明</w:t>
            </w:r>
          </w:p>
        </w:tc>
      </w:tr>
      <w:tr w14:paraId="193D5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F6DED9D">
            <w:pPr>
              <w:jc w:val="center"/>
              <w:rPr>
                <w:kern w:val="0"/>
              </w:rPr>
            </w:pPr>
            <w:r>
              <w:rPr>
                <w:kern w:val="0"/>
              </w:rPr>
              <w:t>1</w:t>
            </w:r>
          </w:p>
        </w:tc>
        <w:tc>
          <w:tcPr>
            <w:tcW w:w="3683" w:type="dxa"/>
          </w:tcPr>
          <w:p w14:paraId="38811B54">
            <w:pPr>
              <w:jc w:val="center"/>
              <w:rPr>
                <w:b/>
                <w:kern w:val="0"/>
                <w:sz w:val="32"/>
                <w:szCs w:val="32"/>
              </w:rPr>
            </w:pPr>
          </w:p>
        </w:tc>
        <w:tc>
          <w:tcPr>
            <w:tcW w:w="3546" w:type="dxa"/>
          </w:tcPr>
          <w:p w14:paraId="1A95DBBB">
            <w:pPr>
              <w:jc w:val="center"/>
              <w:rPr>
                <w:b/>
                <w:kern w:val="0"/>
                <w:sz w:val="32"/>
                <w:szCs w:val="32"/>
              </w:rPr>
            </w:pPr>
          </w:p>
        </w:tc>
        <w:tc>
          <w:tcPr>
            <w:tcW w:w="1276" w:type="dxa"/>
          </w:tcPr>
          <w:p w14:paraId="4AE03C05">
            <w:pPr>
              <w:jc w:val="center"/>
              <w:rPr>
                <w:b/>
                <w:kern w:val="0"/>
                <w:sz w:val="32"/>
                <w:szCs w:val="32"/>
              </w:rPr>
            </w:pPr>
          </w:p>
        </w:tc>
      </w:tr>
      <w:tr w14:paraId="34EF8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604F567">
            <w:pPr>
              <w:jc w:val="center"/>
              <w:rPr>
                <w:kern w:val="0"/>
              </w:rPr>
            </w:pPr>
            <w:r>
              <w:rPr>
                <w:kern w:val="0"/>
              </w:rPr>
              <w:t>2</w:t>
            </w:r>
          </w:p>
        </w:tc>
        <w:tc>
          <w:tcPr>
            <w:tcW w:w="3683" w:type="dxa"/>
          </w:tcPr>
          <w:p w14:paraId="5A29FD64">
            <w:pPr>
              <w:jc w:val="center"/>
              <w:rPr>
                <w:b/>
                <w:kern w:val="0"/>
                <w:sz w:val="32"/>
                <w:szCs w:val="32"/>
              </w:rPr>
            </w:pPr>
          </w:p>
        </w:tc>
        <w:tc>
          <w:tcPr>
            <w:tcW w:w="3546" w:type="dxa"/>
          </w:tcPr>
          <w:p w14:paraId="53B0ABC6">
            <w:pPr>
              <w:jc w:val="center"/>
              <w:rPr>
                <w:b/>
                <w:kern w:val="0"/>
                <w:sz w:val="32"/>
                <w:szCs w:val="32"/>
              </w:rPr>
            </w:pPr>
          </w:p>
        </w:tc>
        <w:tc>
          <w:tcPr>
            <w:tcW w:w="1276" w:type="dxa"/>
          </w:tcPr>
          <w:p w14:paraId="28E94E32">
            <w:pPr>
              <w:jc w:val="center"/>
              <w:rPr>
                <w:b/>
                <w:kern w:val="0"/>
                <w:sz w:val="32"/>
                <w:szCs w:val="32"/>
              </w:rPr>
            </w:pPr>
          </w:p>
        </w:tc>
      </w:tr>
      <w:tr w14:paraId="0002F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15594D1">
            <w:pPr>
              <w:jc w:val="center"/>
              <w:rPr>
                <w:kern w:val="0"/>
              </w:rPr>
            </w:pPr>
            <w:r>
              <w:rPr>
                <w:kern w:val="0"/>
              </w:rPr>
              <w:t>……</w:t>
            </w:r>
          </w:p>
        </w:tc>
        <w:tc>
          <w:tcPr>
            <w:tcW w:w="3683" w:type="dxa"/>
          </w:tcPr>
          <w:p w14:paraId="2411C34F">
            <w:pPr>
              <w:jc w:val="center"/>
              <w:rPr>
                <w:b/>
                <w:kern w:val="0"/>
                <w:sz w:val="32"/>
                <w:szCs w:val="32"/>
              </w:rPr>
            </w:pPr>
          </w:p>
        </w:tc>
        <w:tc>
          <w:tcPr>
            <w:tcW w:w="3546" w:type="dxa"/>
          </w:tcPr>
          <w:p w14:paraId="3764A1D6">
            <w:pPr>
              <w:jc w:val="center"/>
              <w:rPr>
                <w:b/>
                <w:kern w:val="0"/>
                <w:sz w:val="32"/>
                <w:szCs w:val="32"/>
              </w:rPr>
            </w:pPr>
          </w:p>
        </w:tc>
        <w:tc>
          <w:tcPr>
            <w:tcW w:w="1276" w:type="dxa"/>
          </w:tcPr>
          <w:p w14:paraId="48E4F4AD">
            <w:pPr>
              <w:jc w:val="center"/>
              <w:rPr>
                <w:b/>
                <w:kern w:val="0"/>
                <w:sz w:val="32"/>
                <w:szCs w:val="32"/>
              </w:rPr>
            </w:pPr>
          </w:p>
        </w:tc>
      </w:tr>
    </w:tbl>
    <w:p w14:paraId="7689363F">
      <w:pPr>
        <w:jc w:val="left"/>
        <w:rPr>
          <w:kern w:val="0"/>
        </w:rPr>
      </w:pPr>
      <w:r>
        <w:rPr>
          <w:rFonts w:hAnsi="仿宋"/>
          <w:kern w:val="0"/>
        </w:rPr>
        <w:t>投标人保证：除商务技术偏离表列出的偏离外，投标人响应招标文件的全部要求</w:t>
      </w:r>
    </w:p>
    <w:p w14:paraId="1C36FE55">
      <w:pPr>
        <w:jc w:val="center"/>
        <w:rPr>
          <w:b/>
          <w:kern w:val="0"/>
          <w:sz w:val="32"/>
          <w:szCs w:val="32"/>
        </w:rPr>
      </w:pPr>
    </w:p>
    <w:p w14:paraId="3DDBFB12">
      <w:pPr>
        <w:jc w:val="center"/>
        <w:rPr>
          <w:b/>
          <w:kern w:val="0"/>
          <w:sz w:val="32"/>
          <w:szCs w:val="32"/>
        </w:rPr>
      </w:pPr>
    </w:p>
    <w:p w14:paraId="6B15D1E5">
      <w:pPr>
        <w:jc w:val="center"/>
        <w:rPr>
          <w:b/>
          <w:kern w:val="0"/>
          <w:sz w:val="32"/>
          <w:szCs w:val="32"/>
        </w:rPr>
      </w:pPr>
    </w:p>
    <w:p w14:paraId="256DD11D">
      <w:pPr>
        <w:jc w:val="center"/>
        <w:rPr>
          <w:b/>
          <w:kern w:val="0"/>
          <w:sz w:val="32"/>
          <w:szCs w:val="32"/>
        </w:rPr>
      </w:pPr>
    </w:p>
    <w:p w14:paraId="2998881F">
      <w:pPr>
        <w:jc w:val="center"/>
        <w:rPr>
          <w:b/>
          <w:kern w:val="0"/>
          <w:sz w:val="32"/>
          <w:szCs w:val="32"/>
        </w:rPr>
      </w:pPr>
    </w:p>
    <w:p w14:paraId="7961973E">
      <w:pPr>
        <w:jc w:val="center"/>
        <w:rPr>
          <w:b/>
          <w:kern w:val="0"/>
          <w:sz w:val="32"/>
          <w:szCs w:val="32"/>
        </w:rPr>
      </w:pPr>
    </w:p>
    <w:p w14:paraId="3871E28D">
      <w:pPr>
        <w:jc w:val="center"/>
        <w:rPr>
          <w:b/>
          <w:kern w:val="0"/>
          <w:sz w:val="32"/>
          <w:szCs w:val="32"/>
        </w:rPr>
      </w:pPr>
    </w:p>
    <w:p w14:paraId="12E683F5">
      <w:pPr>
        <w:jc w:val="center"/>
        <w:rPr>
          <w:b/>
          <w:kern w:val="0"/>
          <w:sz w:val="32"/>
          <w:szCs w:val="32"/>
        </w:rPr>
      </w:pPr>
    </w:p>
    <w:p w14:paraId="5F11B5B8">
      <w:pPr>
        <w:jc w:val="center"/>
        <w:rPr>
          <w:b/>
          <w:kern w:val="0"/>
          <w:sz w:val="32"/>
          <w:szCs w:val="32"/>
        </w:rPr>
      </w:pPr>
    </w:p>
    <w:p w14:paraId="14D22719">
      <w:pPr>
        <w:jc w:val="center"/>
        <w:rPr>
          <w:b/>
          <w:kern w:val="0"/>
          <w:sz w:val="32"/>
          <w:szCs w:val="32"/>
        </w:rPr>
      </w:pPr>
    </w:p>
    <w:p w14:paraId="3921FD3C">
      <w:pPr>
        <w:jc w:val="center"/>
        <w:rPr>
          <w:b/>
          <w:kern w:val="0"/>
          <w:sz w:val="32"/>
          <w:szCs w:val="32"/>
        </w:rPr>
      </w:pPr>
    </w:p>
    <w:p w14:paraId="2EFDD67E">
      <w:pPr>
        <w:jc w:val="center"/>
        <w:rPr>
          <w:b/>
          <w:kern w:val="0"/>
          <w:sz w:val="32"/>
          <w:szCs w:val="32"/>
        </w:rPr>
      </w:pPr>
    </w:p>
    <w:p w14:paraId="3AF35641">
      <w:pPr>
        <w:ind w:firstLine="2891" w:firstLineChars="900"/>
        <w:rPr>
          <w:b/>
          <w:bCs/>
          <w:sz w:val="32"/>
          <w:szCs w:val="32"/>
        </w:rPr>
      </w:pPr>
    </w:p>
    <w:p w14:paraId="5C1D6725">
      <w:pPr>
        <w:ind w:firstLine="2891" w:firstLineChars="900"/>
        <w:rPr>
          <w:b/>
          <w:bCs/>
          <w:sz w:val="32"/>
          <w:szCs w:val="32"/>
        </w:rPr>
      </w:pPr>
    </w:p>
    <w:p w14:paraId="7BA04771">
      <w:pPr>
        <w:ind w:firstLine="2891" w:firstLineChars="900"/>
        <w:rPr>
          <w:b/>
          <w:bCs/>
          <w:sz w:val="32"/>
          <w:szCs w:val="32"/>
        </w:rPr>
      </w:pPr>
    </w:p>
    <w:p w14:paraId="4D68698A">
      <w:pPr>
        <w:ind w:firstLine="2891" w:firstLineChars="900"/>
        <w:rPr>
          <w:b/>
          <w:bCs/>
          <w:sz w:val="32"/>
          <w:szCs w:val="32"/>
        </w:rPr>
      </w:pPr>
    </w:p>
    <w:p w14:paraId="2C60CEAB">
      <w:pPr>
        <w:ind w:firstLine="2891" w:firstLineChars="900"/>
        <w:rPr>
          <w:b/>
          <w:bCs/>
          <w:sz w:val="32"/>
          <w:szCs w:val="32"/>
        </w:rPr>
      </w:pPr>
    </w:p>
    <w:p w14:paraId="40EE4F05">
      <w:pPr>
        <w:ind w:firstLine="2891" w:firstLineChars="900"/>
        <w:rPr>
          <w:b/>
          <w:bCs/>
          <w:sz w:val="32"/>
          <w:szCs w:val="32"/>
        </w:rPr>
      </w:pPr>
    </w:p>
    <w:p w14:paraId="0F9F5FEF">
      <w:pPr>
        <w:ind w:firstLine="2891" w:firstLineChars="900"/>
        <w:rPr>
          <w:b/>
          <w:kern w:val="0"/>
          <w:sz w:val="32"/>
          <w:szCs w:val="32"/>
        </w:rPr>
      </w:pPr>
    </w:p>
    <w:p w14:paraId="699D42A0">
      <w:pPr>
        <w:ind w:firstLine="2891" w:firstLineChars="900"/>
        <w:rPr>
          <w:b/>
          <w:kern w:val="0"/>
          <w:sz w:val="32"/>
          <w:szCs w:val="32"/>
        </w:rPr>
      </w:pPr>
    </w:p>
    <w:p w14:paraId="2B18A1FD">
      <w:pPr>
        <w:ind w:firstLine="2891" w:firstLineChars="900"/>
        <w:rPr>
          <w:b/>
          <w:kern w:val="0"/>
          <w:sz w:val="32"/>
          <w:szCs w:val="32"/>
        </w:rPr>
      </w:pPr>
    </w:p>
    <w:p w14:paraId="0B8DE885">
      <w:pPr>
        <w:ind w:firstLine="2891" w:firstLineChars="900"/>
        <w:rPr>
          <w:b/>
          <w:kern w:val="0"/>
          <w:sz w:val="32"/>
          <w:szCs w:val="32"/>
        </w:rPr>
      </w:pPr>
    </w:p>
    <w:p w14:paraId="3471638A">
      <w:pPr>
        <w:ind w:firstLine="2891" w:firstLineChars="900"/>
        <w:rPr>
          <w:b/>
          <w:kern w:val="0"/>
          <w:sz w:val="32"/>
          <w:szCs w:val="32"/>
        </w:rPr>
      </w:pPr>
    </w:p>
    <w:p w14:paraId="3CC44E8E">
      <w:pPr>
        <w:ind w:firstLine="2891" w:firstLineChars="900"/>
        <w:rPr>
          <w:b/>
          <w:kern w:val="0"/>
          <w:sz w:val="32"/>
          <w:szCs w:val="32"/>
        </w:rPr>
      </w:pPr>
    </w:p>
    <w:p w14:paraId="5ABF548F">
      <w:pPr>
        <w:ind w:firstLine="2891" w:firstLineChars="900"/>
        <w:rPr>
          <w:b/>
          <w:kern w:val="0"/>
          <w:sz w:val="32"/>
          <w:szCs w:val="32"/>
        </w:rPr>
      </w:pPr>
    </w:p>
    <w:p w14:paraId="5032C5FB">
      <w:pPr>
        <w:rPr>
          <w:b/>
          <w:kern w:val="0"/>
          <w:sz w:val="32"/>
          <w:szCs w:val="32"/>
        </w:rPr>
      </w:pPr>
    </w:p>
    <w:p w14:paraId="71CC6DE2">
      <w:pPr>
        <w:ind w:firstLine="1911" w:firstLineChars="595"/>
        <w:rPr>
          <w:rFonts w:hAnsi="仿宋"/>
          <w:b/>
          <w:kern w:val="0"/>
          <w:sz w:val="32"/>
          <w:szCs w:val="32"/>
        </w:rPr>
      </w:pPr>
    </w:p>
    <w:p w14:paraId="015E52FE">
      <w:pPr>
        <w:ind w:firstLine="1911" w:firstLineChars="595"/>
        <w:rPr>
          <w:rFonts w:hAnsi="仿宋"/>
          <w:b/>
          <w:kern w:val="0"/>
          <w:sz w:val="32"/>
          <w:szCs w:val="32"/>
        </w:rPr>
      </w:pPr>
    </w:p>
    <w:p w14:paraId="654268E4">
      <w:pPr>
        <w:ind w:firstLine="1911" w:firstLineChars="595"/>
        <w:rPr>
          <w:rFonts w:hAnsi="仿宋"/>
          <w:b/>
          <w:kern w:val="0"/>
          <w:sz w:val="32"/>
          <w:szCs w:val="32"/>
        </w:rPr>
      </w:pPr>
    </w:p>
    <w:p w14:paraId="4F2DD0C3">
      <w:pPr>
        <w:ind w:firstLine="1911" w:firstLineChars="595"/>
        <w:rPr>
          <w:rFonts w:hAnsi="仿宋"/>
          <w:b/>
          <w:kern w:val="0"/>
          <w:sz w:val="32"/>
          <w:szCs w:val="32"/>
        </w:rPr>
      </w:pPr>
    </w:p>
    <w:p w14:paraId="32511B3F">
      <w:pPr>
        <w:ind w:firstLine="1911" w:firstLineChars="595"/>
        <w:rPr>
          <w:rFonts w:hAnsi="仿宋"/>
          <w:b/>
          <w:kern w:val="0"/>
          <w:sz w:val="32"/>
          <w:szCs w:val="32"/>
        </w:rPr>
      </w:pPr>
    </w:p>
    <w:p w14:paraId="09E675F0">
      <w:pPr>
        <w:ind w:firstLine="1911" w:firstLineChars="595"/>
        <w:rPr>
          <w:b/>
          <w:kern w:val="0"/>
          <w:sz w:val="32"/>
          <w:szCs w:val="32"/>
        </w:rPr>
      </w:pPr>
      <w:r>
        <w:rPr>
          <w:rFonts w:hAnsi="仿宋"/>
          <w:b/>
          <w:kern w:val="0"/>
          <w:sz w:val="32"/>
          <w:szCs w:val="32"/>
        </w:rPr>
        <w:t>八、</w:t>
      </w:r>
      <w:r>
        <w:rPr>
          <w:rFonts w:hAnsi="仿宋"/>
          <w:b/>
          <w:kern w:val="0"/>
          <w:sz w:val="32"/>
          <w:szCs w:val="32"/>
          <w:lang w:val="zh-CN"/>
        </w:rPr>
        <w:t>政府采购供应商廉洁自律承诺书</w:t>
      </w:r>
    </w:p>
    <w:p w14:paraId="379ECCAA">
      <w:pPr>
        <w:snapToGrid w:val="0"/>
        <w:spacing w:line="360" w:lineRule="auto"/>
      </w:pPr>
    </w:p>
    <w:p w14:paraId="19433B5D">
      <w:pPr>
        <w:snapToGrid w:val="0"/>
        <w:spacing w:line="360" w:lineRule="auto"/>
        <w:rPr>
          <w:kern w:val="0"/>
        </w:rPr>
      </w:pPr>
      <w:r>
        <w:rPr>
          <w:rFonts w:hAnsi="仿宋"/>
        </w:rPr>
        <w:t>（采购人）、（采购代理机构）</w:t>
      </w:r>
      <w:r>
        <w:rPr>
          <w:rFonts w:hAnsi="仿宋"/>
          <w:kern w:val="0"/>
          <w:lang w:val="zh-CN"/>
        </w:rPr>
        <w:t>：</w:t>
      </w:r>
    </w:p>
    <w:p w14:paraId="7F403E1E">
      <w:pPr>
        <w:autoSpaceDE w:val="0"/>
        <w:autoSpaceDN w:val="0"/>
        <w:spacing w:line="360" w:lineRule="auto"/>
        <w:ind w:left="2" w:leftChars="1" w:firstLine="480" w:firstLineChars="200"/>
        <w:jc w:val="left"/>
        <w:rPr>
          <w:kern w:val="0"/>
          <w:lang w:val="zh-CN"/>
        </w:rPr>
      </w:pPr>
      <w:r>
        <w:rPr>
          <w:rFonts w:hAnsi="仿宋"/>
          <w:kern w:val="0"/>
          <w:lang w:val="zh-CN"/>
        </w:rPr>
        <w:t>我单位响应你</w:t>
      </w:r>
      <w:r>
        <w:rPr>
          <w:rFonts w:hAnsi="仿宋"/>
        </w:rPr>
        <w:t>单位</w:t>
      </w:r>
      <w:r>
        <w:rPr>
          <w:rFonts w:hAnsi="仿宋"/>
          <w:kern w:val="0"/>
          <w:lang w:val="zh-CN"/>
        </w:rPr>
        <w:t>项目招标要求参加投标。在这次投标过程中和中标后，我们将严格遵守国家法律法规要求，并郑重承诺：</w:t>
      </w:r>
    </w:p>
    <w:p w14:paraId="0E2B024E">
      <w:pPr>
        <w:autoSpaceDE w:val="0"/>
        <w:autoSpaceDN w:val="0"/>
        <w:spacing w:line="360" w:lineRule="auto"/>
        <w:ind w:left="2" w:leftChars="1" w:firstLine="480" w:firstLineChars="200"/>
        <w:jc w:val="left"/>
        <w:rPr>
          <w:kern w:val="0"/>
          <w:lang w:val="zh-CN"/>
        </w:rPr>
      </w:pPr>
      <w:r>
        <w:rPr>
          <w:rFonts w:hAnsi="仿宋"/>
          <w:kern w:val="0"/>
          <w:lang w:val="zh-CN"/>
        </w:rPr>
        <w:t>一、不向项目有关人员及部门赠送礼金礼物、有价证券、回扣以及中介费、介绍费、咨询费等好处费；</w:t>
      </w:r>
    </w:p>
    <w:p w14:paraId="1C4F8B34">
      <w:pPr>
        <w:autoSpaceDE w:val="0"/>
        <w:autoSpaceDN w:val="0"/>
        <w:spacing w:line="360" w:lineRule="auto"/>
        <w:ind w:left="2" w:leftChars="1" w:firstLine="480" w:firstLineChars="200"/>
        <w:jc w:val="left"/>
        <w:rPr>
          <w:kern w:val="0"/>
          <w:lang w:val="zh-CN"/>
        </w:rPr>
      </w:pPr>
      <w:r>
        <w:rPr>
          <w:rFonts w:hAnsi="仿宋"/>
          <w:kern w:val="0"/>
          <w:lang w:val="zh-CN"/>
        </w:rPr>
        <w:t>二、不为项目有关人员及部门报销应由你方单位或个人支付的费用；</w:t>
      </w:r>
    </w:p>
    <w:p w14:paraId="0440AC60">
      <w:pPr>
        <w:autoSpaceDE w:val="0"/>
        <w:autoSpaceDN w:val="0"/>
        <w:spacing w:line="360" w:lineRule="auto"/>
        <w:ind w:left="2" w:leftChars="1" w:firstLine="480" w:firstLineChars="200"/>
        <w:jc w:val="left"/>
        <w:rPr>
          <w:kern w:val="0"/>
          <w:lang w:val="zh-CN"/>
        </w:rPr>
      </w:pPr>
      <w:r>
        <w:rPr>
          <w:rFonts w:hAnsi="仿宋"/>
          <w:kern w:val="0"/>
          <w:lang w:val="zh-CN"/>
        </w:rPr>
        <w:t>三、不向项目有关人员及部门提供有可能影响公正的宴请和健身娱乐等活动；</w:t>
      </w:r>
    </w:p>
    <w:p w14:paraId="64273A77">
      <w:pPr>
        <w:autoSpaceDE w:val="0"/>
        <w:autoSpaceDN w:val="0"/>
        <w:spacing w:line="360" w:lineRule="auto"/>
        <w:ind w:left="2" w:leftChars="1" w:firstLine="480" w:firstLineChars="200"/>
        <w:jc w:val="left"/>
        <w:rPr>
          <w:kern w:val="0"/>
          <w:lang w:val="zh-CN"/>
        </w:rPr>
      </w:pPr>
      <w:r>
        <w:rPr>
          <w:rFonts w:hAnsi="仿宋"/>
          <w:kern w:val="0"/>
          <w:lang w:val="zh-CN"/>
        </w:rPr>
        <w:t>四、不为项目有关人员及部门出国（境）、旅游等提供方便；</w:t>
      </w:r>
    </w:p>
    <w:p w14:paraId="6A1CFFC2">
      <w:pPr>
        <w:autoSpaceDE w:val="0"/>
        <w:autoSpaceDN w:val="0"/>
        <w:spacing w:line="360" w:lineRule="auto"/>
        <w:ind w:left="550" w:leftChars="229"/>
        <w:jc w:val="left"/>
        <w:rPr>
          <w:kern w:val="0"/>
          <w:lang w:val="zh-CN"/>
        </w:rPr>
      </w:pPr>
      <w:r>
        <w:rPr>
          <w:rFonts w:hAnsi="仿宋"/>
          <w:kern w:val="0"/>
          <w:lang w:val="zh-CN"/>
        </w:rPr>
        <w:t>五、不为项目有关人员个人装修住房、婚丧嫁娶、配偶子女工作安排等提供</w:t>
      </w:r>
    </w:p>
    <w:p w14:paraId="3815BB9E">
      <w:pPr>
        <w:autoSpaceDE w:val="0"/>
        <w:autoSpaceDN w:val="0"/>
        <w:spacing w:line="360" w:lineRule="auto"/>
        <w:jc w:val="left"/>
        <w:rPr>
          <w:kern w:val="0"/>
          <w:lang w:val="zh-CN"/>
        </w:rPr>
      </w:pPr>
      <w:r>
        <w:rPr>
          <w:rFonts w:hAnsi="仿宋"/>
          <w:kern w:val="0"/>
          <w:lang w:val="zh-CN"/>
        </w:rPr>
        <w:t>好处；</w:t>
      </w:r>
    </w:p>
    <w:p w14:paraId="3E90E919">
      <w:pPr>
        <w:autoSpaceDE w:val="0"/>
        <w:autoSpaceDN w:val="0"/>
        <w:spacing w:line="360" w:lineRule="auto"/>
        <w:ind w:left="550" w:leftChars="229"/>
        <w:jc w:val="left"/>
        <w:rPr>
          <w:kern w:val="0"/>
          <w:lang w:val="zh-CN"/>
        </w:rPr>
      </w:pPr>
      <w:r>
        <w:rPr>
          <w:rFonts w:hAnsi="仿宋"/>
          <w:kern w:val="0"/>
          <w:lang w:val="zh-CN"/>
        </w:rPr>
        <w:t>六、严格遵守《</w:t>
      </w:r>
      <w:r>
        <w:rPr>
          <w:rFonts w:hAnsi="仿宋"/>
          <w:lang w:val="zh-CN"/>
        </w:rPr>
        <w:t>中华人民共和国</w:t>
      </w:r>
      <w:r>
        <w:rPr>
          <w:rFonts w:hAnsi="仿宋"/>
          <w:kern w:val="0"/>
          <w:lang w:val="zh-CN"/>
        </w:rPr>
        <w:t>政府采购法》《</w:t>
      </w:r>
      <w:r>
        <w:rPr>
          <w:rFonts w:hAnsi="仿宋"/>
          <w:lang w:val="zh-CN"/>
        </w:rPr>
        <w:t>中华人民共和国</w:t>
      </w:r>
      <w:r>
        <w:rPr>
          <w:rFonts w:hAnsi="仿宋"/>
          <w:kern w:val="0"/>
          <w:lang w:val="zh-CN"/>
        </w:rPr>
        <w:t>招标投标</w:t>
      </w:r>
    </w:p>
    <w:p w14:paraId="271FC324">
      <w:pPr>
        <w:autoSpaceDE w:val="0"/>
        <w:autoSpaceDN w:val="0"/>
        <w:spacing w:line="360" w:lineRule="auto"/>
        <w:jc w:val="left"/>
        <w:rPr>
          <w:kern w:val="0"/>
          <w:lang w:val="zh-CN"/>
        </w:rPr>
      </w:pPr>
      <w:r>
        <w:rPr>
          <w:rFonts w:hAnsi="仿宋"/>
          <w:kern w:val="0"/>
          <w:lang w:val="zh-CN"/>
        </w:rPr>
        <w:t>法》</w:t>
      </w:r>
      <w:r>
        <w:rPr>
          <w:rFonts w:hAnsi="仿宋"/>
          <w:lang w:val="zh-CN"/>
        </w:rPr>
        <w:t>《中华人民共和国民法典》</w:t>
      </w:r>
      <w:r>
        <w:rPr>
          <w:rFonts w:hAnsi="仿宋"/>
          <w:kern w:val="0"/>
          <w:lang w:val="zh-CN"/>
        </w:rPr>
        <w:t>等法律法规，诚实守信，合法经营，坚决抵制各种违法违纪行为。</w:t>
      </w:r>
    </w:p>
    <w:p w14:paraId="76A2D739">
      <w:pPr>
        <w:autoSpaceDE w:val="0"/>
        <w:autoSpaceDN w:val="0"/>
        <w:spacing w:line="360" w:lineRule="auto"/>
        <w:ind w:firstLine="480" w:firstLineChars="200"/>
        <w:jc w:val="left"/>
        <w:rPr>
          <w:kern w:val="0"/>
          <w:lang w:val="zh-CN"/>
        </w:rPr>
      </w:pPr>
      <w:r>
        <w:rPr>
          <w:rFonts w:hAnsi="仿宋"/>
          <w:kern w:val="0"/>
          <w:lang w:val="zh-CN"/>
        </w:rPr>
        <w:t>如违反上述承诺，你</w:t>
      </w:r>
      <w:r>
        <w:rPr>
          <w:rFonts w:hAnsi="仿宋"/>
        </w:rPr>
        <w:t>单位</w:t>
      </w:r>
      <w:r>
        <w:rPr>
          <w:rFonts w:hAnsi="仿宋"/>
          <w:kern w:val="0"/>
          <w:lang w:val="zh-CN"/>
        </w:rPr>
        <w:t>有权立即取消我单位投标、中标或在建项目的建设资格，有权拒绝我单位在一定时期内进入你</w:t>
      </w:r>
      <w:r>
        <w:rPr>
          <w:rFonts w:hAnsi="仿宋"/>
        </w:rPr>
        <w:t>单位</w:t>
      </w:r>
      <w:r>
        <w:rPr>
          <w:rFonts w:hAnsi="仿宋"/>
          <w:kern w:val="0"/>
          <w:lang w:val="zh-CN"/>
        </w:rPr>
        <w:t>进行项目建设或其他经营活动，并通报市财政局。由此引起的相应损失均由我单位承担。</w:t>
      </w:r>
    </w:p>
    <w:p w14:paraId="6768D271">
      <w:pPr>
        <w:autoSpaceDE w:val="0"/>
        <w:autoSpaceDN w:val="0"/>
        <w:spacing w:line="360" w:lineRule="auto"/>
        <w:ind w:left="2"/>
        <w:jc w:val="left"/>
        <w:rPr>
          <w:kern w:val="0"/>
          <w:lang w:val="zh-CN"/>
        </w:rPr>
      </w:pPr>
    </w:p>
    <w:p w14:paraId="14311DEF">
      <w:pPr>
        <w:autoSpaceDE w:val="0"/>
        <w:autoSpaceDN w:val="0"/>
        <w:spacing w:line="360" w:lineRule="auto"/>
        <w:ind w:left="2"/>
        <w:jc w:val="left"/>
        <w:rPr>
          <w:kern w:val="0"/>
          <w:lang w:val="zh-CN"/>
        </w:rPr>
      </w:pPr>
    </w:p>
    <w:p w14:paraId="69261702">
      <w:pPr>
        <w:autoSpaceDE w:val="0"/>
        <w:autoSpaceDN w:val="0"/>
        <w:spacing w:line="360" w:lineRule="auto"/>
        <w:ind w:left="2"/>
        <w:jc w:val="left"/>
        <w:rPr>
          <w:kern w:val="0"/>
          <w:lang w:val="zh-CN"/>
        </w:rPr>
      </w:pPr>
    </w:p>
    <w:p w14:paraId="4EDECE87">
      <w:pPr>
        <w:autoSpaceDE w:val="0"/>
        <w:autoSpaceDN w:val="0"/>
        <w:spacing w:line="360" w:lineRule="auto"/>
        <w:ind w:left="2" w:leftChars="1" w:right="1120" w:firstLine="4560" w:firstLineChars="1900"/>
        <w:jc w:val="left"/>
        <w:rPr>
          <w:kern w:val="0"/>
          <w:lang w:val="zh-CN"/>
        </w:rPr>
      </w:pPr>
      <w:r>
        <w:rPr>
          <w:rFonts w:hAnsi="仿宋"/>
          <w:kern w:val="0"/>
          <w:lang w:val="zh-CN"/>
        </w:rPr>
        <w:t>投标人名称（</w:t>
      </w:r>
      <w:r>
        <w:rPr>
          <w:rFonts w:hAnsi="仿宋"/>
        </w:rPr>
        <w:t>电子签名</w:t>
      </w:r>
      <w:r>
        <w:rPr>
          <w:rFonts w:hAnsi="仿宋"/>
          <w:kern w:val="0"/>
          <w:lang w:val="zh-CN"/>
        </w:rPr>
        <w:t>）：</w:t>
      </w:r>
    </w:p>
    <w:p w14:paraId="6C9BD88E">
      <w:pPr>
        <w:spacing w:line="360" w:lineRule="auto"/>
        <w:ind w:left="5280" w:leftChars="2200"/>
      </w:pPr>
      <w:r>
        <w:rPr>
          <w:rFonts w:hAnsi="仿宋"/>
          <w:kern w:val="0"/>
          <w:lang w:val="zh-CN"/>
        </w:rPr>
        <w:t>日期</w:t>
      </w:r>
      <w:r>
        <w:rPr>
          <w:rFonts w:hAnsi="仿宋"/>
          <w:kern w:val="0"/>
        </w:rPr>
        <w:t>：</w:t>
      </w:r>
      <w:r>
        <w:rPr>
          <w:rFonts w:hAnsi="仿宋"/>
          <w:kern w:val="0"/>
          <w:lang w:val="zh-CN"/>
        </w:rPr>
        <w:t>年月日</w:t>
      </w:r>
    </w:p>
    <w:p w14:paraId="78ADA00A">
      <w:pPr>
        <w:spacing w:line="360" w:lineRule="auto"/>
        <w:jc w:val="center"/>
        <w:rPr>
          <w:b/>
          <w:bCs/>
        </w:rPr>
      </w:pPr>
    </w:p>
    <w:p w14:paraId="52E93F8E">
      <w:pPr>
        <w:spacing w:line="360" w:lineRule="auto"/>
        <w:jc w:val="center"/>
        <w:rPr>
          <w:b/>
          <w:bCs/>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5CEB2BCA">
      <w:pPr>
        <w:spacing w:line="360" w:lineRule="auto"/>
        <w:jc w:val="center"/>
        <w:outlineLvl w:val="0"/>
        <w:rPr>
          <w:b/>
          <w:kern w:val="0"/>
          <w:sz w:val="36"/>
          <w:szCs w:val="36"/>
        </w:rPr>
      </w:pPr>
      <w:r>
        <w:rPr>
          <w:rFonts w:hAnsi="仿宋"/>
          <w:b/>
          <w:kern w:val="0"/>
          <w:sz w:val="36"/>
          <w:szCs w:val="36"/>
        </w:rPr>
        <w:t>报价文件部分</w:t>
      </w:r>
    </w:p>
    <w:p w14:paraId="0C8A2F11">
      <w:pPr>
        <w:spacing w:line="360" w:lineRule="auto"/>
        <w:jc w:val="center"/>
        <w:outlineLvl w:val="0"/>
        <w:rPr>
          <w:b/>
          <w:kern w:val="0"/>
          <w:sz w:val="36"/>
          <w:szCs w:val="36"/>
        </w:rPr>
      </w:pPr>
      <w:r>
        <w:rPr>
          <w:rFonts w:hAnsi="仿宋"/>
          <w:b/>
          <w:kern w:val="0"/>
          <w:sz w:val="36"/>
          <w:szCs w:val="36"/>
        </w:rPr>
        <w:t>目录</w:t>
      </w:r>
    </w:p>
    <w:p w14:paraId="4E28FB04">
      <w:pPr>
        <w:spacing w:line="360" w:lineRule="auto"/>
        <w:jc w:val="center"/>
        <w:outlineLvl w:val="0"/>
        <w:rPr>
          <w:b/>
          <w:kern w:val="0"/>
          <w:sz w:val="36"/>
          <w:szCs w:val="36"/>
        </w:rPr>
      </w:pPr>
    </w:p>
    <w:p w14:paraId="568EE7C7">
      <w:pPr>
        <w:snapToGrid w:val="0"/>
        <w:spacing w:line="360" w:lineRule="auto"/>
      </w:pPr>
      <w:r>
        <w:rPr>
          <w:rFonts w:hAnsi="仿宋"/>
        </w:rPr>
        <w:t>（</w:t>
      </w:r>
      <w:r>
        <w:t>1</w:t>
      </w:r>
      <w:r>
        <w:rPr>
          <w:rFonts w:hAnsi="仿宋"/>
        </w:rPr>
        <w:t>）开标一览表（报价表）</w:t>
      </w:r>
      <w:r>
        <w:t>………………………………………………………</w:t>
      </w:r>
      <w:r>
        <w:rPr>
          <w:rFonts w:hAnsi="仿宋"/>
        </w:rPr>
        <w:t>（页码）</w:t>
      </w:r>
    </w:p>
    <w:p w14:paraId="6E7766D6">
      <w:pPr>
        <w:snapToGrid w:val="0"/>
        <w:spacing w:line="360" w:lineRule="auto"/>
      </w:pPr>
      <w:r>
        <w:rPr>
          <w:rFonts w:hAnsi="仿宋"/>
        </w:rPr>
        <w:t>（</w:t>
      </w:r>
      <w:r>
        <w:t>2</w:t>
      </w:r>
      <w:r>
        <w:rPr>
          <w:rFonts w:hAnsi="仿宋"/>
        </w:rPr>
        <w:t>）分项报价表</w:t>
      </w:r>
      <w:r>
        <w:t>……………………………………………………………………</w:t>
      </w:r>
      <w:r>
        <w:rPr>
          <w:rFonts w:hAnsi="仿宋"/>
        </w:rPr>
        <w:t>（页码）</w:t>
      </w:r>
    </w:p>
    <w:p w14:paraId="201E2388">
      <w:pPr>
        <w:snapToGrid w:val="0"/>
        <w:spacing w:line="360" w:lineRule="auto"/>
      </w:pPr>
      <w:r>
        <w:rPr>
          <w:rFonts w:hAnsi="仿宋"/>
        </w:rPr>
        <w:t>（</w:t>
      </w:r>
      <w:r>
        <w:rPr>
          <w:rFonts w:hint="eastAsia"/>
          <w:lang w:val="en-US" w:eastAsia="zh-CN"/>
        </w:rPr>
        <w:t>3</w:t>
      </w:r>
      <w:r>
        <w:rPr>
          <w:rFonts w:hAnsi="仿宋"/>
        </w:rPr>
        <w:t>）</w:t>
      </w:r>
      <w:r>
        <w:rPr>
          <w:rFonts w:hint="eastAsia" w:hAnsi="仿宋"/>
          <w:lang w:val="en-US" w:eastAsia="zh-CN"/>
        </w:rPr>
        <w:t>中小企业声明函</w:t>
      </w:r>
      <w:r>
        <w:t>………………………………………………………………</w:t>
      </w:r>
      <w:r>
        <w:rPr>
          <w:rFonts w:hAnsi="仿宋"/>
        </w:rPr>
        <w:t>（页码）</w:t>
      </w:r>
    </w:p>
    <w:p w14:paraId="223441ED">
      <w:pPr>
        <w:snapToGrid w:val="0"/>
        <w:spacing w:line="360" w:lineRule="auto"/>
        <w:ind w:right="480"/>
        <w:jc w:val="center"/>
        <w:rPr>
          <w:b/>
          <w:kern w:val="0"/>
          <w:sz w:val="32"/>
          <w:szCs w:val="32"/>
        </w:rPr>
      </w:pPr>
    </w:p>
    <w:p w14:paraId="56C13B6B">
      <w:pPr>
        <w:snapToGrid w:val="0"/>
        <w:spacing w:line="360" w:lineRule="auto"/>
        <w:ind w:right="480"/>
        <w:jc w:val="center"/>
        <w:rPr>
          <w:b/>
          <w:kern w:val="0"/>
          <w:sz w:val="32"/>
          <w:szCs w:val="32"/>
        </w:rPr>
      </w:pPr>
    </w:p>
    <w:p w14:paraId="29BFCF0A">
      <w:pPr>
        <w:snapToGrid w:val="0"/>
        <w:spacing w:line="360" w:lineRule="auto"/>
        <w:ind w:right="480"/>
        <w:jc w:val="center"/>
        <w:rPr>
          <w:b/>
          <w:kern w:val="0"/>
          <w:sz w:val="32"/>
          <w:szCs w:val="32"/>
        </w:rPr>
      </w:pPr>
    </w:p>
    <w:p w14:paraId="1BB97570">
      <w:pPr>
        <w:snapToGrid w:val="0"/>
        <w:spacing w:line="360" w:lineRule="auto"/>
        <w:ind w:right="480"/>
        <w:jc w:val="center"/>
        <w:rPr>
          <w:b/>
          <w:kern w:val="0"/>
          <w:sz w:val="32"/>
          <w:szCs w:val="32"/>
        </w:rPr>
      </w:pPr>
    </w:p>
    <w:p w14:paraId="3B621502">
      <w:pPr>
        <w:snapToGrid w:val="0"/>
        <w:spacing w:line="360" w:lineRule="auto"/>
        <w:ind w:right="480"/>
        <w:jc w:val="center"/>
        <w:rPr>
          <w:b/>
          <w:kern w:val="0"/>
          <w:sz w:val="32"/>
          <w:szCs w:val="32"/>
        </w:rPr>
      </w:pPr>
    </w:p>
    <w:p w14:paraId="685DCBBA">
      <w:pPr>
        <w:snapToGrid w:val="0"/>
        <w:spacing w:line="360" w:lineRule="auto"/>
        <w:ind w:right="480"/>
        <w:jc w:val="center"/>
        <w:rPr>
          <w:b/>
          <w:kern w:val="0"/>
          <w:sz w:val="32"/>
          <w:szCs w:val="32"/>
        </w:rPr>
      </w:pPr>
    </w:p>
    <w:p w14:paraId="65C523A5">
      <w:pPr>
        <w:snapToGrid w:val="0"/>
        <w:spacing w:line="360" w:lineRule="auto"/>
        <w:ind w:right="480"/>
        <w:jc w:val="center"/>
        <w:rPr>
          <w:b/>
          <w:kern w:val="0"/>
          <w:sz w:val="32"/>
          <w:szCs w:val="32"/>
        </w:rPr>
      </w:pPr>
    </w:p>
    <w:p w14:paraId="575F8A09">
      <w:pPr>
        <w:snapToGrid w:val="0"/>
        <w:spacing w:line="360" w:lineRule="auto"/>
        <w:ind w:right="480"/>
        <w:jc w:val="center"/>
        <w:rPr>
          <w:b/>
          <w:kern w:val="0"/>
          <w:sz w:val="32"/>
          <w:szCs w:val="32"/>
        </w:rPr>
      </w:pPr>
    </w:p>
    <w:p w14:paraId="7425AA5F">
      <w:pPr>
        <w:snapToGrid w:val="0"/>
        <w:spacing w:line="360" w:lineRule="auto"/>
        <w:ind w:right="480"/>
        <w:jc w:val="center"/>
        <w:rPr>
          <w:b/>
          <w:kern w:val="0"/>
          <w:sz w:val="32"/>
          <w:szCs w:val="32"/>
        </w:rPr>
      </w:pPr>
    </w:p>
    <w:p w14:paraId="1079F506">
      <w:pPr>
        <w:snapToGrid w:val="0"/>
        <w:spacing w:line="360" w:lineRule="auto"/>
        <w:ind w:right="480"/>
        <w:jc w:val="center"/>
        <w:rPr>
          <w:b/>
          <w:kern w:val="0"/>
          <w:sz w:val="32"/>
          <w:szCs w:val="32"/>
        </w:rPr>
      </w:pPr>
    </w:p>
    <w:p w14:paraId="56AA4DF1">
      <w:pPr>
        <w:snapToGrid w:val="0"/>
        <w:spacing w:line="360" w:lineRule="auto"/>
        <w:ind w:right="480"/>
        <w:jc w:val="center"/>
        <w:rPr>
          <w:b/>
          <w:kern w:val="0"/>
          <w:sz w:val="32"/>
          <w:szCs w:val="32"/>
        </w:rPr>
      </w:pPr>
    </w:p>
    <w:p w14:paraId="5826B619">
      <w:pPr>
        <w:snapToGrid w:val="0"/>
        <w:spacing w:line="360" w:lineRule="auto"/>
        <w:ind w:right="480"/>
        <w:jc w:val="center"/>
        <w:rPr>
          <w:b/>
          <w:kern w:val="0"/>
          <w:sz w:val="32"/>
          <w:szCs w:val="32"/>
        </w:rPr>
      </w:pPr>
    </w:p>
    <w:p w14:paraId="1CD7BA4F">
      <w:pPr>
        <w:snapToGrid w:val="0"/>
        <w:spacing w:line="360" w:lineRule="auto"/>
        <w:ind w:right="480"/>
        <w:jc w:val="center"/>
        <w:rPr>
          <w:b/>
          <w:kern w:val="0"/>
          <w:sz w:val="32"/>
          <w:szCs w:val="32"/>
        </w:rPr>
      </w:pPr>
    </w:p>
    <w:p w14:paraId="511120EE">
      <w:pPr>
        <w:snapToGrid w:val="0"/>
        <w:spacing w:line="360" w:lineRule="auto"/>
        <w:ind w:right="480"/>
        <w:jc w:val="center"/>
        <w:rPr>
          <w:b/>
          <w:kern w:val="0"/>
          <w:sz w:val="32"/>
          <w:szCs w:val="32"/>
        </w:rPr>
      </w:pPr>
    </w:p>
    <w:p w14:paraId="00AC85E8">
      <w:pPr>
        <w:snapToGrid w:val="0"/>
        <w:spacing w:line="360" w:lineRule="auto"/>
        <w:ind w:right="480"/>
        <w:jc w:val="center"/>
        <w:rPr>
          <w:b/>
          <w:kern w:val="0"/>
          <w:sz w:val="32"/>
          <w:szCs w:val="32"/>
        </w:rPr>
      </w:pPr>
    </w:p>
    <w:p w14:paraId="4A2CC351">
      <w:pPr>
        <w:pStyle w:val="691"/>
        <w:keepNext w:val="0"/>
        <w:pageBreakBefore w:val="0"/>
        <w:tabs>
          <w:tab w:val="clear" w:pos="720"/>
        </w:tabs>
        <w:snapToGrid w:val="0"/>
        <w:spacing w:before="120" w:after="120"/>
        <w:ind w:firstLine="643"/>
        <w:outlineLvl w:val="9"/>
        <w:rPr>
          <w:rFonts w:eastAsia="仿宋"/>
          <w:kern w:val="2"/>
          <w:sz w:val="32"/>
          <w:szCs w:val="32"/>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14:paraId="61C2A9DE">
      <w:pPr>
        <w:pStyle w:val="691"/>
        <w:keepNext w:val="0"/>
        <w:pageBreakBefore w:val="0"/>
        <w:tabs>
          <w:tab w:val="clear" w:pos="720"/>
        </w:tabs>
        <w:snapToGrid w:val="0"/>
        <w:spacing w:before="120" w:after="120"/>
        <w:ind w:firstLine="643"/>
        <w:outlineLvl w:val="9"/>
        <w:rPr>
          <w:rFonts w:eastAsia="仿宋"/>
          <w:kern w:val="2"/>
          <w:sz w:val="32"/>
          <w:szCs w:val="32"/>
        </w:rPr>
      </w:pPr>
      <w:r>
        <w:rPr>
          <w:rFonts w:hAnsi="仿宋" w:eastAsia="仿宋"/>
          <w:kern w:val="2"/>
          <w:sz w:val="32"/>
          <w:szCs w:val="32"/>
        </w:rPr>
        <w:t>一、开标一览表（报价表）</w:t>
      </w:r>
    </w:p>
    <w:p w14:paraId="4F5B0871">
      <w:pPr>
        <w:snapToGrid w:val="0"/>
        <w:spacing w:line="360" w:lineRule="auto"/>
        <w:rPr>
          <w:rFonts w:ascii="仿宋" w:hAnsi="仿宋" w:cs="仿宋"/>
          <w:kern w:val="0"/>
        </w:rPr>
      </w:pPr>
      <w:r>
        <w:rPr>
          <w:rFonts w:hint="eastAsia" w:ascii="仿宋" w:hAnsi="仿宋" w:cs="仿宋"/>
        </w:rPr>
        <w:t>（采购人）、（采购代理机构）</w:t>
      </w:r>
      <w:r>
        <w:rPr>
          <w:rFonts w:hint="eastAsia" w:ascii="仿宋" w:hAnsi="仿宋" w:cs="仿宋"/>
          <w:kern w:val="0"/>
          <w:lang w:val="zh-CN"/>
        </w:rPr>
        <w:t>：</w:t>
      </w:r>
    </w:p>
    <w:p w14:paraId="6D1005B3">
      <w:pPr>
        <w:snapToGrid w:val="0"/>
        <w:spacing w:line="360" w:lineRule="auto"/>
        <w:ind w:firstLine="482"/>
        <w:rPr>
          <w:rFonts w:ascii="仿宋" w:hAnsi="仿宋" w:cs="仿宋"/>
          <w:kern w:val="0"/>
          <w:lang w:val="zh-CN"/>
        </w:rPr>
      </w:pPr>
      <w:r>
        <w:rPr>
          <w:rFonts w:hint="eastAsia" w:ascii="仿宋" w:hAnsi="仿宋" w:cs="仿宋"/>
          <w:kern w:val="0"/>
          <w:lang w:val="zh-CN"/>
        </w:rPr>
        <w:t>按你方招标文件要求，我们，本投标文件签字方，谨此向你方发出要约如下：如你方接受本投标，我方承诺按照如下开标一览表（报价表）的价格完成</w:t>
      </w:r>
      <w:r>
        <w:rPr>
          <w:rFonts w:hint="eastAsia" w:ascii="仿宋" w:hAnsi="仿宋" w:cs="仿宋"/>
        </w:rPr>
        <w:t>（项目名称）</w:t>
      </w:r>
      <w:r>
        <w:rPr>
          <w:rFonts w:hint="eastAsia" w:ascii="仿宋" w:hAnsi="仿宋" w:cs="仿宋"/>
          <w:kern w:val="0"/>
          <w:lang w:val="zh-CN"/>
        </w:rPr>
        <w:t>【招标编号：</w:t>
      </w:r>
      <w:r>
        <w:rPr>
          <w:rFonts w:hint="eastAsia" w:ascii="仿宋" w:hAnsi="仿宋" w:cs="仿宋"/>
        </w:rPr>
        <w:t>（采购编号）】的实施</w:t>
      </w:r>
      <w:r>
        <w:rPr>
          <w:rFonts w:hint="eastAsia" w:ascii="仿宋" w:hAnsi="仿宋" w:cs="仿宋"/>
          <w:kern w:val="0"/>
          <w:lang w:val="zh-CN"/>
        </w:rPr>
        <w:t>。</w:t>
      </w:r>
    </w:p>
    <w:p w14:paraId="0A663D49">
      <w:pPr>
        <w:spacing w:line="360" w:lineRule="auto"/>
        <w:jc w:val="center"/>
        <w:rPr>
          <w:rFonts w:ascii="仿宋" w:hAnsi="仿宋" w:cs="仿宋"/>
          <w:b/>
          <w:kern w:val="0"/>
          <w:lang w:val="zh-CN"/>
        </w:rPr>
      </w:pPr>
      <w:r>
        <w:rPr>
          <w:rFonts w:hint="eastAsia" w:ascii="仿宋" w:hAnsi="仿宋" w:cs="仿宋"/>
          <w:b/>
          <w:kern w:val="0"/>
          <w:lang w:val="zh-CN"/>
        </w:rPr>
        <w:t>开标一览表（报价表）(</w:t>
      </w:r>
      <w:r>
        <w:rPr>
          <w:rFonts w:hint="eastAsia" w:ascii="仿宋" w:hAnsi="仿宋" w:cs="仿宋"/>
          <w:b/>
          <w:kern w:val="0"/>
        </w:rPr>
        <w:t>货币</w:t>
      </w:r>
      <w:r>
        <w:rPr>
          <w:rFonts w:hint="eastAsia" w:ascii="仿宋" w:hAnsi="仿宋" w:cs="仿宋"/>
          <w:b/>
          <w:kern w:val="0"/>
          <w:lang w:val="zh-CN"/>
        </w:rPr>
        <w:t>单位均为人民币元)</w:t>
      </w:r>
    </w:p>
    <w:tbl>
      <w:tblPr>
        <w:tblStyle w:val="62"/>
        <w:tblW w:w="9488" w:type="dxa"/>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4096"/>
        <w:gridCol w:w="4402"/>
      </w:tblGrid>
      <w:tr w14:paraId="749E4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trPr>
        <w:tc>
          <w:tcPr>
            <w:tcW w:w="990" w:type="dxa"/>
            <w:vAlign w:val="center"/>
          </w:tcPr>
          <w:p w14:paraId="3C7CC1E9">
            <w:pPr>
              <w:snapToGrid w:val="0"/>
              <w:jc w:val="center"/>
              <w:rPr>
                <w:rFonts w:ascii="仿宋" w:hAnsi="仿宋" w:cs="仿宋"/>
                <w:kern w:val="0"/>
                <w:lang w:val="zh-CN"/>
              </w:rPr>
            </w:pPr>
            <w:bookmarkStart w:id="395" w:name="_Toc491724474"/>
            <w:r>
              <w:rPr>
                <w:rFonts w:hint="eastAsia" w:ascii="仿宋" w:hAnsi="仿宋" w:cs="仿宋"/>
                <w:kern w:val="0"/>
                <w:lang w:val="zh-CN"/>
              </w:rPr>
              <w:t>序号</w:t>
            </w:r>
            <w:bookmarkEnd w:id="395"/>
          </w:p>
        </w:tc>
        <w:tc>
          <w:tcPr>
            <w:tcW w:w="4096" w:type="dxa"/>
            <w:vAlign w:val="center"/>
          </w:tcPr>
          <w:p w14:paraId="29BBEAD9">
            <w:pPr>
              <w:snapToGrid w:val="0"/>
              <w:jc w:val="center"/>
              <w:rPr>
                <w:rFonts w:ascii="仿宋" w:hAnsi="仿宋" w:cs="仿宋"/>
                <w:kern w:val="0"/>
              </w:rPr>
            </w:pPr>
            <w:r>
              <w:rPr>
                <w:rFonts w:hint="eastAsia" w:ascii="仿宋" w:hAnsi="仿宋" w:cs="仿宋"/>
                <w:kern w:val="0"/>
              </w:rPr>
              <w:t>报价内容</w:t>
            </w:r>
          </w:p>
        </w:tc>
        <w:tc>
          <w:tcPr>
            <w:tcW w:w="4402" w:type="dxa"/>
            <w:vAlign w:val="center"/>
          </w:tcPr>
          <w:p w14:paraId="5CDED2D5">
            <w:pPr>
              <w:snapToGrid w:val="0"/>
              <w:jc w:val="center"/>
              <w:rPr>
                <w:rFonts w:ascii="仿宋" w:hAnsi="仿宋" w:cs="仿宋"/>
                <w:kern w:val="0"/>
              </w:rPr>
            </w:pPr>
            <w:r>
              <w:rPr>
                <w:rFonts w:hint="eastAsia" w:ascii="仿宋" w:hAnsi="仿宋" w:cs="仿宋"/>
                <w:kern w:val="0"/>
              </w:rPr>
              <w:t>报价合计</w:t>
            </w:r>
          </w:p>
          <w:p w14:paraId="0F219827">
            <w:pPr>
              <w:snapToGrid w:val="0"/>
              <w:jc w:val="center"/>
              <w:rPr>
                <w:rFonts w:ascii="仿宋" w:hAnsi="仿宋" w:cs="仿宋"/>
                <w:kern w:val="0"/>
              </w:rPr>
            </w:pPr>
            <w:r>
              <w:rPr>
                <w:rFonts w:hint="eastAsia" w:ascii="仿宋" w:hAnsi="仿宋" w:cs="仿宋"/>
                <w:kern w:val="0"/>
              </w:rPr>
              <w:t>（元）</w:t>
            </w:r>
          </w:p>
        </w:tc>
      </w:tr>
      <w:tr w14:paraId="02E0F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990" w:type="dxa"/>
            <w:vAlign w:val="center"/>
          </w:tcPr>
          <w:p w14:paraId="6DCDFE2F">
            <w:pPr>
              <w:snapToGrid w:val="0"/>
              <w:jc w:val="center"/>
              <w:rPr>
                <w:rFonts w:ascii="仿宋" w:hAnsi="仿宋" w:cs="仿宋"/>
                <w:kern w:val="0"/>
                <w:lang w:val="zh-CN"/>
              </w:rPr>
            </w:pPr>
            <w:r>
              <w:rPr>
                <w:rFonts w:hint="eastAsia" w:ascii="仿宋" w:hAnsi="仿宋" w:cs="仿宋"/>
                <w:kern w:val="0"/>
              </w:rPr>
              <w:t>1</w:t>
            </w:r>
          </w:p>
        </w:tc>
        <w:tc>
          <w:tcPr>
            <w:tcW w:w="4096" w:type="dxa"/>
            <w:vAlign w:val="center"/>
          </w:tcPr>
          <w:p w14:paraId="4E38F901">
            <w:pPr>
              <w:snapToGrid w:val="0"/>
              <w:jc w:val="center"/>
              <w:rPr>
                <w:rFonts w:ascii="仿宋" w:hAnsi="仿宋" w:cs="仿宋"/>
                <w:kern w:val="0"/>
              </w:rPr>
            </w:pPr>
            <w:r>
              <w:rPr>
                <w:rFonts w:hint="eastAsia" w:ascii="仿宋" w:hAnsi="仿宋" w:cs="仿宋"/>
                <w:kern w:val="0"/>
                <w:lang w:eastAsia="zh-CN"/>
              </w:rPr>
              <w:t>浙江省公安厅人民警察服务中心1号电梯更新项目</w:t>
            </w:r>
          </w:p>
        </w:tc>
        <w:tc>
          <w:tcPr>
            <w:tcW w:w="4402" w:type="dxa"/>
            <w:vAlign w:val="center"/>
          </w:tcPr>
          <w:p w14:paraId="216A2FB9">
            <w:pPr>
              <w:snapToGrid w:val="0"/>
              <w:jc w:val="left"/>
              <w:rPr>
                <w:rFonts w:ascii="仿宋" w:hAnsi="仿宋" w:cs="仿宋"/>
              </w:rPr>
            </w:pPr>
          </w:p>
        </w:tc>
      </w:tr>
    </w:tbl>
    <w:p w14:paraId="4653426D">
      <w:pPr>
        <w:snapToGrid w:val="0"/>
        <w:spacing w:line="360" w:lineRule="auto"/>
        <w:rPr>
          <w:rFonts w:ascii="仿宋" w:hAnsi="仿宋" w:cs="仿宋"/>
          <w:b/>
          <w:kern w:val="0"/>
          <w:lang w:val="zh-CN"/>
        </w:rPr>
      </w:pPr>
    </w:p>
    <w:p w14:paraId="64945D51">
      <w:pPr>
        <w:snapToGrid w:val="0"/>
        <w:spacing w:line="360" w:lineRule="auto"/>
        <w:rPr>
          <w:rFonts w:ascii="仿宋" w:hAnsi="仿宋" w:cs="仿宋"/>
          <w:b/>
          <w:kern w:val="0"/>
          <w:lang w:val="zh-CN"/>
        </w:rPr>
      </w:pPr>
      <w:r>
        <w:rPr>
          <w:rFonts w:hint="eastAsia" w:ascii="仿宋" w:hAnsi="仿宋" w:cs="仿宋"/>
          <w:b/>
          <w:kern w:val="0"/>
          <w:lang w:val="zh-CN"/>
        </w:rPr>
        <w:t>注：</w:t>
      </w:r>
    </w:p>
    <w:p w14:paraId="61F6ADEA">
      <w:pPr>
        <w:spacing w:line="360" w:lineRule="auto"/>
        <w:ind w:left="-2" w:leftChars="-1" w:firstLine="480" w:firstLineChars="200"/>
        <w:rPr>
          <w:rFonts w:ascii="仿宋" w:hAnsi="仿宋" w:cs="仿宋"/>
          <w:kern w:val="0"/>
          <w:lang w:val="zh-CN"/>
        </w:rPr>
      </w:pPr>
      <w:r>
        <w:rPr>
          <w:rFonts w:hint="eastAsia" w:ascii="仿宋" w:hAnsi="仿宋" w:cs="仿宋"/>
          <w:kern w:val="0"/>
          <w:lang w:val="zh-CN"/>
        </w:rPr>
        <w:t>1、投标人需按本表格式填写，不得自行更改。</w:t>
      </w:r>
    </w:p>
    <w:p w14:paraId="170080D9">
      <w:pPr>
        <w:spacing w:line="360" w:lineRule="auto"/>
        <w:ind w:firstLine="480" w:firstLineChars="200"/>
        <w:rPr>
          <w:rFonts w:ascii="仿宋" w:hAnsi="仿宋" w:cs="仿宋"/>
          <w:kern w:val="0"/>
          <w:lang w:val="zh-CN"/>
        </w:rPr>
      </w:pPr>
      <w:r>
        <w:rPr>
          <w:rFonts w:hint="eastAsia" w:ascii="仿宋" w:hAnsi="仿宋" w:cs="仿宋"/>
          <w:kern w:val="0"/>
          <w:lang w:val="zh-CN"/>
        </w:rPr>
        <w:t>2、有关本项目实施所涉及的一切费用均计入报价。</w:t>
      </w:r>
      <w:r>
        <w:rPr>
          <w:rFonts w:hint="eastAsia" w:ascii="仿宋" w:hAnsi="仿宋" w:cs="仿宋"/>
          <w:b/>
          <w:kern w:val="0"/>
          <w:lang w:val="zh-CN"/>
        </w:rPr>
        <w:t>采购人将以合同形式有偿取得货物或服务，不接受投标人给予的赠品、回扣或者与采购无关的其他商品、服务</w:t>
      </w:r>
      <w:r>
        <w:rPr>
          <w:rFonts w:hint="eastAsia" w:ascii="仿宋" w:hAnsi="仿宋" w:cs="仿宋"/>
          <w:kern w:val="0"/>
          <w:lang w:val="zh-CN"/>
        </w:rPr>
        <w:t>，</w:t>
      </w:r>
      <w:r>
        <w:rPr>
          <w:rFonts w:hint="eastAsia" w:ascii="仿宋" w:hAnsi="仿宋" w:cs="仿宋"/>
          <w:b/>
          <w:kern w:val="0"/>
          <w:lang w:val="zh-CN"/>
        </w:rPr>
        <w:t>不得出现“0元”“免费赠送”等形式的无偿报价，</w:t>
      </w:r>
      <w:r>
        <w:rPr>
          <w:rFonts w:hint="eastAsia" w:ascii="仿宋" w:hAnsi="仿宋" w:cs="仿宋"/>
          <w:b/>
          <w:kern w:val="0"/>
        </w:rPr>
        <w:t>否则视为</w:t>
      </w:r>
      <w:r>
        <w:rPr>
          <w:rFonts w:hint="eastAsia" w:ascii="仿宋" w:hAnsi="仿宋" w:cs="仿宋"/>
          <w:b/>
        </w:rPr>
        <w:t>投标文件含有采购人不能接受的附加条件的，投标无效</w:t>
      </w:r>
      <w:r>
        <w:rPr>
          <w:rFonts w:hint="eastAsia" w:ascii="仿宋" w:hAnsi="仿宋" w:cs="仿宋"/>
          <w:b/>
          <w:kern w:val="0"/>
          <w:lang w:val="zh-CN"/>
        </w:rPr>
        <w:t>。</w:t>
      </w:r>
    </w:p>
    <w:p w14:paraId="0C36866B">
      <w:pPr>
        <w:snapToGrid w:val="0"/>
        <w:spacing w:line="360" w:lineRule="auto"/>
        <w:ind w:firstLine="480" w:firstLineChars="200"/>
        <w:jc w:val="left"/>
        <w:rPr>
          <w:rFonts w:ascii="仿宋" w:hAnsi="仿宋" w:cs="仿宋"/>
          <w:kern w:val="0"/>
          <w:lang w:val="zh-CN"/>
        </w:rPr>
      </w:pPr>
      <w:r>
        <w:rPr>
          <w:rFonts w:hint="eastAsia" w:ascii="仿宋" w:hAnsi="仿宋" w:cs="仿宋"/>
          <w:kern w:val="0"/>
          <w:lang w:val="zh-CN"/>
        </w:rPr>
        <w:t>3、以上表格要求细分项目及报价，</w:t>
      </w:r>
      <w:r>
        <w:rPr>
          <w:rFonts w:hint="eastAsia" w:ascii="仿宋" w:hAnsi="仿宋" w:cs="仿宋"/>
          <w:kern w:val="0"/>
        </w:rPr>
        <w:t>报价</w:t>
      </w:r>
      <w:r>
        <w:rPr>
          <w:rFonts w:hint="eastAsia" w:ascii="仿宋" w:hAnsi="仿宋" w:cs="仿宋"/>
          <w:kern w:val="0"/>
          <w:lang w:val="zh-CN"/>
        </w:rPr>
        <w:t>须与分项报价表中投标单价一致。</w:t>
      </w:r>
    </w:p>
    <w:p w14:paraId="18C91D82">
      <w:pPr>
        <w:snapToGrid w:val="0"/>
        <w:spacing w:line="360" w:lineRule="auto"/>
        <w:ind w:firstLine="480" w:firstLineChars="200"/>
        <w:jc w:val="left"/>
        <w:rPr>
          <w:rFonts w:ascii="仿宋" w:hAnsi="仿宋" w:cs="仿宋"/>
          <w:kern w:val="0"/>
          <w:lang w:val="zh-CN"/>
        </w:rPr>
      </w:pPr>
      <w:r>
        <w:rPr>
          <w:rFonts w:hint="eastAsia" w:ascii="仿宋" w:hAnsi="仿宋" w:cs="仿宋"/>
          <w:kern w:val="0"/>
          <w:lang w:val="zh-CN"/>
        </w:rPr>
        <w:t>4、特别提示：采购机构将对项目名称和项目编号，中标供应商名称、地址和中标金额，主要中标标的的名称、规格型号、数量、单价、服务要求等予以公示。</w:t>
      </w:r>
    </w:p>
    <w:p w14:paraId="7CBFA48A">
      <w:pPr>
        <w:snapToGrid w:val="0"/>
        <w:spacing w:line="360" w:lineRule="auto"/>
        <w:ind w:firstLine="480" w:firstLineChars="200"/>
        <w:jc w:val="left"/>
        <w:rPr>
          <w:rFonts w:ascii="仿宋" w:hAnsi="仿宋" w:cs="仿宋"/>
          <w:kern w:val="0"/>
          <w:lang w:val="zh-CN"/>
        </w:rPr>
      </w:pPr>
      <w:r>
        <w:rPr>
          <w:rFonts w:hint="eastAsia" w:ascii="仿宋" w:hAnsi="仿宋" w:cs="仿宋"/>
          <w:kern w:val="0"/>
          <w:szCs w:val="22"/>
          <w:lang w:val="zh-CN"/>
        </w:rPr>
        <w:t>5、</w:t>
      </w:r>
      <w:r>
        <w:rPr>
          <w:rFonts w:hint="eastAsia" w:ascii="仿宋" w:hAnsi="仿宋" w:cs="仿宋"/>
          <w:kern w:val="0"/>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59C0BFE">
      <w:pPr>
        <w:pStyle w:val="691"/>
        <w:keepNext w:val="0"/>
        <w:pageBreakBefore w:val="0"/>
        <w:tabs>
          <w:tab w:val="clear" w:pos="720"/>
        </w:tabs>
        <w:snapToGrid w:val="0"/>
        <w:spacing w:before="120" w:after="120"/>
        <w:ind w:firstLine="643"/>
        <w:outlineLvl w:val="9"/>
        <w:rPr>
          <w:rFonts w:ascii="仿宋" w:hAnsi="仿宋" w:eastAsia="仿宋" w:cs="仿宋"/>
          <w:kern w:val="2"/>
          <w:sz w:val="32"/>
          <w:szCs w:val="32"/>
        </w:rPr>
        <w:sectPr>
          <w:pgSz w:w="11906" w:h="16838"/>
          <w:pgMar w:top="1247" w:right="1418" w:bottom="1276" w:left="1418" w:header="851" w:footer="992" w:gutter="0"/>
          <w:cols w:space="720" w:num="1"/>
          <w:titlePg/>
          <w:docGrid w:linePitch="312" w:charSpace="0"/>
        </w:sectPr>
      </w:pPr>
    </w:p>
    <w:p w14:paraId="3D2961BA">
      <w:pPr>
        <w:pStyle w:val="691"/>
        <w:keepNext w:val="0"/>
        <w:pageBreakBefore w:val="0"/>
        <w:numPr>
          <w:ilvl w:val="0"/>
          <w:numId w:val="3"/>
        </w:numPr>
        <w:tabs>
          <w:tab w:val="clear" w:pos="720"/>
        </w:tabs>
        <w:snapToGrid w:val="0"/>
        <w:spacing w:before="120" w:after="120"/>
        <w:ind w:firstLine="643"/>
        <w:outlineLvl w:val="9"/>
        <w:rPr>
          <w:rFonts w:ascii="仿宋" w:hAnsi="仿宋" w:eastAsia="仿宋" w:cs="仿宋"/>
          <w:kern w:val="2"/>
          <w:sz w:val="32"/>
          <w:szCs w:val="32"/>
        </w:rPr>
      </w:pPr>
      <w:r>
        <w:rPr>
          <w:rFonts w:hint="eastAsia" w:ascii="仿宋" w:hAnsi="仿宋" w:eastAsia="仿宋" w:cs="仿宋"/>
          <w:kern w:val="2"/>
          <w:sz w:val="32"/>
          <w:szCs w:val="32"/>
        </w:rPr>
        <w:t>分项报价表</w:t>
      </w:r>
    </w:p>
    <w:p w14:paraId="76E8DE25">
      <w:pPr>
        <w:snapToGrid w:val="0"/>
        <w:spacing w:line="360" w:lineRule="auto"/>
        <w:rPr>
          <w:rFonts w:ascii="仿宋" w:hAnsi="仿宋" w:cs="仿宋"/>
          <w:kern w:val="0"/>
        </w:rPr>
      </w:pPr>
      <w:r>
        <w:rPr>
          <w:rFonts w:hint="eastAsia" w:ascii="仿宋" w:hAnsi="仿宋" w:cs="仿宋"/>
        </w:rPr>
        <w:t>（采购人）、（采购代理机构）</w:t>
      </w:r>
      <w:r>
        <w:rPr>
          <w:rFonts w:hint="eastAsia" w:ascii="仿宋" w:hAnsi="仿宋" w:cs="仿宋"/>
          <w:kern w:val="0"/>
          <w:lang w:val="zh-CN"/>
        </w:rPr>
        <w:t>：</w:t>
      </w:r>
    </w:p>
    <w:p w14:paraId="57B5F499">
      <w:pPr>
        <w:snapToGrid w:val="0"/>
        <w:spacing w:line="360" w:lineRule="auto"/>
        <w:ind w:firstLine="482"/>
        <w:rPr>
          <w:rFonts w:ascii="仿宋" w:hAnsi="仿宋" w:cs="仿宋"/>
          <w:kern w:val="0"/>
          <w:lang w:val="zh-CN"/>
        </w:rPr>
      </w:pPr>
      <w:r>
        <w:rPr>
          <w:rFonts w:hint="eastAsia" w:ascii="仿宋" w:hAnsi="仿宋" w:cs="仿宋"/>
          <w:kern w:val="0"/>
          <w:lang w:val="zh-CN"/>
        </w:rPr>
        <w:t>按你方招标文件要求，我们，本投标文件签字方，谨此向你方发出要约如下：如你方接受本投标，我方承诺按照如下</w:t>
      </w:r>
      <w:r>
        <w:rPr>
          <w:rFonts w:hint="eastAsia" w:ascii="仿宋" w:hAnsi="仿宋" w:cs="仿宋"/>
          <w:kern w:val="0"/>
        </w:rPr>
        <w:t>分项报价表</w:t>
      </w:r>
      <w:r>
        <w:rPr>
          <w:rFonts w:hint="eastAsia" w:ascii="仿宋" w:hAnsi="仿宋" w:cs="仿宋"/>
          <w:kern w:val="0"/>
          <w:lang w:val="zh-CN"/>
        </w:rPr>
        <w:t>的价格完成</w:t>
      </w:r>
      <w:r>
        <w:rPr>
          <w:rFonts w:hint="eastAsia" w:ascii="仿宋" w:hAnsi="仿宋" w:cs="仿宋"/>
        </w:rPr>
        <w:t>（项目名称）</w:t>
      </w:r>
      <w:r>
        <w:rPr>
          <w:rFonts w:hint="eastAsia" w:ascii="仿宋" w:hAnsi="仿宋" w:cs="仿宋"/>
          <w:kern w:val="0"/>
          <w:lang w:val="zh-CN"/>
        </w:rPr>
        <w:t>【招标编号：</w:t>
      </w:r>
      <w:r>
        <w:rPr>
          <w:rFonts w:hint="eastAsia" w:ascii="仿宋" w:hAnsi="仿宋" w:cs="仿宋"/>
        </w:rPr>
        <w:t>（采购编号）】的实施</w:t>
      </w:r>
      <w:r>
        <w:rPr>
          <w:rFonts w:hint="eastAsia" w:ascii="仿宋" w:hAnsi="仿宋" w:cs="仿宋"/>
          <w:kern w:val="0"/>
          <w:lang w:val="zh-CN"/>
        </w:rPr>
        <w:t>。</w:t>
      </w:r>
    </w:p>
    <w:p w14:paraId="05EE715A">
      <w:pPr>
        <w:spacing w:line="360" w:lineRule="auto"/>
        <w:jc w:val="center"/>
        <w:rPr>
          <w:rFonts w:ascii="仿宋" w:hAnsi="仿宋" w:cs="仿宋"/>
          <w:b/>
          <w:kern w:val="0"/>
          <w:lang w:val="zh-CN"/>
        </w:rPr>
      </w:pPr>
      <w:r>
        <w:rPr>
          <w:rFonts w:hint="eastAsia" w:ascii="仿宋" w:hAnsi="仿宋" w:cs="仿宋"/>
          <w:b/>
          <w:kern w:val="0"/>
          <w:lang w:val="en-US" w:eastAsia="zh-CN"/>
        </w:rPr>
        <w:t>分</w:t>
      </w:r>
      <w:r>
        <w:rPr>
          <w:rFonts w:hint="eastAsia" w:ascii="仿宋" w:hAnsi="仿宋" w:cs="仿宋"/>
          <w:b/>
          <w:kern w:val="0"/>
        </w:rPr>
        <w:t>项报价表</w:t>
      </w:r>
      <w:r>
        <w:rPr>
          <w:rFonts w:hint="eastAsia" w:ascii="仿宋" w:hAnsi="仿宋" w:cs="仿宋"/>
          <w:b/>
          <w:kern w:val="0"/>
          <w:lang w:val="zh-CN"/>
        </w:rPr>
        <w:t>(单位均为人民币元)</w:t>
      </w:r>
    </w:p>
    <w:tbl>
      <w:tblPr>
        <w:tblStyle w:val="62"/>
        <w:tblW w:w="981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6"/>
        <w:gridCol w:w="1470"/>
        <w:gridCol w:w="1335"/>
        <w:gridCol w:w="1476"/>
        <w:gridCol w:w="1785"/>
        <w:gridCol w:w="1080"/>
        <w:gridCol w:w="1892"/>
      </w:tblGrid>
      <w:tr w14:paraId="65131F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8" w:hRule="atLeast"/>
          <w:jc w:val="center"/>
        </w:trPr>
        <w:tc>
          <w:tcPr>
            <w:tcW w:w="776" w:type="dxa"/>
            <w:tcBorders>
              <w:top w:val="single" w:color="auto" w:sz="4" w:space="0"/>
              <w:left w:val="single" w:color="auto" w:sz="4" w:space="0"/>
              <w:bottom w:val="single" w:color="auto" w:sz="4" w:space="0"/>
              <w:right w:val="single" w:color="auto" w:sz="4" w:space="0"/>
            </w:tcBorders>
            <w:vAlign w:val="center"/>
          </w:tcPr>
          <w:p w14:paraId="559E3409">
            <w:pPr>
              <w:tabs>
                <w:tab w:val="left" w:pos="1418"/>
              </w:tabs>
              <w:snapToGrid w:val="0"/>
              <w:jc w:val="center"/>
              <w:rPr>
                <w:rFonts w:ascii="仿宋" w:hAnsi="仿宋" w:cs="仿宋"/>
                <w:spacing w:val="20"/>
              </w:rPr>
            </w:pPr>
            <w:r>
              <w:rPr>
                <w:rFonts w:hint="eastAsia" w:ascii="仿宋" w:hAnsi="仿宋" w:cs="仿宋"/>
              </w:rPr>
              <w:t>序号</w:t>
            </w:r>
          </w:p>
        </w:tc>
        <w:tc>
          <w:tcPr>
            <w:tcW w:w="1470" w:type="dxa"/>
            <w:tcBorders>
              <w:top w:val="single" w:color="auto" w:sz="4" w:space="0"/>
              <w:left w:val="single" w:color="auto" w:sz="4" w:space="0"/>
              <w:bottom w:val="single" w:color="auto" w:sz="4" w:space="0"/>
              <w:right w:val="single" w:color="auto" w:sz="4" w:space="0"/>
            </w:tcBorders>
            <w:vAlign w:val="center"/>
          </w:tcPr>
          <w:p w14:paraId="6187DBFE">
            <w:pPr>
              <w:tabs>
                <w:tab w:val="left" w:pos="1418"/>
              </w:tabs>
              <w:snapToGrid w:val="0"/>
              <w:jc w:val="center"/>
              <w:rPr>
                <w:rFonts w:ascii="仿宋" w:hAnsi="仿宋" w:cs="仿宋"/>
                <w:spacing w:val="20"/>
              </w:rPr>
            </w:pPr>
            <w:r>
              <w:rPr>
                <w:rFonts w:hint="eastAsia" w:ascii="仿宋" w:hAnsi="仿宋" w:cs="仿宋"/>
              </w:rPr>
              <w:t>项目内容</w:t>
            </w:r>
          </w:p>
        </w:tc>
        <w:tc>
          <w:tcPr>
            <w:tcW w:w="1335" w:type="dxa"/>
            <w:tcBorders>
              <w:top w:val="single" w:color="auto" w:sz="4" w:space="0"/>
              <w:left w:val="single" w:color="auto" w:sz="4" w:space="0"/>
              <w:bottom w:val="single" w:color="auto" w:sz="4" w:space="0"/>
              <w:right w:val="single" w:color="auto" w:sz="4" w:space="0"/>
            </w:tcBorders>
            <w:vAlign w:val="center"/>
          </w:tcPr>
          <w:p w14:paraId="7558E7F1">
            <w:pPr>
              <w:tabs>
                <w:tab w:val="left" w:pos="1418"/>
              </w:tabs>
              <w:snapToGrid w:val="0"/>
              <w:jc w:val="center"/>
              <w:rPr>
                <w:rFonts w:ascii="仿宋" w:hAnsi="仿宋" w:cs="仿宋"/>
                <w:spacing w:val="20"/>
              </w:rPr>
            </w:pPr>
            <w:r>
              <w:rPr>
                <w:rFonts w:hint="eastAsia" w:ascii="仿宋" w:hAnsi="仿宋" w:cs="仿宋"/>
                <w:spacing w:val="20"/>
              </w:rPr>
              <w:t>品牌</w:t>
            </w:r>
          </w:p>
        </w:tc>
        <w:tc>
          <w:tcPr>
            <w:tcW w:w="1476" w:type="dxa"/>
            <w:tcBorders>
              <w:top w:val="single" w:color="auto" w:sz="4" w:space="0"/>
              <w:left w:val="single" w:color="auto" w:sz="4" w:space="0"/>
              <w:bottom w:val="single" w:color="auto" w:sz="4" w:space="0"/>
              <w:right w:val="single" w:color="auto" w:sz="4" w:space="0"/>
            </w:tcBorders>
            <w:vAlign w:val="center"/>
          </w:tcPr>
          <w:p w14:paraId="467EBCE8">
            <w:pPr>
              <w:tabs>
                <w:tab w:val="left" w:pos="1418"/>
              </w:tabs>
              <w:snapToGrid w:val="0"/>
              <w:jc w:val="center"/>
              <w:rPr>
                <w:rFonts w:ascii="仿宋" w:hAnsi="仿宋" w:cs="仿宋"/>
                <w:spacing w:val="20"/>
              </w:rPr>
            </w:pPr>
            <w:r>
              <w:rPr>
                <w:rFonts w:hint="eastAsia" w:ascii="仿宋" w:hAnsi="仿宋" w:cs="仿宋"/>
              </w:rPr>
              <w:t>规格型号</w:t>
            </w:r>
          </w:p>
        </w:tc>
        <w:tc>
          <w:tcPr>
            <w:tcW w:w="1785" w:type="dxa"/>
            <w:tcBorders>
              <w:top w:val="single" w:color="auto" w:sz="4" w:space="0"/>
              <w:left w:val="single" w:color="auto" w:sz="4" w:space="0"/>
              <w:bottom w:val="single" w:color="auto" w:sz="4" w:space="0"/>
              <w:right w:val="single" w:color="auto" w:sz="4" w:space="0"/>
            </w:tcBorders>
            <w:vAlign w:val="center"/>
          </w:tcPr>
          <w:p w14:paraId="143A60D6">
            <w:pPr>
              <w:tabs>
                <w:tab w:val="left" w:pos="1418"/>
              </w:tabs>
              <w:snapToGrid w:val="0"/>
              <w:jc w:val="center"/>
              <w:rPr>
                <w:rFonts w:ascii="仿宋" w:hAnsi="仿宋" w:cs="仿宋"/>
                <w:spacing w:val="20"/>
              </w:rPr>
            </w:pPr>
            <w:r>
              <w:rPr>
                <w:rFonts w:hint="eastAsia" w:ascii="仿宋" w:hAnsi="仿宋" w:cs="仿宋"/>
                <w:b/>
              </w:rPr>
              <w:t>原产地和制造商名称</w:t>
            </w:r>
          </w:p>
        </w:tc>
        <w:tc>
          <w:tcPr>
            <w:tcW w:w="1080" w:type="dxa"/>
            <w:tcBorders>
              <w:top w:val="single" w:color="auto" w:sz="4" w:space="0"/>
              <w:left w:val="single" w:color="auto" w:sz="4" w:space="0"/>
              <w:bottom w:val="single" w:color="auto" w:sz="4" w:space="0"/>
              <w:right w:val="single" w:color="auto" w:sz="4" w:space="0"/>
            </w:tcBorders>
            <w:vAlign w:val="center"/>
          </w:tcPr>
          <w:p w14:paraId="61E0F15A">
            <w:pPr>
              <w:tabs>
                <w:tab w:val="left" w:pos="1418"/>
              </w:tabs>
              <w:snapToGrid w:val="0"/>
              <w:jc w:val="center"/>
              <w:rPr>
                <w:rFonts w:ascii="仿宋" w:hAnsi="仿宋" w:cs="仿宋"/>
              </w:rPr>
            </w:pPr>
            <w:r>
              <w:rPr>
                <w:rFonts w:hint="eastAsia" w:ascii="仿宋" w:hAnsi="仿宋" w:cs="仿宋"/>
              </w:rPr>
              <w:t>单位及数量</w:t>
            </w:r>
          </w:p>
        </w:tc>
        <w:tc>
          <w:tcPr>
            <w:tcW w:w="1892" w:type="dxa"/>
            <w:tcBorders>
              <w:top w:val="single" w:color="auto" w:sz="4" w:space="0"/>
              <w:left w:val="single" w:color="auto" w:sz="4" w:space="0"/>
              <w:bottom w:val="single" w:color="auto" w:sz="4" w:space="0"/>
              <w:right w:val="single" w:color="auto" w:sz="4" w:space="0"/>
            </w:tcBorders>
            <w:vAlign w:val="center"/>
          </w:tcPr>
          <w:p w14:paraId="52DF6BFB">
            <w:pPr>
              <w:tabs>
                <w:tab w:val="left" w:pos="1418"/>
              </w:tabs>
              <w:snapToGrid w:val="0"/>
              <w:jc w:val="center"/>
              <w:rPr>
                <w:rFonts w:ascii="仿宋" w:hAnsi="仿宋" w:cs="仿宋"/>
                <w:spacing w:val="20"/>
              </w:rPr>
            </w:pPr>
            <w:r>
              <w:rPr>
                <w:rFonts w:hint="eastAsia" w:ascii="仿宋" w:hAnsi="仿宋" w:cs="仿宋"/>
              </w:rPr>
              <w:t>单价</w:t>
            </w:r>
          </w:p>
          <w:p w14:paraId="0360DED9">
            <w:pPr>
              <w:tabs>
                <w:tab w:val="left" w:pos="1418"/>
              </w:tabs>
              <w:snapToGrid w:val="0"/>
              <w:jc w:val="center"/>
              <w:rPr>
                <w:rFonts w:ascii="仿宋" w:hAnsi="仿宋" w:cs="仿宋"/>
                <w:spacing w:val="20"/>
              </w:rPr>
            </w:pPr>
            <w:r>
              <w:rPr>
                <w:rFonts w:hint="eastAsia" w:ascii="仿宋" w:hAnsi="仿宋" w:cs="仿宋"/>
              </w:rPr>
              <w:t>小计</w:t>
            </w:r>
          </w:p>
        </w:tc>
      </w:tr>
      <w:tr w14:paraId="0F156E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2C595A21">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23FE51AF">
            <w:pPr>
              <w:tabs>
                <w:tab w:val="left" w:pos="1418"/>
              </w:tabs>
              <w:snapToGrid w:val="0"/>
              <w:spacing w:line="360" w:lineRule="auto"/>
              <w:jc w:val="center"/>
              <w:rPr>
                <w:rFonts w:ascii="仿宋" w:hAnsi="仿宋" w:cs="仿宋"/>
                <w:spacing w:val="20"/>
              </w:rPr>
            </w:pPr>
          </w:p>
        </w:tc>
        <w:tc>
          <w:tcPr>
            <w:tcW w:w="1335" w:type="dxa"/>
            <w:tcBorders>
              <w:top w:val="single" w:color="auto" w:sz="4" w:space="0"/>
              <w:left w:val="single" w:color="auto" w:sz="4" w:space="0"/>
              <w:bottom w:val="single" w:color="auto" w:sz="4" w:space="0"/>
              <w:right w:val="single" w:color="auto" w:sz="4" w:space="0"/>
            </w:tcBorders>
          </w:tcPr>
          <w:p w14:paraId="14656ADB">
            <w:pPr>
              <w:tabs>
                <w:tab w:val="left" w:pos="1418"/>
              </w:tabs>
              <w:snapToGrid w:val="0"/>
              <w:spacing w:line="360" w:lineRule="auto"/>
              <w:jc w:val="center"/>
              <w:rPr>
                <w:rFonts w:ascii="仿宋" w:hAnsi="仿宋" w:cs="仿宋"/>
                <w:spacing w:val="20"/>
              </w:rPr>
            </w:pPr>
          </w:p>
        </w:tc>
        <w:tc>
          <w:tcPr>
            <w:tcW w:w="1476" w:type="dxa"/>
            <w:tcBorders>
              <w:top w:val="single" w:color="auto" w:sz="4" w:space="0"/>
              <w:left w:val="single" w:color="auto" w:sz="4" w:space="0"/>
              <w:bottom w:val="single" w:color="auto" w:sz="4" w:space="0"/>
              <w:right w:val="single" w:color="auto" w:sz="4" w:space="0"/>
            </w:tcBorders>
          </w:tcPr>
          <w:p w14:paraId="4456767F">
            <w:pPr>
              <w:tabs>
                <w:tab w:val="left" w:pos="1418"/>
              </w:tabs>
              <w:snapToGrid w:val="0"/>
              <w:spacing w:line="360" w:lineRule="auto"/>
              <w:jc w:val="center"/>
              <w:rPr>
                <w:rFonts w:ascii="仿宋" w:hAnsi="仿宋" w:cs="仿宋"/>
                <w:spacing w:val="20"/>
              </w:rPr>
            </w:pPr>
          </w:p>
        </w:tc>
        <w:tc>
          <w:tcPr>
            <w:tcW w:w="1785" w:type="dxa"/>
            <w:tcBorders>
              <w:top w:val="single" w:color="auto" w:sz="4" w:space="0"/>
              <w:left w:val="single" w:color="auto" w:sz="4" w:space="0"/>
              <w:bottom w:val="single" w:color="auto" w:sz="4" w:space="0"/>
              <w:right w:val="single" w:color="auto" w:sz="4" w:space="0"/>
            </w:tcBorders>
          </w:tcPr>
          <w:p w14:paraId="3E16648C">
            <w:pPr>
              <w:tabs>
                <w:tab w:val="left" w:pos="1418"/>
              </w:tabs>
              <w:snapToGrid w:val="0"/>
              <w:spacing w:line="360" w:lineRule="auto"/>
              <w:jc w:val="center"/>
              <w:rPr>
                <w:rFonts w:ascii="仿宋" w:hAnsi="仿宋" w:cs="仿宋"/>
                <w:spacing w:val="20"/>
              </w:rPr>
            </w:pPr>
          </w:p>
        </w:tc>
        <w:tc>
          <w:tcPr>
            <w:tcW w:w="1080" w:type="dxa"/>
            <w:tcBorders>
              <w:top w:val="single" w:color="auto" w:sz="4" w:space="0"/>
              <w:left w:val="single" w:color="auto" w:sz="4" w:space="0"/>
              <w:bottom w:val="single" w:color="auto" w:sz="4" w:space="0"/>
              <w:right w:val="single" w:color="auto" w:sz="4" w:space="0"/>
            </w:tcBorders>
          </w:tcPr>
          <w:p w14:paraId="19EB604A">
            <w:pPr>
              <w:tabs>
                <w:tab w:val="left" w:pos="1418"/>
              </w:tabs>
              <w:snapToGrid w:val="0"/>
              <w:spacing w:line="360" w:lineRule="auto"/>
              <w:jc w:val="center"/>
              <w:rPr>
                <w:rFonts w:ascii="仿宋" w:hAnsi="仿宋" w:cs="仿宋"/>
                <w:spacing w:val="20"/>
              </w:rPr>
            </w:pPr>
          </w:p>
        </w:tc>
        <w:tc>
          <w:tcPr>
            <w:tcW w:w="1892" w:type="dxa"/>
            <w:tcBorders>
              <w:top w:val="single" w:color="auto" w:sz="4" w:space="0"/>
              <w:left w:val="single" w:color="auto" w:sz="4" w:space="0"/>
              <w:bottom w:val="single" w:color="auto" w:sz="4" w:space="0"/>
              <w:right w:val="single" w:color="auto" w:sz="4" w:space="0"/>
            </w:tcBorders>
          </w:tcPr>
          <w:p w14:paraId="5E22D8D5">
            <w:pPr>
              <w:tabs>
                <w:tab w:val="left" w:pos="1418"/>
              </w:tabs>
              <w:snapToGrid w:val="0"/>
              <w:spacing w:line="360" w:lineRule="auto"/>
              <w:jc w:val="center"/>
              <w:rPr>
                <w:rFonts w:ascii="仿宋" w:hAnsi="仿宋" w:cs="仿宋"/>
                <w:spacing w:val="20"/>
              </w:rPr>
            </w:pPr>
          </w:p>
        </w:tc>
      </w:tr>
      <w:tr w14:paraId="20C96F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458D31AA">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6D727623">
            <w:pPr>
              <w:tabs>
                <w:tab w:val="left" w:pos="1418"/>
              </w:tabs>
              <w:snapToGrid w:val="0"/>
              <w:spacing w:line="360" w:lineRule="auto"/>
              <w:jc w:val="center"/>
              <w:rPr>
                <w:rFonts w:ascii="仿宋" w:hAnsi="仿宋" w:cs="仿宋"/>
                <w:spacing w:val="20"/>
              </w:rPr>
            </w:pPr>
          </w:p>
        </w:tc>
        <w:tc>
          <w:tcPr>
            <w:tcW w:w="1335" w:type="dxa"/>
            <w:tcBorders>
              <w:top w:val="single" w:color="auto" w:sz="4" w:space="0"/>
              <w:left w:val="single" w:color="auto" w:sz="4" w:space="0"/>
              <w:bottom w:val="single" w:color="auto" w:sz="4" w:space="0"/>
              <w:right w:val="single" w:color="auto" w:sz="4" w:space="0"/>
            </w:tcBorders>
          </w:tcPr>
          <w:p w14:paraId="41724679">
            <w:pPr>
              <w:tabs>
                <w:tab w:val="left" w:pos="1418"/>
              </w:tabs>
              <w:snapToGrid w:val="0"/>
              <w:spacing w:line="360" w:lineRule="auto"/>
              <w:jc w:val="center"/>
              <w:rPr>
                <w:rFonts w:ascii="仿宋" w:hAnsi="仿宋" w:cs="仿宋"/>
                <w:spacing w:val="20"/>
              </w:rPr>
            </w:pPr>
          </w:p>
        </w:tc>
        <w:tc>
          <w:tcPr>
            <w:tcW w:w="1476" w:type="dxa"/>
            <w:tcBorders>
              <w:top w:val="single" w:color="auto" w:sz="4" w:space="0"/>
              <w:left w:val="single" w:color="auto" w:sz="4" w:space="0"/>
              <w:bottom w:val="single" w:color="auto" w:sz="4" w:space="0"/>
              <w:right w:val="single" w:color="auto" w:sz="4" w:space="0"/>
            </w:tcBorders>
          </w:tcPr>
          <w:p w14:paraId="654E5731">
            <w:pPr>
              <w:tabs>
                <w:tab w:val="left" w:pos="1418"/>
              </w:tabs>
              <w:snapToGrid w:val="0"/>
              <w:spacing w:line="360" w:lineRule="auto"/>
              <w:jc w:val="center"/>
              <w:rPr>
                <w:rFonts w:ascii="仿宋" w:hAnsi="仿宋" w:cs="仿宋"/>
                <w:spacing w:val="20"/>
              </w:rPr>
            </w:pPr>
          </w:p>
        </w:tc>
        <w:tc>
          <w:tcPr>
            <w:tcW w:w="1785" w:type="dxa"/>
            <w:tcBorders>
              <w:top w:val="single" w:color="auto" w:sz="4" w:space="0"/>
              <w:left w:val="single" w:color="auto" w:sz="4" w:space="0"/>
              <w:bottom w:val="single" w:color="auto" w:sz="4" w:space="0"/>
              <w:right w:val="single" w:color="auto" w:sz="4" w:space="0"/>
            </w:tcBorders>
          </w:tcPr>
          <w:p w14:paraId="42C3ECE1">
            <w:pPr>
              <w:tabs>
                <w:tab w:val="left" w:pos="1418"/>
              </w:tabs>
              <w:snapToGrid w:val="0"/>
              <w:spacing w:line="360" w:lineRule="auto"/>
              <w:jc w:val="center"/>
              <w:rPr>
                <w:rFonts w:ascii="仿宋" w:hAnsi="仿宋" w:cs="仿宋"/>
                <w:spacing w:val="20"/>
              </w:rPr>
            </w:pPr>
          </w:p>
        </w:tc>
        <w:tc>
          <w:tcPr>
            <w:tcW w:w="1080" w:type="dxa"/>
            <w:tcBorders>
              <w:top w:val="single" w:color="auto" w:sz="4" w:space="0"/>
              <w:left w:val="single" w:color="auto" w:sz="4" w:space="0"/>
              <w:bottom w:val="single" w:color="auto" w:sz="4" w:space="0"/>
              <w:right w:val="single" w:color="auto" w:sz="4" w:space="0"/>
            </w:tcBorders>
          </w:tcPr>
          <w:p w14:paraId="69FE7467">
            <w:pPr>
              <w:tabs>
                <w:tab w:val="left" w:pos="1418"/>
              </w:tabs>
              <w:snapToGrid w:val="0"/>
              <w:spacing w:line="360" w:lineRule="auto"/>
              <w:jc w:val="center"/>
              <w:rPr>
                <w:rFonts w:ascii="仿宋" w:hAnsi="仿宋" w:cs="仿宋"/>
                <w:spacing w:val="20"/>
              </w:rPr>
            </w:pPr>
          </w:p>
        </w:tc>
        <w:tc>
          <w:tcPr>
            <w:tcW w:w="1892" w:type="dxa"/>
            <w:tcBorders>
              <w:top w:val="single" w:color="auto" w:sz="4" w:space="0"/>
              <w:left w:val="single" w:color="auto" w:sz="4" w:space="0"/>
              <w:bottom w:val="single" w:color="auto" w:sz="4" w:space="0"/>
              <w:right w:val="single" w:color="auto" w:sz="4" w:space="0"/>
            </w:tcBorders>
          </w:tcPr>
          <w:p w14:paraId="56F47DE9">
            <w:pPr>
              <w:tabs>
                <w:tab w:val="left" w:pos="1418"/>
              </w:tabs>
              <w:snapToGrid w:val="0"/>
              <w:spacing w:line="360" w:lineRule="auto"/>
              <w:jc w:val="center"/>
              <w:rPr>
                <w:rFonts w:ascii="仿宋" w:hAnsi="仿宋" w:cs="仿宋"/>
                <w:spacing w:val="20"/>
              </w:rPr>
            </w:pPr>
          </w:p>
        </w:tc>
      </w:tr>
      <w:tr w14:paraId="7B1BD8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4E644C80">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12D0FA40">
            <w:pPr>
              <w:tabs>
                <w:tab w:val="left" w:pos="1418"/>
              </w:tabs>
              <w:snapToGrid w:val="0"/>
              <w:spacing w:line="360" w:lineRule="auto"/>
              <w:jc w:val="center"/>
              <w:rPr>
                <w:rFonts w:ascii="仿宋" w:hAnsi="仿宋" w:cs="仿宋"/>
                <w:spacing w:val="20"/>
              </w:rPr>
            </w:pPr>
          </w:p>
        </w:tc>
        <w:tc>
          <w:tcPr>
            <w:tcW w:w="1335" w:type="dxa"/>
            <w:tcBorders>
              <w:top w:val="single" w:color="auto" w:sz="4" w:space="0"/>
              <w:left w:val="single" w:color="auto" w:sz="4" w:space="0"/>
              <w:bottom w:val="single" w:color="auto" w:sz="4" w:space="0"/>
              <w:right w:val="single" w:color="auto" w:sz="4" w:space="0"/>
            </w:tcBorders>
          </w:tcPr>
          <w:p w14:paraId="130032CE">
            <w:pPr>
              <w:tabs>
                <w:tab w:val="left" w:pos="1418"/>
              </w:tabs>
              <w:snapToGrid w:val="0"/>
              <w:spacing w:line="360" w:lineRule="auto"/>
              <w:jc w:val="center"/>
              <w:rPr>
                <w:rFonts w:ascii="仿宋" w:hAnsi="仿宋" w:cs="仿宋"/>
                <w:spacing w:val="20"/>
              </w:rPr>
            </w:pPr>
          </w:p>
        </w:tc>
        <w:tc>
          <w:tcPr>
            <w:tcW w:w="1476" w:type="dxa"/>
            <w:tcBorders>
              <w:top w:val="single" w:color="auto" w:sz="4" w:space="0"/>
              <w:left w:val="single" w:color="auto" w:sz="4" w:space="0"/>
              <w:bottom w:val="single" w:color="auto" w:sz="4" w:space="0"/>
              <w:right w:val="single" w:color="auto" w:sz="4" w:space="0"/>
            </w:tcBorders>
          </w:tcPr>
          <w:p w14:paraId="172BBF1D">
            <w:pPr>
              <w:tabs>
                <w:tab w:val="left" w:pos="1418"/>
              </w:tabs>
              <w:snapToGrid w:val="0"/>
              <w:spacing w:line="360" w:lineRule="auto"/>
              <w:jc w:val="center"/>
              <w:rPr>
                <w:rFonts w:ascii="仿宋" w:hAnsi="仿宋" w:cs="仿宋"/>
                <w:spacing w:val="20"/>
              </w:rPr>
            </w:pPr>
          </w:p>
        </w:tc>
        <w:tc>
          <w:tcPr>
            <w:tcW w:w="1785" w:type="dxa"/>
            <w:tcBorders>
              <w:top w:val="single" w:color="auto" w:sz="4" w:space="0"/>
              <w:left w:val="single" w:color="auto" w:sz="4" w:space="0"/>
              <w:bottom w:val="single" w:color="auto" w:sz="4" w:space="0"/>
              <w:right w:val="single" w:color="auto" w:sz="4" w:space="0"/>
            </w:tcBorders>
          </w:tcPr>
          <w:p w14:paraId="4A1D4E0F">
            <w:pPr>
              <w:tabs>
                <w:tab w:val="left" w:pos="1418"/>
              </w:tabs>
              <w:snapToGrid w:val="0"/>
              <w:spacing w:line="360" w:lineRule="auto"/>
              <w:jc w:val="center"/>
              <w:rPr>
                <w:rFonts w:ascii="仿宋" w:hAnsi="仿宋" w:cs="仿宋"/>
                <w:spacing w:val="20"/>
              </w:rPr>
            </w:pPr>
          </w:p>
        </w:tc>
        <w:tc>
          <w:tcPr>
            <w:tcW w:w="1080" w:type="dxa"/>
            <w:tcBorders>
              <w:top w:val="single" w:color="auto" w:sz="4" w:space="0"/>
              <w:left w:val="single" w:color="auto" w:sz="4" w:space="0"/>
              <w:bottom w:val="single" w:color="auto" w:sz="4" w:space="0"/>
              <w:right w:val="single" w:color="auto" w:sz="4" w:space="0"/>
            </w:tcBorders>
          </w:tcPr>
          <w:p w14:paraId="49EF2535">
            <w:pPr>
              <w:tabs>
                <w:tab w:val="left" w:pos="1418"/>
              </w:tabs>
              <w:snapToGrid w:val="0"/>
              <w:spacing w:line="360" w:lineRule="auto"/>
              <w:jc w:val="center"/>
              <w:rPr>
                <w:rFonts w:ascii="仿宋" w:hAnsi="仿宋" w:cs="仿宋"/>
                <w:spacing w:val="20"/>
              </w:rPr>
            </w:pPr>
          </w:p>
        </w:tc>
        <w:tc>
          <w:tcPr>
            <w:tcW w:w="1892" w:type="dxa"/>
            <w:tcBorders>
              <w:top w:val="single" w:color="auto" w:sz="4" w:space="0"/>
              <w:left w:val="single" w:color="auto" w:sz="4" w:space="0"/>
              <w:bottom w:val="single" w:color="auto" w:sz="4" w:space="0"/>
              <w:right w:val="single" w:color="auto" w:sz="4" w:space="0"/>
            </w:tcBorders>
          </w:tcPr>
          <w:p w14:paraId="4629D904">
            <w:pPr>
              <w:tabs>
                <w:tab w:val="left" w:pos="1418"/>
              </w:tabs>
              <w:snapToGrid w:val="0"/>
              <w:spacing w:line="360" w:lineRule="auto"/>
              <w:jc w:val="center"/>
              <w:rPr>
                <w:rFonts w:ascii="仿宋" w:hAnsi="仿宋" w:cs="仿宋"/>
                <w:spacing w:val="20"/>
              </w:rPr>
            </w:pPr>
          </w:p>
        </w:tc>
      </w:tr>
      <w:tr w14:paraId="4138B9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702C64CD">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788DBA05">
            <w:pPr>
              <w:tabs>
                <w:tab w:val="left" w:pos="1418"/>
              </w:tabs>
              <w:snapToGrid w:val="0"/>
              <w:spacing w:line="360" w:lineRule="auto"/>
              <w:jc w:val="center"/>
              <w:rPr>
                <w:rFonts w:ascii="仿宋" w:hAnsi="仿宋" w:cs="仿宋"/>
                <w:spacing w:val="20"/>
              </w:rPr>
            </w:pPr>
            <w:r>
              <w:rPr>
                <w:rFonts w:hint="eastAsia" w:ascii="仿宋" w:hAnsi="仿宋" w:cs="仿宋"/>
                <w:spacing w:val="20"/>
              </w:rPr>
              <w:t>运费</w:t>
            </w:r>
          </w:p>
        </w:tc>
        <w:tc>
          <w:tcPr>
            <w:tcW w:w="7568" w:type="dxa"/>
            <w:gridSpan w:val="5"/>
            <w:tcBorders>
              <w:top w:val="single" w:color="auto" w:sz="4" w:space="0"/>
              <w:left w:val="single" w:color="auto" w:sz="4" w:space="0"/>
              <w:bottom w:val="single" w:color="auto" w:sz="4" w:space="0"/>
              <w:right w:val="single" w:color="auto" w:sz="4" w:space="0"/>
            </w:tcBorders>
          </w:tcPr>
          <w:p w14:paraId="621BEA8D">
            <w:pPr>
              <w:tabs>
                <w:tab w:val="left" w:pos="1418"/>
              </w:tabs>
              <w:snapToGrid w:val="0"/>
              <w:spacing w:line="360" w:lineRule="auto"/>
              <w:jc w:val="center"/>
              <w:rPr>
                <w:rFonts w:ascii="仿宋" w:hAnsi="仿宋" w:cs="仿宋"/>
                <w:spacing w:val="20"/>
              </w:rPr>
            </w:pPr>
          </w:p>
        </w:tc>
      </w:tr>
      <w:tr w14:paraId="5F1E04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714CF55A">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538AD29F">
            <w:pPr>
              <w:tabs>
                <w:tab w:val="left" w:pos="1418"/>
              </w:tabs>
              <w:snapToGrid w:val="0"/>
              <w:spacing w:line="360" w:lineRule="auto"/>
              <w:jc w:val="center"/>
              <w:rPr>
                <w:rFonts w:ascii="仿宋" w:hAnsi="仿宋" w:cs="仿宋"/>
                <w:spacing w:val="20"/>
              </w:rPr>
            </w:pPr>
            <w:r>
              <w:rPr>
                <w:rFonts w:hint="eastAsia" w:ascii="仿宋" w:hAnsi="仿宋" w:cs="仿宋"/>
                <w:spacing w:val="20"/>
              </w:rPr>
              <w:t>保险费</w:t>
            </w:r>
          </w:p>
        </w:tc>
        <w:tc>
          <w:tcPr>
            <w:tcW w:w="7568" w:type="dxa"/>
            <w:gridSpan w:val="5"/>
            <w:tcBorders>
              <w:top w:val="single" w:color="auto" w:sz="4" w:space="0"/>
              <w:left w:val="single" w:color="auto" w:sz="4" w:space="0"/>
              <w:bottom w:val="single" w:color="auto" w:sz="4" w:space="0"/>
              <w:right w:val="single" w:color="auto" w:sz="4" w:space="0"/>
            </w:tcBorders>
          </w:tcPr>
          <w:p w14:paraId="386FC52D">
            <w:pPr>
              <w:tabs>
                <w:tab w:val="left" w:pos="1418"/>
              </w:tabs>
              <w:snapToGrid w:val="0"/>
              <w:spacing w:line="360" w:lineRule="auto"/>
              <w:jc w:val="center"/>
              <w:rPr>
                <w:rFonts w:ascii="仿宋" w:hAnsi="仿宋" w:cs="仿宋"/>
                <w:spacing w:val="20"/>
              </w:rPr>
            </w:pPr>
          </w:p>
        </w:tc>
      </w:tr>
      <w:tr w14:paraId="56D628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tcPr>
          <w:p w14:paraId="1CAAF50B">
            <w:pPr>
              <w:tabs>
                <w:tab w:val="left" w:pos="1418"/>
              </w:tabs>
              <w:snapToGrid w:val="0"/>
              <w:spacing w:line="360" w:lineRule="auto"/>
              <w:jc w:val="center"/>
              <w:rPr>
                <w:rFonts w:ascii="仿宋" w:hAnsi="仿宋" w:cs="仿宋"/>
                <w:spacing w:val="20"/>
              </w:rPr>
            </w:pPr>
          </w:p>
        </w:tc>
        <w:tc>
          <w:tcPr>
            <w:tcW w:w="1470" w:type="dxa"/>
            <w:tcBorders>
              <w:top w:val="single" w:color="auto" w:sz="4" w:space="0"/>
              <w:left w:val="single" w:color="auto" w:sz="4" w:space="0"/>
              <w:bottom w:val="single" w:color="auto" w:sz="4" w:space="0"/>
              <w:right w:val="single" w:color="auto" w:sz="4" w:space="0"/>
            </w:tcBorders>
          </w:tcPr>
          <w:p w14:paraId="77F1A09A">
            <w:pPr>
              <w:tabs>
                <w:tab w:val="left" w:pos="1418"/>
              </w:tabs>
              <w:snapToGrid w:val="0"/>
              <w:spacing w:line="360" w:lineRule="auto"/>
              <w:jc w:val="center"/>
              <w:rPr>
                <w:rFonts w:ascii="仿宋" w:hAnsi="仿宋" w:cs="仿宋"/>
                <w:spacing w:val="20"/>
              </w:rPr>
            </w:pPr>
            <w:r>
              <w:rPr>
                <w:rFonts w:hint="eastAsia" w:ascii="仿宋" w:hAnsi="仿宋" w:cs="仿宋"/>
                <w:spacing w:val="20"/>
              </w:rPr>
              <w:t>其他</w:t>
            </w:r>
          </w:p>
        </w:tc>
        <w:tc>
          <w:tcPr>
            <w:tcW w:w="7568" w:type="dxa"/>
            <w:gridSpan w:val="5"/>
            <w:tcBorders>
              <w:top w:val="single" w:color="auto" w:sz="4" w:space="0"/>
              <w:left w:val="single" w:color="auto" w:sz="4" w:space="0"/>
              <w:bottom w:val="single" w:color="auto" w:sz="4" w:space="0"/>
              <w:right w:val="single" w:color="auto" w:sz="4" w:space="0"/>
            </w:tcBorders>
          </w:tcPr>
          <w:p w14:paraId="1BF61465">
            <w:pPr>
              <w:tabs>
                <w:tab w:val="left" w:pos="1418"/>
              </w:tabs>
              <w:snapToGrid w:val="0"/>
              <w:spacing w:line="360" w:lineRule="auto"/>
              <w:jc w:val="center"/>
              <w:rPr>
                <w:rFonts w:ascii="仿宋" w:hAnsi="仿宋" w:cs="仿宋"/>
                <w:spacing w:val="20"/>
              </w:rPr>
            </w:pPr>
          </w:p>
        </w:tc>
      </w:tr>
    </w:tbl>
    <w:p w14:paraId="3D8C9A44">
      <w:pPr>
        <w:snapToGrid w:val="0"/>
        <w:spacing w:line="360" w:lineRule="auto"/>
        <w:rPr>
          <w:rFonts w:ascii="仿宋" w:hAnsi="仿宋" w:cs="仿宋"/>
          <w:b/>
          <w:kern w:val="0"/>
          <w:lang w:val="zh-CN"/>
        </w:rPr>
      </w:pPr>
    </w:p>
    <w:p w14:paraId="5E12B3DA">
      <w:pPr>
        <w:snapToGrid w:val="0"/>
        <w:spacing w:line="360" w:lineRule="auto"/>
        <w:rPr>
          <w:rFonts w:ascii="仿宋" w:hAnsi="仿宋" w:cs="仿宋"/>
          <w:b/>
          <w:kern w:val="0"/>
          <w:lang w:val="zh-CN"/>
        </w:rPr>
      </w:pPr>
      <w:r>
        <w:rPr>
          <w:rFonts w:hint="eastAsia" w:ascii="仿宋" w:hAnsi="仿宋" w:cs="仿宋"/>
          <w:b/>
          <w:kern w:val="0"/>
          <w:lang w:val="zh-CN"/>
        </w:rPr>
        <w:t>注：</w:t>
      </w:r>
    </w:p>
    <w:p w14:paraId="6AF48101">
      <w:pPr>
        <w:spacing w:line="360" w:lineRule="auto"/>
        <w:ind w:left="-2" w:leftChars="-1" w:firstLine="480" w:firstLineChars="200"/>
        <w:rPr>
          <w:rFonts w:ascii="仿宋" w:hAnsi="仿宋" w:cs="仿宋"/>
          <w:kern w:val="0"/>
          <w:lang w:val="zh-CN"/>
        </w:rPr>
      </w:pPr>
      <w:r>
        <w:rPr>
          <w:rFonts w:hint="eastAsia" w:ascii="仿宋" w:hAnsi="仿宋" w:cs="仿宋"/>
          <w:kern w:val="0"/>
          <w:lang w:val="zh-CN"/>
        </w:rPr>
        <w:t>1、投标人需按本表格式填写，不得自行更改，</w:t>
      </w:r>
      <w:r>
        <w:rPr>
          <w:rFonts w:hint="eastAsia" w:ascii="仿宋" w:hAnsi="仿宋" w:cs="仿宋"/>
          <w:kern w:val="0"/>
        </w:rPr>
        <w:t>报价内容未涉及部分以“/”填入</w:t>
      </w:r>
      <w:r>
        <w:rPr>
          <w:rFonts w:hint="eastAsia" w:ascii="仿宋" w:hAnsi="仿宋" w:cs="仿宋"/>
          <w:kern w:val="0"/>
          <w:lang w:val="zh-CN"/>
        </w:rPr>
        <w:t>。</w:t>
      </w:r>
    </w:p>
    <w:p w14:paraId="7D35C005">
      <w:pPr>
        <w:spacing w:line="360" w:lineRule="auto"/>
        <w:ind w:firstLine="480" w:firstLineChars="200"/>
        <w:rPr>
          <w:rFonts w:ascii="仿宋" w:hAnsi="仿宋" w:cs="仿宋"/>
          <w:b/>
          <w:kern w:val="0"/>
          <w:lang w:val="zh-CN"/>
        </w:rPr>
      </w:pPr>
      <w:r>
        <w:rPr>
          <w:rFonts w:hint="eastAsia" w:ascii="仿宋" w:hAnsi="仿宋" w:cs="仿宋"/>
          <w:kern w:val="0"/>
          <w:lang w:val="zh-CN"/>
        </w:rPr>
        <w:t>2、有关本项目实施所涉及的一切费用均计入报价。</w:t>
      </w:r>
      <w:r>
        <w:rPr>
          <w:rFonts w:hint="eastAsia" w:ascii="仿宋" w:hAnsi="仿宋" w:cs="仿宋"/>
          <w:b/>
          <w:kern w:val="0"/>
          <w:lang w:val="zh-CN"/>
        </w:rPr>
        <w:t>采购人将以合同形式有偿取得货物或服务，不接受投标人给予的赠品、回扣或者与采购无关的其他商品、服务</w:t>
      </w:r>
      <w:r>
        <w:rPr>
          <w:rFonts w:hint="eastAsia" w:ascii="仿宋" w:hAnsi="仿宋" w:cs="仿宋"/>
          <w:kern w:val="0"/>
          <w:lang w:val="zh-CN"/>
        </w:rPr>
        <w:t>，</w:t>
      </w:r>
      <w:r>
        <w:rPr>
          <w:rFonts w:hint="eastAsia" w:ascii="仿宋" w:hAnsi="仿宋" w:cs="仿宋"/>
          <w:b/>
          <w:kern w:val="0"/>
          <w:lang w:val="zh-CN"/>
        </w:rPr>
        <w:t>不得出现“0元”“免费赠送”等形式的无偿报价，</w:t>
      </w:r>
      <w:r>
        <w:rPr>
          <w:rFonts w:hint="eastAsia" w:ascii="仿宋" w:hAnsi="仿宋" w:cs="仿宋"/>
          <w:b/>
          <w:kern w:val="0"/>
        </w:rPr>
        <w:t>否则视为</w:t>
      </w:r>
      <w:r>
        <w:rPr>
          <w:rFonts w:hint="eastAsia" w:ascii="仿宋" w:hAnsi="仿宋" w:cs="仿宋"/>
          <w:b/>
        </w:rPr>
        <w:t>投标文件含有采购人不能接受的附加条件的，投标无效</w:t>
      </w:r>
      <w:r>
        <w:rPr>
          <w:rFonts w:hint="eastAsia" w:ascii="仿宋" w:hAnsi="仿宋" w:cs="仿宋"/>
          <w:b/>
          <w:kern w:val="0"/>
          <w:lang w:val="zh-CN"/>
        </w:rPr>
        <w:t>。</w:t>
      </w:r>
    </w:p>
    <w:p w14:paraId="12B23422">
      <w:pPr>
        <w:pStyle w:val="691"/>
        <w:keepNext w:val="0"/>
        <w:pageBreakBefore w:val="0"/>
        <w:tabs>
          <w:tab w:val="clear" w:pos="720"/>
        </w:tabs>
        <w:snapToGrid w:val="0"/>
        <w:spacing w:before="120" w:after="120"/>
        <w:ind w:firstLine="643"/>
        <w:outlineLvl w:val="9"/>
        <w:rPr>
          <w:rFonts w:eastAsia="仿宋"/>
          <w:b w:val="0"/>
          <w:sz w:val="32"/>
          <w:szCs w:val="32"/>
        </w:rPr>
      </w:pPr>
    </w:p>
    <w:p w14:paraId="36F7FA3A">
      <w:pPr>
        <w:spacing w:line="360" w:lineRule="auto"/>
        <w:ind w:right="420" w:firstLine="3614" w:firstLineChars="1000"/>
        <w:rPr>
          <w:b/>
          <w:kern w:val="0"/>
          <w:sz w:val="36"/>
          <w:szCs w:val="36"/>
        </w:rPr>
      </w:pPr>
    </w:p>
    <w:p w14:paraId="40699049">
      <w:pPr>
        <w:spacing w:line="360" w:lineRule="auto"/>
        <w:ind w:right="420" w:firstLine="3614" w:firstLineChars="1000"/>
        <w:rPr>
          <w:b/>
          <w:kern w:val="0"/>
          <w:sz w:val="36"/>
          <w:szCs w:val="36"/>
        </w:rPr>
      </w:pPr>
    </w:p>
    <w:p w14:paraId="3DAE4B1B">
      <w:pPr>
        <w:spacing w:line="360" w:lineRule="auto"/>
        <w:ind w:right="420" w:firstLine="3614" w:firstLineChars="1000"/>
        <w:rPr>
          <w:b/>
          <w:kern w:val="0"/>
          <w:sz w:val="36"/>
          <w:szCs w:val="36"/>
        </w:rPr>
      </w:pPr>
    </w:p>
    <w:p w14:paraId="2E8D0B21">
      <w:pPr>
        <w:spacing w:line="360" w:lineRule="auto"/>
        <w:ind w:right="420" w:firstLine="3614" w:firstLineChars="1000"/>
        <w:rPr>
          <w:b/>
          <w:kern w:val="0"/>
          <w:sz w:val="36"/>
          <w:szCs w:val="36"/>
        </w:rPr>
      </w:pPr>
    </w:p>
    <w:p w14:paraId="1B053EEC">
      <w:pPr>
        <w:spacing w:line="360" w:lineRule="auto"/>
        <w:ind w:right="420"/>
        <w:rPr>
          <w:b/>
          <w:kern w:val="0"/>
          <w:sz w:val="36"/>
          <w:szCs w:val="36"/>
        </w:rPr>
      </w:pPr>
    </w:p>
    <w:p w14:paraId="2CA7246A">
      <w:pPr>
        <w:spacing w:line="360" w:lineRule="auto"/>
        <w:jc w:val="center"/>
        <w:rPr>
          <w:b/>
          <w:sz w:val="32"/>
          <w:szCs w:val="32"/>
        </w:rPr>
      </w:pPr>
      <w:r>
        <w:rPr>
          <w:rFonts w:hint="eastAsia" w:hAnsi="仿宋"/>
          <w:b/>
          <w:sz w:val="32"/>
          <w:szCs w:val="32"/>
          <w:lang w:val="en-US" w:eastAsia="zh-CN"/>
        </w:rPr>
        <w:t>三、</w:t>
      </w:r>
      <w:r>
        <w:rPr>
          <w:rFonts w:hAnsi="仿宋"/>
          <w:b/>
          <w:sz w:val="32"/>
          <w:szCs w:val="32"/>
        </w:rPr>
        <w:t>中小企业声明函（货物）</w:t>
      </w:r>
    </w:p>
    <w:p w14:paraId="20AACEA8">
      <w:pPr>
        <w:spacing w:line="360" w:lineRule="auto"/>
        <w:ind w:firstLine="480" w:firstLineChars="200"/>
      </w:pPr>
      <w:r>
        <w:rPr>
          <w:rFonts w:hAnsi="仿宋"/>
        </w:rPr>
        <w:t>本公司（联合体）郑重声明，根据《政府采购促进中小企业发展管理办法》（财库﹝</w:t>
      </w:r>
      <w:r>
        <w:t>2020</w:t>
      </w:r>
      <w:r>
        <w:rPr>
          <w:rFonts w:hAnsi="仿宋"/>
        </w:rPr>
        <w:t>﹞</w:t>
      </w:r>
      <w:r>
        <w:t xml:space="preserve">46 </w:t>
      </w:r>
      <w:r>
        <w:rPr>
          <w:rFonts w:hAnsi="仿宋"/>
        </w:rPr>
        <w:t>号）的规定，本公司（联合体）参加（单位名称）的（项目名称）采购活动，提供的货物全部由符合政策要求的中小企业制造。相关企业（含联合体中的中小企业、签订分包意向协议的中小企业）的具体情况如下：</w:t>
      </w:r>
    </w:p>
    <w:p w14:paraId="7D436368">
      <w:pPr>
        <w:spacing w:line="360" w:lineRule="auto"/>
        <w:ind w:firstLine="480" w:firstLineChars="200"/>
      </w:pPr>
      <w:r>
        <w:t>1.</w:t>
      </w:r>
      <w:r>
        <w:rPr>
          <w:rFonts w:hint="eastAsia" w:hAnsi="仿宋"/>
          <w:u w:val="single"/>
          <w:lang w:eastAsia="zh-CN"/>
        </w:rPr>
        <w:t>浙江省公安厅人民警察服务中心1号电梯更新项目</w:t>
      </w:r>
      <w:r>
        <w:rPr>
          <w:rFonts w:hAnsi="仿宋"/>
        </w:rPr>
        <w:t>，属于</w:t>
      </w:r>
      <w:r>
        <w:rPr>
          <w:rFonts w:hint="eastAsia" w:hAnsi="仿宋"/>
          <w:u w:val="single"/>
        </w:rPr>
        <w:t>工业</w:t>
      </w:r>
      <w:r>
        <w:rPr>
          <w:rFonts w:hAnsi="仿宋"/>
        </w:rPr>
        <w:t>行业；制造商为</w:t>
      </w:r>
      <w:r>
        <w:rPr>
          <w:rFonts w:hAnsi="仿宋"/>
          <w:u w:val="single"/>
        </w:rPr>
        <w:t>（企业名称）</w:t>
      </w:r>
      <w:r>
        <w:rPr>
          <w:rFonts w:hAnsi="仿宋"/>
        </w:rPr>
        <w:t>，从业人员人，营业收入为万元，资产总额为万元，属于</w:t>
      </w:r>
      <w:r>
        <w:rPr>
          <w:rFonts w:hAnsi="仿宋"/>
          <w:u w:val="single"/>
        </w:rPr>
        <w:t>（中型企业、小型企业、微型企业）</w:t>
      </w:r>
      <w:r>
        <w:rPr>
          <w:rFonts w:hAnsi="仿宋"/>
        </w:rPr>
        <w:t>；</w:t>
      </w:r>
    </w:p>
    <w:p w14:paraId="484F51E2">
      <w:pPr>
        <w:spacing w:line="360" w:lineRule="auto"/>
        <w:ind w:firstLine="480" w:firstLineChars="200"/>
      </w:pPr>
      <w:r>
        <w:t>……</w:t>
      </w:r>
    </w:p>
    <w:p w14:paraId="0172A132">
      <w:pPr>
        <w:spacing w:line="360" w:lineRule="auto"/>
        <w:ind w:firstLine="480" w:firstLineChars="200"/>
      </w:pPr>
      <w:r>
        <w:rPr>
          <w:rFonts w:hAnsi="仿宋"/>
        </w:rPr>
        <w:t>以上企业，不属于大企业的分支机构，不存在控股股东为大企业的情形，也不存在与大企业的负责人为同一人的情形。</w:t>
      </w:r>
    </w:p>
    <w:p w14:paraId="54DEF719">
      <w:pPr>
        <w:spacing w:line="360" w:lineRule="auto"/>
        <w:ind w:firstLine="480" w:firstLineChars="200"/>
      </w:pPr>
      <w:r>
        <w:rPr>
          <w:rFonts w:hAnsi="仿宋"/>
        </w:rPr>
        <w:t>本企业对上述声明内容的真实性负责。如有虚假，将依法承担相应责任。</w:t>
      </w:r>
    </w:p>
    <w:p w14:paraId="17C1877D">
      <w:pPr>
        <w:snapToGrid w:val="0"/>
        <w:spacing w:line="360" w:lineRule="auto"/>
        <w:ind w:firstLine="5160" w:firstLineChars="2150"/>
        <w:rPr>
          <w:kern w:val="0"/>
        </w:rPr>
      </w:pPr>
      <w:r>
        <w:rPr>
          <w:rFonts w:hAnsi="仿宋"/>
          <w:kern w:val="0"/>
          <w:lang w:val="zh-CN"/>
        </w:rPr>
        <w:t>投标人名称</w:t>
      </w:r>
      <w:r>
        <w:rPr>
          <w:kern w:val="0"/>
          <w:lang w:val="zh-CN"/>
        </w:rPr>
        <w:t>(</w:t>
      </w:r>
      <w:r>
        <w:rPr>
          <w:rFonts w:hAnsi="仿宋"/>
          <w:kern w:val="0"/>
          <w:lang w:val="zh-CN"/>
        </w:rPr>
        <w:t>电子签名</w:t>
      </w:r>
      <w:r>
        <w:rPr>
          <w:kern w:val="0"/>
          <w:lang w:val="zh-CN"/>
        </w:rPr>
        <w:t>)</w:t>
      </w:r>
      <w:r>
        <w:rPr>
          <w:rFonts w:hAnsi="仿宋"/>
          <w:kern w:val="0"/>
          <w:lang w:val="zh-CN"/>
        </w:rPr>
        <w:t>：</w:t>
      </w:r>
    </w:p>
    <w:p w14:paraId="755B525E">
      <w:pPr>
        <w:snapToGrid w:val="0"/>
        <w:spacing w:line="360" w:lineRule="auto"/>
        <w:jc w:val="center"/>
        <w:rPr>
          <w:kern w:val="0"/>
          <w:lang w:val="zh-CN"/>
        </w:rPr>
      </w:pPr>
      <w:r>
        <w:rPr>
          <w:rFonts w:hint="eastAsia" w:hAnsi="仿宋"/>
          <w:kern w:val="0"/>
          <w:lang w:val="en-US" w:eastAsia="zh-CN"/>
        </w:rPr>
        <w:t xml:space="preserve">                        </w:t>
      </w:r>
      <w:r>
        <w:rPr>
          <w:rFonts w:hAnsi="仿宋"/>
          <w:kern w:val="0"/>
          <w:lang w:val="zh-CN"/>
        </w:rPr>
        <w:t>日期</w:t>
      </w:r>
      <w:r>
        <w:rPr>
          <w:rFonts w:hAnsi="仿宋"/>
          <w:kern w:val="0"/>
        </w:rPr>
        <w:t>：</w:t>
      </w:r>
      <w:r>
        <w:rPr>
          <w:rFonts w:hint="eastAsia" w:hAnsi="仿宋"/>
          <w:kern w:val="0"/>
          <w:lang w:val="en-US" w:eastAsia="zh-CN"/>
        </w:rPr>
        <w:t xml:space="preserve"> </w:t>
      </w:r>
      <w:r>
        <w:rPr>
          <w:rFonts w:hAnsi="仿宋"/>
          <w:kern w:val="0"/>
        </w:rPr>
        <w:t>年</w:t>
      </w:r>
      <w:r>
        <w:rPr>
          <w:rFonts w:hint="eastAsia" w:hAnsi="仿宋"/>
          <w:kern w:val="0"/>
          <w:lang w:val="en-US" w:eastAsia="zh-CN"/>
        </w:rPr>
        <w:t xml:space="preserve"> </w:t>
      </w:r>
      <w:r>
        <w:rPr>
          <w:rFonts w:hAnsi="仿宋"/>
          <w:kern w:val="0"/>
          <w:lang w:val="zh-CN"/>
        </w:rPr>
        <w:t>月</w:t>
      </w:r>
      <w:r>
        <w:rPr>
          <w:rFonts w:hint="eastAsia" w:hAnsi="仿宋"/>
          <w:kern w:val="0"/>
          <w:lang w:val="en-US" w:eastAsia="zh-CN"/>
        </w:rPr>
        <w:t xml:space="preserve"> </w:t>
      </w:r>
      <w:r>
        <w:rPr>
          <w:rFonts w:hAnsi="仿宋"/>
          <w:kern w:val="0"/>
          <w:lang w:val="zh-CN"/>
        </w:rPr>
        <w:t>日</w:t>
      </w:r>
    </w:p>
    <w:p w14:paraId="3DE76522">
      <w:pPr>
        <w:spacing w:line="360" w:lineRule="auto"/>
        <w:jc w:val="left"/>
        <w:rPr>
          <w:sz w:val="18"/>
          <w:szCs w:val="18"/>
        </w:rPr>
      </w:pPr>
      <w:r>
        <w:rPr>
          <w:rFonts w:hAnsi="仿宋"/>
          <w:sz w:val="18"/>
          <w:szCs w:val="18"/>
        </w:rPr>
        <w:t>从业人员、营业收入、资产总额填报上一年度数据，无上一年度数据的新成立企业可不填报。</w:t>
      </w:r>
    </w:p>
    <w:p w14:paraId="694526F6">
      <w:pPr>
        <w:spacing w:line="360" w:lineRule="auto"/>
        <w:ind w:right="420" w:firstLine="480" w:firstLineChars="200"/>
      </w:pPr>
      <w:r>
        <w:rPr>
          <w:rFonts w:hAnsi="仿宋"/>
        </w:rPr>
        <w:t>注：符合《关于促进残疾人就业政府采购政策的通知》（财库〔</w:t>
      </w:r>
      <w:r>
        <w:t>2017</w:t>
      </w:r>
      <w:r>
        <w:rPr>
          <w:rFonts w:hAnsi="仿宋"/>
        </w:rPr>
        <w:t>〕</w:t>
      </w:r>
      <w:r>
        <w:t>141</w:t>
      </w:r>
      <w:r>
        <w:rPr>
          <w:rFonts w:hAnsi="仿宋"/>
        </w:rPr>
        <w:t>号）规定的条件并提供《残疾人福利性单位声明函》（附件</w:t>
      </w:r>
      <w:r>
        <w:t>1</w:t>
      </w:r>
      <w:r>
        <w:rPr>
          <w:rFonts w:hAnsi="仿宋"/>
        </w:rPr>
        <w:t>）的残疾人福利性单位视同小型、微型企业；根据《关于政府采购支持监狱企业发展有关问题的通知》（财库</w:t>
      </w:r>
      <w:r>
        <w:t>[2014]68</w:t>
      </w:r>
      <w:r>
        <w:rPr>
          <w:rFonts w:hAnsi="仿宋"/>
        </w:rPr>
        <w:t>号）的规定，投标人提供由省级以上监狱管理局、戒毒管理局（含新疆生产建设兵团）出具的属于监狱企业证明文件的，视同为小型和微型企业。</w:t>
      </w:r>
    </w:p>
    <w:p w14:paraId="6CE1E391">
      <w:pPr>
        <w:spacing w:line="360" w:lineRule="auto"/>
        <w:rPr>
          <w:rFonts w:hAnsi="仿宋"/>
          <w:b/>
          <w:spacing w:val="6"/>
          <w:sz w:val="32"/>
          <w:szCs w:val="32"/>
        </w:rPr>
      </w:pPr>
    </w:p>
    <w:p w14:paraId="3D775EBA">
      <w:pPr>
        <w:keepNext w:val="0"/>
        <w:keepLines w:val="0"/>
        <w:pageBreakBefore/>
        <w:widowControl w:val="0"/>
        <w:kinsoku/>
        <w:wordWrap/>
        <w:overflowPunct/>
        <w:topLinePunct w:val="0"/>
        <w:autoSpaceDE/>
        <w:autoSpaceDN/>
        <w:bidi w:val="0"/>
        <w:adjustRightInd w:val="0"/>
        <w:snapToGrid/>
        <w:spacing w:line="360" w:lineRule="auto"/>
        <w:textAlignment w:val="auto"/>
        <w:rPr>
          <w:b/>
          <w:spacing w:val="6"/>
          <w:sz w:val="32"/>
          <w:szCs w:val="32"/>
        </w:rPr>
      </w:pPr>
      <w:r>
        <w:rPr>
          <w:rFonts w:hAnsi="仿宋"/>
          <w:b/>
          <w:spacing w:val="6"/>
          <w:sz w:val="32"/>
          <w:szCs w:val="32"/>
        </w:rPr>
        <w:t>附件</w:t>
      </w:r>
      <w:r>
        <w:rPr>
          <w:b/>
          <w:spacing w:val="6"/>
          <w:sz w:val="32"/>
          <w:szCs w:val="32"/>
        </w:rPr>
        <w:t>1</w:t>
      </w:r>
      <w:r>
        <w:rPr>
          <w:rFonts w:hAnsi="仿宋"/>
          <w:b/>
          <w:spacing w:val="6"/>
          <w:sz w:val="32"/>
          <w:szCs w:val="32"/>
        </w:rPr>
        <w:t>：</w:t>
      </w:r>
    </w:p>
    <w:p w14:paraId="2DED2D7D">
      <w:pPr>
        <w:spacing w:line="360" w:lineRule="auto"/>
        <w:jc w:val="center"/>
        <w:rPr>
          <w:b/>
          <w:spacing w:val="6"/>
          <w:sz w:val="32"/>
          <w:szCs w:val="32"/>
        </w:rPr>
      </w:pPr>
      <w:bookmarkStart w:id="396" w:name="OLE_LINK13"/>
      <w:bookmarkStart w:id="397" w:name="OLE_LINK14"/>
      <w:r>
        <w:rPr>
          <w:rFonts w:hAnsi="仿宋"/>
          <w:b/>
          <w:spacing w:val="6"/>
          <w:sz w:val="32"/>
          <w:szCs w:val="32"/>
        </w:rPr>
        <w:t>残疾人福利性单位声明函</w:t>
      </w:r>
    </w:p>
    <w:bookmarkEnd w:id="396"/>
    <w:bookmarkEnd w:id="397"/>
    <w:p w14:paraId="45D0C296">
      <w:pPr>
        <w:spacing w:line="360" w:lineRule="auto"/>
        <w:rPr>
          <w:b/>
          <w:spacing w:val="6"/>
          <w:sz w:val="30"/>
          <w:szCs w:val="30"/>
        </w:rPr>
      </w:pPr>
    </w:p>
    <w:p w14:paraId="086FDE71">
      <w:pPr>
        <w:spacing w:line="360" w:lineRule="auto"/>
        <w:ind w:firstLine="480" w:firstLineChars="200"/>
      </w:pPr>
      <w:r>
        <w:rPr>
          <w:rFonts w:hAnsi="仿宋"/>
        </w:rPr>
        <w:t>本单位郑重声明，根据《财政部民政部中国残疾人联合会关于促进残疾人就业政府采购政策的通知》（财库〔</w:t>
      </w:r>
      <w:r>
        <w:t>2017</w:t>
      </w:r>
      <w:r>
        <w:rPr>
          <w:rFonts w:hAnsi="仿宋"/>
        </w:rPr>
        <w:t>〕</w:t>
      </w:r>
      <w:r>
        <w:t xml:space="preserve"> 141</w:t>
      </w:r>
      <w:r>
        <w:rPr>
          <w:rFonts w:hAnsi="仿宋"/>
        </w:rPr>
        <w:t>号）的规定，本单位为符合条件的残疾人福利性单位，且本单位参加</w:t>
      </w:r>
      <w:r>
        <w:t>______</w:t>
      </w:r>
      <w:r>
        <w:rPr>
          <w:rFonts w:hAnsi="仿宋"/>
        </w:rPr>
        <w:t>单位的</w:t>
      </w:r>
      <w:r>
        <w:t>______</w:t>
      </w:r>
      <w:r>
        <w:rPr>
          <w:rFonts w:hAnsi="仿宋"/>
        </w:rPr>
        <w:t>项目采购活动提供本单位制造的货物（由本单位承担工程</w:t>
      </w:r>
      <w:r>
        <w:t>/</w:t>
      </w:r>
      <w:r>
        <w:rPr>
          <w:rFonts w:hAnsi="仿宋"/>
        </w:rPr>
        <w:t>提供服务），或者提供其他残疾人福利性单位制造的货物（不包括使用非残疾人福利性单位注册商标的货物）。</w:t>
      </w:r>
    </w:p>
    <w:p w14:paraId="70A78DCE">
      <w:pPr>
        <w:spacing w:line="360" w:lineRule="auto"/>
        <w:ind w:firstLine="480" w:firstLineChars="200"/>
      </w:pPr>
      <w:r>
        <w:rPr>
          <w:rFonts w:hAnsi="仿宋"/>
        </w:rPr>
        <w:t>本单位对上述声明的真实性负责。如有虚假，将依法承担相应责任。</w:t>
      </w:r>
    </w:p>
    <w:p w14:paraId="4DE5A0F9">
      <w:pPr>
        <w:spacing w:line="360" w:lineRule="auto"/>
        <w:ind w:firstLine="480" w:firstLineChars="200"/>
      </w:pPr>
    </w:p>
    <w:p w14:paraId="1ABD6D8B">
      <w:pPr>
        <w:spacing w:line="360" w:lineRule="auto"/>
        <w:ind w:firstLine="480" w:firstLineChars="200"/>
      </w:pPr>
    </w:p>
    <w:p w14:paraId="52C5E114">
      <w:pPr>
        <w:tabs>
          <w:tab w:val="left" w:pos="4860"/>
        </w:tabs>
        <w:spacing w:line="360" w:lineRule="auto"/>
        <w:ind w:right="1560" w:firstLine="480" w:firstLineChars="200"/>
        <w:jc w:val="center"/>
      </w:pPr>
      <w:r>
        <w:rPr>
          <w:rFonts w:hAnsi="仿宋"/>
          <w:kern w:val="0"/>
          <w:lang w:val="zh-CN"/>
        </w:rPr>
        <w:t>投标人名称（电子签名）</w:t>
      </w:r>
      <w:r>
        <w:rPr>
          <w:rFonts w:hAnsi="仿宋"/>
        </w:rPr>
        <w:t>：</w:t>
      </w:r>
    </w:p>
    <w:p w14:paraId="2C9C1107">
      <w:pPr>
        <w:tabs>
          <w:tab w:val="left" w:pos="4860"/>
        </w:tabs>
        <w:spacing w:line="360" w:lineRule="auto"/>
        <w:ind w:right="1560" w:firstLine="480" w:firstLineChars="200"/>
        <w:jc w:val="center"/>
      </w:pPr>
      <w:r>
        <w:rPr>
          <w:rFonts w:hAnsi="仿宋"/>
        </w:rPr>
        <w:t>日期：</w:t>
      </w:r>
    </w:p>
    <w:p w14:paraId="1E1D7883">
      <w:pPr>
        <w:spacing w:line="360" w:lineRule="auto"/>
        <w:ind w:firstLine="480" w:firstLineChars="200"/>
      </w:pPr>
    </w:p>
    <w:p w14:paraId="6937C60B">
      <w:pPr>
        <w:spacing w:line="360" w:lineRule="auto"/>
        <w:ind w:firstLine="480" w:firstLineChars="200"/>
      </w:pPr>
    </w:p>
    <w:p w14:paraId="53852DA1">
      <w:pPr>
        <w:spacing w:line="360" w:lineRule="auto"/>
        <w:ind w:firstLine="480" w:firstLineChars="200"/>
      </w:pPr>
    </w:p>
    <w:p w14:paraId="22FEC2F9">
      <w:pPr>
        <w:spacing w:line="360" w:lineRule="auto"/>
        <w:ind w:firstLine="480" w:firstLineChars="200"/>
      </w:pPr>
    </w:p>
    <w:p w14:paraId="2EE42679">
      <w:pPr>
        <w:spacing w:line="360" w:lineRule="auto"/>
        <w:ind w:firstLine="480" w:firstLineChars="200"/>
      </w:pPr>
    </w:p>
    <w:p w14:paraId="00DAC00D">
      <w:pPr>
        <w:spacing w:line="360" w:lineRule="auto"/>
        <w:rPr>
          <w:b/>
        </w:rPr>
      </w:pPr>
    </w:p>
    <w:p w14:paraId="43BB14A9">
      <w:pPr>
        <w:spacing w:line="360" w:lineRule="auto"/>
        <w:rPr>
          <w:b/>
        </w:rPr>
      </w:pPr>
    </w:p>
    <w:p w14:paraId="11CAFD76">
      <w:pPr>
        <w:spacing w:line="360" w:lineRule="auto"/>
        <w:rPr>
          <w:b/>
        </w:rPr>
      </w:pPr>
    </w:p>
    <w:p w14:paraId="74ED606F">
      <w:pPr>
        <w:spacing w:line="360" w:lineRule="auto"/>
        <w:rPr>
          <w:b/>
        </w:rPr>
      </w:pPr>
    </w:p>
    <w:p w14:paraId="778483EB">
      <w:pPr>
        <w:spacing w:line="360" w:lineRule="auto"/>
        <w:rPr>
          <w:b/>
        </w:rPr>
      </w:pPr>
    </w:p>
    <w:p w14:paraId="3511DFFA">
      <w:pPr>
        <w:spacing w:line="360" w:lineRule="auto"/>
        <w:rPr>
          <w:b/>
        </w:rPr>
      </w:pPr>
    </w:p>
    <w:p w14:paraId="61CC66E4">
      <w:pPr>
        <w:spacing w:line="360" w:lineRule="auto"/>
        <w:rPr>
          <w:b/>
        </w:rPr>
      </w:pPr>
    </w:p>
    <w:p w14:paraId="0FDEE7FE">
      <w:pPr>
        <w:spacing w:line="360" w:lineRule="auto"/>
        <w:rPr>
          <w:b/>
        </w:rPr>
      </w:pPr>
    </w:p>
    <w:p w14:paraId="28422778">
      <w:pPr>
        <w:spacing w:line="360" w:lineRule="auto"/>
        <w:rPr>
          <w:b/>
        </w:rPr>
      </w:pPr>
    </w:p>
    <w:p w14:paraId="5DED559B">
      <w:pPr>
        <w:spacing w:line="360" w:lineRule="auto"/>
        <w:jc w:val="left"/>
        <w:rPr>
          <w:b/>
          <w:spacing w:val="6"/>
          <w:sz w:val="32"/>
          <w:szCs w:val="32"/>
        </w:rPr>
      </w:pPr>
    </w:p>
    <w:p w14:paraId="785F14E8">
      <w:pPr>
        <w:spacing w:line="360" w:lineRule="auto"/>
        <w:jc w:val="left"/>
        <w:rPr>
          <w:b/>
          <w:spacing w:val="6"/>
          <w:sz w:val="32"/>
          <w:szCs w:val="32"/>
        </w:rPr>
      </w:pPr>
    </w:p>
    <w:p w14:paraId="0C5DD5E6">
      <w:pPr>
        <w:spacing w:line="360" w:lineRule="auto"/>
        <w:jc w:val="left"/>
        <w:rPr>
          <w:rFonts w:hAnsi="仿宋"/>
          <w:b/>
          <w:spacing w:val="6"/>
          <w:sz w:val="32"/>
          <w:szCs w:val="32"/>
        </w:rPr>
      </w:pPr>
    </w:p>
    <w:p w14:paraId="5399046A">
      <w:pPr>
        <w:spacing w:line="360" w:lineRule="auto"/>
        <w:jc w:val="left"/>
        <w:rPr>
          <w:rFonts w:hAnsi="仿宋"/>
          <w:b/>
          <w:spacing w:val="6"/>
          <w:sz w:val="32"/>
          <w:szCs w:val="32"/>
        </w:rPr>
      </w:pPr>
    </w:p>
    <w:p w14:paraId="03CA8533">
      <w:pPr>
        <w:spacing w:line="360" w:lineRule="auto"/>
        <w:jc w:val="left"/>
        <w:rPr>
          <w:b/>
          <w:spacing w:val="6"/>
          <w:sz w:val="32"/>
          <w:szCs w:val="32"/>
        </w:rPr>
      </w:pPr>
      <w:r>
        <w:rPr>
          <w:rFonts w:hAnsi="仿宋"/>
          <w:b/>
          <w:spacing w:val="6"/>
          <w:sz w:val="32"/>
          <w:szCs w:val="32"/>
        </w:rPr>
        <w:t>附件</w:t>
      </w:r>
      <w:r>
        <w:rPr>
          <w:b/>
          <w:spacing w:val="6"/>
          <w:sz w:val="32"/>
          <w:szCs w:val="32"/>
        </w:rPr>
        <w:t>2</w:t>
      </w:r>
      <w:r>
        <w:rPr>
          <w:rFonts w:hAnsi="仿宋"/>
          <w:b/>
          <w:spacing w:val="6"/>
          <w:sz w:val="32"/>
          <w:szCs w:val="32"/>
        </w:rPr>
        <w:t>：质疑函范本及制作说明</w:t>
      </w:r>
    </w:p>
    <w:p w14:paraId="05997567">
      <w:pPr>
        <w:spacing w:line="360" w:lineRule="auto"/>
        <w:jc w:val="center"/>
        <w:rPr>
          <w:b/>
          <w:spacing w:val="6"/>
          <w:sz w:val="32"/>
          <w:szCs w:val="32"/>
        </w:rPr>
      </w:pPr>
      <w:r>
        <w:rPr>
          <w:rFonts w:hAnsi="仿宋"/>
          <w:b/>
          <w:spacing w:val="6"/>
          <w:sz w:val="32"/>
          <w:szCs w:val="32"/>
        </w:rPr>
        <w:t>质疑函范本</w:t>
      </w:r>
    </w:p>
    <w:p w14:paraId="55F25061">
      <w:pPr>
        <w:snapToGrid w:val="0"/>
        <w:spacing w:before="240" w:beforeLines="100" w:line="360" w:lineRule="auto"/>
        <w:rPr>
          <w:bCs/>
        </w:rPr>
      </w:pPr>
      <w:r>
        <w:rPr>
          <w:rFonts w:hAnsi="仿宋"/>
          <w:bCs/>
        </w:rPr>
        <w:t>一、质疑供应商基本信息</w:t>
      </w:r>
    </w:p>
    <w:p w14:paraId="3FB41437">
      <w:pPr>
        <w:snapToGrid w:val="0"/>
        <w:spacing w:line="360" w:lineRule="auto"/>
        <w:rPr>
          <w:u w:val="dotted"/>
        </w:rPr>
      </w:pPr>
      <w:r>
        <w:rPr>
          <w:rFonts w:hAnsi="仿宋"/>
        </w:rPr>
        <w:t>质疑供应商：</w:t>
      </w:r>
    </w:p>
    <w:p w14:paraId="64BE6757">
      <w:pPr>
        <w:snapToGrid w:val="0"/>
        <w:spacing w:line="360" w:lineRule="auto"/>
      </w:pPr>
      <w:r>
        <w:rPr>
          <w:rFonts w:hAnsi="仿宋"/>
        </w:rPr>
        <w:t>地址：邮编：</w:t>
      </w:r>
    </w:p>
    <w:p w14:paraId="6D819E72">
      <w:pPr>
        <w:snapToGrid w:val="0"/>
        <w:spacing w:line="360" w:lineRule="auto"/>
      </w:pPr>
      <w:r>
        <w:rPr>
          <w:rFonts w:hAnsi="仿宋"/>
        </w:rPr>
        <w:t>联系人：联系电话：</w:t>
      </w:r>
    </w:p>
    <w:p w14:paraId="568AE9FB">
      <w:pPr>
        <w:snapToGrid w:val="0"/>
        <w:spacing w:line="360" w:lineRule="auto"/>
        <w:rPr>
          <w:u w:val="dotted"/>
        </w:rPr>
      </w:pPr>
      <w:r>
        <w:rPr>
          <w:rFonts w:hAnsi="仿宋"/>
        </w:rPr>
        <w:t>授权代表：</w:t>
      </w:r>
    </w:p>
    <w:p w14:paraId="72F89730">
      <w:pPr>
        <w:snapToGrid w:val="0"/>
        <w:spacing w:line="360" w:lineRule="auto"/>
      </w:pPr>
      <w:r>
        <w:rPr>
          <w:rFonts w:hAnsi="仿宋"/>
        </w:rPr>
        <w:t>联系电话：</w:t>
      </w:r>
    </w:p>
    <w:p w14:paraId="12E2AAF1">
      <w:pPr>
        <w:snapToGrid w:val="0"/>
        <w:spacing w:line="360" w:lineRule="auto"/>
      </w:pPr>
      <w:r>
        <w:rPr>
          <w:rFonts w:hAnsi="仿宋"/>
        </w:rPr>
        <w:t>地址：邮编：</w:t>
      </w:r>
    </w:p>
    <w:p w14:paraId="63D92366">
      <w:pPr>
        <w:snapToGrid w:val="0"/>
        <w:spacing w:line="360" w:lineRule="auto"/>
        <w:rPr>
          <w:bCs/>
        </w:rPr>
      </w:pPr>
      <w:r>
        <w:rPr>
          <w:rFonts w:hAnsi="仿宋"/>
          <w:bCs/>
        </w:rPr>
        <w:t>二、质疑项目基本情况</w:t>
      </w:r>
    </w:p>
    <w:p w14:paraId="6D339611">
      <w:pPr>
        <w:snapToGrid w:val="0"/>
        <w:spacing w:line="360" w:lineRule="auto"/>
      </w:pPr>
      <w:r>
        <w:rPr>
          <w:rFonts w:hAnsi="仿宋"/>
        </w:rPr>
        <w:t>质疑项目的名称：</w:t>
      </w:r>
    </w:p>
    <w:p w14:paraId="1AE68669">
      <w:pPr>
        <w:snapToGrid w:val="0"/>
        <w:spacing w:line="360" w:lineRule="auto"/>
      </w:pPr>
      <w:r>
        <w:rPr>
          <w:rFonts w:hAnsi="仿宋"/>
        </w:rPr>
        <w:t>质疑项目的编号：包号：</w:t>
      </w:r>
    </w:p>
    <w:p w14:paraId="536D3611">
      <w:pPr>
        <w:snapToGrid w:val="0"/>
        <w:spacing w:line="360" w:lineRule="auto"/>
        <w:rPr>
          <w:u w:val="dotted"/>
        </w:rPr>
      </w:pPr>
      <w:r>
        <w:rPr>
          <w:rFonts w:hAnsi="仿宋"/>
        </w:rPr>
        <w:t>采购人名称：</w:t>
      </w:r>
    </w:p>
    <w:p w14:paraId="4376D072">
      <w:pPr>
        <w:snapToGrid w:val="0"/>
        <w:spacing w:line="360" w:lineRule="auto"/>
      </w:pPr>
      <w:r>
        <w:rPr>
          <w:rFonts w:hAnsi="仿宋"/>
        </w:rPr>
        <w:t>采购文件获取日期：</w:t>
      </w:r>
    </w:p>
    <w:p w14:paraId="0CAAA9CD">
      <w:pPr>
        <w:snapToGrid w:val="0"/>
        <w:spacing w:line="360" w:lineRule="auto"/>
        <w:rPr>
          <w:bCs/>
        </w:rPr>
      </w:pPr>
      <w:r>
        <w:rPr>
          <w:rFonts w:hAnsi="仿宋"/>
          <w:bCs/>
        </w:rPr>
        <w:t>三、质疑事项具体内容</w:t>
      </w:r>
    </w:p>
    <w:p w14:paraId="70CC331E">
      <w:pPr>
        <w:snapToGrid w:val="0"/>
        <w:spacing w:line="360" w:lineRule="auto"/>
        <w:rPr>
          <w:u w:val="dotted"/>
        </w:rPr>
      </w:pPr>
      <w:r>
        <w:rPr>
          <w:rFonts w:hAnsi="仿宋"/>
        </w:rPr>
        <w:t>质疑事项</w:t>
      </w:r>
      <w:r>
        <w:t>1</w:t>
      </w:r>
      <w:r>
        <w:rPr>
          <w:rFonts w:hAnsi="仿宋"/>
        </w:rPr>
        <w:t>：</w:t>
      </w:r>
    </w:p>
    <w:p w14:paraId="3E4D26C8">
      <w:pPr>
        <w:snapToGrid w:val="0"/>
        <w:spacing w:line="360" w:lineRule="auto"/>
        <w:rPr>
          <w:u w:val="dotted"/>
        </w:rPr>
      </w:pPr>
      <w:r>
        <w:rPr>
          <w:rFonts w:hAnsi="仿宋"/>
        </w:rPr>
        <w:t>事实依据：</w:t>
      </w:r>
    </w:p>
    <w:p w14:paraId="6841E0EE">
      <w:pPr>
        <w:snapToGrid w:val="0"/>
        <w:spacing w:line="360" w:lineRule="auto"/>
      </w:pPr>
    </w:p>
    <w:p w14:paraId="0DBC9545">
      <w:pPr>
        <w:snapToGrid w:val="0"/>
        <w:spacing w:line="360" w:lineRule="auto"/>
        <w:rPr>
          <w:u w:val="dotted"/>
        </w:rPr>
      </w:pPr>
      <w:r>
        <w:rPr>
          <w:rFonts w:hAnsi="仿宋"/>
        </w:rPr>
        <w:t>法律依据：</w:t>
      </w:r>
    </w:p>
    <w:p w14:paraId="5146C398">
      <w:pPr>
        <w:snapToGrid w:val="0"/>
        <w:spacing w:line="360" w:lineRule="auto"/>
        <w:rPr>
          <w:u w:val="dotted"/>
        </w:rPr>
      </w:pPr>
    </w:p>
    <w:p w14:paraId="096B369E">
      <w:pPr>
        <w:snapToGrid w:val="0"/>
        <w:spacing w:line="360" w:lineRule="auto"/>
        <w:rPr>
          <w:u w:val="dotted"/>
        </w:rPr>
      </w:pPr>
      <w:r>
        <w:rPr>
          <w:rFonts w:hAnsi="仿宋"/>
        </w:rPr>
        <w:t>质疑事项</w:t>
      </w:r>
      <w:r>
        <w:t>2</w:t>
      </w:r>
    </w:p>
    <w:p w14:paraId="472CDE46">
      <w:pPr>
        <w:snapToGrid w:val="0"/>
        <w:spacing w:line="360" w:lineRule="auto"/>
      </w:pPr>
      <w:r>
        <w:t>……</w:t>
      </w:r>
    </w:p>
    <w:p w14:paraId="057B98F7">
      <w:pPr>
        <w:snapToGrid w:val="0"/>
        <w:spacing w:line="360" w:lineRule="auto"/>
        <w:rPr>
          <w:bCs/>
        </w:rPr>
      </w:pPr>
      <w:r>
        <w:rPr>
          <w:rFonts w:hAnsi="仿宋"/>
          <w:bCs/>
        </w:rPr>
        <w:t>四、与质疑事项相关的质疑请求</w:t>
      </w:r>
    </w:p>
    <w:p w14:paraId="342146C9">
      <w:pPr>
        <w:snapToGrid w:val="0"/>
        <w:spacing w:line="360" w:lineRule="auto"/>
        <w:rPr>
          <w:u w:val="dotted"/>
        </w:rPr>
      </w:pPr>
      <w:r>
        <w:rPr>
          <w:rFonts w:hAnsi="仿宋"/>
        </w:rPr>
        <w:t>请求：</w:t>
      </w:r>
    </w:p>
    <w:p w14:paraId="131FA435">
      <w:pPr>
        <w:spacing w:line="360" w:lineRule="auto"/>
      </w:pPr>
      <w:r>
        <w:rPr>
          <w:rFonts w:hAnsi="仿宋"/>
        </w:rPr>
        <w:t>签字</w:t>
      </w:r>
      <w:r>
        <w:t>(</w:t>
      </w:r>
      <w:r>
        <w:rPr>
          <w:rFonts w:hAnsi="仿宋"/>
        </w:rPr>
        <w:t>签章</w:t>
      </w:r>
      <w:r>
        <w:t>)</w:t>
      </w:r>
      <w:r>
        <w:rPr>
          <w:rFonts w:hAnsi="仿宋"/>
        </w:rPr>
        <w:t>：公章：</w:t>
      </w:r>
    </w:p>
    <w:p w14:paraId="148157B5">
      <w:pPr>
        <w:spacing w:line="360" w:lineRule="auto"/>
      </w:pPr>
      <w:r>
        <w:rPr>
          <w:rFonts w:hAnsi="仿宋"/>
        </w:rPr>
        <w:t>日期：</w:t>
      </w:r>
    </w:p>
    <w:p w14:paraId="5E971204">
      <w:pPr>
        <w:spacing w:line="360" w:lineRule="auto"/>
        <w:jc w:val="center"/>
        <w:rPr>
          <w:b/>
          <w:bCs/>
        </w:rPr>
      </w:pPr>
    </w:p>
    <w:p w14:paraId="50319EAA">
      <w:pPr>
        <w:spacing w:line="360" w:lineRule="auto"/>
        <w:rPr>
          <w:b/>
        </w:rPr>
      </w:pPr>
    </w:p>
    <w:p w14:paraId="49DAC13F">
      <w:pPr>
        <w:spacing w:line="360" w:lineRule="auto"/>
        <w:rPr>
          <w:b/>
        </w:rPr>
      </w:pPr>
    </w:p>
    <w:p w14:paraId="2EA8B3EB">
      <w:pPr>
        <w:spacing w:line="360" w:lineRule="auto"/>
        <w:rPr>
          <w:b/>
        </w:rPr>
      </w:pPr>
    </w:p>
    <w:p w14:paraId="4DEEE70D">
      <w:pPr>
        <w:spacing w:line="360" w:lineRule="auto"/>
        <w:rPr>
          <w:b/>
        </w:rPr>
      </w:pPr>
      <w:r>
        <w:rPr>
          <w:rFonts w:hAnsi="仿宋"/>
          <w:b/>
        </w:rPr>
        <w:t>质疑函制作说明：</w:t>
      </w:r>
    </w:p>
    <w:p w14:paraId="0CF3BCD5">
      <w:pPr>
        <w:widowControl/>
        <w:spacing w:line="360" w:lineRule="auto"/>
        <w:ind w:firstLine="480" w:firstLineChars="200"/>
        <w:jc w:val="left"/>
      </w:pPr>
      <w:r>
        <w:t>1.</w:t>
      </w:r>
      <w:r>
        <w:rPr>
          <w:rFonts w:hAnsi="仿宋"/>
        </w:rPr>
        <w:t>供应商提出质疑时，应提交质疑函和必要的证明材料。</w:t>
      </w:r>
    </w:p>
    <w:p w14:paraId="64C44D68">
      <w:pPr>
        <w:widowControl/>
        <w:spacing w:line="360" w:lineRule="auto"/>
        <w:ind w:firstLine="480" w:firstLineChars="200"/>
        <w:jc w:val="left"/>
      </w:pPr>
      <w:r>
        <w:t>2.</w:t>
      </w:r>
      <w:r>
        <w:rPr>
          <w:rFonts w:hAnsi="仿宋"/>
        </w:rPr>
        <w:t>质疑供应商若委托代理人进行质疑的，质疑函应按要求列明</w:t>
      </w:r>
      <w:r>
        <w:t>“</w:t>
      </w:r>
      <w:r>
        <w:rPr>
          <w:rFonts w:hAnsi="仿宋"/>
        </w:rPr>
        <w:t>授权代表</w:t>
      </w:r>
      <w:r>
        <w:t>”</w:t>
      </w:r>
      <w:r>
        <w:rPr>
          <w:rFonts w:hAnsi="仿宋"/>
        </w:rPr>
        <w:t>的有关内容，并在附件中提交由质疑</w:t>
      </w:r>
      <w:r>
        <w:rPr>
          <w:rFonts w:hAnsi="仿宋"/>
          <w:kern w:val="0"/>
        </w:rPr>
        <w:t>供应商签署的授权委托书。授权委托书应载明代理人的姓名或者名称、代理事项、具体权限、期限和相关事项。</w:t>
      </w:r>
    </w:p>
    <w:p w14:paraId="6582570C">
      <w:pPr>
        <w:widowControl/>
        <w:spacing w:line="360" w:lineRule="auto"/>
        <w:ind w:firstLine="480" w:firstLineChars="200"/>
        <w:jc w:val="left"/>
      </w:pPr>
      <w:r>
        <w:t>3.</w:t>
      </w:r>
      <w:r>
        <w:rPr>
          <w:rFonts w:hAnsi="仿宋"/>
        </w:rPr>
        <w:t>质疑供应商若对项目的某一分包进行质疑，质疑函中应列明具体分包号。</w:t>
      </w:r>
    </w:p>
    <w:p w14:paraId="15255304">
      <w:pPr>
        <w:widowControl/>
        <w:spacing w:line="360" w:lineRule="auto"/>
        <w:ind w:firstLine="480" w:firstLineChars="200"/>
        <w:jc w:val="left"/>
      </w:pPr>
      <w:r>
        <w:t>4.</w:t>
      </w:r>
      <w:r>
        <w:rPr>
          <w:rFonts w:hAnsi="仿宋"/>
        </w:rPr>
        <w:t>质疑函的质疑事项应具体、明确，并有必要的事实依据和法律依据。</w:t>
      </w:r>
    </w:p>
    <w:p w14:paraId="101D4C3C">
      <w:pPr>
        <w:widowControl/>
        <w:spacing w:line="360" w:lineRule="auto"/>
        <w:ind w:firstLine="480" w:firstLineChars="200"/>
        <w:jc w:val="left"/>
      </w:pPr>
      <w:r>
        <w:t>5.</w:t>
      </w:r>
      <w:r>
        <w:rPr>
          <w:rFonts w:hAnsi="仿宋"/>
        </w:rPr>
        <w:t>质疑函的质疑请求应与质疑事项相关。</w:t>
      </w:r>
    </w:p>
    <w:p w14:paraId="13E26A65">
      <w:pPr>
        <w:widowControl/>
        <w:spacing w:line="360" w:lineRule="auto"/>
        <w:ind w:firstLine="480" w:firstLineChars="200"/>
        <w:jc w:val="left"/>
      </w:pPr>
      <w:r>
        <w:t>6.</w:t>
      </w:r>
      <w:r>
        <w:rPr>
          <w:rFonts w:hAnsi="仿宋"/>
        </w:rPr>
        <w:t>质疑供应商为自然人的，质疑函应由本人签字；质疑供应商为法人或者其他组织的，质疑函应由法定代表人、主要负责人，或者其授权代表签字或者盖章，并加盖公章。</w:t>
      </w:r>
    </w:p>
    <w:p w14:paraId="062063AE">
      <w:pPr>
        <w:widowControl/>
        <w:spacing w:line="360" w:lineRule="auto"/>
        <w:ind w:firstLine="600" w:firstLineChars="200"/>
        <w:jc w:val="left"/>
        <w:rPr>
          <w:sz w:val="30"/>
          <w:szCs w:val="30"/>
        </w:rPr>
      </w:pPr>
    </w:p>
    <w:p w14:paraId="04F4EA7C">
      <w:pPr>
        <w:spacing w:line="360" w:lineRule="auto"/>
        <w:jc w:val="center"/>
        <w:rPr>
          <w:b/>
          <w:spacing w:val="6"/>
          <w:sz w:val="32"/>
          <w:szCs w:val="32"/>
        </w:rPr>
      </w:pPr>
    </w:p>
    <w:p w14:paraId="61A4C5CB">
      <w:pPr>
        <w:spacing w:line="360" w:lineRule="auto"/>
        <w:jc w:val="center"/>
        <w:rPr>
          <w:b/>
          <w:spacing w:val="6"/>
          <w:sz w:val="32"/>
          <w:szCs w:val="32"/>
        </w:rPr>
      </w:pPr>
    </w:p>
    <w:p w14:paraId="509A5AED">
      <w:pPr>
        <w:spacing w:line="360" w:lineRule="auto"/>
        <w:jc w:val="center"/>
        <w:rPr>
          <w:b/>
          <w:spacing w:val="6"/>
          <w:sz w:val="32"/>
          <w:szCs w:val="32"/>
        </w:rPr>
      </w:pPr>
    </w:p>
    <w:p w14:paraId="56885B1F">
      <w:pPr>
        <w:spacing w:line="360" w:lineRule="auto"/>
        <w:jc w:val="center"/>
        <w:rPr>
          <w:b/>
          <w:spacing w:val="6"/>
          <w:sz w:val="32"/>
          <w:szCs w:val="32"/>
        </w:rPr>
      </w:pPr>
    </w:p>
    <w:p w14:paraId="09FB986A">
      <w:pPr>
        <w:spacing w:line="360" w:lineRule="auto"/>
        <w:jc w:val="center"/>
        <w:rPr>
          <w:b/>
          <w:spacing w:val="6"/>
          <w:sz w:val="32"/>
          <w:szCs w:val="32"/>
        </w:rPr>
      </w:pPr>
    </w:p>
    <w:p w14:paraId="1E210A7B">
      <w:pPr>
        <w:spacing w:line="360" w:lineRule="auto"/>
        <w:jc w:val="center"/>
        <w:rPr>
          <w:b/>
          <w:spacing w:val="6"/>
          <w:sz w:val="32"/>
          <w:szCs w:val="32"/>
        </w:rPr>
      </w:pPr>
    </w:p>
    <w:p w14:paraId="7026DF4A">
      <w:pPr>
        <w:spacing w:line="360" w:lineRule="auto"/>
        <w:jc w:val="center"/>
        <w:rPr>
          <w:b/>
          <w:spacing w:val="6"/>
          <w:sz w:val="32"/>
          <w:szCs w:val="32"/>
        </w:rPr>
      </w:pPr>
    </w:p>
    <w:p w14:paraId="7B1355B4">
      <w:pPr>
        <w:spacing w:line="360" w:lineRule="auto"/>
        <w:jc w:val="center"/>
        <w:rPr>
          <w:b/>
          <w:spacing w:val="6"/>
          <w:sz w:val="32"/>
          <w:szCs w:val="32"/>
        </w:rPr>
      </w:pPr>
    </w:p>
    <w:p w14:paraId="1808C264">
      <w:pPr>
        <w:spacing w:line="360" w:lineRule="auto"/>
        <w:jc w:val="center"/>
        <w:rPr>
          <w:b/>
          <w:spacing w:val="6"/>
          <w:sz w:val="32"/>
          <w:szCs w:val="32"/>
        </w:rPr>
      </w:pPr>
    </w:p>
    <w:p w14:paraId="59C3541C">
      <w:pPr>
        <w:spacing w:line="360" w:lineRule="auto"/>
        <w:jc w:val="center"/>
        <w:rPr>
          <w:b/>
          <w:spacing w:val="6"/>
          <w:sz w:val="32"/>
          <w:szCs w:val="32"/>
        </w:rPr>
      </w:pPr>
    </w:p>
    <w:p w14:paraId="516D8C62">
      <w:pPr>
        <w:spacing w:line="360" w:lineRule="auto"/>
        <w:jc w:val="center"/>
        <w:rPr>
          <w:b/>
          <w:spacing w:val="6"/>
          <w:sz w:val="32"/>
          <w:szCs w:val="32"/>
        </w:rPr>
      </w:pPr>
    </w:p>
    <w:p w14:paraId="55E369E5">
      <w:pPr>
        <w:spacing w:line="360" w:lineRule="auto"/>
        <w:jc w:val="center"/>
        <w:rPr>
          <w:b/>
          <w:spacing w:val="6"/>
          <w:sz w:val="32"/>
          <w:szCs w:val="32"/>
        </w:rPr>
      </w:pPr>
    </w:p>
    <w:p w14:paraId="4FAFC4E8">
      <w:pPr>
        <w:spacing w:line="360" w:lineRule="auto"/>
        <w:jc w:val="left"/>
        <w:rPr>
          <w:b/>
          <w:spacing w:val="6"/>
          <w:sz w:val="32"/>
          <w:szCs w:val="32"/>
        </w:rPr>
      </w:pPr>
    </w:p>
    <w:p w14:paraId="57D1E38F">
      <w:pPr>
        <w:spacing w:line="360" w:lineRule="auto"/>
        <w:jc w:val="left"/>
        <w:rPr>
          <w:b/>
          <w:spacing w:val="6"/>
          <w:sz w:val="32"/>
          <w:szCs w:val="32"/>
        </w:rPr>
      </w:pPr>
    </w:p>
    <w:p w14:paraId="3E682F83">
      <w:pPr>
        <w:spacing w:line="360" w:lineRule="auto"/>
        <w:jc w:val="left"/>
        <w:rPr>
          <w:rFonts w:hAnsi="仿宋"/>
          <w:b/>
          <w:spacing w:val="6"/>
          <w:sz w:val="32"/>
          <w:szCs w:val="32"/>
        </w:rPr>
      </w:pPr>
    </w:p>
    <w:p w14:paraId="6CF88F89">
      <w:pPr>
        <w:spacing w:line="360" w:lineRule="auto"/>
        <w:jc w:val="left"/>
        <w:rPr>
          <w:rFonts w:hAnsi="仿宋"/>
          <w:b/>
          <w:spacing w:val="6"/>
          <w:sz w:val="32"/>
          <w:szCs w:val="32"/>
        </w:rPr>
      </w:pPr>
    </w:p>
    <w:p w14:paraId="79B8B95F">
      <w:pPr>
        <w:spacing w:line="360" w:lineRule="auto"/>
        <w:jc w:val="left"/>
        <w:rPr>
          <w:b/>
          <w:spacing w:val="6"/>
          <w:sz w:val="32"/>
          <w:szCs w:val="32"/>
        </w:rPr>
      </w:pPr>
      <w:r>
        <w:rPr>
          <w:rFonts w:hAnsi="仿宋"/>
          <w:b/>
          <w:spacing w:val="6"/>
          <w:sz w:val="32"/>
          <w:szCs w:val="32"/>
        </w:rPr>
        <w:t>附件</w:t>
      </w:r>
      <w:r>
        <w:rPr>
          <w:b/>
          <w:spacing w:val="6"/>
          <w:sz w:val="32"/>
          <w:szCs w:val="32"/>
        </w:rPr>
        <w:t>3</w:t>
      </w:r>
      <w:r>
        <w:rPr>
          <w:rFonts w:hAnsi="仿宋"/>
          <w:b/>
          <w:spacing w:val="6"/>
          <w:sz w:val="32"/>
          <w:szCs w:val="32"/>
        </w:rPr>
        <w:t>：投诉书范本及制作说明</w:t>
      </w:r>
    </w:p>
    <w:p w14:paraId="2E44F9CA">
      <w:pPr>
        <w:spacing w:line="360" w:lineRule="auto"/>
        <w:jc w:val="center"/>
        <w:rPr>
          <w:b/>
        </w:rPr>
      </w:pPr>
    </w:p>
    <w:p w14:paraId="538C4F87">
      <w:pPr>
        <w:spacing w:line="360" w:lineRule="auto"/>
        <w:jc w:val="center"/>
        <w:rPr>
          <w:b/>
          <w:spacing w:val="6"/>
          <w:sz w:val="32"/>
          <w:szCs w:val="32"/>
        </w:rPr>
      </w:pPr>
      <w:r>
        <w:rPr>
          <w:rFonts w:hAnsi="仿宋"/>
          <w:b/>
          <w:spacing w:val="6"/>
          <w:sz w:val="32"/>
          <w:szCs w:val="32"/>
        </w:rPr>
        <w:t>投诉书范本</w:t>
      </w:r>
    </w:p>
    <w:p w14:paraId="1A34F7E3">
      <w:pPr>
        <w:spacing w:line="360" w:lineRule="auto"/>
      </w:pPr>
      <w:r>
        <w:rPr>
          <w:rFonts w:hAnsi="仿宋"/>
        </w:rPr>
        <w:t>一、投诉相关主体基本情况</w:t>
      </w:r>
    </w:p>
    <w:p w14:paraId="20E0BD11">
      <w:pPr>
        <w:spacing w:line="360" w:lineRule="auto"/>
        <w:rPr>
          <w:u w:val="dotted"/>
        </w:rPr>
      </w:pPr>
      <w:r>
        <w:rPr>
          <w:rFonts w:hAnsi="仿宋"/>
        </w:rPr>
        <w:t>投诉人：</w:t>
      </w:r>
    </w:p>
    <w:p w14:paraId="27E85E1D">
      <w:pPr>
        <w:spacing w:line="360" w:lineRule="auto"/>
        <w:rPr>
          <w:u w:val="single"/>
        </w:rPr>
      </w:pPr>
      <w:r>
        <w:rPr>
          <w:rFonts w:hAnsi="仿宋"/>
        </w:rPr>
        <w:t>地址：邮编：</w:t>
      </w:r>
    </w:p>
    <w:p w14:paraId="43074247">
      <w:pPr>
        <w:tabs>
          <w:tab w:val="left" w:pos="6510"/>
        </w:tabs>
        <w:spacing w:line="360" w:lineRule="auto"/>
        <w:jc w:val="left"/>
      </w:pPr>
      <w:r>
        <w:rPr>
          <w:rFonts w:hAnsi="仿宋"/>
        </w:rPr>
        <w:t>法定代表人</w:t>
      </w:r>
      <w:r>
        <w:t>/</w:t>
      </w:r>
      <w:r>
        <w:rPr>
          <w:rFonts w:hAnsi="仿宋"/>
        </w:rPr>
        <w:t>主要负责人：</w:t>
      </w:r>
    </w:p>
    <w:p w14:paraId="046DA617">
      <w:pPr>
        <w:tabs>
          <w:tab w:val="left" w:pos="6510"/>
        </w:tabs>
        <w:spacing w:line="360" w:lineRule="auto"/>
        <w:rPr>
          <w:u w:val="dotted"/>
        </w:rPr>
      </w:pPr>
      <w:r>
        <w:rPr>
          <w:rFonts w:hAnsi="仿宋"/>
        </w:rPr>
        <w:t>联系电话：</w:t>
      </w:r>
    </w:p>
    <w:p w14:paraId="713E81A4">
      <w:pPr>
        <w:spacing w:line="360" w:lineRule="auto"/>
        <w:rPr>
          <w:u w:val="dotted"/>
        </w:rPr>
      </w:pPr>
      <w:r>
        <w:rPr>
          <w:rFonts w:hAnsi="仿宋"/>
        </w:rPr>
        <w:t>授权代表：联系电话</w:t>
      </w:r>
      <w:r>
        <w:rPr>
          <w:rFonts w:hAnsi="仿宋"/>
          <w:u w:val="dotted"/>
        </w:rPr>
        <w:t>：</w:t>
      </w:r>
    </w:p>
    <w:p w14:paraId="2C506076">
      <w:pPr>
        <w:spacing w:line="360" w:lineRule="auto"/>
        <w:rPr>
          <w:u w:val="dotted"/>
        </w:rPr>
      </w:pPr>
      <w:r>
        <w:rPr>
          <w:rFonts w:hAnsi="仿宋"/>
        </w:rPr>
        <w:t>地址：邮编：</w:t>
      </w:r>
    </w:p>
    <w:p w14:paraId="243255C4">
      <w:pPr>
        <w:spacing w:line="360" w:lineRule="auto"/>
        <w:rPr>
          <w:u w:val="single"/>
        </w:rPr>
      </w:pPr>
      <w:r>
        <w:rPr>
          <w:rFonts w:hAnsi="仿宋"/>
        </w:rPr>
        <w:t>被投诉人</w:t>
      </w:r>
      <w:r>
        <w:t>1</w:t>
      </w:r>
      <w:r>
        <w:rPr>
          <w:rFonts w:hAnsi="仿宋"/>
        </w:rPr>
        <w:t>：</w:t>
      </w:r>
    </w:p>
    <w:p w14:paraId="6C25EC6B">
      <w:pPr>
        <w:spacing w:line="360" w:lineRule="auto"/>
        <w:rPr>
          <w:u w:val="single"/>
        </w:rPr>
      </w:pPr>
      <w:r>
        <w:rPr>
          <w:rFonts w:hAnsi="仿宋"/>
        </w:rPr>
        <w:t>地址：邮编：</w:t>
      </w:r>
    </w:p>
    <w:p w14:paraId="6A311878">
      <w:pPr>
        <w:spacing w:line="360" w:lineRule="auto"/>
        <w:rPr>
          <w:u w:val="single"/>
        </w:rPr>
      </w:pPr>
      <w:r>
        <w:rPr>
          <w:rFonts w:hAnsi="仿宋"/>
        </w:rPr>
        <w:t>联系人：联系电话：</w:t>
      </w:r>
    </w:p>
    <w:p w14:paraId="7BC4EEF1">
      <w:pPr>
        <w:spacing w:line="360" w:lineRule="auto"/>
      </w:pPr>
      <w:r>
        <w:rPr>
          <w:rFonts w:hAnsi="仿宋"/>
        </w:rPr>
        <w:t>被投诉人</w:t>
      </w:r>
      <w:r>
        <w:t>2</w:t>
      </w:r>
    </w:p>
    <w:p w14:paraId="2EA9673B">
      <w:pPr>
        <w:spacing w:line="360" w:lineRule="auto"/>
        <w:rPr>
          <w:u w:val="dotted"/>
        </w:rPr>
      </w:pPr>
      <w:r>
        <w:t>……</w:t>
      </w:r>
    </w:p>
    <w:p w14:paraId="6963329E">
      <w:pPr>
        <w:spacing w:line="360" w:lineRule="auto"/>
        <w:rPr>
          <w:u w:val="single"/>
        </w:rPr>
      </w:pPr>
      <w:r>
        <w:rPr>
          <w:rFonts w:hAnsi="仿宋"/>
        </w:rPr>
        <w:t>相关供应商：</w:t>
      </w:r>
    </w:p>
    <w:p w14:paraId="27C4494F">
      <w:pPr>
        <w:spacing w:line="360" w:lineRule="auto"/>
        <w:rPr>
          <w:u w:val="single"/>
        </w:rPr>
      </w:pPr>
      <w:r>
        <w:rPr>
          <w:rFonts w:hAnsi="仿宋"/>
        </w:rPr>
        <w:t>地址：邮编：</w:t>
      </w:r>
    </w:p>
    <w:p w14:paraId="3F913FA0">
      <w:pPr>
        <w:spacing w:line="360" w:lineRule="auto"/>
        <w:rPr>
          <w:u w:val="single"/>
        </w:rPr>
      </w:pPr>
      <w:r>
        <w:rPr>
          <w:rFonts w:hAnsi="仿宋"/>
        </w:rPr>
        <w:t>联系人：联系电话：</w:t>
      </w:r>
    </w:p>
    <w:p w14:paraId="0E2BB5FF">
      <w:pPr>
        <w:spacing w:line="360" w:lineRule="auto"/>
      </w:pPr>
      <w:r>
        <w:rPr>
          <w:rFonts w:hAnsi="仿宋"/>
        </w:rPr>
        <w:t>二、投诉项目基本情况</w:t>
      </w:r>
    </w:p>
    <w:p w14:paraId="108431A7">
      <w:pPr>
        <w:spacing w:line="360" w:lineRule="auto"/>
        <w:rPr>
          <w:u w:val="dotted"/>
        </w:rPr>
      </w:pPr>
      <w:r>
        <w:rPr>
          <w:rFonts w:hAnsi="仿宋"/>
        </w:rPr>
        <w:t>采购项目名称：</w:t>
      </w:r>
    </w:p>
    <w:p w14:paraId="1F52C87B">
      <w:pPr>
        <w:spacing w:line="360" w:lineRule="auto"/>
        <w:rPr>
          <w:u w:val="single"/>
        </w:rPr>
      </w:pPr>
      <w:r>
        <w:rPr>
          <w:rFonts w:hAnsi="仿宋"/>
        </w:rPr>
        <w:t>采购项目编号：包号：</w:t>
      </w:r>
    </w:p>
    <w:p w14:paraId="1A6A47A9">
      <w:pPr>
        <w:spacing w:line="360" w:lineRule="auto"/>
      </w:pPr>
      <w:r>
        <w:rPr>
          <w:rFonts w:hAnsi="仿宋"/>
        </w:rPr>
        <w:t>采购人名称：</w:t>
      </w:r>
    </w:p>
    <w:p w14:paraId="55C6AD4F">
      <w:pPr>
        <w:spacing w:line="360" w:lineRule="auto"/>
        <w:rPr>
          <w:u w:val="single"/>
        </w:rPr>
      </w:pPr>
      <w:r>
        <w:rPr>
          <w:rFonts w:hAnsi="仿宋"/>
        </w:rPr>
        <w:t>代理机构名称：</w:t>
      </w:r>
    </w:p>
    <w:p w14:paraId="3FDCB65B">
      <w:pPr>
        <w:spacing w:line="360" w:lineRule="auto"/>
        <w:rPr>
          <w:u w:val="dotted"/>
        </w:rPr>
      </w:pPr>
      <w:r>
        <w:rPr>
          <w:rFonts w:hAnsi="仿宋"/>
        </w:rPr>
        <w:t>采购文件公告</w:t>
      </w:r>
      <w:r>
        <w:t>:</w:t>
      </w:r>
      <w:r>
        <w:rPr>
          <w:rFonts w:hAnsi="仿宋"/>
          <w:u w:val="dotted"/>
        </w:rPr>
        <w:t>是</w:t>
      </w:r>
      <w:r>
        <w:rPr>
          <w:u w:val="dotted"/>
        </w:rPr>
        <w:t>/</w:t>
      </w:r>
      <w:r>
        <w:rPr>
          <w:rFonts w:hAnsi="仿宋"/>
          <w:u w:val="dotted"/>
        </w:rPr>
        <w:t>否</w:t>
      </w:r>
      <w:r>
        <w:rPr>
          <w:rFonts w:hAnsi="仿宋"/>
        </w:rPr>
        <w:t>公告期限：</w:t>
      </w:r>
    </w:p>
    <w:p w14:paraId="29C6A258">
      <w:pPr>
        <w:spacing w:line="360" w:lineRule="auto"/>
        <w:rPr>
          <w:u w:val="single"/>
        </w:rPr>
      </w:pPr>
      <w:r>
        <w:rPr>
          <w:rFonts w:hAnsi="仿宋"/>
        </w:rPr>
        <w:t>采购结果公告</w:t>
      </w:r>
      <w:r>
        <w:t>:</w:t>
      </w:r>
      <w:r>
        <w:rPr>
          <w:rFonts w:hAnsi="仿宋"/>
          <w:u w:val="dotted"/>
        </w:rPr>
        <w:t>是</w:t>
      </w:r>
      <w:r>
        <w:rPr>
          <w:u w:val="dotted"/>
        </w:rPr>
        <w:t>/</w:t>
      </w:r>
      <w:r>
        <w:rPr>
          <w:rFonts w:hAnsi="仿宋"/>
          <w:u w:val="dotted"/>
        </w:rPr>
        <w:t>否</w:t>
      </w:r>
      <w:r>
        <w:rPr>
          <w:rFonts w:hAnsi="仿宋"/>
        </w:rPr>
        <w:t>公告期限：</w:t>
      </w:r>
    </w:p>
    <w:p w14:paraId="049A91A2">
      <w:pPr>
        <w:spacing w:line="360" w:lineRule="auto"/>
      </w:pPr>
      <w:r>
        <w:rPr>
          <w:rFonts w:hAnsi="仿宋"/>
        </w:rPr>
        <w:t>三、质疑基本情况</w:t>
      </w:r>
    </w:p>
    <w:p w14:paraId="32F6D6F0">
      <w:pPr>
        <w:spacing w:line="360" w:lineRule="auto"/>
        <w:ind w:firstLine="480" w:firstLineChars="200"/>
        <w:rPr>
          <w:u w:val="dotted"/>
        </w:rPr>
      </w:pPr>
      <w:r>
        <w:rPr>
          <w:rFonts w:hAnsi="仿宋"/>
        </w:rPr>
        <w:t>投诉人于年月日</w:t>
      </w:r>
      <w:r>
        <w:t>,</w:t>
      </w:r>
      <w:r>
        <w:rPr>
          <w:rFonts w:hAnsi="仿宋"/>
        </w:rPr>
        <w:t>向提出质疑，质疑事项为：</w:t>
      </w:r>
    </w:p>
    <w:p w14:paraId="5D95E38D">
      <w:pPr>
        <w:spacing w:line="360" w:lineRule="auto"/>
        <w:rPr>
          <w:u w:val="dotted"/>
        </w:rPr>
      </w:pPr>
    </w:p>
    <w:p w14:paraId="1BF3C4AD">
      <w:pPr>
        <w:spacing w:line="360" w:lineRule="auto"/>
        <w:ind w:firstLine="360" w:firstLineChars="150"/>
      </w:pPr>
      <w:r>
        <w:rPr>
          <w:rFonts w:hAnsi="仿宋"/>
          <w:u w:val="dotted"/>
        </w:rPr>
        <w:t>采购人</w:t>
      </w:r>
      <w:r>
        <w:rPr>
          <w:u w:val="dotted"/>
        </w:rPr>
        <w:t>/</w:t>
      </w:r>
      <w:r>
        <w:rPr>
          <w:rFonts w:hAnsi="仿宋"/>
          <w:u w:val="dotted"/>
        </w:rPr>
        <w:t>代理机构</w:t>
      </w:r>
      <w:r>
        <w:rPr>
          <w:rFonts w:hAnsi="仿宋"/>
        </w:rPr>
        <w:t>于年月日</w:t>
      </w:r>
      <w:r>
        <w:t>,</w:t>
      </w:r>
      <w:r>
        <w:rPr>
          <w:rFonts w:hAnsi="仿宋"/>
        </w:rPr>
        <w:t>就质疑事项作出了答复</w:t>
      </w:r>
      <w:r>
        <w:t>/</w:t>
      </w:r>
      <w:r>
        <w:rPr>
          <w:rFonts w:hAnsi="仿宋"/>
        </w:rPr>
        <w:t>没有在法定期限内作出答复。</w:t>
      </w:r>
    </w:p>
    <w:p w14:paraId="63ED3D64">
      <w:pPr>
        <w:spacing w:line="360" w:lineRule="auto"/>
      </w:pPr>
      <w:r>
        <w:rPr>
          <w:rFonts w:hAnsi="仿宋"/>
        </w:rPr>
        <w:t>四、投诉事项具体内容</w:t>
      </w:r>
    </w:p>
    <w:p w14:paraId="59A26601">
      <w:pPr>
        <w:spacing w:line="360" w:lineRule="auto"/>
        <w:rPr>
          <w:u w:val="single"/>
        </w:rPr>
      </w:pPr>
      <w:r>
        <w:rPr>
          <w:rFonts w:hAnsi="仿宋"/>
        </w:rPr>
        <w:t>投诉事项</w:t>
      </w:r>
      <w:r>
        <w:t xml:space="preserve"> 1</w:t>
      </w:r>
      <w:r>
        <w:rPr>
          <w:rFonts w:hAnsi="仿宋"/>
        </w:rPr>
        <w:t>：</w:t>
      </w:r>
    </w:p>
    <w:p w14:paraId="794959BE">
      <w:pPr>
        <w:spacing w:line="360" w:lineRule="auto"/>
      </w:pPr>
      <w:r>
        <w:rPr>
          <w:rFonts w:hAnsi="仿宋"/>
        </w:rPr>
        <w:t>事实依据：</w:t>
      </w:r>
    </w:p>
    <w:p w14:paraId="1CB9C3F6">
      <w:pPr>
        <w:spacing w:line="360" w:lineRule="auto"/>
        <w:rPr>
          <w:u w:val="dotted"/>
        </w:rPr>
      </w:pPr>
    </w:p>
    <w:p w14:paraId="55CE464A">
      <w:pPr>
        <w:spacing w:line="360" w:lineRule="auto"/>
        <w:rPr>
          <w:u w:val="single"/>
        </w:rPr>
      </w:pPr>
      <w:r>
        <w:rPr>
          <w:rFonts w:hAnsi="仿宋"/>
        </w:rPr>
        <w:t>法律依据：</w:t>
      </w:r>
    </w:p>
    <w:p w14:paraId="4DE34EE5">
      <w:pPr>
        <w:spacing w:line="360" w:lineRule="auto"/>
        <w:rPr>
          <w:u w:val="dotted"/>
        </w:rPr>
      </w:pPr>
    </w:p>
    <w:p w14:paraId="486C1501">
      <w:pPr>
        <w:spacing w:line="360" w:lineRule="auto"/>
      </w:pPr>
      <w:r>
        <w:rPr>
          <w:rFonts w:hAnsi="仿宋"/>
        </w:rPr>
        <w:t>投诉事项</w:t>
      </w:r>
      <w:r>
        <w:t>2</w:t>
      </w:r>
    </w:p>
    <w:p w14:paraId="69B5B3D5">
      <w:pPr>
        <w:spacing w:line="360" w:lineRule="auto"/>
        <w:rPr>
          <w:u w:val="dotted"/>
        </w:rPr>
      </w:pPr>
      <w:r>
        <w:t>……</w:t>
      </w:r>
    </w:p>
    <w:p w14:paraId="4068B04A">
      <w:pPr>
        <w:spacing w:line="360" w:lineRule="auto"/>
      </w:pPr>
      <w:r>
        <w:rPr>
          <w:rFonts w:hAnsi="仿宋"/>
        </w:rPr>
        <w:t>五、与投诉事项相关的投诉请求</w:t>
      </w:r>
    </w:p>
    <w:p w14:paraId="408C641F">
      <w:pPr>
        <w:spacing w:line="360" w:lineRule="auto"/>
      </w:pPr>
      <w:r>
        <w:rPr>
          <w:rFonts w:hAnsi="仿宋"/>
        </w:rPr>
        <w:t>请求：</w:t>
      </w:r>
    </w:p>
    <w:p w14:paraId="3530F56F">
      <w:pPr>
        <w:spacing w:line="360" w:lineRule="auto"/>
        <w:rPr>
          <w:u w:val="single"/>
        </w:rPr>
      </w:pPr>
    </w:p>
    <w:p w14:paraId="729A3C9C">
      <w:pPr>
        <w:spacing w:line="360" w:lineRule="auto"/>
      </w:pPr>
      <w:r>
        <w:rPr>
          <w:rFonts w:hAnsi="仿宋"/>
        </w:rPr>
        <w:t>签字</w:t>
      </w:r>
      <w:r>
        <w:t>(</w:t>
      </w:r>
      <w:r>
        <w:rPr>
          <w:rFonts w:hAnsi="仿宋"/>
        </w:rPr>
        <w:t>签章</w:t>
      </w:r>
      <w:r>
        <w:t>)</w:t>
      </w:r>
      <w:r>
        <w:rPr>
          <w:rFonts w:hAnsi="仿宋"/>
        </w:rPr>
        <w:t>：公章：</w:t>
      </w:r>
    </w:p>
    <w:p w14:paraId="2BA52E99">
      <w:pPr>
        <w:spacing w:line="360" w:lineRule="auto"/>
      </w:pPr>
      <w:r>
        <w:rPr>
          <w:rFonts w:hAnsi="仿宋"/>
        </w:rPr>
        <w:t>日期：</w:t>
      </w:r>
    </w:p>
    <w:p w14:paraId="5E1B6E0B">
      <w:pPr>
        <w:spacing w:line="360" w:lineRule="auto"/>
        <w:rPr>
          <w:b/>
        </w:rPr>
      </w:pPr>
    </w:p>
    <w:p w14:paraId="133C4CE6">
      <w:pPr>
        <w:spacing w:line="360" w:lineRule="auto"/>
        <w:rPr>
          <w:b/>
        </w:rPr>
      </w:pPr>
    </w:p>
    <w:p w14:paraId="4EA65A1A">
      <w:pPr>
        <w:spacing w:line="360" w:lineRule="auto"/>
        <w:rPr>
          <w:b/>
        </w:rPr>
      </w:pPr>
      <w:r>
        <w:rPr>
          <w:rFonts w:hAnsi="仿宋"/>
          <w:b/>
        </w:rPr>
        <w:t>投诉书制作说明：</w:t>
      </w:r>
    </w:p>
    <w:p w14:paraId="7B7E031A">
      <w:pPr>
        <w:widowControl/>
        <w:spacing w:line="360" w:lineRule="auto"/>
        <w:ind w:firstLine="480" w:firstLineChars="200"/>
        <w:rPr>
          <w:kern w:val="0"/>
        </w:rPr>
      </w:pPr>
      <w:r>
        <w:t>1.</w:t>
      </w:r>
      <w:r>
        <w:rPr>
          <w:rFonts w:hAnsi="仿宋"/>
        </w:rPr>
        <w:t>投诉人提起投诉时，应当提交投诉书和必要的证明材料，并按照被投诉人和与投诉事项有关的供应商数量提供投诉书副本。</w:t>
      </w:r>
    </w:p>
    <w:p w14:paraId="56941CAA">
      <w:pPr>
        <w:widowControl/>
        <w:spacing w:line="360" w:lineRule="auto"/>
        <w:ind w:firstLine="480" w:firstLineChars="200"/>
        <w:jc w:val="left"/>
        <w:rPr>
          <w:kern w:val="0"/>
        </w:rPr>
      </w:pPr>
      <w:r>
        <w:t>2.</w:t>
      </w:r>
      <w:r>
        <w:rPr>
          <w:rFonts w:hAnsi="仿宋"/>
        </w:rPr>
        <w:t>投诉人若委托代理人进行投诉的，投诉书应按照要求列明</w:t>
      </w:r>
      <w:r>
        <w:t>“</w:t>
      </w:r>
      <w:r>
        <w:rPr>
          <w:rFonts w:hAnsi="仿宋"/>
        </w:rPr>
        <w:t>授权代表</w:t>
      </w:r>
      <w:r>
        <w:t>”</w:t>
      </w:r>
      <w:r>
        <w:rPr>
          <w:rFonts w:hAnsi="仿宋"/>
        </w:rPr>
        <w:t>的有关内容，并在附件中提交由</w:t>
      </w:r>
      <w:r>
        <w:rPr>
          <w:rFonts w:hAnsi="仿宋"/>
          <w:kern w:val="0"/>
        </w:rPr>
        <w:t>投诉人签署的授权委托书。授权委托书应当载明代理人的姓名或者名称、代理事项、具体权限、期限和相关事项。</w:t>
      </w:r>
    </w:p>
    <w:p w14:paraId="4F02C1B5">
      <w:pPr>
        <w:widowControl/>
        <w:spacing w:line="360" w:lineRule="auto"/>
        <w:ind w:firstLine="480" w:firstLineChars="200"/>
        <w:jc w:val="left"/>
      </w:pPr>
      <w:r>
        <w:t>3.</w:t>
      </w:r>
      <w:r>
        <w:rPr>
          <w:rFonts w:hAnsi="仿宋"/>
        </w:rPr>
        <w:t>投诉人若对项目的某一分包进行投诉，投诉书应列明具体分包号。</w:t>
      </w:r>
    </w:p>
    <w:p w14:paraId="3D2E1E1C">
      <w:pPr>
        <w:widowControl/>
        <w:spacing w:line="360" w:lineRule="auto"/>
        <w:ind w:firstLine="480" w:firstLineChars="200"/>
        <w:jc w:val="left"/>
      </w:pPr>
      <w:r>
        <w:t>4.</w:t>
      </w:r>
      <w:r>
        <w:rPr>
          <w:rFonts w:hAnsi="仿宋"/>
        </w:rPr>
        <w:t>投诉书应简要列明质疑事项，质疑函、质疑答复等作为附件材料提供。</w:t>
      </w:r>
    </w:p>
    <w:p w14:paraId="335E1823">
      <w:pPr>
        <w:widowControl/>
        <w:spacing w:line="360" w:lineRule="auto"/>
        <w:ind w:firstLine="480" w:firstLineChars="200"/>
        <w:jc w:val="left"/>
      </w:pPr>
      <w:r>
        <w:t>5.</w:t>
      </w:r>
      <w:r>
        <w:rPr>
          <w:rFonts w:hAnsi="仿宋"/>
        </w:rPr>
        <w:t>投诉书的投诉事项应具体、明确，并有必要的事实依据和法律依据。</w:t>
      </w:r>
    </w:p>
    <w:p w14:paraId="02CA1CDD">
      <w:pPr>
        <w:widowControl/>
        <w:spacing w:line="360" w:lineRule="auto"/>
        <w:ind w:firstLine="480" w:firstLineChars="200"/>
        <w:jc w:val="left"/>
      </w:pPr>
      <w:r>
        <w:t>6.</w:t>
      </w:r>
      <w:r>
        <w:rPr>
          <w:rFonts w:hAnsi="仿宋"/>
        </w:rPr>
        <w:t>投诉书的投诉请求应与投诉事项相关。</w:t>
      </w:r>
    </w:p>
    <w:p w14:paraId="5220C559">
      <w:pPr>
        <w:widowControl/>
        <w:spacing w:line="360" w:lineRule="auto"/>
        <w:ind w:firstLine="480" w:firstLineChars="200"/>
        <w:jc w:val="left"/>
        <w:rPr>
          <w:kern w:val="0"/>
        </w:rPr>
      </w:pPr>
      <w:r>
        <w:t>7.</w:t>
      </w:r>
      <w:r>
        <w:rPr>
          <w:rFonts w:hAnsi="仿宋"/>
        </w:rPr>
        <w:t>投诉人为自然人的，投诉书应当由本人签字；投诉人为法人或者其他组织的，投诉书应当由法定代表人、主要负责人，或者其授权代表签字或者盖章，并加盖公章。</w:t>
      </w:r>
    </w:p>
    <w:p w14:paraId="1170FDAD">
      <w:pPr>
        <w:spacing w:line="360" w:lineRule="auto"/>
        <w:rPr>
          <w:b/>
        </w:rPr>
      </w:pPr>
    </w:p>
    <w:p w14:paraId="0FB45112">
      <w:pPr>
        <w:autoSpaceDE w:val="0"/>
        <w:autoSpaceDN w:val="0"/>
        <w:jc w:val="center"/>
        <w:rPr>
          <w:b/>
          <w:spacing w:val="6"/>
          <w:sz w:val="32"/>
          <w:szCs w:val="32"/>
        </w:rPr>
      </w:pPr>
    </w:p>
    <w:p w14:paraId="07BD821F">
      <w:pPr>
        <w:autoSpaceDE w:val="0"/>
        <w:autoSpaceDN w:val="0"/>
        <w:jc w:val="center"/>
        <w:rPr>
          <w:b/>
          <w:spacing w:val="6"/>
          <w:sz w:val="32"/>
          <w:szCs w:val="32"/>
        </w:rPr>
      </w:pPr>
    </w:p>
    <w:p w14:paraId="370DA8E4">
      <w:pPr>
        <w:pageBreakBefore/>
        <w:autoSpaceDE w:val="0"/>
        <w:autoSpaceDN w:val="0"/>
        <w:jc w:val="center"/>
        <w:rPr>
          <w:b/>
          <w:spacing w:val="6"/>
          <w:sz w:val="32"/>
          <w:szCs w:val="32"/>
        </w:rPr>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pPr>
    </w:p>
    <w:p w14:paraId="0EA2DC56">
      <w:pPr>
        <w:pageBreakBefore/>
        <w:autoSpaceDE w:val="0"/>
        <w:autoSpaceDN w:val="0"/>
        <w:jc w:val="center"/>
        <w:rPr>
          <w:b/>
          <w:bCs/>
          <w:sz w:val="32"/>
          <w:szCs w:val="32"/>
        </w:rPr>
      </w:pPr>
      <w:r>
        <w:rPr>
          <w:rFonts w:hAnsi="仿宋"/>
          <w:b/>
          <w:spacing w:val="6"/>
          <w:sz w:val="32"/>
          <w:szCs w:val="32"/>
        </w:rPr>
        <w:t>附件</w:t>
      </w:r>
      <w:r>
        <w:rPr>
          <w:b/>
          <w:spacing w:val="6"/>
          <w:sz w:val="32"/>
          <w:szCs w:val="32"/>
        </w:rPr>
        <w:t>4</w:t>
      </w:r>
      <w:r>
        <w:rPr>
          <w:rFonts w:hAnsi="仿宋"/>
          <w:b/>
          <w:spacing w:val="6"/>
          <w:sz w:val="32"/>
          <w:szCs w:val="32"/>
        </w:rPr>
        <w:t>：</w:t>
      </w:r>
      <w:r>
        <w:rPr>
          <w:rFonts w:hAnsi="仿宋"/>
          <w:b/>
          <w:bCs/>
          <w:sz w:val="32"/>
          <w:szCs w:val="32"/>
        </w:rPr>
        <w:t>业务专用章使用说明函</w:t>
      </w:r>
    </w:p>
    <w:p w14:paraId="55B1EF61">
      <w:pPr>
        <w:spacing w:line="360" w:lineRule="auto"/>
      </w:pPr>
      <w:r>
        <w:rPr>
          <w:rFonts w:hAnsi="仿宋"/>
          <w:u w:val="single"/>
        </w:rPr>
        <w:t>（采购人）、（采购代理机构）</w:t>
      </w:r>
    </w:p>
    <w:p w14:paraId="4488A071">
      <w:pPr>
        <w:spacing w:line="360" w:lineRule="auto"/>
        <w:ind w:firstLine="480" w:firstLineChars="200"/>
      </w:pPr>
      <w:r>
        <w:rPr>
          <w:rFonts w:hAnsi="仿宋"/>
          <w:kern w:val="0"/>
          <w:lang w:val="zh-CN"/>
        </w:rPr>
        <w:t>我方</w:t>
      </w:r>
      <w:r>
        <w:t>(</w:t>
      </w:r>
      <w:r>
        <w:rPr>
          <w:rFonts w:hAnsi="仿宋"/>
        </w:rPr>
        <w:t>投标人全称</w:t>
      </w:r>
      <w:r>
        <w:t>)</w:t>
      </w:r>
      <w:r>
        <w:rPr>
          <w:rFonts w:hAnsi="仿宋"/>
        </w:rPr>
        <w:t>是中华人民共和国依法登记注册的合法企业，</w:t>
      </w:r>
      <w:r>
        <w:rPr>
          <w:rFonts w:hAnsi="仿宋"/>
          <w:bCs/>
        </w:rPr>
        <w:t>在参加</w:t>
      </w:r>
      <w:r>
        <w:rPr>
          <w:rFonts w:hAnsi="仿宋"/>
        </w:rPr>
        <w:t>你方组织的（项目名称）项目【招标编号：（采购编号）】</w:t>
      </w:r>
      <w:r>
        <w:rPr>
          <w:rFonts w:hAnsi="仿宋"/>
          <w:bCs/>
        </w:rPr>
        <w:t>投标活动中作如下说明：</w:t>
      </w:r>
      <w:r>
        <w:rPr>
          <w:rFonts w:hAnsi="仿宋"/>
        </w:rPr>
        <w:t>我方所使用的</w:t>
      </w:r>
      <w:r>
        <w:t>“XX</w:t>
      </w:r>
      <w:r>
        <w:rPr>
          <w:rFonts w:hAnsi="仿宋"/>
        </w:rPr>
        <w:t>专用章</w:t>
      </w:r>
      <w:r>
        <w:t>”</w:t>
      </w:r>
      <w:r>
        <w:rPr>
          <w:rFonts w:hAnsi="仿宋"/>
        </w:rPr>
        <w:t>与法定名称章具有同等的法律效力，对使用</w:t>
      </w:r>
      <w:r>
        <w:t>“XX</w:t>
      </w:r>
      <w:r>
        <w:rPr>
          <w:rFonts w:hAnsi="仿宋"/>
        </w:rPr>
        <w:t>专用章</w:t>
      </w:r>
      <w:r>
        <w:t>”</w:t>
      </w:r>
      <w:r>
        <w:rPr>
          <w:rFonts w:hAnsi="仿宋"/>
        </w:rPr>
        <w:t>的行为予以完全承认，并愿意承担相应责任。</w:t>
      </w:r>
    </w:p>
    <w:p w14:paraId="466DDAEC">
      <w:pPr>
        <w:spacing w:line="360" w:lineRule="auto"/>
        <w:ind w:firstLine="480" w:firstLineChars="200"/>
      </w:pPr>
      <w:r>
        <w:rPr>
          <w:rFonts w:hAnsi="仿宋"/>
        </w:rPr>
        <w:t>特此说明。</w:t>
      </w:r>
    </w:p>
    <w:p w14:paraId="0B9109D1">
      <w:pPr>
        <w:spacing w:line="360" w:lineRule="auto"/>
        <w:ind w:firstLine="494"/>
      </w:pPr>
    </w:p>
    <w:p w14:paraId="698D8FD1">
      <w:pPr>
        <w:spacing w:line="360" w:lineRule="auto"/>
        <w:ind w:firstLine="494"/>
      </w:pPr>
    </w:p>
    <w:p w14:paraId="6E9CA26E">
      <w:pPr>
        <w:spacing w:line="360" w:lineRule="auto"/>
        <w:ind w:firstLine="494"/>
      </w:pPr>
    </w:p>
    <w:p w14:paraId="4DAF8859">
      <w:pPr>
        <w:spacing w:line="360" w:lineRule="auto"/>
        <w:ind w:firstLine="494"/>
      </w:pPr>
    </w:p>
    <w:p w14:paraId="7631D776">
      <w:pPr>
        <w:spacing w:line="360" w:lineRule="auto"/>
        <w:ind w:right="480" w:firstLine="4080" w:firstLineChars="1700"/>
      </w:pPr>
      <w:r>
        <w:rPr>
          <w:rFonts w:hAnsi="仿宋"/>
        </w:rPr>
        <w:t>投标单位（法定名称章）：</w:t>
      </w:r>
    </w:p>
    <w:p w14:paraId="290E1F4A">
      <w:pPr>
        <w:ind w:right="1440" w:firstLine="494"/>
        <w:jc w:val="center"/>
      </w:pPr>
      <w:r>
        <w:rPr>
          <w:rFonts w:hAnsi="仿宋"/>
        </w:rPr>
        <w:t>日期：年月日</w:t>
      </w:r>
    </w:p>
    <w:p w14:paraId="0BA480E6">
      <w:r>
        <w:rPr>
          <w:rFonts w:hAnsi="仿宋"/>
          <w:b/>
          <w:bCs/>
        </w:rPr>
        <w:t>附：</w:t>
      </w:r>
    </w:p>
    <w:p w14:paraId="38E714D4">
      <w:pPr>
        <w:spacing w:line="360" w:lineRule="auto"/>
        <w:rPr>
          <w:bCs/>
        </w:rPr>
      </w:pPr>
      <w:r>
        <w:rPr>
          <w:b/>
          <w:bCs/>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txbx>
                        <w:txbxContent>
                          <w:p w14:paraId="7E3AE43B">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EhKD5DUCAACNBAAADgAAAGRycy9lMm9Eb2MueG1srVRN&#10;b9swDL0P2H8QdF8cu/lYjThFkaLDgG4r1u0HKLIcC5NEjVLiZL9+tOx2abdDD/NBEEXq6fGR9Orq&#10;aA07KAwaXMXzyZQz5STU2u0q/v3b7bv3nIUoXC0MOFXxkwr8av32zarzpSqgBVMrZATiQtn5ircx&#10;+jLLgmyVFWECXjlyNoBWRDJxl9UoOkK3Jium00XWAdYeQaoQ6PRmcPIREV8DCE2jpboBubfKxQEV&#10;lRGRUgqt9oGvE9umUTJ+aZqgIjMVp0xjWukR2m/7NVuvRLlD4VstRwriNRRe5GSFdvToE9SNiILt&#10;Uf8FZbVECNDEiQSbDYkkRSiLfPpCm4dWeJVyIamDfxI9/D9Y+flwj0zXFb/gzAlLBf9Kogm3M4rl&#10;y16fzoeSwh78PfYZBn8H8kdgDjYthalrROhaJWpilffx2bMLvRHoKtt2n6AmeLGPkKQ6Nmh7QBKB&#10;HVNFTk8VUcfIJB0Wy+lstphzJslXFPOLRT5Pb4jy8brHED8osKzfVByJfYIXh7sQezqifAxJ9MHo&#10;+lYbkwzcbTcG2UFQe9ymb0QP52HGsa7il/NinpCf+cI5xDR9/4KwOtLUGG0pjfMg43oeKnXqyPdR&#10;sUH5eNwexyJsoT6RkAhDF9MM06YF/MVZRx1c8fBzL1BxZj46KsZlPpv1LZ+M2XxZkIHnnu25RzhJ&#10;UBWPnA3bTRzGZO9R71p6KU/JO7imAjY6SdtTHViNZacuTYqPE9WPwbmdov78Rd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WQDz/YAAAACgEAAA8AAAAAAAAAAQAgAAAAIgAAAGRycy9kb3ducmV2&#10;LnhtbFBLAQIUABQAAAAIAIdO4kASEoPkNQIAAI0EAAAOAAAAAAAAAAEAIAAAACcBAABkcnMvZTJv&#10;RG9jLnhtbFBLBQYAAAAABgAGAFkBAADOBQAAAAA=&#10;">
                <v:fill on="t" focussize="0,0"/>
                <v:stroke color="#000000" miterlimit="2" joinstyle="miter"/>
                <v:imagedata o:title=""/>
                <o:lock v:ext="edit" aspectratio="f"/>
                <v:textbox>
                  <w:txbxContent>
                    <w:p w14:paraId="7E3AE43B">
                      <w:pPr>
                        <w:jc w:val="center"/>
                      </w:pPr>
                    </w:p>
                  </w:txbxContent>
                </v:textbox>
              </v:rect>
            </w:pict>
          </mc:Fallback>
        </mc:AlternateContent>
      </w:r>
      <w:r>
        <w:rPr>
          <w:b/>
          <w:bCs/>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3000DB49">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Qj4MUTQCAACNBAAADgAAAGRycy9lMm9Eb2MueG1srVTB&#10;btswDL0P2D8Iui+OvSRdjTpF0SDDgG4t1u0DFFmOhUmiRilxsq8fLbtZ2u3Qw3wQRJF6enwkfXV9&#10;sIbtFQYNruL5ZMqZchJq7bYV//5t/e4DZyEKVwsDTlX8qAK/Xr59c9X5UhXQgqkVMgJxoex8xdsY&#10;fZllQbbKijABrxw5G0ArIpm4zWoUHaFbkxXT6SLrAGuPIFUIdLoanHxExNcAQtNoqVYgd1a5OKCi&#10;MiJSSqHVPvBlYts0Ssb7pgkqMlNxyjSmlR6h/aZfs+WVKLcofKvlSEG8hsKLnKzQjh49Qa1EFGyH&#10;+i8oqyVCgCZOJNhsSCQpQlnk0xfaPLbCq5QLSR38SfTw/2Dll/0DMl1XfMaZE5YK/pVEE25rFMsX&#10;vT6dDyWFPfoH7DMM/g7kj8Ac3LYUpm4QoWuVqIlV3sdnzy70RqCrbNN9hprgxS5CkurQoO0BSQR2&#10;SBU5niqiDpFJOiwWs4vLORVLkq8o5u8X+Ty9Icqn6x5D/KjAsn5TcST2CV7s70Ls6YjyKSTRB6Pr&#10;tTYmGbjd3Bpke0HtsU7fiB7Ow4xjXcUv58U8IT/zhXOIafr+BWF1pKkx2lIa50HG9TxU6tSR75Ni&#10;g/LxsDmMRdhAfSQhEYYuphmmTQv4i7OOOrji4edOoOLMfHJUjMt8NutbPhmz+UVBBp57Nuce4SRB&#10;VTxyNmxv4zAmO49629JLeUrewQ0VsNFJ2p7qwGosO3VpUnycqH4Mzu0U9ecvsv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EI+DFE0AgAAjQQAAA4AAAAAAAAAAQAgAAAAJwEAAGRycy9lMm9E&#10;b2MueG1sUEsFBgAAAAAGAAYAWQEAAM0FAAAAAA==&#10;">
                <v:fill on="t" focussize="0,0"/>
                <v:stroke color="#000000" miterlimit="2" joinstyle="miter"/>
                <v:imagedata o:title=""/>
                <o:lock v:ext="edit" aspectratio="f"/>
                <v:textbox>
                  <w:txbxContent>
                    <w:p w14:paraId="3000DB49">
                      <w:pPr>
                        <w:jc w:val="center"/>
                      </w:pPr>
                    </w:p>
                  </w:txbxContent>
                </v:textbox>
              </v:rect>
            </w:pict>
          </mc:Fallback>
        </mc:AlternateContent>
      </w:r>
      <w:r>
        <w:rPr>
          <w:rFonts w:hAnsi="仿宋"/>
        </w:rPr>
        <w:t>投标单位法定名称章（印模）投标单位</w:t>
      </w:r>
      <w:r>
        <w:t>“XX</w:t>
      </w:r>
      <w:r>
        <w:rPr>
          <w:rFonts w:hAnsi="仿宋"/>
        </w:rPr>
        <w:t>专用章</w:t>
      </w:r>
      <w:r>
        <w:t>”</w:t>
      </w:r>
      <w:r>
        <w:rPr>
          <w:rFonts w:hAnsi="仿宋"/>
        </w:rPr>
        <w:t>（印模）</w:t>
      </w:r>
    </w:p>
    <w:p w14:paraId="579B25CB">
      <w:pPr>
        <w:autoSpaceDE w:val="0"/>
        <w:autoSpaceDN w:val="0"/>
        <w:jc w:val="center"/>
        <w:rPr>
          <w:b/>
          <w:spacing w:val="6"/>
          <w:sz w:val="32"/>
          <w:szCs w:val="32"/>
        </w:rPr>
      </w:pPr>
    </w:p>
    <w:p w14:paraId="1257CC18">
      <w:pPr>
        <w:autoSpaceDE w:val="0"/>
        <w:autoSpaceDN w:val="0"/>
        <w:jc w:val="center"/>
        <w:rPr>
          <w:b/>
          <w:spacing w:val="6"/>
          <w:sz w:val="32"/>
          <w:szCs w:val="32"/>
        </w:rPr>
      </w:pPr>
    </w:p>
    <w:p w14:paraId="09C16BD1">
      <w:pPr>
        <w:autoSpaceDE w:val="0"/>
        <w:autoSpaceDN w:val="0"/>
        <w:jc w:val="center"/>
        <w:rPr>
          <w:b/>
          <w:spacing w:val="6"/>
          <w:sz w:val="32"/>
          <w:szCs w:val="32"/>
        </w:rPr>
      </w:pPr>
    </w:p>
    <w:p w14:paraId="688B0ACD">
      <w:pPr>
        <w:autoSpaceDE w:val="0"/>
        <w:autoSpaceDN w:val="0"/>
        <w:jc w:val="center"/>
        <w:rPr>
          <w:b/>
          <w:spacing w:val="6"/>
          <w:sz w:val="32"/>
          <w:szCs w:val="32"/>
        </w:rPr>
      </w:pPr>
    </w:p>
    <w:p w14:paraId="71153E08">
      <w:pPr>
        <w:autoSpaceDE w:val="0"/>
        <w:autoSpaceDN w:val="0"/>
        <w:jc w:val="center"/>
        <w:rPr>
          <w:b/>
          <w:spacing w:val="6"/>
          <w:sz w:val="32"/>
          <w:szCs w:val="32"/>
        </w:rPr>
      </w:pPr>
    </w:p>
    <w:p w14:paraId="3AA2D039">
      <w:pPr>
        <w:autoSpaceDE w:val="0"/>
        <w:autoSpaceDN w:val="0"/>
        <w:jc w:val="center"/>
        <w:rPr>
          <w:b/>
          <w:spacing w:val="6"/>
          <w:sz w:val="32"/>
          <w:szCs w:val="32"/>
        </w:rPr>
      </w:pPr>
    </w:p>
    <w:p w14:paraId="11DD5175">
      <w:pPr>
        <w:autoSpaceDE w:val="0"/>
        <w:autoSpaceDN w:val="0"/>
        <w:jc w:val="center"/>
        <w:rPr>
          <w:b/>
          <w:spacing w:val="6"/>
          <w:sz w:val="32"/>
          <w:szCs w:val="32"/>
        </w:rPr>
      </w:pPr>
    </w:p>
    <w:p w14:paraId="4BD38EA8">
      <w:pPr>
        <w:autoSpaceDE w:val="0"/>
        <w:autoSpaceDN w:val="0"/>
        <w:jc w:val="center"/>
        <w:rPr>
          <w:b/>
          <w:spacing w:val="6"/>
          <w:sz w:val="32"/>
          <w:szCs w:val="32"/>
        </w:rPr>
      </w:pPr>
    </w:p>
    <w:p w14:paraId="25F08563">
      <w:pPr>
        <w:autoSpaceDE w:val="0"/>
        <w:autoSpaceDN w:val="0"/>
        <w:jc w:val="center"/>
        <w:rPr>
          <w:b/>
          <w:spacing w:val="6"/>
          <w:sz w:val="32"/>
          <w:szCs w:val="32"/>
        </w:rPr>
      </w:pPr>
    </w:p>
    <w:p w14:paraId="089BE4F5">
      <w:pPr>
        <w:autoSpaceDE w:val="0"/>
        <w:autoSpaceDN w:val="0"/>
        <w:jc w:val="center"/>
        <w:rPr>
          <w:b/>
          <w:spacing w:val="6"/>
          <w:sz w:val="32"/>
          <w:szCs w:val="32"/>
        </w:rPr>
      </w:pPr>
    </w:p>
    <w:p w14:paraId="7D23ACFF">
      <w:pPr>
        <w:autoSpaceDE w:val="0"/>
        <w:autoSpaceDN w:val="0"/>
        <w:jc w:val="center"/>
        <w:rPr>
          <w:b/>
          <w:spacing w:val="6"/>
          <w:sz w:val="32"/>
          <w:szCs w:val="32"/>
        </w:rPr>
      </w:pPr>
    </w:p>
    <w:p w14:paraId="41A2846F">
      <w:pPr>
        <w:autoSpaceDE w:val="0"/>
        <w:autoSpaceDN w:val="0"/>
        <w:jc w:val="center"/>
        <w:rPr>
          <w:b/>
          <w:spacing w:val="6"/>
          <w:sz w:val="32"/>
          <w:szCs w:val="32"/>
        </w:rPr>
      </w:pPr>
    </w:p>
    <w:p w14:paraId="549097AC">
      <w:pPr>
        <w:autoSpaceDE w:val="0"/>
        <w:autoSpaceDN w:val="0"/>
        <w:jc w:val="center"/>
        <w:rPr>
          <w:b/>
          <w:spacing w:val="6"/>
          <w:sz w:val="32"/>
          <w:szCs w:val="32"/>
        </w:rPr>
      </w:pPr>
    </w:p>
    <w:p w14:paraId="108B5615">
      <w:pPr>
        <w:spacing w:line="360" w:lineRule="auto"/>
        <w:rPr>
          <w:b/>
          <w:sz w:val="32"/>
          <w:szCs w:val="32"/>
        </w:rPr>
      </w:pPr>
    </w:p>
    <w:p w14:paraId="0558972B">
      <w:pPr>
        <w:spacing w:line="360" w:lineRule="auto"/>
        <w:jc w:val="center"/>
        <w:rPr>
          <w:b/>
          <w:sz w:val="32"/>
          <w:szCs w:val="32"/>
        </w:rPr>
      </w:pPr>
    </w:p>
    <w:p w14:paraId="24DACE90">
      <w:pPr>
        <w:spacing w:line="360" w:lineRule="auto"/>
        <w:rPr>
          <w:bCs/>
        </w:rPr>
      </w:pPr>
    </w:p>
    <w:sectPr>
      <w:footerReference r:id="rId30" w:type="first"/>
      <w:footerReference r:id="rId29"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9" w:usb3="00000000" w:csb0="000001FF"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C3CD3">
    <w:pPr>
      <w:pStyle w:val="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BB9A85">
    <w:pPr>
      <w:pStyle w:val="40"/>
      <w:framePr w:wrap="around" w:vAnchor="text" w:hAnchor="margin" w:xAlign="right" w:y="1"/>
      <w:rPr>
        <w:rStyle w:val="72"/>
      </w:rPr>
    </w:pPr>
    <w:r>
      <w:fldChar w:fldCharType="begin"/>
    </w:r>
    <w:r>
      <w:rPr>
        <w:rStyle w:val="72"/>
      </w:rPr>
      <w:instrText xml:space="preserve">PAGE  </w:instrText>
    </w:r>
    <w:r>
      <w:fldChar w:fldCharType="end"/>
    </w:r>
  </w:p>
  <w:p w14:paraId="50B21242">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2FB479">
    <w:pPr>
      <w:pStyle w:val="4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594CE">
    <w:pPr>
      <w:pStyle w:val="40"/>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C918D9B">
                          <w:pPr>
                            <w:pStyle w:val="4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40"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eI5T7SAQAApAMAAA4AAABkcnMvZTJvRG9jLnhtbK1TzY7TMBC+&#10;I/EOlu80acVCFDVdLaoWISFAWngA17EbS/6Tx23SF4A34MSFO8/V52DsJC1aLnvYizPjGX8z3zeT&#10;9e1gNDmKAMrZhi4XJSXCctcqu2/ot6/3rypKIDLbMu2saOhJAL3dvHyx7n0tVq5zuhWBIIiFuvcN&#10;7WL0dVEA74RhsHBeWAxKFwyL6IZ90QbWI7rRxaos3xS9C60PjgsAvN2OQTohhqcAOikVF1vHD0bY&#10;OKIGoVlEStApD3STu5VS8PhZShCR6IYi05hPLIL2Lp3FZs3qfWC+U3xqgT2lhUecDFMWi16gtiwy&#10;cgjqPyijeHDgZFxwZ4qRSFYEWSzLR9o8dMyLzAWlBn8RHZ4Pln86fglEtQ1dUWKZwYGff/44//pz&#10;/v2dvM769B5qTHvwmBiHd27ArUm6pXvAy0R7kMGkLxIiGEd1Txd1xRAJT4+qVVWVGOIYmx3EKa7P&#10;fYD4XjhDktHQgOPLqrLjR4hj6pySqll3r7TOI9SW9Ih6U729yS8uIUTXFotcu01WHHbDRGHn2hMy&#10;63EHGmpx5SnRHyxKnNZlNsJs7Gbj4IPad9jkMtcDf3eI2E7uMlUYYafCOLzMc1q0tB3/+jnr+nNt&#10;/g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J4jlPtIBAACkAwAADgAAAAAAAAABACAAAAAi&#10;AQAAZHJzL2Uyb0RvYy54bWxQSwUGAAAAAAYABgBZAQAAZgUAAAAA&#10;">
              <v:fill on="f" focussize="0,0"/>
              <v:stroke on="f" weight="1.25pt"/>
              <v:imagedata o:title=""/>
              <o:lock v:ext="edit" aspectratio="f"/>
              <v:textbox inset="0mm,0mm,0mm,0mm" style="mso-fit-shape-to-text:t;">
                <w:txbxContent>
                  <w:p w14:paraId="1C918D9B">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DDB18">
    <w:pPr>
      <w:pStyle w:val="40"/>
      <w:jc w:val="center"/>
      <w:rPr>
        <w:rFonts w:ascii="仿宋" w:hAnsi="仿宋" w:cs="仿宋"/>
      </w:rPr>
    </w:pPr>
    <w:r>
      <w:rPr>
        <w:rFonts w:hint="eastAsia" w:ascii="仿宋" w:hAnsi="仿宋" w:cs="仿宋"/>
        <w:kern w:val="0"/>
      </w:rPr>
      <w:t xml:space="preserve">第 </w:t>
    </w:r>
    <w:r>
      <w:rPr>
        <w:rFonts w:hint="eastAsia" w:ascii="仿宋" w:hAnsi="仿宋" w:cs="仿宋"/>
        <w:kern w:val="0"/>
      </w:rPr>
      <w:fldChar w:fldCharType="begin"/>
    </w:r>
    <w:r>
      <w:rPr>
        <w:rFonts w:hint="eastAsia" w:ascii="仿宋" w:hAnsi="仿宋" w:cs="仿宋"/>
        <w:kern w:val="0"/>
      </w:rPr>
      <w:instrText xml:space="preserve"> PAGE </w:instrText>
    </w:r>
    <w:r>
      <w:rPr>
        <w:rFonts w:hint="eastAsia" w:ascii="仿宋" w:hAnsi="仿宋" w:cs="仿宋"/>
        <w:kern w:val="0"/>
      </w:rPr>
      <w:fldChar w:fldCharType="separate"/>
    </w:r>
    <w:r>
      <w:rPr>
        <w:rFonts w:hint="eastAsia" w:ascii="仿宋" w:hAnsi="仿宋" w:cs="仿宋"/>
        <w:kern w:val="0"/>
      </w:rPr>
      <w:t>1</w:t>
    </w:r>
    <w:r>
      <w:rPr>
        <w:rFonts w:hint="eastAsia" w:ascii="仿宋" w:hAnsi="仿宋" w:cs="仿宋"/>
        <w:kern w:val="0"/>
      </w:rPr>
      <w:fldChar w:fldCharType="end"/>
    </w:r>
    <w:r>
      <w:rPr>
        <w:rFonts w:hint="eastAsia" w:ascii="仿宋" w:hAnsi="仿宋" w:cs="仿宋"/>
        <w:kern w:val="0"/>
      </w:rPr>
      <w:t xml:space="preserve">页 共 </w:t>
    </w:r>
    <w:r>
      <w:rPr>
        <w:rFonts w:hint="eastAsia" w:ascii="仿宋" w:hAnsi="仿宋" w:cs="仿宋"/>
        <w:kern w:val="0"/>
      </w:rPr>
      <w:fldChar w:fldCharType="begin"/>
    </w:r>
    <w:r>
      <w:rPr>
        <w:rFonts w:hint="eastAsia" w:ascii="仿宋" w:hAnsi="仿宋" w:cs="仿宋"/>
        <w:kern w:val="0"/>
      </w:rPr>
      <w:instrText xml:space="preserve"> NUMPAGES </w:instrText>
    </w:r>
    <w:r>
      <w:rPr>
        <w:rFonts w:hint="eastAsia" w:ascii="仿宋" w:hAnsi="仿宋" w:cs="仿宋"/>
        <w:kern w:val="0"/>
      </w:rPr>
      <w:fldChar w:fldCharType="separate"/>
    </w:r>
    <w:r>
      <w:rPr>
        <w:rFonts w:hint="eastAsia" w:ascii="仿宋" w:hAnsi="仿宋" w:cs="仿宋"/>
        <w:kern w:val="0"/>
      </w:rPr>
      <w:t>1</w:t>
    </w:r>
    <w:r>
      <w:rPr>
        <w:rFonts w:hint="eastAsia" w:ascii="仿宋" w:hAnsi="仿宋" w:cs="仿宋"/>
        <w:kern w:val="0"/>
      </w:rPr>
      <w:fldChar w:fldCharType="end"/>
    </w:r>
    <w:r>
      <w:rPr>
        <w:rFonts w:hint="eastAsia" w:ascii="仿宋" w:hAnsi="仿宋" w:cs="仿宋"/>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17EE9">
    <w:pPr>
      <w:pStyle w:val="40"/>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367562A">
                          <w:pPr>
                            <w:pStyle w:val="40"/>
                          </w:pPr>
                          <w:r>
                            <w:fldChar w:fldCharType="begin"/>
                          </w:r>
                          <w:r>
                            <w:instrText xml:space="preserve"> PAGE  \* MERGEFORMAT </w:instrText>
                          </w:r>
                          <w:r>
                            <w:fldChar w:fldCharType="separate"/>
                          </w:r>
                          <w:r>
                            <w:t>21</w:t>
                          </w:r>
                          <w:r>
                            <w:fldChar w:fldCharType="end"/>
                          </w:r>
                        </w:p>
                      </w:txbxContent>
                    </wps:txbx>
                    <wps:bodyPr wrap="none" lIns="0" tIns="0" rIns="0" bIns="0" upright="1">
                      <a:spAutoFit/>
                    </wps:bodyPr>
                  </wps:wsp>
                </a:graphicData>
              </a:graphic>
            </wp:anchor>
          </w:drawing>
        </mc:Choice>
        <mc:Fallback>
          <w:pict>
            <v:shape id="文本框 4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fvrQDSAQAApAMAAA4AAABkcnMvZTJvRG9jLnhtbK1TzY7TMBC+&#10;I/EOlu80aUUhipquFlWLkBAgLTyA69iNJf/J4zbpC8AbcOLCnefqczB2ki5aLnvYizPjGX8z3zeT&#10;zc1gNDmJAMrZhi4XJSXCctcqe2jot693rypKIDLbMu2saOhZAL3Zvnyx6X0tVq5zuhWBIIiFuvcN&#10;7WL0dVEA74RhsHBeWAxKFwyL6IZD0QbWI7rRxaos3xS9C60PjgsAvN2NQTohhqcAOikVFzvHj0bY&#10;OKIGoVlEStApD3Sbu5VS8PhZShCR6IYi05hPLIL2Pp3FdsPqQ2C+U3xqgT2lhUecDFMWi16hdiwy&#10;cgzqPyijeHDgZFxwZ4qRSFYEWSzLR9rcd8yLzAWlBn8VHZ4Pln86fQlEtQ1dU2KZwYFffv64/Ppz&#10;+f2dvF4mfXoPNabde0yMwzs34NbM94CXifYgg0lfJEQwjuqer+qKIRKeHlWrqioxxDE2O4hfPDz3&#10;AeJ74QxJRkMDji+ryk4fIY6pc0qqZt2d0jqPUFvSI+q6ervOL64hRNcWiyQWY7fJisN+mKjtXXtG&#10;Zj3uQEMtrjwl+oNFidO6zEaYjf1sHH1Qhw6bXOZ64G+PEdvJXaYKI+xUGIeXeU6LlrbjXz9nPfxc&#10;27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x++tANIBAACkAwAADgAAAAAAAAABACAAAAAi&#10;AQAAZHJzL2Uyb0RvYy54bWxQSwUGAAAAAAYABgBZAQAAZgUAAAAA&#10;">
              <v:fill on="f" focussize="0,0"/>
              <v:stroke on="f" weight="1.25pt"/>
              <v:imagedata o:title=""/>
              <o:lock v:ext="edit" aspectratio="f"/>
              <v:textbox inset="0mm,0mm,0mm,0mm" style="mso-fit-shape-to-text:t;">
                <w:txbxContent>
                  <w:p w14:paraId="0367562A">
                    <w:pPr>
                      <w:pStyle w:val="40"/>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7DC32A">
    <w:pPr>
      <w:pStyle w:val="40"/>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B669EFE">
                          <w:pPr>
                            <w:pStyle w:val="40"/>
                          </w:pPr>
                          <w:r>
                            <w:fldChar w:fldCharType="begin"/>
                          </w:r>
                          <w:r>
                            <w:instrText xml:space="preserve"> PAGE  \* MERGEFORMAT </w:instrText>
                          </w:r>
                          <w:r>
                            <w:fldChar w:fldCharType="separate"/>
                          </w:r>
                          <w:r>
                            <w:t>29</w:t>
                          </w:r>
                          <w:r>
                            <w:fldChar w:fldCharType="end"/>
                          </w:r>
                        </w:p>
                      </w:txbxContent>
                    </wps:txbx>
                    <wps:bodyPr wrap="none" lIns="0" tIns="0" rIns="0" bIns="0" upright="1">
                      <a:spAutoFit/>
                    </wps:bodyPr>
                  </wps:wsp>
                </a:graphicData>
              </a:graphic>
            </wp:anchor>
          </w:drawing>
        </mc:Choice>
        <mc:Fallback>
          <w:pict>
            <v:shape id="文本框 43"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sj3z/TAQAApAMAAA4AAABkcnMvZTJvRG9jLnhtbK1TzY7TMBC+&#10;I/EOlu80aWGXKGq6AlWLkBAgLTyA69iNJf/J4zbpC8AbcOLCnefqczB2ki7avexhL86MZ/zNfN9M&#10;1jeD0eQoAihnG7pclJQIy12r7L6h37/dvqoogchsy7SzoqEnAfRm8/LFuve1WLnO6VYEgiAW6t43&#10;tIvR10UBvBOGwcJ5YTEoXTAsohv2RRtYj+hGF6uyvC56F1ofHBcAeLsdg3RCDE8BdFIqLraOH4yw&#10;cUQNQrOIlKBTHugmdyul4PGLlCAi0Q1FpjGfWATtXTqLzZrV+8B8p/jUAntKCw84GaYsFr1AbVlk&#10;5BDUIyijeHDgZFxwZ4qRSFYEWSzLB9rcdcyLzAWlBn8RHZ4Pln8+fg1EtQ29psQygwM///p5/v33&#10;/OcHefM66dN7qDHtzmNiHN67Abdmvge8TLQHGUz6IiGCcVT3dFFXDJHw9KhaVVWJIY6x2UH84v65&#10;DxA/CGdIMhoacHxZVXb8BHFMnVNSNetuldZ5hNqSHlGvqrdX+cUlhOjaYpHEYuw2WXHYDRO1nWtP&#10;yKzHHWioxZWnRH+0KHFal9kIs7GbjYMPat9hk8tcD/y7Q8R2cpepwgg7FcbhZZ7ToqXt+N/PWfc/&#10;1+Y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Msj3z/TAQAApAMAAA4AAAAAAAAAAQAgAAAA&#10;IgEAAGRycy9lMm9Eb2MueG1sUEsFBgAAAAAGAAYAWQEAAGcFAAAAAA==&#10;">
              <v:fill on="f" focussize="0,0"/>
              <v:stroke on="f" weight="1.25pt"/>
              <v:imagedata o:title=""/>
              <o:lock v:ext="edit" aspectratio="f"/>
              <v:textbox inset="0mm,0mm,0mm,0mm" style="mso-fit-shape-to-text:t;">
                <w:txbxContent>
                  <w:p w14:paraId="3B669EFE">
                    <w:pPr>
                      <w:pStyle w:val="40"/>
                    </w:pPr>
                    <w:r>
                      <w:fldChar w:fldCharType="begin"/>
                    </w:r>
                    <w:r>
                      <w:instrText xml:space="preserve"> PAGE  \* MERGEFORMAT </w:instrText>
                    </w:r>
                    <w:r>
                      <w:fldChar w:fldCharType="separate"/>
                    </w:r>
                    <w:r>
                      <w:t>29</w:t>
                    </w:r>
                    <w:r>
                      <w:fldChar w:fldCharType="end"/>
                    </w:r>
                  </w:p>
                </w:txbxContent>
              </v:textbox>
            </v:shape>
          </w:pict>
        </mc:Fallback>
      </mc:AlternateContent>
    </w:r>
  </w:p>
  <w:p w14:paraId="6357DD47">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42B1C5">
    <w:pPr>
      <w:pStyle w:val="40"/>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949B5EA">
                          <w:pPr>
                            <w:pStyle w:val="40"/>
                          </w:pPr>
                          <w:r>
                            <w:fldChar w:fldCharType="begin"/>
                          </w:r>
                          <w:r>
                            <w:instrText xml:space="preserve"> PAGE  \* MERGEFORMAT </w:instrText>
                          </w:r>
                          <w:r>
                            <w:fldChar w:fldCharType="separate"/>
                          </w:r>
                          <w:r>
                            <w:t>22</w:t>
                          </w:r>
                          <w:r>
                            <w:fldChar w:fldCharType="end"/>
                          </w:r>
                        </w:p>
                      </w:txbxContent>
                    </wps:txbx>
                    <wps:bodyPr wrap="none" lIns="0" tIns="0" rIns="0" bIns="0" upright="1">
                      <a:spAutoFit/>
                    </wps:bodyPr>
                  </wps:wsp>
                </a:graphicData>
              </a:graphic>
            </wp:anchor>
          </w:drawing>
        </mc:Choice>
        <mc:Fallback>
          <w:pict>
            <v:shape id="文本框 44"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z4bS/TAQAApAMAAA4AAABkcnMvZTJvRG9jLnhtbK1TzY7TMBC+&#10;I/EOlu80abXLRlHT1aJqERICpIUHcB27seQ/edwmfQF4A05cuPNcfQ7GTtJFy2UPe3FmPONv5vtm&#10;sr4djCZHEUA529DloqREWO5aZfcN/fb1/k1FCURmW6adFQ09CaC3m9ev1r2vxcp1TrciEASxUPe+&#10;oV2Mvi4K4J0wDBbOC4tB6YJhEd2wL9rAekQ3uliV5duid6H1wXEBgLfbMUgnxPAcQCel4mLr+MEI&#10;G0fUIDSLSAk65YFucrdSCh4/SwkiEt1QZBrziUXQ3qWz2KxZvQ/Md4pPLbDntPCEk2HKYtEL1JZF&#10;Rg5B/QdlFA8OnIwL7kwxEsmKIItl+USbh455kbmg1OAvosPLwfJPxy+BqLahN5RYZnDg558/zr/+&#10;nH9/J1dXSZ/eQ41pDx4T4/DODbg18z3gZaI9yGDSFwkRjKO6p4u6YoiEp0fVqqpKDHGMzQ7iF4/P&#10;fYD4XjhDktHQgOPLqrLjR4hj6pySqll3r7TOI9SW9Ih6Xd1c5xeXEKJri0USi7HbZMVhN0zUdq49&#10;IbMed6ChFleeEv3BosRpXWYjzMZuNg4+qH2HTS5zPfB3h4jt5C5ThRF2KozDyzynRUvb8a+fsx5/&#10;rs1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Lz4bS/TAQAApAMAAA4AAAAAAAAAAQAgAAAA&#10;IgEAAGRycy9lMm9Eb2MueG1sUEsFBgAAAAAGAAYAWQEAAGcFAAAAAA==&#10;">
              <v:fill on="f" focussize="0,0"/>
              <v:stroke on="f" weight="1.25pt"/>
              <v:imagedata o:title=""/>
              <o:lock v:ext="edit" aspectratio="f"/>
              <v:textbox inset="0mm,0mm,0mm,0mm" style="mso-fit-shape-to-text:t;">
                <w:txbxContent>
                  <w:p w14:paraId="3949B5EA">
                    <w:pPr>
                      <w:pStyle w:val="40"/>
                    </w:pPr>
                    <w:r>
                      <w:fldChar w:fldCharType="begin"/>
                    </w:r>
                    <w:r>
                      <w:instrText xml:space="preserve"> PAGE  \* MERGEFORMAT </w:instrText>
                    </w:r>
                    <w:r>
                      <w:fldChar w:fldCharType="separate"/>
                    </w:r>
                    <w:r>
                      <w:t>22</w:t>
                    </w:r>
                    <w:r>
                      <w:fldChar w:fldCharType="end"/>
                    </w:r>
                  </w:p>
                </w:txbxContent>
              </v:textbox>
            </v:shape>
          </w:pict>
        </mc:Fallback>
      </mc:AlternateContent>
    </w:r>
  </w:p>
  <w:p w14:paraId="754E2C56">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2D86B0">
    <w:pPr>
      <w:pStyle w:val="40"/>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61C896C">
                          <w:pPr>
                            <w:pStyle w:val="40"/>
                          </w:pPr>
                          <w:r>
                            <w:fldChar w:fldCharType="begin"/>
                          </w:r>
                          <w:r>
                            <w:instrText xml:space="preserve"> PAGE  \* MERGEFORMAT </w:instrText>
                          </w:r>
                          <w:r>
                            <w:fldChar w:fldCharType="separate"/>
                          </w:r>
                          <w:r>
                            <w:t>56</w:t>
                          </w:r>
                          <w:r>
                            <w:fldChar w:fldCharType="end"/>
                          </w:r>
                        </w:p>
                      </w:txbxContent>
                    </wps:txbx>
                    <wps:bodyPr wrap="none" lIns="0" tIns="0" rIns="0" bIns="0" upright="1">
                      <a:spAutoFit/>
                    </wps:bodyPr>
                  </wps:wsp>
                </a:graphicData>
              </a:graphic>
            </wp:anchor>
          </w:drawing>
        </mc:Choice>
        <mc:Fallback>
          <w:pict>
            <v:shape id="文本框 45"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WlcePSAQAApAMAAA4AAABkcnMvZTJvRG9jLnhtbK1TzY7TMBC+&#10;I/EOlu80aUUhipquFlWLkBAgLTyA69iNJf/J4zbpC8AbcOLCnefqczB2ki5aLnvYizPjGX8z3zeT&#10;zc1gNDmJAMrZhi4XJSXCctcqe2jot693rypKIDLbMu2saOhZAL3Zvnyx6X0tVq5zuhWBIIiFuvcN&#10;7WL0dVEA74RhsHBeWAxKFwyL6IZD0QbWI7rRxaos3xS9C60PjgsAvN2NQTohhqcAOikVFzvHj0bY&#10;OKIGoVlEStApD3Sbu5VS8PhZShCR6IYi05hPLIL2Pp3FdsPqQ2C+U3xqgT2lhUecDFMWi16hdiwy&#10;cgzqPyijeHDgZFxwZ4qRSFYEWSzLR9rcd8yLzAWlBn8VHZ4Pln86fQlEtQ3FsVtmcOCXnz8uv/5c&#10;fn8nr9dJn95DjWn3HhPj8M4NuDXzPeBloj3IYNIXCRGMo7rnq7piiISnR9WqqkoMcYzNDuIXD899&#10;gPheOEOS0dCA48uqstNHiGPqnJKqWXentM4j1Jb0iLqu3q7zi2sI0bXFIonF2G2y4rAfJmp7156R&#10;WY870FCLK0+J/mBR4rQusxFmYz8bRx/UocMml7ke+NtjxHZyl6nCCDsVxuFlntOipe34189ZDz/X&#10;9i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FaVx49IBAACkAwAADgAAAAAAAAABACAAAAAi&#10;AQAAZHJzL2Uyb0RvYy54bWxQSwUGAAAAAAYABgBZAQAAZgUAAAAA&#10;">
              <v:fill on="f" focussize="0,0"/>
              <v:stroke on="f" weight="1.25pt"/>
              <v:imagedata o:title=""/>
              <o:lock v:ext="edit" aspectratio="f"/>
              <v:textbox inset="0mm,0mm,0mm,0mm" style="mso-fit-shape-to-text:t;">
                <w:txbxContent>
                  <w:p w14:paraId="161C896C">
                    <w:pPr>
                      <w:pStyle w:val="40"/>
                    </w:pPr>
                    <w:r>
                      <w:fldChar w:fldCharType="begin"/>
                    </w:r>
                    <w:r>
                      <w:instrText xml:space="preserve"> PAGE  \* MERGEFORMAT </w:instrText>
                    </w:r>
                    <w:r>
                      <w:fldChar w:fldCharType="separate"/>
                    </w:r>
                    <w:r>
                      <w:t>56</w:t>
                    </w:r>
                    <w:r>
                      <w:fldChar w:fldCharType="end"/>
                    </w:r>
                  </w:p>
                </w:txbxContent>
              </v:textbox>
            </v:shape>
          </w:pict>
        </mc:Fallback>
      </mc:AlternateContent>
    </w:r>
  </w:p>
  <w:p w14:paraId="162EEEE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BAD46">
    <w:pPr>
      <w:pStyle w:val="40"/>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903D4C9">
                          <w:pPr>
                            <w:pStyle w:val="40"/>
                          </w:pPr>
                          <w:r>
                            <w:fldChar w:fldCharType="begin"/>
                          </w:r>
                          <w:r>
                            <w:instrText xml:space="preserve"> PAGE  \* MERGEFORMAT </w:instrText>
                          </w:r>
                          <w:r>
                            <w:fldChar w:fldCharType="separate"/>
                          </w:r>
                          <w:r>
                            <w:t>52</w:t>
                          </w:r>
                          <w:r>
                            <w:fldChar w:fldCharType="end"/>
                          </w:r>
                        </w:p>
                      </w:txbxContent>
                    </wps:txbx>
                    <wps:bodyPr wrap="none" lIns="0" tIns="0" rIns="0" bIns="0" upright="1">
                      <a:spAutoFit/>
                    </wps:bodyPr>
                  </wps:wsp>
                </a:graphicData>
              </a:graphic>
            </wp:anchor>
          </w:drawing>
        </mc:Choice>
        <mc:Fallback>
          <w:pict>
            <v:shape id="文本框 4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Hw3/VPTAQAApAMAAA4AAABkcnMvZTJvRG9jLnhtbK1TzY7TMBC+&#10;I/EOlu80acUuIWq6AlWLkBAgLTyA69iNJf/J4zbpC8AbcOLCnefqczB2ku5q97IHLs6MZ/zNfN9M&#10;1jeD0eQoAihnG7pclJQIy12r7L6h37/dvqoogchsy7SzoqEnAfRm8/LFuve1WLnO6VYEgiAW6t43&#10;tIvR10UBvBOGwcJ5YTEoXTAsohv2RRtYj+hGF6uyvC56F1ofHBcAeLsdg3RCDM8BdFIqLraOH4yw&#10;cUQNQrOIlKBTHugmdyul4PGLlCAi0Q1FpjGfWATtXTqLzZrV+8B8p/jUAntOC484GaYsFr1AbVlk&#10;5BDUEyijeHDgZFxwZ4qRSFYEWSzLR9rcdcyLzAWlBn8RHf4fLP98/BqIahv6lhLLDA78/Ovn+fff&#10;858f5PV10qf3UGPancfEOLx3A27NfA94mWgPMpj0RUIE46ju6aKuGCLh6VG1qqoSQxxjs4P4xf1z&#10;HyB+EM6QZDQ04Piyquz4CeKYOqekatbdKq3zCLUlPaJeVW+u8otLCNG1xSKJxdhtsuKwGyZqO9ee&#10;kFmPO9BQiytPif5oUeK0LrMRZmM3Gwcf1L7DJpe5Hvh3h4jt5C5ThRF2KozDyzynRUvb8dDPWfc/&#10;1+Y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Hw3/VPTAQAApAMAAA4AAAAAAAAAAQAgAAAA&#10;IgEAAGRycy9lMm9Eb2MueG1sUEsFBgAAAAAGAAYAWQEAAGcFAAAAAA==&#10;">
              <v:fill on="f" focussize="0,0"/>
              <v:stroke on="f" weight="1.25pt"/>
              <v:imagedata o:title=""/>
              <o:lock v:ext="edit" aspectratio="f"/>
              <v:textbox inset="0mm,0mm,0mm,0mm" style="mso-fit-shape-to-text:t;">
                <w:txbxContent>
                  <w:p w14:paraId="7903D4C9">
                    <w:pPr>
                      <w:pStyle w:val="40"/>
                    </w:pPr>
                    <w:r>
                      <w:fldChar w:fldCharType="begin"/>
                    </w:r>
                    <w:r>
                      <w:instrText xml:space="preserve"> PAGE  \* MERGEFORMAT </w:instrText>
                    </w:r>
                    <w:r>
                      <w:fldChar w:fldCharType="separate"/>
                    </w:r>
                    <w:r>
                      <w:t>52</w:t>
                    </w:r>
                    <w:r>
                      <w:fldChar w:fldCharType="end"/>
                    </w:r>
                  </w:p>
                </w:txbxContent>
              </v:textbox>
            </v:shape>
          </w:pict>
        </mc:Fallback>
      </mc:AlternateContent>
    </w:r>
  </w:p>
  <w:p w14:paraId="4A8172A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31798">
    <w:pPr>
      <w:pStyle w:val="40"/>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B313BEE">
                          <w:pPr>
                            <w:pStyle w:val="4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47"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W8fdXTAQAApQMAAA4AAABkcnMvZTJvRG9jLnhtbK1TS27bMBDd&#10;F+gdCO5ryUbTCILloIWRokDRFkh6AJoiLQL8gUNb8gXaG3TVTfc9l8/RISU5RbLJIhtqyBm+ee9x&#10;tL4ZjCZHEUA529DloqREWO5aZfcN/X5/+6aiBCKzLdPOioaeBNCbzetX697XYuU6p1sRCIJYqHvf&#10;0C5GXxcF8E4YBgvnhcWkdMGwiNuwL9rAekQ3uliV5buid6H1wXEBgKfbMUknxPAcQCel4mLr+MEI&#10;G0fUIDSLKAk65YFuMlspBY9fpQQRiW4oKo15xSYY79JabNas3gfmO8UnCuw5FB5pMkxZbHqB2rLI&#10;yCGoJ1BG8eDAybjgzhSjkOwIqliWj7y565gXWQtaDf5iOrwcLP9y/BaIanES0BLLDL74+dfP8++/&#10;5z8/yNvrZFDvoca6O4+VcfjgBiyezwEPk+5BBpO+qIhgHrFOF3vFEAlPl6pVVZWY4pibN4hfPFz3&#10;AeJH4QxJQUMDvl+2lR0/QxxL55LUzbpbpXV+Q21Jj6hX1fVVvnFJIbq22CSpGNmmKA67YZK2c+0J&#10;lfU4BA21OPOU6E8WPUamcQ7CHOzm4OCD2ndIcpn7gX9/iEgns0wdRtipMb5e1jlNWhqP//e56uHv&#10;2vw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BW8fdXTAQAApQMAAA4AAAAAAAAAAQAgAAAA&#10;IgEAAGRycy9lMm9Eb2MueG1sUEsFBgAAAAAGAAYAWQEAAGcFAAAAAA==&#10;">
              <v:fill on="f" focussize="0,0"/>
              <v:stroke on="f" weight="1.25pt"/>
              <v:imagedata o:title=""/>
              <o:lock v:ext="edit" aspectratio="f"/>
              <v:textbox inset="0mm,0mm,0mm,0mm" style="mso-fit-shape-to-text:t;">
                <w:txbxContent>
                  <w:p w14:paraId="2B313BEE">
                    <w:pPr>
                      <w:pStyle w:val="40"/>
                    </w:pPr>
                    <w:r>
                      <w:fldChar w:fldCharType="begin"/>
                    </w:r>
                    <w:r>
                      <w:instrText xml:space="preserve"> PAGE  \* MERGEFORMAT </w:instrText>
                    </w:r>
                    <w:r>
                      <w:fldChar w:fldCharType="separate"/>
                    </w:r>
                    <w:r>
                      <w:t>1</w:t>
                    </w:r>
                    <w:r>
                      <w:fldChar w:fldCharType="end"/>
                    </w:r>
                  </w:p>
                </w:txbxContent>
              </v:textbox>
            </v:shape>
          </w:pict>
        </mc:Fallback>
      </mc:AlternateContent>
    </w:r>
  </w:p>
  <w:p w14:paraId="7AD2D765">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DA3C8">
    <w:pPr>
      <w:pStyle w:val="40"/>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37F6400">
                          <w:pPr>
                            <w:pStyle w:val="40"/>
                          </w:pPr>
                          <w:r>
                            <w:fldChar w:fldCharType="begin"/>
                          </w:r>
                          <w:r>
                            <w:instrText xml:space="preserve"> PAGE  \* MERGEFORMAT </w:instrText>
                          </w:r>
                          <w:r>
                            <w:fldChar w:fldCharType="separate"/>
                          </w:r>
                          <w:r>
                            <w:t>58</w:t>
                          </w:r>
                          <w:r>
                            <w:fldChar w:fldCharType="end"/>
                          </w:r>
                        </w:p>
                      </w:txbxContent>
                    </wps:txbx>
                    <wps:bodyPr wrap="none" lIns="0" tIns="0" rIns="0" bIns="0" upright="1">
                      <a:spAutoFit/>
                    </wps:bodyPr>
                  </wps:wsp>
                </a:graphicData>
              </a:graphic>
            </wp:anchor>
          </w:drawing>
        </mc:Choice>
        <mc:Fallback>
          <w:pict>
            <v:shape id="文本框 48"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B/zwl7TAQAApQMAAA4AAABkcnMvZTJvRG9jLnhtbK1TzY7TMBC+&#10;I+07WL5vk1YsRFHTFahahIQAaeEBXMduLPlPHrdJXwDegBMX7jxXn4Oxk3RXu5c9cHFmPONv5vtm&#10;sr4djCZHEUA529DloqREWO5aZfcN/f7t7rqiBCKzLdPOioaeBNDbzdWrde9rsXKd060IBEEs1L1v&#10;aBejr4sCeCcMg4XzwmJQumBYRDfsizawHtGNLlZl+aboXWh9cFwA4O12DNIJMbwE0EmpuNg6fjDC&#10;xhE1CM0iUoJOeaCb3K2UgscvUoKIRDcUmcZ8YhG0d+ksNmtW7wPzneJTC+wlLTzhZJiyWPQCtWWR&#10;kUNQz6CM4sGBk3HBnSlGIlkRZLEsn2hz3zEvMheUGvxFdPh/sPzz8WsgqsVNWFJimcGJn3/9PP/+&#10;e/7zg7yukkC9hxrz7j1mxuG9GzB5vge8TLwHGUz6IiOCcZT3dJFXDJHw9KhaVVWJIY6x2UH84uG5&#10;DxA/CGdIMhoacH5ZVnb8BHFMnVNSNevulNZ5htqSHlFvqrc3+cUlhOjaYpHEYuw2WXHYDRO1nWtP&#10;yKzHJWioxZ2nRH+0qHHal9kIs7GbjYMPat9hk8tcD/y7Q8R2cpepwgg7FcbpZZ7TpqX1eOznrIe/&#10;a/MP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B/zwl7TAQAApQMAAA4AAAAAAAAAAQAgAAAA&#10;IgEAAGRycy9lMm9Eb2MueG1sUEsFBgAAAAAGAAYAWQEAAGcFAAAAAA==&#10;">
              <v:fill on="f" focussize="0,0"/>
              <v:stroke on="f" weight="1.25pt"/>
              <v:imagedata o:title=""/>
              <o:lock v:ext="edit" aspectratio="f"/>
              <v:textbox inset="0mm,0mm,0mm,0mm" style="mso-fit-shape-to-text:t;">
                <w:txbxContent>
                  <w:p w14:paraId="137F6400">
                    <w:pPr>
                      <w:pStyle w:val="40"/>
                    </w:pPr>
                    <w:r>
                      <w:fldChar w:fldCharType="begin"/>
                    </w:r>
                    <w:r>
                      <w:instrText xml:space="preserve"> PAGE  \* MERGEFORMAT </w:instrText>
                    </w:r>
                    <w:r>
                      <w:fldChar w:fldCharType="separate"/>
                    </w:r>
                    <w:r>
                      <w:t>58</w:t>
                    </w:r>
                    <w:r>
                      <w:fldChar w:fldCharType="end"/>
                    </w:r>
                  </w:p>
                </w:txbxContent>
              </v:textbox>
            </v:shape>
          </w:pict>
        </mc:Fallback>
      </mc:AlternateContent>
    </w:r>
  </w:p>
  <w:p w14:paraId="0940630F">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B27FC">
    <w:pPr>
      <w:pStyle w:val="40"/>
      <w:jc w:val="center"/>
      <w:rPr>
        <w:rFonts w:ascii="仿宋" w:hAnsi="仿宋" w:cs="仿宋"/>
        <w:szCs w:val="24"/>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28E4CC7">
                          <w:pPr>
                            <w:pStyle w:val="40"/>
                          </w:pPr>
                          <w:r>
                            <w:fldChar w:fldCharType="begin"/>
                          </w:r>
                          <w:r>
                            <w:instrText xml:space="preserve"> PAGE  \* MERGEFORMAT </w:instrText>
                          </w:r>
                          <w:r>
                            <w:fldChar w:fldCharType="separate"/>
                          </w:r>
                          <w:r>
                            <w:t>65</w:t>
                          </w:r>
                          <w:r>
                            <w:fldChar w:fldCharType="end"/>
                          </w:r>
                        </w:p>
                      </w:txbxContent>
                    </wps:txbx>
                    <wps:bodyPr wrap="none" lIns="0" tIns="0" rIns="0" bIns="0" upright="1">
                      <a:spAutoFit/>
                    </wps:bodyPr>
                  </wps:wsp>
                </a:graphicData>
              </a:graphic>
            </wp:anchor>
          </w:drawing>
        </mc:Choice>
        <mc:Fallback>
          <w:pict>
            <v:shape id="文本框 49"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sKGPTTAQAApQMAAA4AAABkcnMvZTJvRG9jLnhtbK1TzY7TMBC+&#10;I/EOlu80acVCiJquQNUiJARICw/gOnZjyX/yuE36AvAGnLhw57n6HDt2ki7avexhL86MZ/zNfN9M&#10;1teD0eQoAihnG7pclJQIy12r7L6hP77fvKoogchsy7SzoqEnAfR68/LFuve1WLnO6VYEgiAW6t43&#10;tIvR10UBvBOGwcJ5YTEoXTAsohv2RRtYj+hGF6uyfFP0LrQ+OC4A8HY7BumEGJ4C6KRUXGwdPxhh&#10;44gahGYRKUGnPNBN7lZKweNXKUFEohuKTGM+sQjau3QWmzWr94H5TvGpBfaUFh5wMkxZLHqB2rLI&#10;yCGoR1BG8eDAybjgzhQjkawIsliWD7S57ZgXmQtKDf4iOjwfLP9y/BaIanETVpRYZnDi59+/zn/+&#10;nf/+JK/fJYF6DzXm3XrMjMMHN2DyfA94mXgPMpj0RUYE4yjv6SKvGCLh6VG1qqoSQxxjs4P4xf1z&#10;HyB+FM6QZDQ04PyyrOz4GeKYOqekatbdKK3zDLUlPaJeVW+v8otLCNG1xSKJxdhtsuKwGyZqO9ee&#10;kFmPS9BQiztPif5kUeO0L7MRZmM3Gwcf1L7DJpe5Hvj3h4jt5C5ThRF2KozTyzynTUvr8b+fs+7/&#10;rs0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PsKGPTTAQAApQMAAA4AAAAAAAAAAQAgAAAA&#10;IgEAAGRycy9lMm9Eb2MueG1sUEsFBgAAAAAGAAYAWQEAAGcFAAAAAA==&#10;">
              <v:fill on="f" focussize="0,0"/>
              <v:stroke on="f" weight="1.25pt"/>
              <v:imagedata o:title=""/>
              <o:lock v:ext="edit" aspectratio="f"/>
              <v:textbox inset="0mm,0mm,0mm,0mm" style="mso-fit-shape-to-text:t;">
                <w:txbxContent>
                  <w:p w14:paraId="628E4CC7">
                    <w:pPr>
                      <w:pStyle w:val="40"/>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37102">
    <w:pPr>
      <w:pStyle w:val="40"/>
      <w:framePr w:wrap="around" w:vAnchor="text" w:hAnchor="margin" w:xAlign="right" w:y="1"/>
      <w:rPr>
        <w:rStyle w:val="72"/>
      </w:rPr>
    </w:pPr>
    <w:r>
      <w:fldChar w:fldCharType="begin"/>
    </w:r>
    <w:r>
      <w:rPr>
        <w:rStyle w:val="72"/>
      </w:rPr>
      <w:instrText xml:space="preserve">PAGE  </w:instrText>
    </w:r>
    <w:r>
      <w:fldChar w:fldCharType="end"/>
    </w:r>
  </w:p>
  <w:p w14:paraId="34B4EB55">
    <w:pPr>
      <w:pStyle w:val="40"/>
      <w:ind w:right="360"/>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88854">
    <w:pPr>
      <w:pStyle w:val="40"/>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0984CED">
                          <w:pPr>
                            <w:pStyle w:val="40"/>
                          </w:pPr>
                          <w:r>
                            <w:fldChar w:fldCharType="begin"/>
                          </w:r>
                          <w:r>
                            <w:instrText xml:space="preserve"> PAGE  \* MERGEFORMAT </w:instrText>
                          </w:r>
                          <w:r>
                            <w:fldChar w:fldCharType="separate"/>
                          </w:r>
                          <w:r>
                            <w:t>59</w:t>
                          </w:r>
                          <w:r>
                            <w:fldChar w:fldCharType="end"/>
                          </w:r>
                        </w:p>
                      </w:txbxContent>
                    </wps:txbx>
                    <wps:bodyPr wrap="none" lIns="0" tIns="0" rIns="0" bIns="0" upright="1">
                      <a:spAutoFit/>
                    </wps:bodyPr>
                  </wps:wsp>
                </a:graphicData>
              </a:graphic>
            </wp:anchor>
          </w:drawing>
        </mc:Choice>
        <mc:Fallback>
          <w:pict>
            <v:shape id="文本框 50"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IprlVzRAQAApQMAAA4AAABkcnMvZTJvRG9jLnhtbK1TTa7TMBDe&#10;I3EHy3uatKgQRU2fQNVDSAiQHhzAdezGkv/kcZv0AnADVmzYc66eg7GTtOixeQs2zoxn/M1830w2&#10;d4PR5CQCKGcbulyUlAjLXavsoaFfv9y/qCiByGzLtLOioWcB9G77/Nmm97VYuc7pVgSCIBbq3je0&#10;i9HXRQG8E4bBwnlhMShdMCyiGw5FG1iP6EYXq7J8VfQutD44LgDwdjcG6YQYngLopFRc7Bw/GmHj&#10;iBqEZhEpQac80G3uVkrB4ycpQUSiG4pMYz6xCNr7dBbbDasPgflO8akF9pQWHnEyTFkseoXascjI&#10;Mah/oIziwYGTccGdKUYiWRFksSwfafPQMS8yF5Qa/FV0+H+w/OPpcyCqxU14SYllBid++fH98vP3&#10;5dc3ss4C9R5qzHvwmBmHt27A5CRcuge8TLwHGUz6IiOCcZT3fJVXDJHw9KhaVVWJIY6x2UGc4vbc&#10;B4jvhDMkGQ0NOL8sKzt9gDimzimpmnX3Sus8Q21Jj6jr6vU6v7iGEF1bLHLrNllx2A8Thb1rz8is&#10;xyVoqMWdp0S/t6hx2pfZCLOxn42jD+rQYZPLXA/8m2PEdnKXqcIIOxXG6WWe06al9fjbz1m3v2v7&#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CKa5Vc0QEAAKUDAAAOAAAAAAAAAAEAIAAAACIB&#10;AABkcnMvZTJvRG9jLnhtbFBLBQYAAAAABgAGAFkBAABlBQAAAAA=&#10;">
              <v:fill on="f" focussize="0,0"/>
              <v:stroke on="f" weight="1.25pt"/>
              <v:imagedata o:title=""/>
              <o:lock v:ext="edit" aspectratio="f"/>
              <v:textbox inset="0mm,0mm,0mm,0mm" style="mso-fit-shape-to-text:t;">
                <w:txbxContent>
                  <w:p w14:paraId="40984CED">
                    <w:pPr>
                      <w:pStyle w:val="40"/>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D8D2B">
    <w:pPr>
      <w:pStyle w:val="40"/>
      <w:jc w:val="center"/>
      <w:rPr>
        <w:rFonts w:ascii="仿宋" w:hAnsi="仿宋" w:cs="仿宋"/>
        <w:szCs w:val="24"/>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0FFB3F3">
                          <w:pPr>
                            <w:pStyle w:val="4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文本框 51"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oM3WLTAQAApQMAAA4AAABkcnMvZTJvRG9jLnhtbK1TzY7TMBC+&#10;I/EOlu80aUUhipquFlWLkBAgLTyA69iNJf/J4zbpC8AbcOLCnefqczB2ki5aLnvYizPjGX8z3zeT&#10;zc1gNDmJAMrZhi4XJSXCctcqe2jot693rypKIDLbMu2saOhZAL3Zvnyx6X0tVq5zuhWBIIiFuvcN&#10;7WL0dVEA74RhsHBeWAxKFwyL6IZD0QbWI7rRxaos3xS9C60PjgsAvN2NQTohhqcAOikVFzvHj0bY&#10;OKIGoVlEStApD3Sbu5VS8PhZShCR6IYi05hPLIL2Pp3FdsPqQ2C+U3xqgT2lhUecDFMWi16hdiwy&#10;cgzqPyijeHDgZFxwZ4qRSFYEWSzLR9rcd8yLzAWlBn8VHZ4Pln86fQlEtbgJrymxzODELz9/XH79&#10;ufz+TtbLJFDvoca8e4+ZcXjnBkye7wEvE+9BBpO+yIhgHOU9X+UVQyQ8PapWVVViiGNsdhC/eHju&#10;A8T3whmSjIYGnF+WlZ0+QhxT55RUzbo7pXWeobakR9R19XadX1xDiK4tFkksxm6TFYf9MFHbu/aM&#10;zHpcgoZa3HlK9AeLGqd9mY0wG/vZOPqgDh02ucz1wN8eI7aTu0wVRtipME4v85w2La3Hv37Oevi7&#10;tn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GoM3WLTAQAApQMAAA4AAAAAAAAAAQAgAAAA&#10;IgEAAGRycy9lMm9Eb2MueG1sUEsFBgAAAAAGAAYAWQEAAGcFAAAAAA==&#10;">
              <v:fill on="f" focussize="0,0"/>
              <v:stroke on="f" weight="1.25pt"/>
              <v:imagedata o:title=""/>
              <o:lock v:ext="edit" aspectratio="f"/>
              <v:textbox inset="0mm,0mm,0mm,0mm" style="mso-fit-shape-to-text:t;">
                <w:txbxContent>
                  <w:p w14:paraId="00FFB3F3">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539D50">
    <w:pPr>
      <w:pStyle w:val="40"/>
      <w:jc w:val="center"/>
      <w:rPr>
        <w:rFonts w:ascii="仿宋_GB2312" w:eastAsia="仿宋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EA2CC33">
                          <w:pPr>
                            <w:pStyle w:val="40"/>
                          </w:pPr>
                          <w:r>
                            <w:fldChar w:fldCharType="begin"/>
                          </w:r>
                          <w:r>
                            <w:instrText xml:space="preserve"> PAGE  \* MERGEFORMAT </w:instrText>
                          </w:r>
                          <w:r>
                            <w:fldChar w:fldCharType="separate"/>
                          </w:r>
                          <w:r>
                            <w:t>66</w:t>
                          </w:r>
                          <w:r>
                            <w:fldChar w:fldCharType="end"/>
                          </w:r>
                        </w:p>
                      </w:txbxContent>
                    </wps:txbx>
                    <wps:bodyPr wrap="none" lIns="0" tIns="0" rIns="0" bIns="0" upright="1">
                      <a:spAutoFit/>
                    </wps:bodyPr>
                  </wps:wsp>
                </a:graphicData>
              </a:graphic>
            </wp:anchor>
          </w:drawing>
        </mc:Choice>
        <mc:Fallback>
          <w:pict>
            <v:shape id="文本框 52"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AOeUdLSAQAApQMAAA4AAABkcnMvZTJvRG9jLnhtbK1TzY7TMBC+&#10;I/EOlu80aaVCFDVdLaoWISFAWvYBXMduLPlPHrdJXwDegBMX7jxXn4Oxk3TRctnDXpwZz/ib+b6Z&#10;bG4Go8lJBFDONnS5KCkRlrtW2UNDH77dvakogchsy7SzoqFnAfRm+/rVpve1WLnO6VYEgiAW6t43&#10;tIvR10UBvBOGwcJ5YTEoXTAsohsORRtYj+hGF6uyfFv0LrQ+OC4A8HY3BumEGJ4D6KRUXOwcPxph&#10;44gahGYRKUGnPNBt7lZKweMXKUFEohuKTGM+sQja+3QW2w2rD4H5TvGpBfacFp5wMkxZLHqF2rHI&#10;yDGo/6CM4sGBk3HBnSlGIlkRZLEsn2hz3zEvMheUGvxVdHg5WP759DUQ1eImrCmxzODELz9/XH79&#10;ufz+TtarJFDvoca8e4+ZcXjvBkye7wEvE+9BBpO+yIhgHOU9X+UVQyQ8PapWVVViiGNsdhC/eHzu&#10;A8QPwhmSjIYGnF+WlZ0+QRxT55RUzbo7pXWeobakTySqd+v84hpCdG2xSGIxdpusOOyHidretWdk&#10;1uMSNNTizlOiP1rUOO3LbITZ2M/G0Qd16LDJZa4H/vYYsZ3cZaowwk6FcXqZ57RpaT3+9XPW49+1&#10;/Q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A55R0tIBAAClAwAADgAAAAAAAAABACAAAAAi&#10;AQAAZHJzL2Uyb0RvYy54bWxQSwUGAAAAAAYABgBZAQAAZgUAAAAA&#10;">
              <v:fill on="f" focussize="0,0"/>
              <v:stroke on="f" weight="1.25pt"/>
              <v:imagedata o:title=""/>
              <o:lock v:ext="edit" aspectratio="f"/>
              <v:textbox inset="0mm,0mm,0mm,0mm" style="mso-fit-shape-to-text:t;">
                <w:txbxContent>
                  <w:p w14:paraId="7EA2CC33">
                    <w:pPr>
                      <w:pStyle w:val="40"/>
                    </w:pPr>
                    <w:r>
                      <w:fldChar w:fldCharType="begin"/>
                    </w:r>
                    <w:r>
                      <w:instrText xml:space="preserve"> PAGE  \* MERGEFORMAT </w:instrText>
                    </w:r>
                    <w:r>
                      <w:fldChar w:fldCharType="separate"/>
                    </w:r>
                    <w:r>
                      <w:t>66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F1330">
    <w:pPr>
      <w:pStyle w:val="41"/>
      <w:pBdr>
        <w:bottom w:val="single" w:color="auto" w:sz="6" w:space="4"/>
      </w:pBdr>
      <w:jc w:val="right"/>
      <w:rPr>
        <w:rFonts w:hint="eastAsia" w:eastAsia="仿宋"/>
        <w:lang w:eastAsia="zh-CN"/>
      </w:rPr>
    </w:pPr>
    <w:r>
      <w:t></w:t>
    </w:r>
    <w:r>
      <w:rPr>
        <w:rFonts w:hint="eastAsia"/>
        <w:lang w:eastAsia="zh-CN"/>
      </w:rPr>
      <w:t>浙江省公安厅人民警察服务中心1号电梯更新项目</w:t>
    </w:r>
  </w:p>
  <w:p w14:paraId="7782DC9F">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05E33">
    <w:pPr>
      <w:pStyle w:val="4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5A260">
    <w:pPr>
      <w:pStyle w:val="41"/>
      <w:pBdr>
        <w:bottom w:val="single" w:color="auto" w:sz="6" w:space="0"/>
      </w:pBdr>
      <w:tabs>
        <w:tab w:val="center" w:pos="4535"/>
        <w:tab w:val="right" w:pos="9070"/>
        <w:tab w:val="clear" w:pos="4153"/>
        <w:tab w:val="clear" w:pos="8306"/>
      </w:tabs>
      <w:jc w:val="right"/>
      <w:rPr>
        <w:rFonts w:hint="eastAsia" w:eastAsia="仿宋"/>
        <w:lang w:eastAsia="zh-CN"/>
      </w:rPr>
    </w:pPr>
    <w:r>
      <w:rPr>
        <w:lang w:val="zh-CN"/>
      </w:rPr>
      <w:t></w:t>
    </w:r>
    <w:r>
      <w:tab/>
    </w:r>
    <w:r>
      <w:rPr>
        <w:rFonts w:hint="eastAsia"/>
        <w:lang w:eastAsia="zh-CN"/>
      </w:rPr>
      <w:t>浙江省公安厅人民警察服务中心1号电梯更新项目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36FDE">
    <w:pPr>
      <w:pStyle w:val="41"/>
      <w:jc w:val="right"/>
      <w:rPr>
        <w:rFonts w:hint="eastAsia" w:ascii="仿宋_GB2312" w:eastAsia="仿宋"/>
        <w:b/>
        <w:i/>
        <w:u w:val="single"/>
        <w:lang w:eastAsia="zh-CN"/>
      </w:rPr>
    </w:pPr>
    <w:r>
      <w:t></w:t>
    </w:r>
    <w:r>
      <w:rPr>
        <w:rFonts w:hint="eastAsia"/>
        <w:lang w:eastAsia="zh-CN"/>
      </w:rPr>
      <w:t>浙江省公安厅人民警察服务中心1号电梯更新项目</w:t>
    </w:r>
  </w:p>
  <w:p w14:paraId="69F42879">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BDF55">
    <w:pPr>
      <w:pStyle w:val="41"/>
    </w:pPr>
    <w:r>
      <w:t></w:t>
    </w:r>
  </w:p>
  <w:p w14:paraId="3DC4CCEB">
    <w:pPr>
      <w:pStyle w:val="41"/>
      <w:jc w:val="right"/>
      <w:rPr>
        <w:rFonts w:hint="eastAsia" w:eastAsia="仿宋"/>
        <w:lang w:eastAsia="zh-CN"/>
      </w:rPr>
    </w:pPr>
    <w:r>
      <w:rPr>
        <w:rFonts w:hint="eastAsia"/>
        <w:lang w:eastAsia="zh-CN"/>
      </w:rPr>
      <w:t>浙江省公安厅人民警察服务中心1号电梯更新项目</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F73E7">
    <w:pPr>
      <w:pStyle w:val="41"/>
      <w:rPr>
        <w:rFonts w:hint="eastAsia" w:ascii="仿宋_GB2312" w:eastAsia="仿宋"/>
        <w:b/>
        <w:i/>
        <w:u w:val="single"/>
        <w:lang w:eastAsia="zh-CN"/>
      </w:rPr>
    </w:pPr>
    <w:r>
      <w:t></w:t>
    </w:r>
    <w:r>
      <w:rPr>
        <w:rFonts w:hint="eastAsia"/>
        <w:lang w:eastAsia="zh-CN"/>
      </w:rPr>
      <w:t>浙江省公安厅人民警察服务中心1号电梯更新项目</w:t>
    </w:r>
  </w:p>
  <w:p w14:paraId="6925C278">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EABF35">
    <w:pPr>
      <w:pStyle w:val="41"/>
      <w:pBdr>
        <w:bottom w:val="none" w:color="auto" w:sz="0" w:space="1"/>
      </w:pBdr>
    </w:pPr>
    <w:r>
      <w:t></w:t>
    </w:r>
  </w:p>
  <w:p w14:paraId="308F3156">
    <w:pPr>
      <w:pStyle w:val="41"/>
      <w:pBdr>
        <w:bottom w:val="single" w:color="auto" w:sz="4" w:space="1"/>
      </w:pBdr>
      <w:jc w:val="right"/>
      <w:rPr>
        <w:rFonts w:hint="eastAsia" w:eastAsia="仿宋"/>
        <w:lang w:eastAsia="zh-CN"/>
      </w:rPr>
    </w:pPr>
    <w:r>
      <w:rPr>
        <w:rFonts w:hint="eastAsia"/>
        <w:lang w:eastAsia="zh-CN"/>
      </w:rPr>
      <w:t>浙江省公安厅人民警察服务中心1号电梯更新项目</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C3329">
    <w:pPr>
      <w:pStyle w:val="41"/>
      <w:jc w:val="right"/>
      <w:rPr>
        <w:rFonts w:ascii="仿宋_GB2312" w:eastAsia="仿宋_GB2312"/>
        <w:b/>
        <w:i/>
        <w:u w:val="single"/>
      </w:rPr>
    </w:pPr>
    <w:r>
      <w:t>杭州市政府采购公开招标文件</w:t>
    </w:r>
  </w:p>
  <w:p w14:paraId="215E4019">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F0C76">
    <w:pPr>
      <w:pStyle w:val="41"/>
      <w:jc w:val="right"/>
      <w:rPr>
        <w:rFonts w:hint="eastAsia" w:eastAsia="仿宋"/>
        <w:lang w:eastAsia="zh-CN"/>
      </w:rPr>
    </w:pPr>
    <w:r>
      <w:rPr>
        <w:rFonts w:hint="eastAsia"/>
        <w:lang w:eastAsia="zh-CN"/>
      </w:rPr>
      <w:t>浙江省公安厅人民警察服务中心1号电梯更新项目</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BF14BD">
    <w:pPr>
      <w:pStyle w:val="41"/>
      <w:jc w:val="right"/>
      <w:rPr>
        <w:rFonts w:hint="eastAsia" w:ascii="仿宋_GB2312" w:eastAsia="仿宋"/>
        <w:b/>
        <w:i/>
        <w:iCs/>
        <w:u w:val="single"/>
        <w:lang w:eastAsia="zh-CN"/>
      </w:rPr>
    </w:pPr>
    <w:r>
      <w:t></w:t>
    </w:r>
    <w:r>
      <w:rPr>
        <w:rFonts w:hint="eastAsia"/>
        <w:lang w:eastAsia="zh-CN"/>
      </w:rPr>
      <w:t>浙江省公安厅人民警察服务中心1号电梯更新项目</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85B44">
    <w:pPr>
      <w:pStyle w:val="41"/>
      <w:rPr>
        <w:rFonts w:hint="eastAsia" w:eastAsia="仿宋"/>
        <w:lang w:eastAsia="zh-CN"/>
      </w:rPr>
    </w:pPr>
    <w:r>
      <w:t></w:t>
    </w:r>
    <w:r>
      <w:rPr>
        <w:rFonts w:hint="eastAsia"/>
        <w:lang w:eastAsia="zh-CN"/>
      </w:rPr>
      <w:t>浙江省公安厅人民警察服务中心1号电梯更新项目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A5697B"/>
    <w:multiLevelType w:val="singleLevel"/>
    <w:tmpl w:val="98A5697B"/>
    <w:lvl w:ilvl="0" w:tentative="0">
      <w:start w:val="1"/>
      <w:numFmt w:val="decimal"/>
      <w:suff w:val="nothing"/>
      <w:lvlText w:val="（%1）"/>
      <w:lvlJc w:val="left"/>
    </w:lvl>
  </w:abstractNum>
  <w:abstractNum w:abstractNumId="1">
    <w:nsid w:val="D16F50B3"/>
    <w:multiLevelType w:val="singleLevel"/>
    <w:tmpl w:val="D16F50B3"/>
    <w:lvl w:ilvl="0" w:tentative="0">
      <w:start w:val="2"/>
      <w:numFmt w:val="chineseCounting"/>
      <w:suff w:val="nothing"/>
      <w:lvlText w:val="%1、"/>
      <w:lvlJc w:val="left"/>
      <w:rPr>
        <w:rFonts w:hint="eastAsia"/>
      </w:rPr>
    </w:lvl>
  </w:abstractNum>
  <w:abstractNum w:abstractNumId="2">
    <w:nsid w:val="40CE559A"/>
    <w:multiLevelType w:val="multilevel"/>
    <w:tmpl w:val="40CE559A"/>
    <w:lvl w:ilvl="0" w:tentative="0">
      <w:start w:val="1"/>
      <w:numFmt w:val="lowerLetter"/>
      <w:pStyle w:val="964"/>
      <w:lvlText w:val="%1)"/>
      <w:lvlJc w:val="left"/>
      <w:pPr>
        <w:tabs>
          <w:tab w:val="left" w:pos="840"/>
        </w:tabs>
        <w:ind w:left="839" w:hanging="419"/>
      </w:pPr>
      <w:rPr>
        <w:rFonts w:hint="eastAsia" w:ascii="宋体" w:eastAsia="宋体"/>
        <w:b w:val="0"/>
        <w:i w:val="0"/>
        <w:sz w:val="21"/>
        <w:szCs w:val="21"/>
      </w:rPr>
    </w:lvl>
    <w:lvl w:ilvl="1" w:tentative="0">
      <w:start w:val="1"/>
      <w:numFmt w:val="decimal"/>
      <w:pStyle w:val="963"/>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displayHorizontalDrawingGridEvery w:val="0"/>
  <w:displayVerticalDrawingGridEvery w:val="2"/>
  <w:characterSpacingControl w:val="compressPunctuation"/>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2YjlkMjNjMzlhZWViOGRiZjY4ZWY1YjI1ODRkMDc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69C2"/>
    <w:rsid w:val="00007CAA"/>
    <w:rsid w:val="00010FE9"/>
    <w:rsid w:val="0001122F"/>
    <w:rsid w:val="00011A4B"/>
    <w:rsid w:val="00012251"/>
    <w:rsid w:val="0001337C"/>
    <w:rsid w:val="000138C4"/>
    <w:rsid w:val="00013C1F"/>
    <w:rsid w:val="00013F31"/>
    <w:rsid w:val="000140D8"/>
    <w:rsid w:val="00014530"/>
    <w:rsid w:val="00014BBC"/>
    <w:rsid w:val="000150EE"/>
    <w:rsid w:val="000165D8"/>
    <w:rsid w:val="000168D8"/>
    <w:rsid w:val="000170C8"/>
    <w:rsid w:val="000173F4"/>
    <w:rsid w:val="00020287"/>
    <w:rsid w:val="000202FE"/>
    <w:rsid w:val="00020587"/>
    <w:rsid w:val="00020B5F"/>
    <w:rsid w:val="000211BC"/>
    <w:rsid w:val="0002207B"/>
    <w:rsid w:val="000232FD"/>
    <w:rsid w:val="00023323"/>
    <w:rsid w:val="00023342"/>
    <w:rsid w:val="000233E4"/>
    <w:rsid w:val="00023495"/>
    <w:rsid w:val="00023777"/>
    <w:rsid w:val="00024130"/>
    <w:rsid w:val="00024584"/>
    <w:rsid w:val="00024962"/>
    <w:rsid w:val="000249AA"/>
    <w:rsid w:val="00025350"/>
    <w:rsid w:val="000253E5"/>
    <w:rsid w:val="00025776"/>
    <w:rsid w:val="00025FFE"/>
    <w:rsid w:val="00026EAC"/>
    <w:rsid w:val="000270F2"/>
    <w:rsid w:val="00027540"/>
    <w:rsid w:val="00030572"/>
    <w:rsid w:val="00030A97"/>
    <w:rsid w:val="00030CB3"/>
    <w:rsid w:val="0003206A"/>
    <w:rsid w:val="000326A7"/>
    <w:rsid w:val="00032EA0"/>
    <w:rsid w:val="000331B0"/>
    <w:rsid w:val="00033503"/>
    <w:rsid w:val="000336D4"/>
    <w:rsid w:val="00034FA7"/>
    <w:rsid w:val="0003533D"/>
    <w:rsid w:val="000357E4"/>
    <w:rsid w:val="00035ACA"/>
    <w:rsid w:val="0003614F"/>
    <w:rsid w:val="0003794A"/>
    <w:rsid w:val="00040447"/>
    <w:rsid w:val="00040494"/>
    <w:rsid w:val="00040B70"/>
    <w:rsid w:val="00042441"/>
    <w:rsid w:val="00042533"/>
    <w:rsid w:val="00042DBB"/>
    <w:rsid w:val="00042E65"/>
    <w:rsid w:val="0004347C"/>
    <w:rsid w:val="00043907"/>
    <w:rsid w:val="00043D64"/>
    <w:rsid w:val="0004466E"/>
    <w:rsid w:val="00044F48"/>
    <w:rsid w:val="00047354"/>
    <w:rsid w:val="00047975"/>
    <w:rsid w:val="00050656"/>
    <w:rsid w:val="00050A19"/>
    <w:rsid w:val="00050FEF"/>
    <w:rsid w:val="000511B6"/>
    <w:rsid w:val="00051B00"/>
    <w:rsid w:val="00051C72"/>
    <w:rsid w:val="00052192"/>
    <w:rsid w:val="0005238F"/>
    <w:rsid w:val="00052787"/>
    <w:rsid w:val="00052BB8"/>
    <w:rsid w:val="000534EE"/>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5C98"/>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182"/>
    <w:rsid w:val="000763B5"/>
    <w:rsid w:val="000763F3"/>
    <w:rsid w:val="000766D2"/>
    <w:rsid w:val="00076801"/>
    <w:rsid w:val="000772FB"/>
    <w:rsid w:val="00077577"/>
    <w:rsid w:val="00077607"/>
    <w:rsid w:val="00077756"/>
    <w:rsid w:val="00077B7F"/>
    <w:rsid w:val="000808C1"/>
    <w:rsid w:val="00080970"/>
    <w:rsid w:val="00081671"/>
    <w:rsid w:val="00081761"/>
    <w:rsid w:val="000822D6"/>
    <w:rsid w:val="00082AD4"/>
    <w:rsid w:val="00083E07"/>
    <w:rsid w:val="00084CF1"/>
    <w:rsid w:val="00084D27"/>
    <w:rsid w:val="00084ED6"/>
    <w:rsid w:val="0008580E"/>
    <w:rsid w:val="00085A0E"/>
    <w:rsid w:val="00085C4F"/>
    <w:rsid w:val="00086924"/>
    <w:rsid w:val="00086EFD"/>
    <w:rsid w:val="00086F8A"/>
    <w:rsid w:val="00087031"/>
    <w:rsid w:val="00090243"/>
    <w:rsid w:val="000904F6"/>
    <w:rsid w:val="00090918"/>
    <w:rsid w:val="00090934"/>
    <w:rsid w:val="00090ED8"/>
    <w:rsid w:val="00090F9F"/>
    <w:rsid w:val="0009145F"/>
    <w:rsid w:val="0009184E"/>
    <w:rsid w:val="00091B4E"/>
    <w:rsid w:val="00092467"/>
    <w:rsid w:val="00092FE9"/>
    <w:rsid w:val="000936BF"/>
    <w:rsid w:val="0009382F"/>
    <w:rsid w:val="00093A30"/>
    <w:rsid w:val="00094342"/>
    <w:rsid w:val="0009435C"/>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5E53"/>
    <w:rsid w:val="000A672B"/>
    <w:rsid w:val="000A7299"/>
    <w:rsid w:val="000A752E"/>
    <w:rsid w:val="000B0E04"/>
    <w:rsid w:val="000B268D"/>
    <w:rsid w:val="000B291B"/>
    <w:rsid w:val="000B2E80"/>
    <w:rsid w:val="000B3518"/>
    <w:rsid w:val="000B456C"/>
    <w:rsid w:val="000B45B9"/>
    <w:rsid w:val="000B47CE"/>
    <w:rsid w:val="000B4B56"/>
    <w:rsid w:val="000B4C46"/>
    <w:rsid w:val="000B4C62"/>
    <w:rsid w:val="000B541D"/>
    <w:rsid w:val="000B54C1"/>
    <w:rsid w:val="000B5553"/>
    <w:rsid w:val="000B5FE8"/>
    <w:rsid w:val="000B666E"/>
    <w:rsid w:val="000B6FF3"/>
    <w:rsid w:val="000C06FB"/>
    <w:rsid w:val="000C0A43"/>
    <w:rsid w:val="000C0CB1"/>
    <w:rsid w:val="000C11A8"/>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3C5F"/>
    <w:rsid w:val="000D453A"/>
    <w:rsid w:val="000D4AFA"/>
    <w:rsid w:val="000D59AA"/>
    <w:rsid w:val="000D5EA6"/>
    <w:rsid w:val="000D5F00"/>
    <w:rsid w:val="000D6C9F"/>
    <w:rsid w:val="000D6E3B"/>
    <w:rsid w:val="000D6F30"/>
    <w:rsid w:val="000D74E4"/>
    <w:rsid w:val="000D7C9D"/>
    <w:rsid w:val="000D7CE0"/>
    <w:rsid w:val="000E2785"/>
    <w:rsid w:val="000E27BB"/>
    <w:rsid w:val="000E3153"/>
    <w:rsid w:val="000E3484"/>
    <w:rsid w:val="000E386F"/>
    <w:rsid w:val="000E3F0B"/>
    <w:rsid w:val="000E4051"/>
    <w:rsid w:val="000E4139"/>
    <w:rsid w:val="000E4765"/>
    <w:rsid w:val="000E5816"/>
    <w:rsid w:val="000E5B7E"/>
    <w:rsid w:val="000E5E59"/>
    <w:rsid w:val="000E5FF9"/>
    <w:rsid w:val="000E6AE1"/>
    <w:rsid w:val="000E7142"/>
    <w:rsid w:val="000E7632"/>
    <w:rsid w:val="000E7737"/>
    <w:rsid w:val="000E7739"/>
    <w:rsid w:val="000E77EE"/>
    <w:rsid w:val="000F1167"/>
    <w:rsid w:val="000F1604"/>
    <w:rsid w:val="000F287A"/>
    <w:rsid w:val="000F2940"/>
    <w:rsid w:val="000F2AB3"/>
    <w:rsid w:val="000F3D08"/>
    <w:rsid w:val="000F4495"/>
    <w:rsid w:val="000F4A05"/>
    <w:rsid w:val="000F4AA8"/>
    <w:rsid w:val="000F4AEA"/>
    <w:rsid w:val="000F4E67"/>
    <w:rsid w:val="000F505B"/>
    <w:rsid w:val="000F5677"/>
    <w:rsid w:val="000F5B6D"/>
    <w:rsid w:val="000F5DDB"/>
    <w:rsid w:val="000F628E"/>
    <w:rsid w:val="000F68A0"/>
    <w:rsid w:val="000F6CC2"/>
    <w:rsid w:val="000F722D"/>
    <w:rsid w:val="000F729C"/>
    <w:rsid w:val="000F7520"/>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00E"/>
    <w:rsid w:val="00106AAA"/>
    <w:rsid w:val="00106E0E"/>
    <w:rsid w:val="00107629"/>
    <w:rsid w:val="001078A5"/>
    <w:rsid w:val="00107BBD"/>
    <w:rsid w:val="00107BC7"/>
    <w:rsid w:val="00110033"/>
    <w:rsid w:val="001102B5"/>
    <w:rsid w:val="00111C7D"/>
    <w:rsid w:val="00112038"/>
    <w:rsid w:val="001127FF"/>
    <w:rsid w:val="00112B0B"/>
    <w:rsid w:val="00112EB5"/>
    <w:rsid w:val="0011383E"/>
    <w:rsid w:val="00113EE3"/>
    <w:rsid w:val="00114847"/>
    <w:rsid w:val="00114C28"/>
    <w:rsid w:val="0011538A"/>
    <w:rsid w:val="0011585B"/>
    <w:rsid w:val="00115B1A"/>
    <w:rsid w:val="00115EB6"/>
    <w:rsid w:val="001160FF"/>
    <w:rsid w:val="001164F4"/>
    <w:rsid w:val="001168F8"/>
    <w:rsid w:val="001176FF"/>
    <w:rsid w:val="0012153F"/>
    <w:rsid w:val="0012159D"/>
    <w:rsid w:val="00121804"/>
    <w:rsid w:val="00121EC9"/>
    <w:rsid w:val="001224FE"/>
    <w:rsid w:val="00122BF7"/>
    <w:rsid w:val="001231D3"/>
    <w:rsid w:val="001232A7"/>
    <w:rsid w:val="00123F7C"/>
    <w:rsid w:val="0012419E"/>
    <w:rsid w:val="00124830"/>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3ED3"/>
    <w:rsid w:val="00144649"/>
    <w:rsid w:val="00145022"/>
    <w:rsid w:val="00145662"/>
    <w:rsid w:val="00145C6D"/>
    <w:rsid w:val="001460FC"/>
    <w:rsid w:val="00146151"/>
    <w:rsid w:val="00146326"/>
    <w:rsid w:val="00147032"/>
    <w:rsid w:val="0014782D"/>
    <w:rsid w:val="00147EA7"/>
    <w:rsid w:val="00150D9E"/>
    <w:rsid w:val="00150E78"/>
    <w:rsid w:val="00150EEC"/>
    <w:rsid w:val="00151820"/>
    <w:rsid w:val="00151B2F"/>
    <w:rsid w:val="001524DC"/>
    <w:rsid w:val="001525E5"/>
    <w:rsid w:val="00153859"/>
    <w:rsid w:val="00153915"/>
    <w:rsid w:val="00153918"/>
    <w:rsid w:val="001539F0"/>
    <w:rsid w:val="00154480"/>
    <w:rsid w:val="00154BBA"/>
    <w:rsid w:val="00155B95"/>
    <w:rsid w:val="00156853"/>
    <w:rsid w:val="00157432"/>
    <w:rsid w:val="00161185"/>
    <w:rsid w:val="001620BA"/>
    <w:rsid w:val="001623AC"/>
    <w:rsid w:val="00162BAA"/>
    <w:rsid w:val="001635B6"/>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755"/>
    <w:rsid w:val="00184DBF"/>
    <w:rsid w:val="001852A8"/>
    <w:rsid w:val="001854AF"/>
    <w:rsid w:val="0018620A"/>
    <w:rsid w:val="00186EB0"/>
    <w:rsid w:val="00187121"/>
    <w:rsid w:val="00187243"/>
    <w:rsid w:val="00187C29"/>
    <w:rsid w:val="00190782"/>
    <w:rsid w:val="00190942"/>
    <w:rsid w:val="001909A7"/>
    <w:rsid w:val="001909C3"/>
    <w:rsid w:val="00190F9E"/>
    <w:rsid w:val="00191459"/>
    <w:rsid w:val="00191603"/>
    <w:rsid w:val="0019173E"/>
    <w:rsid w:val="0019174E"/>
    <w:rsid w:val="0019196B"/>
    <w:rsid w:val="001919F1"/>
    <w:rsid w:val="00191CCE"/>
    <w:rsid w:val="001923D5"/>
    <w:rsid w:val="00192991"/>
    <w:rsid w:val="00193470"/>
    <w:rsid w:val="00193B94"/>
    <w:rsid w:val="00193D9F"/>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6A1"/>
    <w:rsid w:val="001B572D"/>
    <w:rsid w:val="001B576E"/>
    <w:rsid w:val="001B5B10"/>
    <w:rsid w:val="001B6025"/>
    <w:rsid w:val="001B68A9"/>
    <w:rsid w:val="001B6D58"/>
    <w:rsid w:val="001B6FA7"/>
    <w:rsid w:val="001B7A15"/>
    <w:rsid w:val="001B7B69"/>
    <w:rsid w:val="001B7DC1"/>
    <w:rsid w:val="001C01C9"/>
    <w:rsid w:val="001C08DB"/>
    <w:rsid w:val="001C10BD"/>
    <w:rsid w:val="001C175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37DB"/>
    <w:rsid w:val="001D387B"/>
    <w:rsid w:val="001D4AB6"/>
    <w:rsid w:val="001D4AD3"/>
    <w:rsid w:val="001D5281"/>
    <w:rsid w:val="001D6723"/>
    <w:rsid w:val="001D74FF"/>
    <w:rsid w:val="001E17E3"/>
    <w:rsid w:val="001E2052"/>
    <w:rsid w:val="001E2492"/>
    <w:rsid w:val="001E257C"/>
    <w:rsid w:val="001E286C"/>
    <w:rsid w:val="001E2F34"/>
    <w:rsid w:val="001E35EE"/>
    <w:rsid w:val="001E4B2C"/>
    <w:rsid w:val="001E507F"/>
    <w:rsid w:val="001E56C2"/>
    <w:rsid w:val="001E59FB"/>
    <w:rsid w:val="001E6B4C"/>
    <w:rsid w:val="001E7F81"/>
    <w:rsid w:val="001F0FD1"/>
    <w:rsid w:val="001F1000"/>
    <w:rsid w:val="001F1526"/>
    <w:rsid w:val="001F19D1"/>
    <w:rsid w:val="001F1CB9"/>
    <w:rsid w:val="001F1F18"/>
    <w:rsid w:val="001F2F92"/>
    <w:rsid w:val="001F3D60"/>
    <w:rsid w:val="001F5DA1"/>
    <w:rsid w:val="001F612E"/>
    <w:rsid w:val="001F6A92"/>
    <w:rsid w:val="001F77E8"/>
    <w:rsid w:val="001F7D7A"/>
    <w:rsid w:val="00201A0C"/>
    <w:rsid w:val="00201B0F"/>
    <w:rsid w:val="0020255A"/>
    <w:rsid w:val="00202800"/>
    <w:rsid w:val="0020299A"/>
    <w:rsid w:val="00202D33"/>
    <w:rsid w:val="00202E58"/>
    <w:rsid w:val="00202F99"/>
    <w:rsid w:val="00203C85"/>
    <w:rsid w:val="0020449A"/>
    <w:rsid w:val="00204E9B"/>
    <w:rsid w:val="00205298"/>
    <w:rsid w:val="00205350"/>
    <w:rsid w:val="002055C0"/>
    <w:rsid w:val="0020569E"/>
    <w:rsid w:val="00205DB5"/>
    <w:rsid w:val="00206698"/>
    <w:rsid w:val="00206736"/>
    <w:rsid w:val="00206C88"/>
    <w:rsid w:val="00210B9C"/>
    <w:rsid w:val="00211185"/>
    <w:rsid w:val="00211A94"/>
    <w:rsid w:val="002126F2"/>
    <w:rsid w:val="00213478"/>
    <w:rsid w:val="00214028"/>
    <w:rsid w:val="0021410D"/>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6BB1"/>
    <w:rsid w:val="00227214"/>
    <w:rsid w:val="002273AE"/>
    <w:rsid w:val="00227DDC"/>
    <w:rsid w:val="0023079F"/>
    <w:rsid w:val="00230FB8"/>
    <w:rsid w:val="00231135"/>
    <w:rsid w:val="00231B0B"/>
    <w:rsid w:val="002322B6"/>
    <w:rsid w:val="00232555"/>
    <w:rsid w:val="00233538"/>
    <w:rsid w:val="00234248"/>
    <w:rsid w:val="0023449F"/>
    <w:rsid w:val="002344F5"/>
    <w:rsid w:val="0023454D"/>
    <w:rsid w:val="00234679"/>
    <w:rsid w:val="002359FC"/>
    <w:rsid w:val="00235DD0"/>
    <w:rsid w:val="002361C8"/>
    <w:rsid w:val="00236690"/>
    <w:rsid w:val="0023669D"/>
    <w:rsid w:val="00236A29"/>
    <w:rsid w:val="00237EAE"/>
    <w:rsid w:val="00237FA2"/>
    <w:rsid w:val="002403D5"/>
    <w:rsid w:val="00240BA6"/>
    <w:rsid w:val="00240C1F"/>
    <w:rsid w:val="00240F55"/>
    <w:rsid w:val="00240F67"/>
    <w:rsid w:val="00241144"/>
    <w:rsid w:val="00242510"/>
    <w:rsid w:val="00242F79"/>
    <w:rsid w:val="00243340"/>
    <w:rsid w:val="0024357B"/>
    <w:rsid w:val="0024415B"/>
    <w:rsid w:val="00245565"/>
    <w:rsid w:val="002458C1"/>
    <w:rsid w:val="00245E62"/>
    <w:rsid w:val="002460D0"/>
    <w:rsid w:val="00246357"/>
    <w:rsid w:val="0024709C"/>
    <w:rsid w:val="00247422"/>
    <w:rsid w:val="00247BA2"/>
    <w:rsid w:val="00250870"/>
    <w:rsid w:val="0025151C"/>
    <w:rsid w:val="0025184F"/>
    <w:rsid w:val="00251967"/>
    <w:rsid w:val="002527CC"/>
    <w:rsid w:val="00252F48"/>
    <w:rsid w:val="002530C0"/>
    <w:rsid w:val="00253586"/>
    <w:rsid w:val="002537FC"/>
    <w:rsid w:val="002542F8"/>
    <w:rsid w:val="002543EF"/>
    <w:rsid w:val="0025449B"/>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22"/>
    <w:rsid w:val="002638BD"/>
    <w:rsid w:val="0026470B"/>
    <w:rsid w:val="0026486D"/>
    <w:rsid w:val="00264C4B"/>
    <w:rsid w:val="00264ED0"/>
    <w:rsid w:val="00265346"/>
    <w:rsid w:val="00266045"/>
    <w:rsid w:val="002660C3"/>
    <w:rsid w:val="00266C21"/>
    <w:rsid w:val="00266DE1"/>
    <w:rsid w:val="00267A92"/>
    <w:rsid w:val="00267E43"/>
    <w:rsid w:val="00270282"/>
    <w:rsid w:val="00270374"/>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328"/>
    <w:rsid w:val="002775ED"/>
    <w:rsid w:val="002778AB"/>
    <w:rsid w:val="002802A5"/>
    <w:rsid w:val="00280CFB"/>
    <w:rsid w:val="00280D24"/>
    <w:rsid w:val="002815C4"/>
    <w:rsid w:val="00281BCB"/>
    <w:rsid w:val="00281C76"/>
    <w:rsid w:val="00283110"/>
    <w:rsid w:val="0028316D"/>
    <w:rsid w:val="00283296"/>
    <w:rsid w:val="0028563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4E8C"/>
    <w:rsid w:val="00295073"/>
    <w:rsid w:val="00295468"/>
    <w:rsid w:val="00296C32"/>
    <w:rsid w:val="00297517"/>
    <w:rsid w:val="002977CE"/>
    <w:rsid w:val="00297AF5"/>
    <w:rsid w:val="002A02D6"/>
    <w:rsid w:val="002A07C4"/>
    <w:rsid w:val="002A0921"/>
    <w:rsid w:val="002A0CB3"/>
    <w:rsid w:val="002A0E19"/>
    <w:rsid w:val="002A1887"/>
    <w:rsid w:val="002A2001"/>
    <w:rsid w:val="002A4060"/>
    <w:rsid w:val="002A46CB"/>
    <w:rsid w:val="002A4868"/>
    <w:rsid w:val="002A4A05"/>
    <w:rsid w:val="002A4EB3"/>
    <w:rsid w:val="002A51D9"/>
    <w:rsid w:val="002A525A"/>
    <w:rsid w:val="002A5968"/>
    <w:rsid w:val="002A5CAB"/>
    <w:rsid w:val="002A5D40"/>
    <w:rsid w:val="002A622E"/>
    <w:rsid w:val="002A6424"/>
    <w:rsid w:val="002A646A"/>
    <w:rsid w:val="002A64E7"/>
    <w:rsid w:val="002A7748"/>
    <w:rsid w:val="002A7ED3"/>
    <w:rsid w:val="002A7FB1"/>
    <w:rsid w:val="002A7FC9"/>
    <w:rsid w:val="002B139C"/>
    <w:rsid w:val="002B1881"/>
    <w:rsid w:val="002B1D0D"/>
    <w:rsid w:val="002B1F61"/>
    <w:rsid w:val="002B2070"/>
    <w:rsid w:val="002B2906"/>
    <w:rsid w:val="002B2C66"/>
    <w:rsid w:val="002B34E3"/>
    <w:rsid w:val="002B51B6"/>
    <w:rsid w:val="002B5AEE"/>
    <w:rsid w:val="002B5B69"/>
    <w:rsid w:val="002B6177"/>
    <w:rsid w:val="002B650C"/>
    <w:rsid w:val="002B68E6"/>
    <w:rsid w:val="002B6985"/>
    <w:rsid w:val="002B6D7A"/>
    <w:rsid w:val="002B71DF"/>
    <w:rsid w:val="002C02BA"/>
    <w:rsid w:val="002C0301"/>
    <w:rsid w:val="002C0326"/>
    <w:rsid w:val="002C0A9F"/>
    <w:rsid w:val="002C1AB3"/>
    <w:rsid w:val="002C1BB7"/>
    <w:rsid w:val="002C1FB3"/>
    <w:rsid w:val="002C2665"/>
    <w:rsid w:val="002C28E1"/>
    <w:rsid w:val="002C2EC9"/>
    <w:rsid w:val="002C327D"/>
    <w:rsid w:val="002C3890"/>
    <w:rsid w:val="002C3AD9"/>
    <w:rsid w:val="002C4286"/>
    <w:rsid w:val="002C43FC"/>
    <w:rsid w:val="002C45C3"/>
    <w:rsid w:val="002C483B"/>
    <w:rsid w:val="002C4DFE"/>
    <w:rsid w:val="002C519E"/>
    <w:rsid w:val="002C5D5E"/>
    <w:rsid w:val="002C5F30"/>
    <w:rsid w:val="002C6116"/>
    <w:rsid w:val="002C643D"/>
    <w:rsid w:val="002C66B8"/>
    <w:rsid w:val="002C6834"/>
    <w:rsid w:val="002C6C2A"/>
    <w:rsid w:val="002C70E7"/>
    <w:rsid w:val="002D0C27"/>
    <w:rsid w:val="002D0E88"/>
    <w:rsid w:val="002D0EA1"/>
    <w:rsid w:val="002D0EA7"/>
    <w:rsid w:val="002D0F31"/>
    <w:rsid w:val="002D1563"/>
    <w:rsid w:val="002D1593"/>
    <w:rsid w:val="002D1A1E"/>
    <w:rsid w:val="002D22A6"/>
    <w:rsid w:val="002D2819"/>
    <w:rsid w:val="002D2CD6"/>
    <w:rsid w:val="002D2F81"/>
    <w:rsid w:val="002D37FF"/>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4D"/>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6F7D"/>
    <w:rsid w:val="002F7AC0"/>
    <w:rsid w:val="002F7DF0"/>
    <w:rsid w:val="002F7FAF"/>
    <w:rsid w:val="00300573"/>
    <w:rsid w:val="00302059"/>
    <w:rsid w:val="003025FE"/>
    <w:rsid w:val="00302A27"/>
    <w:rsid w:val="00303AB6"/>
    <w:rsid w:val="00304640"/>
    <w:rsid w:val="00304AC1"/>
    <w:rsid w:val="00305090"/>
    <w:rsid w:val="00305454"/>
    <w:rsid w:val="00305B0A"/>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0D3B"/>
    <w:rsid w:val="00321DB7"/>
    <w:rsid w:val="00321E7A"/>
    <w:rsid w:val="0032226D"/>
    <w:rsid w:val="003235E6"/>
    <w:rsid w:val="00324038"/>
    <w:rsid w:val="00324951"/>
    <w:rsid w:val="003249F6"/>
    <w:rsid w:val="00324B2F"/>
    <w:rsid w:val="00325EA4"/>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5ACD"/>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5E9"/>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2E5"/>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766"/>
    <w:rsid w:val="00372842"/>
    <w:rsid w:val="003729A5"/>
    <w:rsid w:val="00372C89"/>
    <w:rsid w:val="00372E9A"/>
    <w:rsid w:val="003735B9"/>
    <w:rsid w:val="00373634"/>
    <w:rsid w:val="00373CB8"/>
    <w:rsid w:val="00374677"/>
    <w:rsid w:val="0037510C"/>
    <w:rsid w:val="00375850"/>
    <w:rsid w:val="00376040"/>
    <w:rsid w:val="0037632F"/>
    <w:rsid w:val="003775FE"/>
    <w:rsid w:val="00377B26"/>
    <w:rsid w:val="00377B61"/>
    <w:rsid w:val="00381014"/>
    <w:rsid w:val="003810BD"/>
    <w:rsid w:val="00381604"/>
    <w:rsid w:val="00381C68"/>
    <w:rsid w:val="00381F60"/>
    <w:rsid w:val="00382656"/>
    <w:rsid w:val="00382F24"/>
    <w:rsid w:val="00383204"/>
    <w:rsid w:val="00383AB0"/>
    <w:rsid w:val="003847BB"/>
    <w:rsid w:val="00384814"/>
    <w:rsid w:val="00384884"/>
    <w:rsid w:val="00384C0A"/>
    <w:rsid w:val="00385B16"/>
    <w:rsid w:val="00385B96"/>
    <w:rsid w:val="00385D1D"/>
    <w:rsid w:val="0038637D"/>
    <w:rsid w:val="003868F6"/>
    <w:rsid w:val="003869DC"/>
    <w:rsid w:val="00386C07"/>
    <w:rsid w:val="00386F58"/>
    <w:rsid w:val="0038700D"/>
    <w:rsid w:val="003879CE"/>
    <w:rsid w:val="00387B88"/>
    <w:rsid w:val="00390AFE"/>
    <w:rsid w:val="00390B8F"/>
    <w:rsid w:val="00390C0D"/>
    <w:rsid w:val="00391447"/>
    <w:rsid w:val="003919D9"/>
    <w:rsid w:val="00391BDD"/>
    <w:rsid w:val="003922DE"/>
    <w:rsid w:val="00392E35"/>
    <w:rsid w:val="00393247"/>
    <w:rsid w:val="00393551"/>
    <w:rsid w:val="00393816"/>
    <w:rsid w:val="00393FCD"/>
    <w:rsid w:val="003944EA"/>
    <w:rsid w:val="00394639"/>
    <w:rsid w:val="0039487B"/>
    <w:rsid w:val="00394DD7"/>
    <w:rsid w:val="00394DF6"/>
    <w:rsid w:val="00394EC6"/>
    <w:rsid w:val="00395A02"/>
    <w:rsid w:val="00395CD9"/>
    <w:rsid w:val="003962E6"/>
    <w:rsid w:val="00396831"/>
    <w:rsid w:val="003971A1"/>
    <w:rsid w:val="003A0F6B"/>
    <w:rsid w:val="003A12B6"/>
    <w:rsid w:val="003A1A1B"/>
    <w:rsid w:val="003A1C44"/>
    <w:rsid w:val="003A20D5"/>
    <w:rsid w:val="003A24CC"/>
    <w:rsid w:val="003A2512"/>
    <w:rsid w:val="003A26D1"/>
    <w:rsid w:val="003A2A53"/>
    <w:rsid w:val="003A2E19"/>
    <w:rsid w:val="003A2EE8"/>
    <w:rsid w:val="003A373C"/>
    <w:rsid w:val="003A443B"/>
    <w:rsid w:val="003A5378"/>
    <w:rsid w:val="003A553C"/>
    <w:rsid w:val="003A56DF"/>
    <w:rsid w:val="003A5FE2"/>
    <w:rsid w:val="003A6008"/>
    <w:rsid w:val="003A703F"/>
    <w:rsid w:val="003A7E2B"/>
    <w:rsid w:val="003A7E40"/>
    <w:rsid w:val="003B0336"/>
    <w:rsid w:val="003B0A3A"/>
    <w:rsid w:val="003B0D79"/>
    <w:rsid w:val="003B2930"/>
    <w:rsid w:val="003B31A7"/>
    <w:rsid w:val="003B3E63"/>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2E0D"/>
    <w:rsid w:val="003C3292"/>
    <w:rsid w:val="003C3C1E"/>
    <w:rsid w:val="003C3D88"/>
    <w:rsid w:val="003C4134"/>
    <w:rsid w:val="003C4202"/>
    <w:rsid w:val="003C435B"/>
    <w:rsid w:val="003C4EBE"/>
    <w:rsid w:val="003C62EC"/>
    <w:rsid w:val="003C63C7"/>
    <w:rsid w:val="003C685A"/>
    <w:rsid w:val="003C6E9C"/>
    <w:rsid w:val="003C746F"/>
    <w:rsid w:val="003C7570"/>
    <w:rsid w:val="003C76E6"/>
    <w:rsid w:val="003C7A08"/>
    <w:rsid w:val="003C7E59"/>
    <w:rsid w:val="003C7F12"/>
    <w:rsid w:val="003D03D6"/>
    <w:rsid w:val="003D075D"/>
    <w:rsid w:val="003D0EE2"/>
    <w:rsid w:val="003D1283"/>
    <w:rsid w:val="003D14C8"/>
    <w:rsid w:val="003D1517"/>
    <w:rsid w:val="003D16C5"/>
    <w:rsid w:val="003D1CA9"/>
    <w:rsid w:val="003D1F24"/>
    <w:rsid w:val="003D2DA0"/>
    <w:rsid w:val="003D3131"/>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3E88"/>
    <w:rsid w:val="003E4048"/>
    <w:rsid w:val="003E48FA"/>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4E11"/>
    <w:rsid w:val="003F56B8"/>
    <w:rsid w:val="003F5F1A"/>
    <w:rsid w:val="003F5FD8"/>
    <w:rsid w:val="003F6327"/>
    <w:rsid w:val="003F7425"/>
    <w:rsid w:val="003F765B"/>
    <w:rsid w:val="003F7CB8"/>
    <w:rsid w:val="00400CB4"/>
    <w:rsid w:val="00400EB3"/>
    <w:rsid w:val="00401386"/>
    <w:rsid w:val="004013E6"/>
    <w:rsid w:val="00401E31"/>
    <w:rsid w:val="00402BBA"/>
    <w:rsid w:val="004035D0"/>
    <w:rsid w:val="0040361D"/>
    <w:rsid w:val="00403795"/>
    <w:rsid w:val="004041FB"/>
    <w:rsid w:val="0040443E"/>
    <w:rsid w:val="004049E1"/>
    <w:rsid w:val="004056B6"/>
    <w:rsid w:val="00405764"/>
    <w:rsid w:val="00406745"/>
    <w:rsid w:val="0040674B"/>
    <w:rsid w:val="00406B32"/>
    <w:rsid w:val="004074FA"/>
    <w:rsid w:val="00407A56"/>
    <w:rsid w:val="00407FCC"/>
    <w:rsid w:val="0041035A"/>
    <w:rsid w:val="00410E76"/>
    <w:rsid w:val="004112D1"/>
    <w:rsid w:val="004113C9"/>
    <w:rsid w:val="004114E8"/>
    <w:rsid w:val="00411D1E"/>
    <w:rsid w:val="00411DF2"/>
    <w:rsid w:val="004120DF"/>
    <w:rsid w:val="004126B5"/>
    <w:rsid w:val="00414909"/>
    <w:rsid w:val="00415034"/>
    <w:rsid w:val="00415879"/>
    <w:rsid w:val="00415B1A"/>
    <w:rsid w:val="00415DFD"/>
    <w:rsid w:val="00416208"/>
    <w:rsid w:val="004162E7"/>
    <w:rsid w:val="0041690F"/>
    <w:rsid w:val="004169D3"/>
    <w:rsid w:val="00416C2B"/>
    <w:rsid w:val="00416D41"/>
    <w:rsid w:val="00416E70"/>
    <w:rsid w:val="00417264"/>
    <w:rsid w:val="0041755D"/>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6D97"/>
    <w:rsid w:val="00427FA8"/>
    <w:rsid w:val="0043009D"/>
    <w:rsid w:val="0043026B"/>
    <w:rsid w:val="00430299"/>
    <w:rsid w:val="004306D4"/>
    <w:rsid w:val="00431A2A"/>
    <w:rsid w:val="00431EF1"/>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1C43"/>
    <w:rsid w:val="0045277C"/>
    <w:rsid w:val="00453507"/>
    <w:rsid w:val="00453592"/>
    <w:rsid w:val="00453D50"/>
    <w:rsid w:val="004543AB"/>
    <w:rsid w:val="004545EC"/>
    <w:rsid w:val="004552E5"/>
    <w:rsid w:val="00455967"/>
    <w:rsid w:val="00455F71"/>
    <w:rsid w:val="00456272"/>
    <w:rsid w:val="004570EF"/>
    <w:rsid w:val="00457517"/>
    <w:rsid w:val="00457CF7"/>
    <w:rsid w:val="00457D37"/>
    <w:rsid w:val="0046028A"/>
    <w:rsid w:val="00460E3A"/>
    <w:rsid w:val="00460E68"/>
    <w:rsid w:val="004614BC"/>
    <w:rsid w:val="004619A5"/>
    <w:rsid w:val="00461B48"/>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4FF"/>
    <w:rsid w:val="00481D0B"/>
    <w:rsid w:val="004824A9"/>
    <w:rsid w:val="00483091"/>
    <w:rsid w:val="00483140"/>
    <w:rsid w:val="00483984"/>
    <w:rsid w:val="00483BC7"/>
    <w:rsid w:val="00483CF0"/>
    <w:rsid w:val="004845D0"/>
    <w:rsid w:val="00484D4D"/>
    <w:rsid w:val="00486516"/>
    <w:rsid w:val="0048664F"/>
    <w:rsid w:val="004868AD"/>
    <w:rsid w:val="004868FE"/>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208"/>
    <w:rsid w:val="00496CCE"/>
    <w:rsid w:val="004978C1"/>
    <w:rsid w:val="00497AAD"/>
    <w:rsid w:val="00497BD7"/>
    <w:rsid w:val="00497D1A"/>
    <w:rsid w:val="004A00C9"/>
    <w:rsid w:val="004A03D0"/>
    <w:rsid w:val="004A1049"/>
    <w:rsid w:val="004A1AFA"/>
    <w:rsid w:val="004A1EA7"/>
    <w:rsid w:val="004A2309"/>
    <w:rsid w:val="004A26F5"/>
    <w:rsid w:val="004A2EF8"/>
    <w:rsid w:val="004A3A21"/>
    <w:rsid w:val="004A3E40"/>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52E"/>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3A34"/>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5EB"/>
    <w:rsid w:val="004E6746"/>
    <w:rsid w:val="004E6CAC"/>
    <w:rsid w:val="004E6F69"/>
    <w:rsid w:val="004E75C1"/>
    <w:rsid w:val="004E777F"/>
    <w:rsid w:val="004E7C5D"/>
    <w:rsid w:val="004F07F2"/>
    <w:rsid w:val="004F07F9"/>
    <w:rsid w:val="004F0A50"/>
    <w:rsid w:val="004F0D1F"/>
    <w:rsid w:val="004F0E82"/>
    <w:rsid w:val="004F10B2"/>
    <w:rsid w:val="004F1523"/>
    <w:rsid w:val="004F1847"/>
    <w:rsid w:val="004F1CE1"/>
    <w:rsid w:val="004F1F9E"/>
    <w:rsid w:val="004F257E"/>
    <w:rsid w:val="004F2CB6"/>
    <w:rsid w:val="004F2E6E"/>
    <w:rsid w:val="004F3015"/>
    <w:rsid w:val="004F313F"/>
    <w:rsid w:val="004F367F"/>
    <w:rsid w:val="004F3EEF"/>
    <w:rsid w:val="004F43A7"/>
    <w:rsid w:val="004F447B"/>
    <w:rsid w:val="004F497C"/>
    <w:rsid w:val="004F4FAC"/>
    <w:rsid w:val="004F4FE8"/>
    <w:rsid w:val="004F531B"/>
    <w:rsid w:val="004F5397"/>
    <w:rsid w:val="004F560C"/>
    <w:rsid w:val="004F5DBB"/>
    <w:rsid w:val="004F60B4"/>
    <w:rsid w:val="004F60F8"/>
    <w:rsid w:val="004F61A3"/>
    <w:rsid w:val="004F6265"/>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C4"/>
    <w:rsid w:val="005212F4"/>
    <w:rsid w:val="00521908"/>
    <w:rsid w:val="0052229D"/>
    <w:rsid w:val="005224BC"/>
    <w:rsid w:val="005224ED"/>
    <w:rsid w:val="00522928"/>
    <w:rsid w:val="00522FF1"/>
    <w:rsid w:val="00523946"/>
    <w:rsid w:val="0052397A"/>
    <w:rsid w:val="00523DD7"/>
    <w:rsid w:val="00524316"/>
    <w:rsid w:val="005256D6"/>
    <w:rsid w:val="00525AD8"/>
    <w:rsid w:val="00526429"/>
    <w:rsid w:val="005266C1"/>
    <w:rsid w:val="005267F4"/>
    <w:rsid w:val="005269D3"/>
    <w:rsid w:val="00527317"/>
    <w:rsid w:val="00527ED6"/>
    <w:rsid w:val="00530152"/>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715"/>
    <w:rsid w:val="005348CD"/>
    <w:rsid w:val="00534D55"/>
    <w:rsid w:val="00535B53"/>
    <w:rsid w:val="00535BAE"/>
    <w:rsid w:val="00536B03"/>
    <w:rsid w:val="00536B44"/>
    <w:rsid w:val="00537456"/>
    <w:rsid w:val="0053790C"/>
    <w:rsid w:val="00537B3D"/>
    <w:rsid w:val="00540204"/>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9FA"/>
    <w:rsid w:val="00545ACB"/>
    <w:rsid w:val="00545DB9"/>
    <w:rsid w:val="005462ED"/>
    <w:rsid w:val="00546585"/>
    <w:rsid w:val="0054680A"/>
    <w:rsid w:val="00546BF8"/>
    <w:rsid w:val="00547BA2"/>
    <w:rsid w:val="00550683"/>
    <w:rsid w:val="00550AC5"/>
    <w:rsid w:val="00550B7E"/>
    <w:rsid w:val="00551052"/>
    <w:rsid w:val="005512D0"/>
    <w:rsid w:val="005524ED"/>
    <w:rsid w:val="00553F91"/>
    <w:rsid w:val="00554007"/>
    <w:rsid w:val="00554C03"/>
    <w:rsid w:val="00554C58"/>
    <w:rsid w:val="00554D5D"/>
    <w:rsid w:val="00554F33"/>
    <w:rsid w:val="005550F9"/>
    <w:rsid w:val="00556338"/>
    <w:rsid w:val="00556441"/>
    <w:rsid w:val="00556CA0"/>
    <w:rsid w:val="00557031"/>
    <w:rsid w:val="00557F87"/>
    <w:rsid w:val="005602BB"/>
    <w:rsid w:val="00560934"/>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6D8C"/>
    <w:rsid w:val="005770CC"/>
    <w:rsid w:val="005772DA"/>
    <w:rsid w:val="005802F9"/>
    <w:rsid w:val="005806D5"/>
    <w:rsid w:val="00580DFC"/>
    <w:rsid w:val="00580F07"/>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557"/>
    <w:rsid w:val="00594B70"/>
    <w:rsid w:val="005960AE"/>
    <w:rsid w:val="00596CFA"/>
    <w:rsid w:val="00596EC6"/>
    <w:rsid w:val="005975CE"/>
    <w:rsid w:val="005A0088"/>
    <w:rsid w:val="005A04F6"/>
    <w:rsid w:val="005A14F0"/>
    <w:rsid w:val="005A1861"/>
    <w:rsid w:val="005A1A31"/>
    <w:rsid w:val="005A2503"/>
    <w:rsid w:val="005A361D"/>
    <w:rsid w:val="005A36C2"/>
    <w:rsid w:val="005A3719"/>
    <w:rsid w:val="005A3DD7"/>
    <w:rsid w:val="005A40FA"/>
    <w:rsid w:val="005A487C"/>
    <w:rsid w:val="005A4C20"/>
    <w:rsid w:val="005A4F48"/>
    <w:rsid w:val="005A54F1"/>
    <w:rsid w:val="005A57B8"/>
    <w:rsid w:val="005A5DDE"/>
    <w:rsid w:val="005A64A8"/>
    <w:rsid w:val="005A65C5"/>
    <w:rsid w:val="005A6875"/>
    <w:rsid w:val="005A7016"/>
    <w:rsid w:val="005A7A32"/>
    <w:rsid w:val="005A7F85"/>
    <w:rsid w:val="005B00DD"/>
    <w:rsid w:val="005B03B1"/>
    <w:rsid w:val="005B050B"/>
    <w:rsid w:val="005B07D5"/>
    <w:rsid w:val="005B15C9"/>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0B5"/>
    <w:rsid w:val="005C039B"/>
    <w:rsid w:val="005C059F"/>
    <w:rsid w:val="005C07CE"/>
    <w:rsid w:val="005C0B8F"/>
    <w:rsid w:val="005C194E"/>
    <w:rsid w:val="005C1C83"/>
    <w:rsid w:val="005C1DB1"/>
    <w:rsid w:val="005C226F"/>
    <w:rsid w:val="005C2294"/>
    <w:rsid w:val="005C2E48"/>
    <w:rsid w:val="005C3344"/>
    <w:rsid w:val="005C4ABF"/>
    <w:rsid w:val="005C4E4D"/>
    <w:rsid w:val="005C58F2"/>
    <w:rsid w:val="005C5A97"/>
    <w:rsid w:val="005C5C20"/>
    <w:rsid w:val="005C5F77"/>
    <w:rsid w:val="005C6AAB"/>
    <w:rsid w:val="005C6D5D"/>
    <w:rsid w:val="005C6FD0"/>
    <w:rsid w:val="005C770F"/>
    <w:rsid w:val="005D01C3"/>
    <w:rsid w:val="005D05FF"/>
    <w:rsid w:val="005D0FB4"/>
    <w:rsid w:val="005D1176"/>
    <w:rsid w:val="005D11A8"/>
    <w:rsid w:val="005D1747"/>
    <w:rsid w:val="005D266D"/>
    <w:rsid w:val="005D306D"/>
    <w:rsid w:val="005D3327"/>
    <w:rsid w:val="005D3A19"/>
    <w:rsid w:val="005D4854"/>
    <w:rsid w:val="005D4E5B"/>
    <w:rsid w:val="005D55CF"/>
    <w:rsid w:val="005D5BCF"/>
    <w:rsid w:val="005D65BF"/>
    <w:rsid w:val="005D6D84"/>
    <w:rsid w:val="005D70A1"/>
    <w:rsid w:val="005D79F2"/>
    <w:rsid w:val="005D7CB1"/>
    <w:rsid w:val="005D7F57"/>
    <w:rsid w:val="005E0067"/>
    <w:rsid w:val="005E009F"/>
    <w:rsid w:val="005E0141"/>
    <w:rsid w:val="005E09CA"/>
    <w:rsid w:val="005E1AB4"/>
    <w:rsid w:val="005E22B2"/>
    <w:rsid w:val="005E255B"/>
    <w:rsid w:val="005E2CF7"/>
    <w:rsid w:val="005E4543"/>
    <w:rsid w:val="005E4A1C"/>
    <w:rsid w:val="005E56C9"/>
    <w:rsid w:val="005E5CF7"/>
    <w:rsid w:val="005E5FF0"/>
    <w:rsid w:val="005E642A"/>
    <w:rsid w:val="005E65A7"/>
    <w:rsid w:val="005E721E"/>
    <w:rsid w:val="005F0857"/>
    <w:rsid w:val="005F1470"/>
    <w:rsid w:val="005F15A9"/>
    <w:rsid w:val="005F22DF"/>
    <w:rsid w:val="005F2807"/>
    <w:rsid w:val="005F2CD5"/>
    <w:rsid w:val="005F3382"/>
    <w:rsid w:val="005F3720"/>
    <w:rsid w:val="005F39E3"/>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488D"/>
    <w:rsid w:val="00605217"/>
    <w:rsid w:val="006054A5"/>
    <w:rsid w:val="006059E4"/>
    <w:rsid w:val="00605D60"/>
    <w:rsid w:val="006062A0"/>
    <w:rsid w:val="00607015"/>
    <w:rsid w:val="006108BD"/>
    <w:rsid w:val="0061098D"/>
    <w:rsid w:val="00610B78"/>
    <w:rsid w:val="00611B59"/>
    <w:rsid w:val="00611FBA"/>
    <w:rsid w:val="00612098"/>
    <w:rsid w:val="0061272A"/>
    <w:rsid w:val="006130D0"/>
    <w:rsid w:val="0061355D"/>
    <w:rsid w:val="006136FD"/>
    <w:rsid w:val="006139F7"/>
    <w:rsid w:val="00613AA2"/>
    <w:rsid w:val="006148AF"/>
    <w:rsid w:val="00614906"/>
    <w:rsid w:val="0061517F"/>
    <w:rsid w:val="00615276"/>
    <w:rsid w:val="0061527C"/>
    <w:rsid w:val="006155F1"/>
    <w:rsid w:val="00615846"/>
    <w:rsid w:val="00616040"/>
    <w:rsid w:val="006160F0"/>
    <w:rsid w:val="0061618F"/>
    <w:rsid w:val="0061624B"/>
    <w:rsid w:val="006166AD"/>
    <w:rsid w:val="006169B1"/>
    <w:rsid w:val="00616C1E"/>
    <w:rsid w:val="00617EFC"/>
    <w:rsid w:val="00620055"/>
    <w:rsid w:val="00620336"/>
    <w:rsid w:val="006204B3"/>
    <w:rsid w:val="006204C2"/>
    <w:rsid w:val="00620C70"/>
    <w:rsid w:val="006212D3"/>
    <w:rsid w:val="00621639"/>
    <w:rsid w:val="00622B22"/>
    <w:rsid w:val="00622F67"/>
    <w:rsid w:val="00623571"/>
    <w:rsid w:val="00623A5E"/>
    <w:rsid w:val="00625008"/>
    <w:rsid w:val="0062548B"/>
    <w:rsid w:val="00626420"/>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EFF"/>
    <w:rsid w:val="00635B73"/>
    <w:rsid w:val="00635BB7"/>
    <w:rsid w:val="00636CC7"/>
    <w:rsid w:val="00637F27"/>
    <w:rsid w:val="006405EC"/>
    <w:rsid w:val="00640A4D"/>
    <w:rsid w:val="006418F2"/>
    <w:rsid w:val="00641A84"/>
    <w:rsid w:val="00641B05"/>
    <w:rsid w:val="00641B9B"/>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00E"/>
    <w:rsid w:val="00650D19"/>
    <w:rsid w:val="00652CF5"/>
    <w:rsid w:val="0065343E"/>
    <w:rsid w:val="006536BB"/>
    <w:rsid w:val="0065398F"/>
    <w:rsid w:val="00653C7C"/>
    <w:rsid w:val="006540C3"/>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79E"/>
    <w:rsid w:val="00662D3D"/>
    <w:rsid w:val="00662D52"/>
    <w:rsid w:val="00662F1F"/>
    <w:rsid w:val="00663D15"/>
    <w:rsid w:val="00664596"/>
    <w:rsid w:val="00665030"/>
    <w:rsid w:val="00665670"/>
    <w:rsid w:val="006659EA"/>
    <w:rsid w:val="006661E8"/>
    <w:rsid w:val="00666424"/>
    <w:rsid w:val="0066676C"/>
    <w:rsid w:val="006673B9"/>
    <w:rsid w:val="0066772C"/>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5B51"/>
    <w:rsid w:val="00677382"/>
    <w:rsid w:val="0067772D"/>
    <w:rsid w:val="00677991"/>
    <w:rsid w:val="00677AD2"/>
    <w:rsid w:val="00680326"/>
    <w:rsid w:val="00680714"/>
    <w:rsid w:val="0068071D"/>
    <w:rsid w:val="006807D9"/>
    <w:rsid w:val="00680C6B"/>
    <w:rsid w:val="006811F3"/>
    <w:rsid w:val="00681240"/>
    <w:rsid w:val="00683068"/>
    <w:rsid w:val="0068319D"/>
    <w:rsid w:val="00683DAD"/>
    <w:rsid w:val="00684592"/>
    <w:rsid w:val="00684963"/>
    <w:rsid w:val="006849BF"/>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6979"/>
    <w:rsid w:val="006A6D29"/>
    <w:rsid w:val="006A7C29"/>
    <w:rsid w:val="006B02B5"/>
    <w:rsid w:val="006B0580"/>
    <w:rsid w:val="006B0DA2"/>
    <w:rsid w:val="006B0F70"/>
    <w:rsid w:val="006B1486"/>
    <w:rsid w:val="006B169F"/>
    <w:rsid w:val="006B1BEB"/>
    <w:rsid w:val="006B1D06"/>
    <w:rsid w:val="006B2823"/>
    <w:rsid w:val="006B29DC"/>
    <w:rsid w:val="006B2F60"/>
    <w:rsid w:val="006B33DB"/>
    <w:rsid w:val="006B3669"/>
    <w:rsid w:val="006B36DD"/>
    <w:rsid w:val="006B36E5"/>
    <w:rsid w:val="006B3D00"/>
    <w:rsid w:val="006B4CF8"/>
    <w:rsid w:val="006B506B"/>
    <w:rsid w:val="006B54E8"/>
    <w:rsid w:val="006B5FBC"/>
    <w:rsid w:val="006B6ED2"/>
    <w:rsid w:val="006B7F74"/>
    <w:rsid w:val="006C0230"/>
    <w:rsid w:val="006C05C7"/>
    <w:rsid w:val="006C0855"/>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0B93"/>
    <w:rsid w:val="006D135C"/>
    <w:rsid w:val="006D1CEB"/>
    <w:rsid w:val="006D2757"/>
    <w:rsid w:val="006D2F72"/>
    <w:rsid w:val="006D43C1"/>
    <w:rsid w:val="006D5356"/>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4E3"/>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2E2"/>
    <w:rsid w:val="006F0CB2"/>
    <w:rsid w:val="006F1DE9"/>
    <w:rsid w:val="006F2046"/>
    <w:rsid w:val="006F298F"/>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3C44"/>
    <w:rsid w:val="00703FA2"/>
    <w:rsid w:val="0070415E"/>
    <w:rsid w:val="00704631"/>
    <w:rsid w:val="00704B79"/>
    <w:rsid w:val="00704E7D"/>
    <w:rsid w:val="00705060"/>
    <w:rsid w:val="00705351"/>
    <w:rsid w:val="00705619"/>
    <w:rsid w:val="00705E93"/>
    <w:rsid w:val="007062AF"/>
    <w:rsid w:val="007069AE"/>
    <w:rsid w:val="007069D4"/>
    <w:rsid w:val="00706C89"/>
    <w:rsid w:val="00707827"/>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563E"/>
    <w:rsid w:val="0071604D"/>
    <w:rsid w:val="00716C67"/>
    <w:rsid w:val="007170AB"/>
    <w:rsid w:val="0071779C"/>
    <w:rsid w:val="00717808"/>
    <w:rsid w:val="00717D45"/>
    <w:rsid w:val="007208A7"/>
    <w:rsid w:val="00720B6A"/>
    <w:rsid w:val="007210F6"/>
    <w:rsid w:val="0072129A"/>
    <w:rsid w:val="007212F8"/>
    <w:rsid w:val="0072139F"/>
    <w:rsid w:val="0072198A"/>
    <w:rsid w:val="00721AD9"/>
    <w:rsid w:val="00721FC3"/>
    <w:rsid w:val="00722A86"/>
    <w:rsid w:val="00722BC6"/>
    <w:rsid w:val="00722C69"/>
    <w:rsid w:val="0072311F"/>
    <w:rsid w:val="0072388C"/>
    <w:rsid w:val="00724301"/>
    <w:rsid w:val="0072454E"/>
    <w:rsid w:val="007249D1"/>
    <w:rsid w:val="00724C86"/>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D6"/>
    <w:rsid w:val="00733AE4"/>
    <w:rsid w:val="00733D5F"/>
    <w:rsid w:val="00734932"/>
    <w:rsid w:val="00735D53"/>
    <w:rsid w:val="0073618A"/>
    <w:rsid w:val="007364A3"/>
    <w:rsid w:val="00736740"/>
    <w:rsid w:val="00736A45"/>
    <w:rsid w:val="007376C2"/>
    <w:rsid w:val="007378FD"/>
    <w:rsid w:val="007403FE"/>
    <w:rsid w:val="007413EB"/>
    <w:rsid w:val="007413FB"/>
    <w:rsid w:val="00742D32"/>
    <w:rsid w:val="00742E9B"/>
    <w:rsid w:val="007444E6"/>
    <w:rsid w:val="00744D81"/>
    <w:rsid w:val="0074592C"/>
    <w:rsid w:val="00745C91"/>
    <w:rsid w:val="00746098"/>
    <w:rsid w:val="00746D58"/>
    <w:rsid w:val="00747578"/>
    <w:rsid w:val="007507B1"/>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5771B"/>
    <w:rsid w:val="00757E65"/>
    <w:rsid w:val="0076003B"/>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59EF"/>
    <w:rsid w:val="007660EC"/>
    <w:rsid w:val="007662C7"/>
    <w:rsid w:val="00766862"/>
    <w:rsid w:val="00766BE1"/>
    <w:rsid w:val="007675DD"/>
    <w:rsid w:val="00767C7C"/>
    <w:rsid w:val="007702BF"/>
    <w:rsid w:val="007705F0"/>
    <w:rsid w:val="00771CAC"/>
    <w:rsid w:val="00772036"/>
    <w:rsid w:val="00773098"/>
    <w:rsid w:val="007739A3"/>
    <w:rsid w:val="00773BD9"/>
    <w:rsid w:val="00773CB0"/>
    <w:rsid w:val="00773D71"/>
    <w:rsid w:val="007751BA"/>
    <w:rsid w:val="00775526"/>
    <w:rsid w:val="00775651"/>
    <w:rsid w:val="00775C90"/>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7B0"/>
    <w:rsid w:val="00791C6E"/>
    <w:rsid w:val="00791C7D"/>
    <w:rsid w:val="007921F7"/>
    <w:rsid w:val="00792909"/>
    <w:rsid w:val="00792BC6"/>
    <w:rsid w:val="00792C3F"/>
    <w:rsid w:val="00792EE2"/>
    <w:rsid w:val="00792EFD"/>
    <w:rsid w:val="00792FF7"/>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771"/>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8C0"/>
    <w:rsid w:val="007A6D91"/>
    <w:rsid w:val="007A6DC1"/>
    <w:rsid w:val="007A7618"/>
    <w:rsid w:val="007B00C9"/>
    <w:rsid w:val="007B02C7"/>
    <w:rsid w:val="007B0306"/>
    <w:rsid w:val="007B064A"/>
    <w:rsid w:val="007B08E4"/>
    <w:rsid w:val="007B0D86"/>
    <w:rsid w:val="007B28C3"/>
    <w:rsid w:val="007B3A8E"/>
    <w:rsid w:val="007B3C9B"/>
    <w:rsid w:val="007B4271"/>
    <w:rsid w:val="007B497D"/>
    <w:rsid w:val="007B4EE9"/>
    <w:rsid w:val="007B5234"/>
    <w:rsid w:val="007B5444"/>
    <w:rsid w:val="007B54C7"/>
    <w:rsid w:val="007B5637"/>
    <w:rsid w:val="007B5742"/>
    <w:rsid w:val="007B5DC5"/>
    <w:rsid w:val="007B5F32"/>
    <w:rsid w:val="007B63FC"/>
    <w:rsid w:val="007B6708"/>
    <w:rsid w:val="007B6C20"/>
    <w:rsid w:val="007B6E8D"/>
    <w:rsid w:val="007C029E"/>
    <w:rsid w:val="007C0636"/>
    <w:rsid w:val="007C10E4"/>
    <w:rsid w:val="007C112E"/>
    <w:rsid w:val="007C1249"/>
    <w:rsid w:val="007C17B4"/>
    <w:rsid w:val="007C20F8"/>
    <w:rsid w:val="007C21C5"/>
    <w:rsid w:val="007C2229"/>
    <w:rsid w:val="007C2313"/>
    <w:rsid w:val="007C277D"/>
    <w:rsid w:val="007C3590"/>
    <w:rsid w:val="007C387A"/>
    <w:rsid w:val="007C3A0D"/>
    <w:rsid w:val="007C3EB0"/>
    <w:rsid w:val="007C43D6"/>
    <w:rsid w:val="007C47FF"/>
    <w:rsid w:val="007C5AE1"/>
    <w:rsid w:val="007C60A8"/>
    <w:rsid w:val="007C660F"/>
    <w:rsid w:val="007C6664"/>
    <w:rsid w:val="007C66FF"/>
    <w:rsid w:val="007C69AE"/>
    <w:rsid w:val="007C6FE9"/>
    <w:rsid w:val="007C7688"/>
    <w:rsid w:val="007C76E3"/>
    <w:rsid w:val="007C76F3"/>
    <w:rsid w:val="007C7DD9"/>
    <w:rsid w:val="007D03BC"/>
    <w:rsid w:val="007D0DC9"/>
    <w:rsid w:val="007D0ECD"/>
    <w:rsid w:val="007D136F"/>
    <w:rsid w:val="007D2190"/>
    <w:rsid w:val="007D2882"/>
    <w:rsid w:val="007D296C"/>
    <w:rsid w:val="007D2C31"/>
    <w:rsid w:val="007D2E50"/>
    <w:rsid w:val="007D3D74"/>
    <w:rsid w:val="007D445F"/>
    <w:rsid w:val="007D4DED"/>
    <w:rsid w:val="007D5BA2"/>
    <w:rsid w:val="007D5C2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CA5"/>
    <w:rsid w:val="007E6E06"/>
    <w:rsid w:val="007E6F4A"/>
    <w:rsid w:val="007E79CC"/>
    <w:rsid w:val="007F0D77"/>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0C8"/>
    <w:rsid w:val="007F6260"/>
    <w:rsid w:val="007F682B"/>
    <w:rsid w:val="007F78E8"/>
    <w:rsid w:val="007F7F8F"/>
    <w:rsid w:val="00800509"/>
    <w:rsid w:val="0080078E"/>
    <w:rsid w:val="00800B7F"/>
    <w:rsid w:val="008012B1"/>
    <w:rsid w:val="00801D63"/>
    <w:rsid w:val="008028E0"/>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55F"/>
    <w:rsid w:val="0081497F"/>
    <w:rsid w:val="00814B90"/>
    <w:rsid w:val="00814FC7"/>
    <w:rsid w:val="0081660C"/>
    <w:rsid w:val="00816761"/>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44F9"/>
    <w:rsid w:val="00825441"/>
    <w:rsid w:val="00826855"/>
    <w:rsid w:val="00830052"/>
    <w:rsid w:val="008300D0"/>
    <w:rsid w:val="008308D8"/>
    <w:rsid w:val="008320D2"/>
    <w:rsid w:val="008321CE"/>
    <w:rsid w:val="0083257C"/>
    <w:rsid w:val="0083261B"/>
    <w:rsid w:val="00832B44"/>
    <w:rsid w:val="00832EC9"/>
    <w:rsid w:val="00833307"/>
    <w:rsid w:val="00833583"/>
    <w:rsid w:val="00833788"/>
    <w:rsid w:val="00833B5B"/>
    <w:rsid w:val="00833E9A"/>
    <w:rsid w:val="00834FEF"/>
    <w:rsid w:val="00836323"/>
    <w:rsid w:val="00837D3D"/>
    <w:rsid w:val="00837D4F"/>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46DE3"/>
    <w:rsid w:val="0084704E"/>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E74"/>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6C9"/>
    <w:rsid w:val="0087677E"/>
    <w:rsid w:val="0087712C"/>
    <w:rsid w:val="008776E7"/>
    <w:rsid w:val="00877746"/>
    <w:rsid w:val="00877C5D"/>
    <w:rsid w:val="00880085"/>
    <w:rsid w:val="00880354"/>
    <w:rsid w:val="0088093C"/>
    <w:rsid w:val="00880BC0"/>
    <w:rsid w:val="0088127A"/>
    <w:rsid w:val="00881D59"/>
    <w:rsid w:val="00882991"/>
    <w:rsid w:val="00882EC1"/>
    <w:rsid w:val="0088324E"/>
    <w:rsid w:val="00883E08"/>
    <w:rsid w:val="0088434F"/>
    <w:rsid w:val="00884371"/>
    <w:rsid w:val="008848E2"/>
    <w:rsid w:val="00884B7A"/>
    <w:rsid w:val="00884D47"/>
    <w:rsid w:val="008856C5"/>
    <w:rsid w:val="00886112"/>
    <w:rsid w:val="008872B3"/>
    <w:rsid w:val="00887392"/>
    <w:rsid w:val="008906F1"/>
    <w:rsid w:val="00890A64"/>
    <w:rsid w:val="00890C40"/>
    <w:rsid w:val="0089122E"/>
    <w:rsid w:val="008912A7"/>
    <w:rsid w:val="0089183A"/>
    <w:rsid w:val="008920B4"/>
    <w:rsid w:val="008925EB"/>
    <w:rsid w:val="0089275E"/>
    <w:rsid w:val="00892B43"/>
    <w:rsid w:val="00893432"/>
    <w:rsid w:val="0089368B"/>
    <w:rsid w:val="00893936"/>
    <w:rsid w:val="00893CE2"/>
    <w:rsid w:val="00893F41"/>
    <w:rsid w:val="00894089"/>
    <w:rsid w:val="00895144"/>
    <w:rsid w:val="00895963"/>
    <w:rsid w:val="008972B6"/>
    <w:rsid w:val="00897339"/>
    <w:rsid w:val="0089748C"/>
    <w:rsid w:val="00897697"/>
    <w:rsid w:val="008977E1"/>
    <w:rsid w:val="00897BFA"/>
    <w:rsid w:val="00897D19"/>
    <w:rsid w:val="008A0044"/>
    <w:rsid w:val="008A01BA"/>
    <w:rsid w:val="008A0BFE"/>
    <w:rsid w:val="008A1932"/>
    <w:rsid w:val="008A21D9"/>
    <w:rsid w:val="008A232D"/>
    <w:rsid w:val="008A3182"/>
    <w:rsid w:val="008A3C76"/>
    <w:rsid w:val="008A3D54"/>
    <w:rsid w:val="008A3E10"/>
    <w:rsid w:val="008A411C"/>
    <w:rsid w:val="008A4630"/>
    <w:rsid w:val="008A47CE"/>
    <w:rsid w:val="008A4DFA"/>
    <w:rsid w:val="008A5F2F"/>
    <w:rsid w:val="008A62D1"/>
    <w:rsid w:val="008A6BAE"/>
    <w:rsid w:val="008A7350"/>
    <w:rsid w:val="008A7A72"/>
    <w:rsid w:val="008B09F3"/>
    <w:rsid w:val="008B111A"/>
    <w:rsid w:val="008B16E6"/>
    <w:rsid w:val="008B1785"/>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0FE8"/>
    <w:rsid w:val="008C1570"/>
    <w:rsid w:val="008C1792"/>
    <w:rsid w:val="008C17B2"/>
    <w:rsid w:val="008C1E3E"/>
    <w:rsid w:val="008C2059"/>
    <w:rsid w:val="008C21D0"/>
    <w:rsid w:val="008C28CE"/>
    <w:rsid w:val="008C2DBC"/>
    <w:rsid w:val="008C3A4E"/>
    <w:rsid w:val="008C5371"/>
    <w:rsid w:val="008C5676"/>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1C3F"/>
    <w:rsid w:val="008E2626"/>
    <w:rsid w:val="008E27A9"/>
    <w:rsid w:val="008E285A"/>
    <w:rsid w:val="008E323C"/>
    <w:rsid w:val="008E32E0"/>
    <w:rsid w:val="008E35A6"/>
    <w:rsid w:val="008E36D9"/>
    <w:rsid w:val="008E3A5C"/>
    <w:rsid w:val="008E3A9A"/>
    <w:rsid w:val="008E4111"/>
    <w:rsid w:val="008E429E"/>
    <w:rsid w:val="008E58A3"/>
    <w:rsid w:val="008E5938"/>
    <w:rsid w:val="008E6109"/>
    <w:rsid w:val="008E6A39"/>
    <w:rsid w:val="008E75FE"/>
    <w:rsid w:val="008E76BB"/>
    <w:rsid w:val="008E7B80"/>
    <w:rsid w:val="008F1764"/>
    <w:rsid w:val="008F1E3D"/>
    <w:rsid w:val="008F222E"/>
    <w:rsid w:val="008F235C"/>
    <w:rsid w:val="008F290B"/>
    <w:rsid w:val="008F2F11"/>
    <w:rsid w:val="008F3369"/>
    <w:rsid w:val="008F33A6"/>
    <w:rsid w:val="008F35EC"/>
    <w:rsid w:val="008F4FE8"/>
    <w:rsid w:val="008F4FED"/>
    <w:rsid w:val="008F5D5A"/>
    <w:rsid w:val="008F6200"/>
    <w:rsid w:val="008F62F8"/>
    <w:rsid w:val="008F6893"/>
    <w:rsid w:val="008F7292"/>
    <w:rsid w:val="008F76C0"/>
    <w:rsid w:val="008F77E1"/>
    <w:rsid w:val="009000F2"/>
    <w:rsid w:val="0090079D"/>
    <w:rsid w:val="0090086A"/>
    <w:rsid w:val="00900D2C"/>
    <w:rsid w:val="00901807"/>
    <w:rsid w:val="00901F0E"/>
    <w:rsid w:val="00902A26"/>
    <w:rsid w:val="00902A57"/>
    <w:rsid w:val="00902B29"/>
    <w:rsid w:val="00903390"/>
    <w:rsid w:val="00903C83"/>
    <w:rsid w:val="00903D77"/>
    <w:rsid w:val="0090408F"/>
    <w:rsid w:val="0090446A"/>
    <w:rsid w:val="00904537"/>
    <w:rsid w:val="00904DC3"/>
    <w:rsid w:val="0090534A"/>
    <w:rsid w:val="00905469"/>
    <w:rsid w:val="00906078"/>
    <w:rsid w:val="0090629C"/>
    <w:rsid w:val="00906EA2"/>
    <w:rsid w:val="00907278"/>
    <w:rsid w:val="00907403"/>
    <w:rsid w:val="00907791"/>
    <w:rsid w:val="00910041"/>
    <w:rsid w:val="0091112B"/>
    <w:rsid w:val="00911D61"/>
    <w:rsid w:val="00911E41"/>
    <w:rsid w:val="00912850"/>
    <w:rsid w:val="009128B8"/>
    <w:rsid w:val="0091472C"/>
    <w:rsid w:val="00914DC9"/>
    <w:rsid w:val="00915351"/>
    <w:rsid w:val="00915679"/>
    <w:rsid w:val="009159C2"/>
    <w:rsid w:val="0091627F"/>
    <w:rsid w:val="0091634C"/>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195"/>
    <w:rsid w:val="00927330"/>
    <w:rsid w:val="00927710"/>
    <w:rsid w:val="009307CA"/>
    <w:rsid w:val="009312F9"/>
    <w:rsid w:val="00931445"/>
    <w:rsid w:val="00931AB8"/>
    <w:rsid w:val="00931C19"/>
    <w:rsid w:val="00931C63"/>
    <w:rsid w:val="00931D10"/>
    <w:rsid w:val="0093218A"/>
    <w:rsid w:val="0093386D"/>
    <w:rsid w:val="00934C8E"/>
    <w:rsid w:val="00935194"/>
    <w:rsid w:val="00936A15"/>
    <w:rsid w:val="00936A85"/>
    <w:rsid w:val="00936EA5"/>
    <w:rsid w:val="00937114"/>
    <w:rsid w:val="0094015D"/>
    <w:rsid w:val="00940916"/>
    <w:rsid w:val="009412B7"/>
    <w:rsid w:val="00941B13"/>
    <w:rsid w:val="0094215C"/>
    <w:rsid w:val="00942F8E"/>
    <w:rsid w:val="00943543"/>
    <w:rsid w:val="00943FC5"/>
    <w:rsid w:val="009441DB"/>
    <w:rsid w:val="00944834"/>
    <w:rsid w:val="00946128"/>
    <w:rsid w:val="0094633F"/>
    <w:rsid w:val="00947BA5"/>
    <w:rsid w:val="00950805"/>
    <w:rsid w:val="009517E4"/>
    <w:rsid w:val="009518D4"/>
    <w:rsid w:val="009520BC"/>
    <w:rsid w:val="009521D2"/>
    <w:rsid w:val="00952403"/>
    <w:rsid w:val="00952589"/>
    <w:rsid w:val="0095279B"/>
    <w:rsid w:val="00952BD8"/>
    <w:rsid w:val="00953573"/>
    <w:rsid w:val="009537C0"/>
    <w:rsid w:val="00954E4B"/>
    <w:rsid w:val="009557A9"/>
    <w:rsid w:val="00956647"/>
    <w:rsid w:val="00957380"/>
    <w:rsid w:val="00957409"/>
    <w:rsid w:val="00957499"/>
    <w:rsid w:val="00957ED2"/>
    <w:rsid w:val="0096031E"/>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979"/>
    <w:rsid w:val="00966A21"/>
    <w:rsid w:val="00966AD2"/>
    <w:rsid w:val="00971415"/>
    <w:rsid w:val="009716D8"/>
    <w:rsid w:val="00971F54"/>
    <w:rsid w:val="00972057"/>
    <w:rsid w:val="00972265"/>
    <w:rsid w:val="0097227B"/>
    <w:rsid w:val="0097262E"/>
    <w:rsid w:val="0097293F"/>
    <w:rsid w:val="00973103"/>
    <w:rsid w:val="00973CCB"/>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35A"/>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B09"/>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AA7"/>
    <w:rsid w:val="009A1ECA"/>
    <w:rsid w:val="009A2BE9"/>
    <w:rsid w:val="009A2BF3"/>
    <w:rsid w:val="009A3688"/>
    <w:rsid w:val="009A3713"/>
    <w:rsid w:val="009A3C3E"/>
    <w:rsid w:val="009A3FE9"/>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177"/>
    <w:rsid w:val="009D298F"/>
    <w:rsid w:val="009D2C49"/>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6900"/>
    <w:rsid w:val="009E758E"/>
    <w:rsid w:val="009E7BFB"/>
    <w:rsid w:val="009E7D6B"/>
    <w:rsid w:val="009E7E81"/>
    <w:rsid w:val="009F020A"/>
    <w:rsid w:val="009F05AD"/>
    <w:rsid w:val="009F0659"/>
    <w:rsid w:val="009F1109"/>
    <w:rsid w:val="009F1429"/>
    <w:rsid w:val="009F143E"/>
    <w:rsid w:val="009F15EA"/>
    <w:rsid w:val="009F1DE8"/>
    <w:rsid w:val="009F2186"/>
    <w:rsid w:val="009F227C"/>
    <w:rsid w:val="009F28DC"/>
    <w:rsid w:val="009F2EDB"/>
    <w:rsid w:val="009F33DC"/>
    <w:rsid w:val="009F4550"/>
    <w:rsid w:val="009F524F"/>
    <w:rsid w:val="009F56C0"/>
    <w:rsid w:val="009F5C76"/>
    <w:rsid w:val="00A000C5"/>
    <w:rsid w:val="00A007B4"/>
    <w:rsid w:val="00A00930"/>
    <w:rsid w:val="00A00CA0"/>
    <w:rsid w:val="00A00E00"/>
    <w:rsid w:val="00A01221"/>
    <w:rsid w:val="00A012A8"/>
    <w:rsid w:val="00A012F1"/>
    <w:rsid w:val="00A016CF"/>
    <w:rsid w:val="00A016FF"/>
    <w:rsid w:val="00A01886"/>
    <w:rsid w:val="00A01944"/>
    <w:rsid w:val="00A0207F"/>
    <w:rsid w:val="00A021AF"/>
    <w:rsid w:val="00A027B1"/>
    <w:rsid w:val="00A0307A"/>
    <w:rsid w:val="00A03A7C"/>
    <w:rsid w:val="00A03DF9"/>
    <w:rsid w:val="00A044AA"/>
    <w:rsid w:val="00A0700C"/>
    <w:rsid w:val="00A074B0"/>
    <w:rsid w:val="00A07F94"/>
    <w:rsid w:val="00A102F8"/>
    <w:rsid w:val="00A10A20"/>
    <w:rsid w:val="00A117D5"/>
    <w:rsid w:val="00A11C11"/>
    <w:rsid w:val="00A12720"/>
    <w:rsid w:val="00A12B62"/>
    <w:rsid w:val="00A12ED1"/>
    <w:rsid w:val="00A13121"/>
    <w:rsid w:val="00A131F5"/>
    <w:rsid w:val="00A133C1"/>
    <w:rsid w:val="00A13414"/>
    <w:rsid w:val="00A134DA"/>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02A"/>
    <w:rsid w:val="00A21838"/>
    <w:rsid w:val="00A22C3E"/>
    <w:rsid w:val="00A22C4D"/>
    <w:rsid w:val="00A2334E"/>
    <w:rsid w:val="00A23442"/>
    <w:rsid w:val="00A249D2"/>
    <w:rsid w:val="00A254AB"/>
    <w:rsid w:val="00A259F2"/>
    <w:rsid w:val="00A25BD0"/>
    <w:rsid w:val="00A266CC"/>
    <w:rsid w:val="00A26DB4"/>
    <w:rsid w:val="00A27425"/>
    <w:rsid w:val="00A3023E"/>
    <w:rsid w:val="00A305C5"/>
    <w:rsid w:val="00A30919"/>
    <w:rsid w:val="00A31F05"/>
    <w:rsid w:val="00A31FD2"/>
    <w:rsid w:val="00A326C5"/>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727"/>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3FD"/>
    <w:rsid w:val="00A564DE"/>
    <w:rsid w:val="00A570BB"/>
    <w:rsid w:val="00A6054E"/>
    <w:rsid w:val="00A60799"/>
    <w:rsid w:val="00A6170B"/>
    <w:rsid w:val="00A61991"/>
    <w:rsid w:val="00A61B7F"/>
    <w:rsid w:val="00A61B91"/>
    <w:rsid w:val="00A61C3A"/>
    <w:rsid w:val="00A620E8"/>
    <w:rsid w:val="00A63335"/>
    <w:rsid w:val="00A634EB"/>
    <w:rsid w:val="00A63685"/>
    <w:rsid w:val="00A63A9C"/>
    <w:rsid w:val="00A63EA5"/>
    <w:rsid w:val="00A64545"/>
    <w:rsid w:val="00A645AC"/>
    <w:rsid w:val="00A64C79"/>
    <w:rsid w:val="00A65EFB"/>
    <w:rsid w:val="00A66C5F"/>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2D71"/>
    <w:rsid w:val="00A732FB"/>
    <w:rsid w:val="00A7463E"/>
    <w:rsid w:val="00A74964"/>
    <w:rsid w:val="00A758E2"/>
    <w:rsid w:val="00A765B1"/>
    <w:rsid w:val="00A772F2"/>
    <w:rsid w:val="00A773CA"/>
    <w:rsid w:val="00A77828"/>
    <w:rsid w:val="00A77BAA"/>
    <w:rsid w:val="00A800F9"/>
    <w:rsid w:val="00A803A6"/>
    <w:rsid w:val="00A8073D"/>
    <w:rsid w:val="00A80D02"/>
    <w:rsid w:val="00A815FB"/>
    <w:rsid w:val="00A81AEB"/>
    <w:rsid w:val="00A82D32"/>
    <w:rsid w:val="00A82EAE"/>
    <w:rsid w:val="00A82FC7"/>
    <w:rsid w:val="00A83D08"/>
    <w:rsid w:val="00A847F9"/>
    <w:rsid w:val="00A84F27"/>
    <w:rsid w:val="00A8519C"/>
    <w:rsid w:val="00A855EE"/>
    <w:rsid w:val="00A8597A"/>
    <w:rsid w:val="00A85B87"/>
    <w:rsid w:val="00A85F83"/>
    <w:rsid w:val="00A86019"/>
    <w:rsid w:val="00A86EED"/>
    <w:rsid w:val="00A8733A"/>
    <w:rsid w:val="00A913EC"/>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B10"/>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63F"/>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6328"/>
    <w:rsid w:val="00AB759A"/>
    <w:rsid w:val="00AB7B06"/>
    <w:rsid w:val="00AB7EAA"/>
    <w:rsid w:val="00AC0432"/>
    <w:rsid w:val="00AC0500"/>
    <w:rsid w:val="00AC0770"/>
    <w:rsid w:val="00AC1683"/>
    <w:rsid w:val="00AC1D82"/>
    <w:rsid w:val="00AC1E68"/>
    <w:rsid w:val="00AC2D5F"/>
    <w:rsid w:val="00AC4094"/>
    <w:rsid w:val="00AC42B6"/>
    <w:rsid w:val="00AC4AB7"/>
    <w:rsid w:val="00AC51E0"/>
    <w:rsid w:val="00AC6D24"/>
    <w:rsid w:val="00AC6E18"/>
    <w:rsid w:val="00AC7F64"/>
    <w:rsid w:val="00AD1065"/>
    <w:rsid w:val="00AD159E"/>
    <w:rsid w:val="00AD22EA"/>
    <w:rsid w:val="00AD2AB1"/>
    <w:rsid w:val="00AD3132"/>
    <w:rsid w:val="00AD3DA6"/>
    <w:rsid w:val="00AD3F3C"/>
    <w:rsid w:val="00AD447E"/>
    <w:rsid w:val="00AD4B2F"/>
    <w:rsid w:val="00AD51B3"/>
    <w:rsid w:val="00AD5F0A"/>
    <w:rsid w:val="00AD6A5B"/>
    <w:rsid w:val="00AD6B4F"/>
    <w:rsid w:val="00AD6D19"/>
    <w:rsid w:val="00AD7812"/>
    <w:rsid w:val="00AD787E"/>
    <w:rsid w:val="00AD7C42"/>
    <w:rsid w:val="00AD7CFA"/>
    <w:rsid w:val="00AE002A"/>
    <w:rsid w:val="00AE06B0"/>
    <w:rsid w:val="00AE0BD6"/>
    <w:rsid w:val="00AE11C1"/>
    <w:rsid w:val="00AE163D"/>
    <w:rsid w:val="00AE1A42"/>
    <w:rsid w:val="00AE1C5C"/>
    <w:rsid w:val="00AE315E"/>
    <w:rsid w:val="00AE319F"/>
    <w:rsid w:val="00AE31D9"/>
    <w:rsid w:val="00AE34DC"/>
    <w:rsid w:val="00AE3CF0"/>
    <w:rsid w:val="00AE4546"/>
    <w:rsid w:val="00AE5D7B"/>
    <w:rsid w:val="00AE6575"/>
    <w:rsid w:val="00AE71C6"/>
    <w:rsid w:val="00AE71EE"/>
    <w:rsid w:val="00AF01C6"/>
    <w:rsid w:val="00AF03CF"/>
    <w:rsid w:val="00AF0A0A"/>
    <w:rsid w:val="00AF14FC"/>
    <w:rsid w:val="00AF1ED2"/>
    <w:rsid w:val="00AF1F4E"/>
    <w:rsid w:val="00AF2302"/>
    <w:rsid w:val="00AF262A"/>
    <w:rsid w:val="00AF3557"/>
    <w:rsid w:val="00AF3F86"/>
    <w:rsid w:val="00AF4803"/>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ED"/>
    <w:rsid w:val="00B038F1"/>
    <w:rsid w:val="00B03C1B"/>
    <w:rsid w:val="00B04678"/>
    <w:rsid w:val="00B047C9"/>
    <w:rsid w:val="00B04A04"/>
    <w:rsid w:val="00B04B78"/>
    <w:rsid w:val="00B04C37"/>
    <w:rsid w:val="00B04F00"/>
    <w:rsid w:val="00B05BA6"/>
    <w:rsid w:val="00B066FE"/>
    <w:rsid w:val="00B067CD"/>
    <w:rsid w:val="00B06912"/>
    <w:rsid w:val="00B07316"/>
    <w:rsid w:val="00B07F74"/>
    <w:rsid w:val="00B10618"/>
    <w:rsid w:val="00B10B04"/>
    <w:rsid w:val="00B10CC6"/>
    <w:rsid w:val="00B11932"/>
    <w:rsid w:val="00B11A61"/>
    <w:rsid w:val="00B11F4A"/>
    <w:rsid w:val="00B12082"/>
    <w:rsid w:val="00B12648"/>
    <w:rsid w:val="00B1270C"/>
    <w:rsid w:val="00B12710"/>
    <w:rsid w:val="00B13389"/>
    <w:rsid w:val="00B1364C"/>
    <w:rsid w:val="00B13EDB"/>
    <w:rsid w:val="00B141A5"/>
    <w:rsid w:val="00B14F47"/>
    <w:rsid w:val="00B15282"/>
    <w:rsid w:val="00B15286"/>
    <w:rsid w:val="00B1539F"/>
    <w:rsid w:val="00B1550D"/>
    <w:rsid w:val="00B15B1A"/>
    <w:rsid w:val="00B15F6C"/>
    <w:rsid w:val="00B163E8"/>
    <w:rsid w:val="00B1767E"/>
    <w:rsid w:val="00B1774A"/>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1F85"/>
    <w:rsid w:val="00B32295"/>
    <w:rsid w:val="00B33AB5"/>
    <w:rsid w:val="00B3412E"/>
    <w:rsid w:val="00B343E0"/>
    <w:rsid w:val="00B35B6D"/>
    <w:rsid w:val="00B35D53"/>
    <w:rsid w:val="00B367C4"/>
    <w:rsid w:val="00B36D3E"/>
    <w:rsid w:val="00B37B8E"/>
    <w:rsid w:val="00B40222"/>
    <w:rsid w:val="00B404C3"/>
    <w:rsid w:val="00B4094B"/>
    <w:rsid w:val="00B41A04"/>
    <w:rsid w:val="00B42743"/>
    <w:rsid w:val="00B430E9"/>
    <w:rsid w:val="00B4311F"/>
    <w:rsid w:val="00B431AE"/>
    <w:rsid w:val="00B44288"/>
    <w:rsid w:val="00B448BF"/>
    <w:rsid w:val="00B45A59"/>
    <w:rsid w:val="00B45F9F"/>
    <w:rsid w:val="00B4627C"/>
    <w:rsid w:val="00B4641F"/>
    <w:rsid w:val="00B46793"/>
    <w:rsid w:val="00B46953"/>
    <w:rsid w:val="00B46EB8"/>
    <w:rsid w:val="00B47455"/>
    <w:rsid w:val="00B47979"/>
    <w:rsid w:val="00B47A59"/>
    <w:rsid w:val="00B47ECD"/>
    <w:rsid w:val="00B47FF3"/>
    <w:rsid w:val="00B503D6"/>
    <w:rsid w:val="00B51520"/>
    <w:rsid w:val="00B515C3"/>
    <w:rsid w:val="00B517C2"/>
    <w:rsid w:val="00B518CE"/>
    <w:rsid w:val="00B51F56"/>
    <w:rsid w:val="00B52234"/>
    <w:rsid w:val="00B5283C"/>
    <w:rsid w:val="00B53623"/>
    <w:rsid w:val="00B53D1D"/>
    <w:rsid w:val="00B53E98"/>
    <w:rsid w:val="00B53F9B"/>
    <w:rsid w:val="00B54B19"/>
    <w:rsid w:val="00B5562A"/>
    <w:rsid w:val="00B55F64"/>
    <w:rsid w:val="00B56ECA"/>
    <w:rsid w:val="00B57093"/>
    <w:rsid w:val="00B571C0"/>
    <w:rsid w:val="00B57B5D"/>
    <w:rsid w:val="00B60613"/>
    <w:rsid w:val="00B61AEC"/>
    <w:rsid w:val="00B6244C"/>
    <w:rsid w:val="00B62A2F"/>
    <w:rsid w:val="00B62B7B"/>
    <w:rsid w:val="00B62F0A"/>
    <w:rsid w:val="00B63484"/>
    <w:rsid w:val="00B634B7"/>
    <w:rsid w:val="00B634F1"/>
    <w:rsid w:val="00B637EF"/>
    <w:rsid w:val="00B63EF6"/>
    <w:rsid w:val="00B6440A"/>
    <w:rsid w:val="00B64B7B"/>
    <w:rsid w:val="00B654EE"/>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579"/>
    <w:rsid w:val="00B869D3"/>
    <w:rsid w:val="00B86CF8"/>
    <w:rsid w:val="00B86E44"/>
    <w:rsid w:val="00B87359"/>
    <w:rsid w:val="00B87D3F"/>
    <w:rsid w:val="00B87F1C"/>
    <w:rsid w:val="00B90D8D"/>
    <w:rsid w:val="00B91263"/>
    <w:rsid w:val="00B91B61"/>
    <w:rsid w:val="00B92033"/>
    <w:rsid w:val="00B93849"/>
    <w:rsid w:val="00B938BD"/>
    <w:rsid w:val="00B93CF3"/>
    <w:rsid w:val="00B9407F"/>
    <w:rsid w:val="00B944E9"/>
    <w:rsid w:val="00B945D7"/>
    <w:rsid w:val="00B94896"/>
    <w:rsid w:val="00B94A6E"/>
    <w:rsid w:val="00B94CDD"/>
    <w:rsid w:val="00B94DA7"/>
    <w:rsid w:val="00B95163"/>
    <w:rsid w:val="00B954D0"/>
    <w:rsid w:val="00B96DD9"/>
    <w:rsid w:val="00B96EA6"/>
    <w:rsid w:val="00B9789D"/>
    <w:rsid w:val="00B97A4C"/>
    <w:rsid w:val="00BA050E"/>
    <w:rsid w:val="00BA1289"/>
    <w:rsid w:val="00BA14B2"/>
    <w:rsid w:val="00BA15DC"/>
    <w:rsid w:val="00BA183C"/>
    <w:rsid w:val="00BA1E2F"/>
    <w:rsid w:val="00BA1EB8"/>
    <w:rsid w:val="00BA2B7C"/>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BBB"/>
    <w:rsid w:val="00BA7CD7"/>
    <w:rsid w:val="00BB00E5"/>
    <w:rsid w:val="00BB1441"/>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10E3"/>
    <w:rsid w:val="00BC13AE"/>
    <w:rsid w:val="00BC25D1"/>
    <w:rsid w:val="00BC2DBD"/>
    <w:rsid w:val="00BC3BCB"/>
    <w:rsid w:val="00BC3CF1"/>
    <w:rsid w:val="00BC428A"/>
    <w:rsid w:val="00BC4404"/>
    <w:rsid w:val="00BC4C40"/>
    <w:rsid w:val="00BC5A29"/>
    <w:rsid w:val="00BC5AE3"/>
    <w:rsid w:val="00BC5BAD"/>
    <w:rsid w:val="00BC692A"/>
    <w:rsid w:val="00BC708E"/>
    <w:rsid w:val="00BC76C5"/>
    <w:rsid w:val="00BC7EEA"/>
    <w:rsid w:val="00BC7F94"/>
    <w:rsid w:val="00BD1039"/>
    <w:rsid w:val="00BD10B7"/>
    <w:rsid w:val="00BD119C"/>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D35"/>
    <w:rsid w:val="00BE0F03"/>
    <w:rsid w:val="00BE11A2"/>
    <w:rsid w:val="00BE11ED"/>
    <w:rsid w:val="00BE14C6"/>
    <w:rsid w:val="00BE1EF0"/>
    <w:rsid w:val="00BE246C"/>
    <w:rsid w:val="00BE2657"/>
    <w:rsid w:val="00BE2FD2"/>
    <w:rsid w:val="00BE377A"/>
    <w:rsid w:val="00BE37AE"/>
    <w:rsid w:val="00BE3B14"/>
    <w:rsid w:val="00BE3C65"/>
    <w:rsid w:val="00BE4222"/>
    <w:rsid w:val="00BE43E4"/>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C0"/>
    <w:rsid w:val="00C00BF6"/>
    <w:rsid w:val="00C0234A"/>
    <w:rsid w:val="00C0247B"/>
    <w:rsid w:val="00C0378E"/>
    <w:rsid w:val="00C04314"/>
    <w:rsid w:val="00C04BD0"/>
    <w:rsid w:val="00C04F2B"/>
    <w:rsid w:val="00C05730"/>
    <w:rsid w:val="00C05AF4"/>
    <w:rsid w:val="00C05AFD"/>
    <w:rsid w:val="00C0661C"/>
    <w:rsid w:val="00C0675F"/>
    <w:rsid w:val="00C0702A"/>
    <w:rsid w:val="00C0724C"/>
    <w:rsid w:val="00C0782A"/>
    <w:rsid w:val="00C07C11"/>
    <w:rsid w:val="00C07E10"/>
    <w:rsid w:val="00C10015"/>
    <w:rsid w:val="00C1110A"/>
    <w:rsid w:val="00C11689"/>
    <w:rsid w:val="00C12414"/>
    <w:rsid w:val="00C12ECB"/>
    <w:rsid w:val="00C131CF"/>
    <w:rsid w:val="00C148B2"/>
    <w:rsid w:val="00C14ABD"/>
    <w:rsid w:val="00C151E0"/>
    <w:rsid w:val="00C155A8"/>
    <w:rsid w:val="00C159FD"/>
    <w:rsid w:val="00C15B31"/>
    <w:rsid w:val="00C15F66"/>
    <w:rsid w:val="00C1604F"/>
    <w:rsid w:val="00C166D4"/>
    <w:rsid w:val="00C168E5"/>
    <w:rsid w:val="00C1696D"/>
    <w:rsid w:val="00C16C90"/>
    <w:rsid w:val="00C17292"/>
    <w:rsid w:val="00C17AB5"/>
    <w:rsid w:val="00C20051"/>
    <w:rsid w:val="00C20B6C"/>
    <w:rsid w:val="00C20B86"/>
    <w:rsid w:val="00C21145"/>
    <w:rsid w:val="00C215ED"/>
    <w:rsid w:val="00C22350"/>
    <w:rsid w:val="00C22425"/>
    <w:rsid w:val="00C23615"/>
    <w:rsid w:val="00C2364E"/>
    <w:rsid w:val="00C2397E"/>
    <w:rsid w:val="00C23A83"/>
    <w:rsid w:val="00C24381"/>
    <w:rsid w:val="00C244E0"/>
    <w:rsid w:val="00C24529"/>
    <w:rsid w:val="00C24801"/>
    <w:rsid w:val="00C24C2E"/>
    <w:rsid w:val="00C24C7A"/>
    <w:rsid w:val="00C24FFB"/>
    <w:rsid w:val="00C25CFF"/>
    <w:rsid w:val="00C25EA6"/>
    <w:rsid w:val="00C26164"/>
    <w:rsid w:val="00C261C1"/>
    <w:rsid w:val="00C26574"/>
    <w:rsid w:val="00C26DBF"/>
    <w:rsid w:val="00C27199"/>
    <w:rsid w:val="00C27204"/>
    <w:rsid w:val="00C27913"/>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0DA"/>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46E"/>
    <w:rsid w:val="00C629F3"/>
    <w:rsid w:val="00C62B88"/>
    <w:rsid w:val="00C62CD3"/>
    <w:rsid w:val="00C6342E"/>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10A"/>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C8C"/>
    <w:rsid w:val="00C95F87"/>
    <w:rsid w:val="00C96035"/>
    <w:rsid w:val="00C968EF"/>
    <w:rsid w:val="00C972CE"/>
    <w:rsid w:val="00CA0492"/>
    <w:rsid w:val="00CA05B0"/>
    <w:rsid w:val="00CA0632"/>
    <w:rsid w:val="00CA0A04"/>
    <w:rsid w:val="00CA2528"/>
    <w:rsid w:val="00CA3CAB"/>
    <w:rsid w:val="00CA3FC0"/>
    <w:rsid w:val="00CA46AE"/>
    <w:rsid w:val="00CA5685"/>
    <w:rsid w:val="00CA6A2E"/>
    <w:rsid w:val="00CA6B56"/>
    <w:rsid w:val="00CA78AD"/>
    <w:rsid w:val="00CA7D3E"/>
    <w:rsid w:val="00CB0317"/>
    <w:rsid w:val="00CB0662"/>
    <w:rsid w:val="00CB0A82"/>
    <w:rsid w:val="00CB0F2F"/>
    <w:rsid w:val="00CB1556"/>
    <w:rsid w:val="00CB1AD4"/>
    <w:rsid w:val="00CB1BA5"/>
    <w:rsid w:val="00CB2913"/>
    <w:rsid w:val="00CB2FFD"/>
    <w:rsid w:val="00CB3970"/>
    <w:rsid w:val="00CB3EB5"/>
    <w:rsid w:val="00CB42B9"/>
    <w:rsid w:val="00CB4550"/>
    <w:rsid w:val="00CB4F39"/>
    <w:rsid w:val="00CB52A4"/>
    <w:rsid w:val="00CB537C"/>
    <w:rsid w:val="00CB5A26"/>
    <w:rsid w:val="00CB645B"/>
    <w:rsid w:val="00CB6A93"/>
    <w:rsid w:val="00CB6C79"/>
    <w:rsid w:val="00CB77C3"/>
    <w:rsid w:val="00CB7A9F"/>
    <w:rsid w:val="00CB7E9C"/>
    <w:rsid w:val="00CC0072"/>
    <w:rsid w:val="00CC027A"/>
    <w:rsid w:val="00CC0915"/>
    <w:rsid w:val="00CC1398"/>
    <w:rsid w:val="00CC1AF5"/>
    <w:rsid w:val="00CC1B74"/>
    <w:rsid w:val="00CC291E"/>
    <w:rsid w:val="00CC2D03"/>
    <w:rsid w:val="00CC2EB0"/>
    <w:rsid w:val="00CC40D0"/>
    <w:rsid w:val="00CC42A2"/>
    <w:rsid w:val="00CC4701"/>
    <w:rsid w:val="00CC56B4"/>
    <w:rsid w:val="00CC5F95"/>
    <w:rsid w:val="00CC642A"/>
    <w:rsid w:val="00CC660D"/>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3FA5"/>
    <w:rsid w:val="00CD44FF"/>
    <w:rsid w:val="00CD469A"/>
    <w:rsid w:val="00CD46A7"/>
    <w:rsid w:val="00CD47BC"/>
    <w:rsid w:val="00CD4E50"/>
    <w:rsid w:val="00CD57CB"/>
    <w:rsid w:val="00CD64E1"/>
    <w:rsid w:val="00CD66BA"/>
    <w:rsid w:val="00CD699D"/>
    <w:rsid w:val="00CD6BA3"/>
    <w:rsid w:val="00CD6E99"/>
    <w:rsid w:val="00CD70DB"/>
    <w:rsid w:val="00CD7544"/>
    <w:rsid w:val="00CD78D4"/>
    <w:rsid w:val="00CE0697"/>
    <w:rsid w:val="00CE14CB"/>
    <w:rsid w:val="00CE2E2E"/>
    <w:rsid w:val="00CE3A51"/>
    <w:rsid w:val="00CE41F9"/>
    <w:rsid w:val="00CE59F6"/>
    <w:rsid w:val="00CE66CD"/>
    <w:rsid w:val="00CE6982"/>
    <w:rsid w:val="00CE6BA9"/>
    <w:rsid w:val="00CE71C3"/>
    <w:rsid w:val="00CE727A"/>
    <w:rsid w:val="00CF029C"/>
    <w:rsid w:val="00CF0AF0"/>
    <w:rsid w:val="00CF157E"/>
    <w:rsid w:val="00CF1631"/>
    <w:rsid w:val="00CF1834"/>
    <w:rsid w:val="00CF1AAA"/>
    <w:rsid w:val="00CF1EC2"/>
    <w:rsid w:val="00CF247D"/>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0D1"/>
    <w:rsid w:val="00D02A80"/>
    <w:rsid w:val="00D0302F"/>
    <w:rsid w:val="00D0352D"/>
    <w:rsid w:val="00D0439D"/>
    <w:rsid w:val="00D04F01"/>
    <w:rsid w:val="00D04F8B"/>
    <w:rsid w:val="00D054EF"/>
    <w:rsid w:val="00D05637"/>
    <w:rsid w:val="00D05BA9"/>
    <w:rsid w:val="00D05EB1"/>
    <w:rsid w:val="00D05F95"/>
    <w:rsid w:val="00D05FFD"/>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63"/>
    <w:rsid w:val="00D130C0"/>
    <w:rsid w:val="00D1343A"/>
    <w:rsid w:val="00D13D50"/>
    <w:rsid w:val="00D14101"/>
    <w:rsid w:val="00D144D8"/>
    <w:rsid w:val="00D14919"/>
    <w:rsid w:val="00D14BE3"/>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1D0C"/>
    <w:rsid w:val="00D3272E"/>
    <w:rsid w:val="00D32FA0"/>
    <w:rsid w:val="00D33112"/>
    <w:rsid w:val="00D331CB"/>
    <w:rsid w:val="00D3497A"/>
    <w:rsid w:val="00D35F2F"/>
    <w:rsid w:val="00D35FC6"/>
    <w:rsid w:val="00D36BB8"/>
    <w:rsid w:val="00D36F22"/>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719D"/>
    <w:rsid w:val="00D5064C"/>
    <w:rsid w:val="00D50C94"/>
    <w:rsid w:val="00D511E7"/>
    <w:rsid w:val="00D517ED"/>
    <w:rsid w:val="00D51C68"/>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B16"/>
    <w:rsid w:val="00D65E85"/>
    <w:rsid w:val="00D6611C"/>
    <w:rsid w:val="00D671C7"/>
    <w:rsid w:val="00D675B0"/>
    <w:rsid w:val="00D675DE"/>
    <w:rsid w:val="00D678BB"/>
    <w:rsid w:val="00D67C0A"/>
    <w:rsid w:val="00D67D81"/>
    <w:rsid w:val="00D70170"/>
    <w:rsid w:val="00D702E8"/>
    <w:rsid w:val="00D70552"/>
    <w:rsid w:val="00D70D42"/>
    <w:rsid w:val="00D71285"/>
    <w:rsid w:val="00D7132C"/>
    <w:rsid w:val="00D71ABC"/>
    <w:rsid w:val="00D71C3D"/>
    <w:rsid w:val="00D721C5"/>
    <w:rsid w:val="00D72454"/>
    <w:rsid w:val="00D729A7"/>
    <w:rsid w:val="00D72A5B"/>
    <w:rsid w:val="00D72AAF"/>
    <w:rsid w:val="00D73589"/>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4F"/>
    <w:rsid w:val="00D81BDE"/>
    <w:rsid w:val="00D8201D"/>
    <w:rsid w:val="00D82B00"/>
    <w:rsid w:val="00D82B04"/>
    <w:rsid w:val="00D82BE4"/>
    <w:rsid w:val="00D82E05"/>
    <w:rsid w:val="00D83C0D"/>
    <w:rsid w:val="00D83C80"/>
    <w:rsid w:val="00D83F5B"/>
    <w:rsid w:val="00D84F12"/>
    <w:rsid w:val="00D85FDE"/>
    <w:rsid w:val="00D8665E"/>
    <w:rsid w:val="00D869C1"/>
    <w:rsid w:val="00D86EC6"/>
    <w:rsid w:val="00D86F13"/>
    <w:rsid w:val="00D87418"/>
    <w:rsid w:val="00D87A29"/>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0C0"/>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840"/>
    <w:rsid w:val="00DA6EE2"/>
    <w:rsid w:val="00DA718A"/>
    <w:rsid w:val="00DA78CF"/>
    <w:rsid w:val="00DA78D5"/>
    <w:rsid w:val="00DA7A89"/>
    <w:rsid w:val="00DA7BF4"/>
    <w:rsid w:val="00DB052F"/>
    <w:rsid w:val="00DB1402"/>
    <w:rsid w:val="00DB14D3"/>
    <w:rsid w:val="00DB154B"/>
    <w:rsid w:val="00DB1BDC"/>
    <w:rsid w:val="00DB3490"/>
    <w:rsid w:val="00DB3593"/>
    <w:rsid w:val="00DB3826"/>
    <w:rsid w:val="00DB440B"/>
    <w:rsid w:val="00DB4426"/>
    <w:rsid w:val="00DB4522"/>
    <w:rsid w:val="00DB4B40"/>
    <w:rsid w:val="00DB4F12"/>
    <w:rsid w:val="00DB4F21"/>
    <w:rsid w:val="00DB4F42"/>
    <w:rsid w:val="00DB540C"/>
    <w:rsid w:val="00DB6F96"/>
    <w:rsid w:val="00DB71B9"/>
    <w:rsid w:val="00DB7662"/>
    <w:rsid w:val="00DB7E46"/>
    <w:rsid w:val="00DC1395"/>
    <w:rsid w:val="00DC1E7F"/>
    <w:rsid w:val="00DC20FC"/>
    <w:rsid w:val="00DC32FC"/>
    <w:rsid w:val="00DC376F"/>
    <w:rsid w:val="00DC3D89"/>
    <w:rsid w:val="00DC4567"/>
    <w:rsid w:val="00DC4D62"/>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D7B35"/>
    <w:rsid w:val="00DE0229"/>
    <w:rsid w:val="00DE04E0"/>
    <w:rsid w:val="00DE12F1"/>
    <w:rsid w:val="00DE1A9D"/>
    <w:rsid w:val="00DE1CB1"/>
    <w:rsid w:val="00DE2073"/>
    <w:rsid w:val="00DE30AC"/>
    <w:rsid w:val="00DE38D1"/>
    <w:rsid w:val="00DE4106"/>
    <w:rsid w:val="00DE466B"/>
    <w:rsid w:val="00DE48F4"/>
    <w:rsid w:val="00DE5113"/>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226"/>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5D"/>
    <w:rsid w:val="00E10DD1"/>
    <w:rsid w:val="00E1224C"/>
    <w:rsid w:val="00E1254C"/>
    <w:rsid w:val="00E12BDF"/>
    <w:rsid w:val="00E13326"/>
    <w:rsid w:val="00E13D07"/>
    <w:rsid w:val="00E13D73"/>
    <w:rsid w:val="00E14356"/>
    <w:rsid w:val="00E14961"/>
    <w:rsid w:val="00E14D76"/>
    <w:rsid w:val="00E15183"/>
    <w:rsid w:val="00E15D6C"/>
    <w:rsid w:val="00E1720B"/>
    <w:rsid w:val="00E203DE"/>
    <w:rsid w:val="00E206DE"/>
    <w:rsid w:val="00E20CE7"/>
    <w:rsid w:val="00E217B1"/>
    <w:rsid w:val="00E222FA"/>
    <w:rsid w:val="00E229CE"/>
    <w:rsid w:val="00E22B4A"/>
    <w:rsid w:val="00E2449B"/>
    <w:rsid w:val="00E24A62"/>
    <w:rsid w:val="00E24F52"/>
    <w:rsid w:val="00E2553E"/>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1EF7"/>
    <w:rsid w:val="00E4208F"/>
    <w:rsid w:val="00E42E94"/>
    <w:rsid w:val="00E43006"/>
    <w:rsid w:val="00E4312A"/>
    <w:rsid w:val="00E4331B"/>
    <w:rsid w:val="00E43551"/>
    <w:rsid w:val="00E437FA"/>
    <w:rsid w:val="00E45A2C"/>
    <w:rsid w:val="00E4672A"/>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743"/>
    <w:rsid w:val="00E57932"/>
    <w:rsid w:val="00E60652"/>
    <w:rsid w:val="00E606C4"/>
    <w:rsid w:val="00E60811"/>
    <w:rsid w:val="00E60AB8"/>
    <w:rsid w:val="00E6103E"/>
    <w:rsid w:val="00E6185F"/>
    <w:rsid w:val="00E61D32"/>
    <w:rsid w:val="00E63C60"/>
    <w:rsid w:val="00E64050"/>
    <w:rsid w:val="00E64203"/>
    <w:rsid w:val="00E64B7B"/>
    <w:rsid w:val="00E6514D"/>
    <w:rsid w:val="00E65161"/>
    <w:rsid w:val="00E652C9"/>
    <w:rsid w:val="00E6593B"/>
    <w:rsid w:val="00E65D74"/>
    <w:rsid w:val="00E66E11"/>
    <w:rsid w:val="00E672C6"/>
    <w:rsid w:val="00E70192"/>
    <w:rsid w:val="00E70C55"/>
    <w:rsid w:val="00E70E34"/>
    <w:rsid w:val="00E71809"/>
    <w:rsid w:val="00E71D1E"/>
    <w:rsid w:val="00E721E3"/>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8F1"/>
    <w:rsid w:val="00E80AF8"/>
    <w:rsid w:val="00E80BED"/>
    <w:rsid w:val="00E816E8"/>
    <w:rsid w:val="00E818E1"/>
    <w:rsid w:val="00E81C05"/>
    <w:rsid w:val="00E82592"/>
    <w:rsid w:val="00E825ED"/>
    <w:rsid w:val="00E827BB"/>
    <w:rsid w:val="00E82D24"/>
    <w:rsid w:val="00E8357D"/>
    <w:rsid w:val="00E83C4F"/>
    <w:rsid w:val="00E84212"/>
    <w:rsid w:val="00E845A9"/>
    <w:rsid w:val="00E84C04"/>
    <w:rsid w:val="00E84EDA"/>
    <w:rsid w:val="00E84F72"/>
    <w:rsid w:val="00E856A2"/>
    <w:rsid w:val="00E8572B"/>
    <w:rsid w:val="00E8575B"/>
    <w:rsid w:val="00E85929"/>
    <w:rsid w:val="00E85AD2"/>
    <w:rsid w:val="00E8723D"/>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3AE"/>
    <w:rsid w:val="00EA089B"/>
    <w:rsid w:val="00EA1ACC"/>
    <w:rsid w:val="00EA2E21"/>
    <w:rsid w:val="00EA2EAA"/>
    <w:rsid w:val="00EA380C"/>
    <w:rsid w:val="00EA613D"/>
    <w:rsid w:val="00EA6744"/>
    <w:rsid w:val="00EA7296"/>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273"/>
    <w:rsid w:val="00EB54AB"/>
    <w:rsid w:val="00EB6159"/>
    <w:rsid w:val="00EB6257"/>
    <w:rsid w:val="00EB68E6"/>
    <w:rsid w:val="00EB6AE9"/>
    <w:rsid w:val="00EB6B2D"/>
    <w:rsid w:val="00EB71C9"/>
    <w:rsid w:val="00EB763E"/>
    <w:rsid w:val="00EB7B67"/>
    <w:rsid w:val="00EC02DD"/>
    <w:rsid w:val="00EC07F1"/>
    <w:rsid w:val="00EC1E8A"/>
    <w:rsid w:val="00EC328C"/>
    <w:rsid w:val="00EC32F5"/>
    <w:rsid w:val="00EC3852"/>
    <w:rsid w:val="00EC3D31"/>
    <w:rsid w:val="00EC4528"/>
    <w:rsid w:val="00EC5241"/>
    <w:rsid w:val="00EC5817"/>
    <w:rsid w:val="00EC594C"/>
    <w:rsid w:val="00EC5C7B"/>
    <w:rsid w:val="00EC5E9C"/>
    <w:rsid w:val="00EC66AA"/>
    <w:rsid w:val="00EC6B30"/>
    <w:rsid w:val="00EC6B8F"/>
    <w:rsid w:val="00EC7154"/>
    <w:rsid w:val="00EC7371"/>
    <w:rsid w:val="00EC73F5"/>
    <w:rsid w:val="00EC7894"/>
    <w:rsid w:val="00EC7A28"/>
    <w:rsid w:val="00EC7B48"/>
    <w:rsid w:val="00ED0151"/>
    <w:rsid w:val="00ED0257"/>
    <w:rsid w:val="00ED071B"/>
    <w:rsid w:val="00ED08BF"/>
    <w:rsid w:val="00ED18B1"/>
    <w:rsid w:val="00ED1ADE"/>
    <w:rsid w:val="00ED3692"/>
    <w:rsid w:val="00ED3F9E"/>
    <w:rsid w:val="00ED4451"/>
    <w:rsid w:val="00ED4A77"/>
    <w:rsid w:val="00ED4B6E"/>
    <w:rsid w:val="00ED5981"/>
    <w:rsid w:val="00ED613A"/>
    <w:rsid w:val="00ED6514"/>
    <w:rsid w:val="00ED66B2"/>
    <w:rsid w:val="00ED71BA"/>
    <w:rsid w:val="00ED728F"/>
    <w:rsid w:val="00ED73A1"/>
    <w:rsid w:val="00ED7CA2"/>
    <w:rsid w:val="00EE04F9"/>
    <w:rsid w:val="00EE05E0"/>
    <w:rsid w:val="00EE0AC9"/>
    <w:rsid w:val="00EE13DA"/>
    <w:rsid w:val="00EE1595"/>
    <w:rsid w:val="00EE1AF3"/>
    <w:rsid w:val="00EE1E71"/>
    <w:rsid w:val="00EE2087"/>
    <w:rsid w:val="00EE20C2"/>
    <w:rsid w:val="00EE2A9D"/>
    <w:rsid w:val="00EE3384"/>
    <w:rsid w:val="00EE499F"/>
    <w:rsid w:val="00EE517D"/>
    <w:rsid w:val="00EE56E2"/>
    <w:rsid w:val="00EE5FCD"/>
    <w:rsid w:val="00EE63BF"/>
    <w:rsid w:val="00EE6D45"/>
    <w:rsid w:val="00EE6E89"/>
    <w:rsid w:val="00EE6F82"/>
    <w:rsid w:val="00EE7ACB"/>
    <w:rsid w:val="00EE7F30"/>
    <w:rsid w:val="00EF0D4B"/>
    <w:rsid w:val="00EF0FE6"/>
    <w:rsid w:val="00EF1130"/>
    <w:rsid w:val="00EF1432"/>
    <w:rsid w:val="00EF1511"/>
    <w:rsid w:val="00EF1F01"/>
    <w:rsid w:val="00EF2C39"/>
    <w:rsid w:val="00EF2C5F"/>
    <w:rsid w:val="00EF3811"/>
    <w:rsid w:val="00EF3AC4"/>
    <w:rsid w:val="00EF3FE9"/>
    <w:rsid w:val="00EF3FF9"/>
    <w:rsid w:val="00EF41AF"/>
    <w:rsid w:val="00EF4DB4"/>
    <w:rsid w:val="00EF5234"/>
    <w:rsid w:val="00EF55E9"/>
    <w:rsid w:val="00EF5B41"/>
    <w:rsid w:val="00EF611C"/>
    <w:rsid w:val="00EF625F"/>
    <w:rsid w:val="00EF62C0"/>
    <w:rsid w:val="00EF6D5A"/>
    <w:rsid w:val="00EF70FC"/>
    <w:rsid w:val="00EF71E6"/>
    <w:rsid w:val="00EF7A0D"/>
    <w:rsid w:val="00F0058A"/>
    <w:rsid w:val="00F00630"/>
    <w:rsid w:val="00F00922"/>
    <w:rsid w:val="00F00924"/>
    <w:rsid w:val="00F0187E"/>
    <w:rsid w:val="00F01BE6"/>
    <w:rsid w:val="00F01F75"/>
    <w:rsid w:val="00F0217A"/>
    <w:rsid w:val="00F026D3"/>
    <w:rsid w:val="00F027E8"/>
    <w:rsid w:val="00F03395"/>
    <w:rsid w:val="00F034E6"/>
    <w:rsid w:val="00F03E4C"/>
    <w:rsid w:val="00F04460"/>
    <w:rsid w:val="00F04D19"/>
    <w:rsid w:val="00F050A3"/>
    <w:rsid w:val="00F06340"/>
    <w:rsid w:val="00F0665D"/>
    <w:rsid w:val="00F06D42"/>
    <w:rsid w:val="00F07134"/>
    <w:rsid w:val="00F0724D"/>
    <w:rsid w:val="00F07378"/>
    <w:rsid w:val="00F10B81"/>
    <w:rsid w:val="00F10BC9"/>
    <w:rsid w:val="00F113C9"/>
    <w:rsid w:val="00F11B6F"/>
    <w:rsid w:val="00F11C01"/>
    <w:rsid w:val="00F11D80"/>
    <w:rsid w:val="00F12103"/>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BB"/>
    <w:rsid w:val="00F213D8"/>
    <w:rsid w:val="00F21A5D"/>
    <w:rsid w:val="00F21C13"/>
    <w:rsid w:val="00F22362"/>
    <w:rsid w:val="00F22796"/>
    <w:rsid w:val="00F2296A"/>
    <w:rsid w:val="00F22F88"/>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197"/>
    <w:rsid w:val="00F30313"/>
    <w:rsid w:val="00F303BC"/>
    <w:rsid w:val="00F30472"/>
    <w:rsid w:val="00F31052"/>
    <w:rsid w:val="00F318A1"/>
    <w:rsid w:val="00F31CF5"/>
    <w:rsid w:val="00F3265C"/>
    <w:rsid w:val="00F32C4A"/>
    <w:rsid w:val="00F33262"/>
    <w:rsid w:val="00F341A9"/>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439"/>
    <w:rsid w:val="00F56D8E"/>
    <w:rsid w:val="00F56F7E"/>
    <w:rsid w:val="00F56FEF"/>
    <w:rsid w:val="00F57521"/>
    <w:rsid w:val="00F57742"/>
    <w:rsid w:val="00F60938"/>
    <w:rsid w:val="00F60C7E"/>
    <w:rsid w:val="00F60E0A"/>
    <w:rsid w:val="00F61606"/>
    <w:rsid w:val="00F61918"/>
    <w:rsid w:val="00F61D00"/>
    <w:rsid w:val="00F62151"/>
    <w:rsid w:val="00F62CA8"/>
    <w:rsid w:val="00F62CE0"/>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3E85"/>
    <w:rsid w:val="00F74103"/>
    <w:rsid w:val="00F7410A"/>
    <w:rsid w:val="00F745A4"/>
    <w:rsid w:val="00F74C0C"/>
    <w:rsid w:val="00F758E1"/>
    <w:rsid w:val="00F75BB5"/>
    <w:rsid w:val="00F75FD5"/>
    <w:rsid w:val="00F7604C"/>
    <w:rsid w:val="00F76501"/>
    <w:rsid w:val="00F77170"/>
    <w:rsid w:val="00F773A9"/>
    <w:rsid w:val="00F774C4"/>
    <w:rsid w:val="00F77928"/>
    <w:rsid w:val="00F8056E"/>
    <w:rsid w:val="00F805B7"/>
    <w:rsid w:val="00F810C1"/>
    <w:rsid w:val="00F81623"/>
    <w:rsid w:val="00F81D25"/>
    <w:rsid w:val="00F8245C"/>
    <w:rsid w:val="00F82928"/>
    <w:rsid w:val="00F829B9"/>
    <w:rsid w:val="00F83045"/>
    <w:rsid w:val="00F83615"/>
    <w:rsid w:val="00F83EC7"/>
    <w:rsid w:val="00F8421D"/>
    <w:rsid w:val="00F84BE5"/>
    <w:rsid w:val="00F85329"/>
    <w:rsid w:val="00F85683"/>
    <w:rsid w:val="00F85841"/>
    <w:rsid w:val="00F86079"/>
    <w:rsid w:val="00F8610A"/>
    <w:rsid w:val="00F87282"/>
    <w:rsid w:val="00F878CD"/>
    <w:rsid w:val="00F87905"/>
    <w:rsid w:val="00F87A66"/>
    <w:rsid w:val="00F90C1F"/>
    <w:rsid w:val="00F912D9"/>
    <w:rsid w:val="00F9134B"/>
    <w:rsid w:val="00F91A44"/>
    <w:rsid w:val="00F91BFA"/>
    <w:rsid w:val="00F91F8F"/>
    <w:rsid w:val="00F9217B"/>
    <w:rsid w:val="00F92C79"/>
    <w:rsid w:val="00F96240"/>
    <w:rsid w:val="00F966F1"/>
    <w:rsid w:val="00F96C63"/>
    <w:rsid w:val="00F97A34"/>
    <w:rsid w:val="00F97E4A"/>
    <w:rsid w:val="00F97EA1"/>
    <w:rsid w:val="00FA003A"/>
    <w:rsid w:val="00FA05C8"/>
    <w:rsid w:val="00FA0678"/>
    <w:rsid w:val="00FA0DB6"/>
    <w:rsid w:val="00FA1E42"/>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1DBF"/>
    <w:rsid w:val="00FC22D0"/>
    <w:rsid w:val="00FC38D4"/>
    <w:rsid w:val="00FC391E"/>
    <w:rsid w:val="00FC39B3"/>
    <w:rsid w:val="00FC3BB7"/>
    <w:rsid w:val="00FC42B1"/>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2B30"/>
    <w:rsid w:val="00FD3AE2"/>
    <w:rsid w:val="00FD3E41"/>
    <w:rsid w:val="00FD3EFA"/>
    <w:rsid w:val="00FD4C8F"/>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0F18"/>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44F"/>
    <w:rsid w:val="00FF5C6A"/>
    <w:rsid w:val="00FF651D"/>
    <w:rsid w:val="00FF6843"/>
    <w:rsid w:val="00FF6C25"/>
    <w:rsid w:val="00FF6FFC"/>
    <w:rsid w:val="00FF76C5"/>
    <w:rsid w:val="00FF77D1"/>
    <w:rsid w:val="00FF7BE2"/>
    <w:rsid w:val="00FF7E70"/>
    <w:rsid w:val="010651D9"/>
    <w:rsid w:val="011F6449"/>
    <w:rsid w:val="01236AFB"/>
    <w:rsid w:val="016A5229"/>
    <w:rsid w:val="019F7441"/>
    <w:rsid w:val="01B37585"/>
    <w:rsid w:val="01D55165"/>
    <w:rsid w:val="01DF6BF8"/>
    <w:rsid w:val="01EA71D8"/>
    <w:rsid w:val="01EC2C57"/>
    <w:rsid w:val="025011C8"/>
    <w:rsid w:val="026B2E25"/>
    <w:rsid w:val="026F6021"/>
    <w:rsid w:val="02824D4D"/>
    <w:rsid w:val="029346A2"/>
    <w:rsid w:val="02B07E7A"/>
    <w:rsid w:val="02DC4B10"/>
    <w:rsid w:val="02DD76CE"/>
    <w:rsid w:val="02F36323"/>
    <w:rsid w:val="02F5619C"/>
    <w:rsid w:val="0326446A"/>
    <w:rsid w:val="032D5555"/>
    <w:rsid w:val="036634D2"/>
    <w:rsid w:val="03CC74F1"/>
    <w:rsid w:val="03DD35E4"/>
    <w:rsid w:val="03E2248E"/>
    <w:rsid w:val="04076900"/>
    <w:rsid w:val="041A5A3B"/>
    <w:rsid w:val="042311BA"/>
    <w:rsid w:val="042B157A"/>
    <w:rsid w:val="048F763B"/>
    <w:rsid w:val="049F330E"/>
    <w:rsid w:val="04AA775C"/>
    <w:rsid w:val="04AF1889"/>
    <w:rsid w:val="04CF6B87"/>
    <w:rsid w:val="04D147B2"/>
    <w:rsid w:val="04F66F48"/>
    <w:rsid w:val="051C03B0"/>
    <w:rsid w:val="05251E14"/>
    <w:rsid w:val="05A16594"/>
    <w:rsid w:val="05A7762D"/>
    <w:rsid w:val="05DD302C"/>
    <w:rsid w:val="060E5941"/>
    <w:rsid w:val="06110FAF"/>
    <w:rsid w:val="062309A9"/>
    <w:rsid w:val="06493CA7"/>
    <w:rsid w:val="065A6178"/>
    <w:rsid w:val="066F1CF3"/>
    <w:rsid w:val="06930BB8"/>
    <w:rsid w:val="07157A75"/>
    <w:rsid w:val="07245D42"/>
    <w:rsid w:val="07264C62"/>
    <w:rsid w:val="0779354C"/>
    <w:rsid w:val="08061376"/>
    <w:rsid w:val="081E7FE4"/>
    <w:rsid w:val="08452D77"/>
    <w:rsid w:val="086401F8"/>
    <w:rsid w:val="08751CAA"/>
    <w:rsid w:val="087E4C40"/>
    <w:rsid w:val="08D338B5"/>
    <w:rsid w:val="08D66AD6"/>
    <w:rsid w:val="08DA33A3"/>
    <w:rsid w:val="08E80F13"/>
    <w:rsid w:val="09335624"/>
    <w:rsid w:val="0944690F"/>
    <w:rsid w:val="09535675"/>
    <w:rsid w:val="095F057D"/>
    <w:rsid w:val="09642282"/>
    <w:rsid w:val="09733572"/>
    <w:rsid w:val="09772C16"/>
    <w:rsid w:val="098353B5"/>
    <w:rsid w:val="09A92330"/>
    <w:rsid w:val="09B06B87"/>
    <w:rsid w:val="09B55EFA"/>
    <w:rsid w:val="09C13146"/>
    <w:rsid w:val="09E04166"/>
    <w:rsid w:val="0A007A36"/>
    <w:rsid w:val="0A1C0718"/>
    <w:rsid w:val="0A3E7710"/>
    <w:rsid w:val="0A465A56"/>
    <w:rsid w:val="0A5B7E63"/>
    <w:rsid w:val="0AA0673D"/>
    <w:rsid w:val="0AA374A5"/>
    <w:rsid w:val="0AAB7649"/>
    <w:rsid w:val="0ABC5606"/>
    <w:rsid w:val="0AEF672A"/>
    <w:rsid w:val="0B30404E"/>
    <w:rsid w:val="0B4C6C14"/>
    <w:rsid w:val="0B631A88"/>
    <w:rsid w:val="0B683D45"/>
    <w:rsid w:val="0B7F3F11"/>
    <w:rsid w:val="0B884417"/>
    <w:rsid w:val="0BCD35C8"/>
    <w:rsid w:val="0BF6188C"/>
    <w:rsid w:val="0BF73C91"/>
    <w:rsid w:val="0C170175"/>
    <w:rsid w:val="0C571A41"/>
    <w:rsid w:val="0C5C1171"/>
    <w:rsid w:val="0C5E1CBC"/>
    <w:rsid w:val="0C615B50"/>
    <w:rsid w:val="0C662A91"/>
    <w:rsid w:val="0C8445DA"/>
    <w:rsid w:val="0C87121B"/>
    <w:rsid w:val="0CC007F7"/>
    <w:rsid w:val="0CFE707A"/>
    <w:rsid w:val="0D063BDA"/>
    <w:rsid w:val="0D08375F"/>
    <w:rsid w:val="0D184CFB"/>
    <w:rsid w:val="0D3E2634"/>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B03598"/>
    <w:rsid w:val="10C26171"/>
    <w:rsid w:val="10D2373F"/>
    <w:rsid w:val="10F33360"/>
    <w:rsid w:val="10FC16EA"/>
    <w:rsid w:val="110F1D40"/>
    <w:rsid w:val="11266F33"/>
    <w:rsid w:val="112D263D"/>
    <w:rsid w:val="114821F7"/>
    <w:rsid w:val="118963A1"/>
    <w:rsid w:val="11C6522A"/>
    <w:rsid w:val="11E104CC"/>
    <w:rsid w:val="11E20309"/>
    <w:rsid w:val="12056924"/>
    <w:rsid w:val="12255233"/>
    <w:rsid w:val="12530213"/>
    <w:rsid w:val="127723A9"/>
    <w:rsid w:val="12862074"/>
    <w:rsid w:val="12883966"/>
    <w:rsid w:val="129E45B4"/>
    <w:rsid w:val="12C262DE"/>
    <w:rsid w:val="12D81596"/>
    <w:rsid w:val="1304030C"/>
    <w:rsid w:val="13072A44"/>
    <w:rsid w:val="13482622"/>
    <w:rsid w:val="135F4BE2"/>
    <w:rsid w:val="139B1A0A"/>
    <w:rsid w:val="139D25C7"/>
    <w:rsid w:val="13BF3CE4"/>
    <w:rsid w:val="141008D8"/>
    <w:rsid w:val="14125FE6"/>
    <w:rsid w:val="146D271E"/>
    <w:rsid w:val="14982588"/>
    <w:rsid w:val="149A5AD9"/>
    <w:rsid w:val="14A7619D"/>
    <w:rsid w:val="14BD5144"/>
    <w:rsid w:val="150536C3"/>
    <w:rsid w:val="150C1963"/>
    <w:rsid w:val="151447A0"/>
    <w:rsid w:val="154A6454"/>
    <w:rsid w:val="154B4E02"/>
    <w:rsid w:val="15762120"/>
    <w:rsid w:val="16442095"/>
    <w:rsid w:val="167549B1"/>
    <w:rsid w:val="16A8729C"/>
    <w:rsid w:val="16B33777"/>
    <w:rsid w:val="16BC70A7"/>
    <w:rsid w:val="16C307B6"/>
    <w:rsid w:val="16C6339E"/>
    <w:rsid w:val="172F2D79"/>
    <w:rsid w:val="17557BEF"/>
    <w:rsid w:val="17D349C1"/>
    <w:rsid w:val="17FD693B"/>
    <w:rsid w:val="1830729E"/>
    <w:rsid w:val="1870062C"/>
    <w:rsid w:val="18817102"/>
    <w:rsid w:val="18830A15"/>
    <w:rsid w:val="18852B28"/>
    <w:rsid w:val="188B5321"/>
    <w:rsid w:val="19386F62"/>
    <w:rsid w:val="19932372"/>
    <w:rsid w:val="19A20DD5"/>
    <w:rsid w:val="19AE03F1"/>
    <w:rsid w:val="1A071A03"/>
    <w:rsid w:val="1A1F16AE"/>
    <w:rsid w:val="1A3B5C77"/>
    <w:rsid w:val="1A984BAD"/>
    <w:rsid w:val="1A991646"/>
    <w:rsid w:val="1AB8220E"/>
    <w:rsid w:val="1AE4166C"/>
    <w:rsid w:val="1AF06CFB"/>
    <w:rsid w:val="1AF11B8D"/>
    <w:rsid w:val="1B11359C"/>
    <w:rsid w:val="1B234FE7"/>
    <w:rsid w:val="1B2A271F"/>
    <w:rsid w:val="1B530544"/>
    <w:rsid w:val="1B713184"/>
    <w:rsid w:val="1BA209CF"/>
    <w:rsid w:val="1BB4777D"/>
    <w:rsid w:val="1BC33A5C"/>
    <w:rsid w:val="1BD75AB8"/>
    <w:rsid w:val="1C0459C2"/>
    <w:rsid w:val="1C1B3B4A"/>
    <w:rsid w:val="1C88086E"/>
    <w:rsid w:val="1CA7023D"/>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00B10"/>
    <w:rsid w:val="1EB678A8"/>
    <w:rsid w:val="1EB7330C"/>
    <w:rsid w:val="1F0A0FF3"/>
    <w:rsid w:val="1F2627EB"/>
    <w:rsid w:val="1F2F3898"/>
    <w:rsid w:val="1F5771FF"/>
    <w:rsid w:val="1FE868A9"/>
    <w:rsid w:val="20034907"/>
    <w:rsid w:val="20173E4B"/>
    <w:rsid w:val="204E48BC"/>
    <w:rsid w:val="2064423D"/>
    <w:rsid w:val="208921B3"/>
    <w:rsid w:val="20973DEB"/>
    <w:rsid w:val="20B26522"/>
    <w:rsid w:val="20B44310"/>
    <w:rsid w:val="20D434C5"/>
    <w:rsid w:val="211116EB"/>
    <w:rsid w:val="212263A4"/>
    <w:rsid w:val="216133FC"/>
    <w:rsid w:val="216A4942"/>
    <w:rsid w:val="21D56769"/>
    <w:rsid w:val="21E52EF3"/>
    <w:rsid w:val="21FB5D7B"/>
    <w:rsid w:val="220B1C3D"/>
    <w:rsid w:val="221D1D20"/>
    <w:rsid w:val="22334A87"/>
    <w:rsid w:val="22573718"/>
    <w:rsid w:val="22BE6801"/>
    <w:rsid w:val="233500BF"/>
    <w:rsid w:val="23377FF7"/>
    <w:rsid w:val="234774FF"/>
    <w:rsid w:val="236B425F"/>
    <w:rsid w:val="23836192"/>
    <w:rsid w:val="23901F29"/>
    <w:rsid w:val="239C0061"/>
    <w:rsid w:val="23B908A4"/>
    <w:rsid w:val="23E95BEF"/>
    <w:rsid w:val="23F0722E"/>
    <w:rsid w:val="23FD0064"/>
    <w:rsid w:val="245375B0"/>
    <w:rsid w:val="24642C0A"/>
    <w:rsid w:val="24B22173"/>
    <w:rsid w:val="24B95AD9"/>
    <w:rsid w:val="24BE24DA"/>
    <w:rsid w:val="24CF5825"/>
    <w:rsid w:val="24D663E6"/>
    <w:rsid w:val="24D77F2B"/>
    <w:rsid w:val="25164BFC"/>
    <w:rsid w:val="25877EFD"/>
    <w:rsid w:val="258B00E2"/>
    <w:rsid w:val="25A917A6"/>
    <w:rsid w:val="25BE27CC"/>
    <w:rsid w:val="25F74A5C"/>
    <w:rsid w:val="2628662C"/>
    <w:rsid w:val="262D45DE"/>
    <w:rsid w:val="263A29E8"/>
    <w:rsid w:val="26A53EF9"/>
    <w:rsid w:val="26A94201"/>
    <w:rsid w:val="26AC274F"/>
    <w:rsid w:val="27044A29"/>
    <w:rsid w:val="271D34C8"/>
    <w:rsid w:val="27425310"/>
    <w:rsid w:val="27525647"/>
    <w:rsid w:val="276142BF"/>
    <w:rsid w:val="27783712"/>
    <w:rsid w:val="27907362"/>
    <w:rsid w:val="27C667AD"/>
    <w:rsid w:val="28333E1D"/>
    <w:rsid w:val="28454BD6"/>
    <w:rsid w:val="28455253"/>
    <w:rsid w:val="28551971"/>
    <w:rsid w:val="285B1C53"/>
    <w:rsid w:val="289007E4"/>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894F57"/>
    <w:rsid w:val="2B437463"/>
    <w:rsid w:val="2B475A44"/>
    <w:rsid w:val="2B7807EE"/>
    <w:rsid w:val="2BAE50BE"/>
    <w:rsid w:val="2BBF00EC"/>
    <w:rsid w:val="2BC37CFD"/>
    <w:rsid w:val="2BD5237F"/>
    <w:rsid w:val="2BE536CE"/>
    <w:rsid w:val="2BE758D9"/>
    <w:rsid w:val="2C09049E"/>
    <w:rsid w:val="2C0A653C"/>
    <w:rsid w:val="2C191F85"/>
    <w:rsid w:val="2CD7041C"/>
    <w:rsid w:val="2CE82D6F"/>
    <w:rsid w:val="2D244D93"/>
    <w:rsid w:val="2D343236"/>
    <w:rsid w:val="2DBA7EF3"/>
    <w:rsid w:val="2DD15014"/>
    <w:rsid w:val="2DF72DE4"/>
    <w:rsid w:val="2E0220AF"/>
    <w:rsid w:val="2E4B082A"/>
    <w:rsid w:val="2E5D4E86"/>
    <w:rsid w:val="2E5D790B"/>
    <w:rsid w:val="2E9A3C18"/>
    <w:rsid w:val="2EBB0FEE"/>
    <w:rsid w:val="2EC63002"/>
    <w:rsid w:val="2EDA2424"/>
    <w:rsid w:val="2F0A6B38"/>
    <w:rsid w:val="2F91507E"/>
    <w:rsid w:val="2F946CCB"/>
    <w:rsid w:val="2FD25781"/>
    <w:rsid w:val="2FFD7934"/>
    <w:rsid w:val="30733ACD"/>
    <w:rsid w:val="308C3862"/>
    <w:rsid w:val="309379D8"/>
    <w:rsid w:val="30A270F7"/>
    <w:rsid w:val="30DF1478"/>
    <w:rsid w:val="30EC586F"/>
    <w:rsid w:val="31703A3C"/>
    <w:rsid w:val="31935D65"/>
    <w:rsid w:val="319C6071"/>
    <w:rsid w:val="31AC537E"/>
    <w:rsid w:val="31E3679B"/>
    <w:rsid w:val="31E732FD"/>
    <w:rsid w:val="324D6E65"/>
    <w:rsid w:val="32517576"/>
    <w:rsid w:val="32707FF8"/>
    <w:rsid w:val="328062EE"/>
    <w:rsid w:val="32B53CA7"/>
    <w:rsid w:val="32BE5C2C"/>
    <w:rsid w:val="32FB6478"/>
    <w:rsid w:val="33196B86"/>
    <w:rsid w:val="33263B3F"/>
    <w:rsid w:val="33492641"/>
    <w:rsid w:val="334943EF"/>
    <w:rsid w:val="336963EB"/>
    <w:rsid w:val="33816EEB"/>
    <w:rsid w:val="33EB55CD"/>
    <w:rsid w:val="33EC4C02"/>
    <w:rsid w:val="340D2360"/>
    <w:rsid w:val="3410665D"/>
    <w:rsid w:val="34211214"/>
    <w:rsid w:val="342E63AB"/>
    <w:rsid w:val="34367742"/>
    <w:rsid w:val="34950E68"/>
    <w:rsid w:val="34986E94"/>
    <w:rsid w:val="34AF62C9"/>
    <w:rsid w:val="34B63FF9"/>
    <w:rsid w:val="34CB4388"/>
    <w:rsid w:val="34E91840"/>
    <w:rsid w:val="34FA6E12"/>
    <w:rsid w:val="358D5588"/>
    <w:rsid w:val="35AB313F"/>
    <w:rsid w:val="363A3B40"/>
    <w:rsid w:val="365302AE"/>
    <w:rsid w:val="36607A0A"/>
    <w:rsid w:val="366E227C"/>
    <w:rsid w:val="366F2E0D"/>
    <w:rsid w:val="367B6A5C"/>
    <w:rsid w:val="36A74ADA"/>
    <w:rsid w:val="36AD60D5"/>
    <w:rsid w:val="36B224F9"/>
    <w:rsid w:val="36EC0CC9"/>
    <w:rsid w:val="36FA437E"/>
    <w:rsid w:val="373F410B"/>
    <w:rsid w:val="37511EFA"/>
    <w:rsid w:val="37EE7094"/>
    <w:rsid w:val="38296C89"/>
    <w:rsid w:val="383002EB"/>
    <w:rsid w:val="38453406"/>
    <w:rsid w:val="38586797"/>
    <w:rsid w:val="388B11D1"/>
    <w:rsid w:val="38BC0149"/>
    <w:rsid w:val="38D87D1C"/>
    <w:rsid w:val="3948702E"/>
    <w:rsid w:val="39610699"/>
    <w:rsid w:val="39636459"/>
    <w:rsid w:val="396B7F6C"/>
    <w:rsid w:val="39880E84"/>
    <w:rsid w:val="39B417A9"/>
    <w:rsid w:val="39FC5695"/>
    <w:rsid w:val="3A006D8E"/>
    <w:rsid w:val="3A0577A9"/>
    <w:rsid w:val="3A3651E5"/>
    <w:rsid w:val="3A744481"/>
    <w:rsid w:val="3A8C7BEF"/>
    <w:rsid w:val="3A906246"/>
    <w:rsid w:val="3AA73B8F"/>
    <w:rsid w:val="3B2349B7"/>
    <w:rsid w:val="3B616CFF"/>
    <w:rsid w:val="3B6259F6"/>
    <w:rsid w:val="3B976654"/>
    <w:rsid w:val="3BC01EFC"/>
    <w:rsid w:val="3BC1546A"/>
    <w:rsid w:val="3BC35686"/>
    <w:rsid w:val="3BCA786A"/>
    <w:rsid w:val="3BD31E2F"/>
    <w:rsid w:val="3BF15831"/>
    <w:rsid w:val="3C105946"/>
    <w:rsid w:val="3C471448"/>
    <w:rsid w:val="3C5F759A"/>
    <w:rsid w:val="3C6C525A"/>
    <w:rsid w:val="3CCE23CB"/>
    <w:rsid w:val="3CD17D17"/>
    <w:rsid w:val="3D3C7F39"/>
    <w:rsid w:val="3D440F09"/>
    <w:rsid w:val="3D4504A0"/>
    <w:rsid w:val="3D7E0213"/>
    <w:rsid w:val="3D7FCC87"/>
    <w:rsid w:val="3D8734BB"/>
    <w:rsid w:val="3D9A11D4"/>
    <w:rsid w:val="3DA16D89"/>
    <w:rsid w:val="3DA364BE"/>
    <w:rsid w:val="3DCC0AB8"/>
    <w:rsid w:val="3DE041CB"/>
    <w:rsid w:val="3DE303F2"/>
    <w:rsid w:val="3E0A5122"/>
    <w:rsid w:val="3E0D48F6"/>
    <w:rsid w:val="3E1868B4"/>
    <w:rsid w:val="3E377251"/>
    <w:rsid w:val="3E42664B"/>
    <w:rsid w:val="3E5A7334"/>
    <w:rsid w:val="3E7B5D6B"/>
    <w:rsid w:val="3E843E66"/>
    <w:rsid w:val="3E8F51FE"/>
    <w:rsid w:val="3E926F87"/>
    <w:rsid w:val="3E9A59DE"/>
    <w:rsid w:val="3EAF4836"/>
    <w:rsid w:val="3EB2647A"/>
    <w:rsid w:val="3EC33DFA"/>
    <w:rsid w:val="3EE83100"/>
    <w:rsid w:val="3EED47C8"/>
    <w:rsid w:val="3F060E16"/>
    <w:rsid w:val="3F1D1096"/>
    <w:rsid w:val="3F2F0234"/>
    <w:rsid w:val="3F6363FE"/>
    <w:rsid w:val="3F756B8F"/>
    <w:rsid w:val="3F95482B"/>
    <w:rsid w:val="3F9BB3E9"/>
    <w:rsid w:val="3FB301C9"/>
    <w:rsid w:val="3FF1414E"/>
    <w:rsid w:val="4010076E"/>
    <w:rsid w:val="4019356B"/>
    <w:rsid w:val="401A339B"/>
    <w:rsid w:val="40592157"/>
    <w:rsid w:val="406E1CAE"/>
    <w:rsid w:val="40A0133A"/>
    <w:rsid w:val="40C31A53"/>
    <w:rsid w:val="40DE30CC"/>
    <w:rsid w:val="40FF545D"/>
    <w:rsid w:val="410067C8"/>
    <w:rsid w:val="418F0D2A"/>
    <w:rsid w:val="41CC76F6"/>
    <w:rsid w:val="41D01505"/>
    <w:rsid w:val="41DC2884"/>
    <w:rsid w:val="42474939"/>
    <w:rsid w:val="424C3C57"/>
    <w:rsid w:val="42613FF3"/>
    <w:rsid w:val="42660D96"/>
    <w:rsid w:val="428667D2"/>
    <w:rsid w:val="42B83341"/>
    <w:rsid w:val="42CD1CE0"/>
    <w:rsid w:val="42E1381E"/>
    <w:rsid w:val="42ED6459"/>
    <w:rsid w:val="42FE58DD"/>
    <w:rsid w:val="43174B3D"/>
    <w:rsid w:val="434B790E"/>
    <w:rsid w:val="435117C9"/>
    <w:rsid w:val="4360274F"/>
    <w:rsid w:val="43977AB6"/>
    <w:rsid w:val="43A3342B"/>
    <w:rsid w:val="43B1737D"/>
    <w:rsid w:val="43C77C27"/>
    <w:rsid w:val="43DE09EE"/>
    <w:rsid w:val="44002FAD"/>
    <w:rsid w:val="449101DD"/>
    <w:rsid w:val="44DE1391"/>
    <w:rsid w:val="451B225C"/>
    <w:rsid w:val="452410C9"/>
    <w:rsid w:val="45317DFB"/>
    <w:rsid w:val="45543F6C"/>
    <w:rsid w:val="455C0B28"/>
    <w:rsid w:val="456D3CE4"/>
    <w:rsid w:val="4579042C"/>
    <w:rsid w:val="457F0571"/>
    <w:rsid w:val="45851176"/>
    <w:rsid w:val="45C63B94"/>
    <w:rsid w:val="460E7DA5"/>
    <w:rsid w:val="46422483"/>
    <w:rsid w:val="4654512D"/>
    <w:rsid w:val="4659254A"/>
    <w:rsid w:val="465B0637"/>
    <w:rsid w:val="465D2503"/>
    <w:rsid w:val="465E3F0D"/>
    <w:rsid w:val="466A16E6"/>
    <w:rsid w:val="467379DB"/>
    <w:rsid w:val="46893F2B"/>
    <w:rsid w:val="46BF2EEE"/>
    <w:rsid w:val="46C4686E"/>
    <w:rsid w:val="472356EA"/>
    <w:rsid w:val="47653A95"/>
    <w:rsid w:val="477B778F"/>
    <w:rsid w:val="478203EC"/>
    <w:rsid w:val="47B025FA"/>
    <w:rsid w:val="47B642F1"/>
    <w:rsid w:val="4809698F"/>
    <w:rsid w:val="4811697D"/>
    <w:rsid w:val="487A3E25"/>
    <w:rsid w:val="488B5503"/>
    <w:rsid w:val="48937E21"/>
    <w:rsid w:val="489A0361"/>
    <w:rsid w:val="48B94FF3"/>
    <w:rsid w:val="48CC49BF"/>
    <w:rsid w:val="48E37AAB"/>
    <w:rsid w:val="48F05111"/>
    <w:rsid w:val="48FD4B4C"/>
    <w:rsid w:val="490A68E0"/>
    <w:rsid w:val="491055FE"/>
    <w:rsid w:val="495F5B3E"/>
    <w:rsid w:val="496F77D7"/>
    <w:rsid w:val="497654FD"/>
    <w:rsid w:val="49A109A6"/>
    <w:rsid w:val="49B64211"/>
    <w:rsid w:val="49E455F9"/>
    <w:rsid w:val="49E5010D"/>
    <w:rsid w:val="49E669E4"/>
    <w:rsid w:val="49F1596C"/>
    <w:rsid w:val="49F6167F"/>
    <w:rsid w:val="4A064FA0"/>
    <w:rsid w:val="4A16615C"/>
    <w:rsid w:val="4A353DB7"/>
    <w:rsid w:val="4A4424D7"/>
    <w:rsid w:val="4A6503BC"/>
    <w:rsid w:val="4AB82D0F"/>
    <w:rsid w:val="4ADC58FC"/>
    <w:rsid w:val="4AEB7664"/>
    <w:rsid w:val="4AFD7C19"/>
    <w:rsid w:val="4B0567D1"/>
    <w:rsid w:val="4B236AAE"/>
    <w:rsid w:val="4B707271"/>
    <w:rsid w:val="4B9739F7"/>
    <w:rsid w:val="4BBC650B"/>
    <w:rsid w:val="4BE551A5"/>
    <w:rsid w:val="4BEE2503"/>
    <w:rsid w:val="4C245A30"/>
    <w:rsid w:val="4C7870E5"/>
    <w:rsid w:val="4C7A4A9A"/>
    <w:rsid w:val="4CB6685F"/>
    <w:rsid w:val="4CC367FE"/>
    <w:rsid w:val="4D077F3C"/>
    <w:rsid w:val="4D123355"/>
    <w:rsid w:val="4D2A3B31"/>
    <w:rsid w:val="4D312C52"/>
    <w:rsid w:val="4D905305"/>
    <w:rsid w:val="4D964A72"/>
    <w:rsid w:val="4D9C1254"/>
    <w:rsid w:val="4E736BF3"/>
    <w:rsid w:val="4E793892"/>
    <w:rsid w:val="4E800872"/>
    <w:rsid w:val="4EC569ED"/>
    <w:rsid w:val="4ED50EA1"/>
    <w:rsid w:val="4EEC050C"/>
    <w:rsid w:val="4F104EC3"/>
    <w:rsid w:val="4F47354A"/>
    <w:rsid w:val="4F911C54"/>
    <w:rsid w:val="4FB02956"/>
    <w:rsid w:val="4FE625E0"/>
    <w:rsid w:val="4FE66FE3"/>
    <w:rsid w:val="501239B3"/>
    <w:rsid w:val="5021480F"/>
    <w:rsid w:val="50962ECB"/>
    <w:rsid w:val="50A0169A"/>
    <w:rsid w:val="50A42E38"/>
    <w:rsid w:val="50A4577F"/>
    <w:rsid w:val="50B73D1F"/>
    <w:rsid w:val="50BD5BC9"/>
    <w:rsid w:val="50C11EEE"/>
    <w:rsid w:val="50E97CFC"/>
    <w:rsid w:val="50FA4028"/>
    <w:rsid w:val="510D65B7"/>
    <w:rsid w:val="511157AB"/>
    <w:rsid w:val="5142540C"/>
    <w:rsid w:val="518832C8"/>
    <w:rsid w:val="51A0432A"/>
    <w:rsid w:val="51A86090"/>
    <w:rsid w:val="51B7396D"/>
    <w:rsid w:val="522E4CC3"/>
    <w:rsid w:val="5244713B"/>
    <w:rsid w:val="52467838"/>
    <w:rsid w:val="52615633"/>
    <w:rsid w:val="52977FD4"/>
    <w:rsid w:val="52A25790"/>
    <w:rsid w:val="52A96B6F"/>
    <w:rsid w:val="52B45975"/>
    <w:rsid w:val="52D94AA4"/>
    <w:rsid w:val="52EA3A62"/>
    <w:rsid w:val="52F50BB8"/>
    <w:rsid w:val="53097272"/>
    <w:rsid w:val="531E1B1B"/>
    <w:rsid w:val="53544462"/>
    <w:rsid w:val="5397158E"/>
    <w:rsid w:val="54013861"/>
    <w:rsid w:val="54487265"/>
    <w:rsid w:val="544A3F54"/>
    <w:rsid w:val="544D6070"/>
    <w:rsid w:val="54605E1E"/>
    <w:rsid w:val="54B3506A"/>
    <w:rsid w:val="54CA0D16"/>
    <w:rsid w:val="54DD4057"/>
    <w:rsid w:val="54E7490F"/>
    <w:rsid w:val="550764A4"/>
    <w:rsid w:val="550B2BF6"/>
    <w:rsid w:val="55142068"/>
    <w:rsid w:val="55214EB5"/>
    <w:rsid w:val="55364EFD"/>
    <w:rsid w:val="555D4828"/>
    <w:rsid w:val="557A4C8B"/>
    <w:rsid w:val="558931E1"/>
    <w:rsid w:val="55923347"/>
    <w:rsid w:val="55925180"/>
    <w:rsid w:val="55983B1B"/>
    <w:rsid w:val="55A8376B"/>
    <w:rsid w:val="55BB12E6"/>
    <w:rsid w:val="55CC0481"/>
    <w:rsid w:val="55DC29B6"/>
    <w:rsid w:val="55DD4241"/>
    <w:rsid w:val="56270168"/>
    <w:rsid w:val="566B6D1E"/>
    <w:rsid w:val="56943718"/>
    <w:rsid w:val="56F95DAB"/>
    <w:rsid w:val="57032A2C"/>
    <w:rsid w:val="570F5219"/>
    <w:rsid w:val="570F757A"/>
    <w:rsid w:val="575D12B5"/>
    <w:rsid w:val="57610A87"/>
    <w:rsid w:val="577B1140"/>
    <w:rsid w:val="577B7F21"/>
    <w:rsid w:val="577F181B"/>
    <w:rsid w:val="57921984"/>
    <w:rsid w:val="579737F0"/>
    <w:rsid w:val="57AB7B30"/>
    <w:rsid w:val="57AF5251"/>
    <w:rsid w:val="57B26373"/>
    <w:rsid w:val="57B63F04"/>
    <w:rsid w:val="57CD20C2"/>
    <w:rsid w:val="57D675AB"/>
    <w:rsid w:val="57D95FDD"/>
    <w:rsid w:val="583D7211"/>
    <w:rsid w:val="58917D2F"/>
    <w:rsid w:val="5894085C"/>
    <w:rsid w:val="58AE4F0C"/>
    <w:rsid w:val="58B85899"/>
    <w:rsid w:val="58E363A9"/>
    <w:rsid w:val="595E1678"/>
    <w:rsid w:val="596D5BD4"/>
    <w:rsid w:val="597E3DD8"/>
    <w:rsid w:val="59F80043"/>
    <w:rsid w:val="5A09252F"/>
    <w:rsid w:val="5A0A6010"/>
    <w:rsid w:val="5A0B2778"/>
    <w:rsid w:val="5A2A7C7B"/>
    <w:rsid w:val="5A3E2560"/>
    <w:rsid w:val="5A5D3B6E"/>
    <w:rsid w:val="5A637A76"/>
    <w:rsid w:val="5A6C2425"/>
    <w:rsid w:val="5A6D33BA"/>
    <w:rsid w:val="5A792B1F"/>
    <w:rsid w:val="5A874767"/>
    <w:rsid w:val="5AAD6F28"/>
    <w:rsid w:val="5AD63A24"/>
    <w:rsid w:val="5B2E1A1D"/>
    <w:rsid w:val="5B843A1C"/>
    <w:rsid w:val="5B873E3F"/>
    <w:rsid w:val="5BC7748D"/>
    <w:rsid w:val="5BE86D35"/>
    <w:rsid w:val="5C02690E"/>
    <w:rsid w:val="5C196DA7"/>
    <w:rsid w:val="5C2A048C"/>
    <w:rsid w:val="5C80234E"/>
    <w:rsid w:val="5C8A680C"/>
    <w:rsid w:val="5CE67E8F"/>
    <w:rsid w:val="5D0C4701"/>
    <w:rsid w:val="5D0F0395"/>
    <w:rsid w:val="5D221076"/>
    <w:rsid w:val="5D397964"/>
    <w:rsid w:val="5D5A391C"/>
    <w:rsid w:val="5D5F10C0"/>
    <w:rsid w:val="5D891B7B"/>
    <w:rsid w:val="5DAD38EE"/>
    <w:rsid w:val="5DD5140D"/>
    <w:rsid w:val="5DE11544"/>
    <w:rsid w:val="5E006862"/>
    <w:rsid w:val="5E0207B9"/>
    <w:rsid w:val="5E1834A1"/>
    <w:rsid w:val="5E2418C1"/>
    <w:rsid w:val="5E261785"/>
    <w:rsid w:val="5E4A7017"/>
    <w:rsid w:val="5E552BBA"/>
    <w:rsid w:val="5E611C10"/>
    <w:rsid w:val="5EFC7377"/>
    <w:rsid w:val="5F06174D"/>
    <w:rsid w:val="5F327EEF"/>
    <w:rsid w:val="5F3A3602"/>
    <w:rsid w:val="5F612916"/>
    <w:rsid w:val="5F6277C6"/>
    <w:rsid w:val="5F6D0B1D"/>
    <w:rsid w:val="5F8D0B82"/>
    <w:rsid w:val="5FCC5339"/>
    <w:rsid w:val="5FE34A5B"/>
    <w:rsid w:val="5FFE1E36"/>
    <w:rsid w:val="60232584"/>
    <w:rsid w:val="607330CE"/>
    <w:rsid w:val="60825176"/>
    <w:rsid w:val="609F2AC4"/>
    <w:rsid w:val="60B92BB7"/>
    <w:rsid w:val="60BE63E3"/>
    <w:rsid w:val="60FA2EE8"/>
    <w:rsid w:val="61054A27"/>
    <w:rsid w:val="610A52BC"/>
    <w:rsid w:val="611D2366"/>
    <w:rsid w:val="612C5CB9"/>
    <w:rsid w:val="61421856"/>
    <w:rsid w:val="615227C4"/>
    <w:rsid w:val="61654E3F"/>
    <w:rsid w:val="617E77D6"/>
    <w:rsid w:val="6182292A"/>
    <w:rsid w:val="61896E89"/>
    <w:rsid w:val="619F7F92"/>
    <w:rsid w:val="61BE244A"/>
    <w:rsid w:val="61E4582C"/>
    <w:rsid w:val="61F94C26"/>
    <w:rsid w:val="62000E56"/>
    <w:rsid w:val="621B6763"/>
    <w:rsid w:val="624F3E49"/>
    <w:rsid w:val="625E591F"/>
    <w:rsid w:val="62632286"/>
    <w:rsid w:val="62687A23"/>
    <w:rsid w:val="626F69A1"/>
    <w:rsid w:val="628729E9"/>
    <w:rsid w:val="62885958"/>
    <w:rsid w:val="62D734AC"/>
    <w:rsid w:val="62ED017A"/>
    <w:rsid w:val="62F40B65"/>
    <w:rsid w:val="62FC2CFE"/>
    <w:rsid w:val="63024505"/>
    <w:rsid w:val="635B1DB5"/>
    <w:rsid w:val="63711FED"/>
    <w:rsid w:val="63880DDC"/>
    <w:rsid w:val="638D750D"/>
    <w:rsid w:val="63AC6CC0"/>
    <w:rsid w:val="64055776"/>
    <w:rsid w:val="64240056"/>
    <w:rsid w:val="643C7A81"/>
    <w:rsid w:val="643E143A"/>
    <w:rsid w:val="648B6EEF"/>
    <w:rsid w:val="64C158BF"/>
    <w:rsid w:val="64C92A64"/>
    <w:rsid w:val="64CE2EAA"/>
    <w:rsid w:val="64F36CAE"/>
    <w:rsid w:val="653C3090"/>
    <w:rsid w:val="65586259"/>
    <w:rsid w:val="656D2870"/>
    <w:rsid w:val="65854376"/>
    <w:rsid w:val="658767BE"/>
    <w:rsid w:val="65892531"/>
    <w:rsid w:val="66195831"/>
    <w:rsid w:val="661E1587"/>
    <w:rsid w:val="662E75B1"/>
    <w:rsid w:val="66342C2E"/>
    <w:rsid w:val="663E784C"/>
    <w:rsid w:val="668B6A45"/>
    <w:rsid w:val="66AD4AAE"/>
    <w:rsid w:val="66B13904"/>
    <w:rsid w:val="672F3F24"/>
    <w:rsid w:val="673E055F"/>
    <w:rsid w:val="67551CE3"/>
    <w:rsid w:val="678126E7"/>
    <w:rsid w:val="67A064FD"/>
    <w:rsid w:val="67A22552"/>
    <w:rsid w:val="67B22DCC"/>
    <w:rsid w:val="67BE71AA"/>
    <w:rsid w:val="67D90273"/>
    <w:rsid w:val="67DE5875"/>
    <w:rsid w:val="67E55852"/>
    <w:rsid w:val="67EB1AB4"/>
    <w:rsid w:val="67EE5BBF"/>
    <w:rsid w:val="67FA1285"/>
    <w:rsid w:val="683445A5"/>
    <w:rsid w:val="68551F4F"/>
    <w:rsid w:val="687C10C9"/>
    <w:rsid w:val="68840C16"/>
    <w:rsid w:val="68876EFB"/>
    <w:rsid w:val="68884654"/>
    <w:rsid w:val="689F444F"/>
    <w:rsid w:val="68A44877"/>
    <w:rsid w:val="68B96DBB"/>
    <w:rsid w:val="68CA2805"/>
    <w:rsid w:val="68E937A3"/>
    <w:rsid w:val="69061B4B"/>
    <w:rsid w:val="693E15D3"/>
    <w:rsid w:val="69421E6B"/>
    <w:rsid w:val="69627681"/>
    <w:rsid w:val="6977531D"/>
    <w:rsid w:val="69B07EDE"/>
    <w:rsid w:val="69CC2BFF"/>
    <w:rsid w:val="69FD55B8"/>
    <w:rsid w:val="6A0B1C62"/>
    <w:rsid w:val="6A2406C8"/>
    <w:rsid w:val="6A8A6822"/>
    <w:rsid w:val="6AAD49A7"/>
    <w:rsid w:val="6AD4226B"/>
    <w:rsid w:val="6ADE0BD1"/>
    <w:rsid w:val="6AE96859"/>
    <w:rsid w:val="6B147746"/>
    <w:rsid w:val="6B24787C"/>
    <w:rsid w:val="6B573233"/>
    <w:rsid w:val="6B5B6274"/>
    <w:rsid w:val="6B935D53"/>
    <w:rsid w:val="6C196F71"/>
    <w:rsid w:val="6C226FCB"/>
    <w:rsid w:val="6C31226F"/>
    <w:rsid w:val="6C552F0B"/>
    <w:rsid w:val="6C8C67B7"/>
    <w:rsid w:val="6C9D744C"/>
    <w:rsid w:val="6CAD0F6F"/>
    <w:rsid w:val="6D167928"/>
    <w:rsid w:val="6D26299B"/>
    <w:rsid w:val="6D4427CA"/>
    <w:rsid w:val="6D4772EC"/>
    <w:rsid w:val="6D9078AF"/>
    <w:rsid w:val="6D913C2A"/>
    <w:rsid w:val="6DAA3FEF"/>
    <w:rsid w:val="6DC0172B"/>
    <w:rsid w:val="6DCB690C"/>
    <w:rsid w:val="6DD41A5B"/>
    <w:rsid w:val="6DF43C2E"/>
    <w:rsid w:val="6DF51CA3"/>
    <w:rsid w:val="6E8335BD"/>
    <w:rsid w:val="6E8E12EF"/>
    <w:rsid w:val="6E972936"/>
    <w:rsid w:val="6ED446C5"/>
    <w:rsid w:val="6EE15AD4"/>
    <w:rsid w:val="6F0A7CCC"/>
    <w:rsid w:val="6F2A7D94"/>
    <w:rsid w:val="6F8331F1"/>
    <w:rsid w:val="6FAE1A09"/>
    <w:rsid w:val="6FD75BF8"/>
    <w:rsid w:val="7076767F"/>
    <w:rsid w:val="707723D0"/>
    <w:rsid w:val="70B37116"/>
    <w:rsid w:val="70C03221"/>
    <w:rsid w:val="70F5661B"/>
    <w:rsid w:val="71360107"/>
    <w:rsid w:val="713B688E"/>
    <w:rsid w:val="71450157"/>
    <w:rsid w:val="719646C8"/>
    <w:rsid w:val="71A762D3"/>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67B69"/>
    <w:rsid w:val="747F3682"/>
    <w:rsid w:val="749C4185"/>
    <w:rsid w:val="74BD4A9B"/>
    <w:rsid w:val="75067759"/>
    <w:rsid w:val="752E6DCD"/>
    <w:rsid w:val="7551380D"/>
    <w:rsid w:val="75600BE5"/>
    <w:rsid w:val="7564475C"/>
    <w:rsid w:val="7583797F"/>
    <w:rsid w:val="75D20F1D"/>
    <w:rsid w:val="75DA2C18"/>
    <w:rsid w:val="75F54412"/>
    <w:rsid w:val="761D08E0"/>
    <w:rsid w:val="76303015"/>
    <w:rsid w:val="765D347C"/>
    <w:rsid w:val="76826699"/>
    <w:rsid w:val="76C815C0"/>
    <w:rsid w:val="76C87133"/>
    <w:rsid w:val="76C964B0"/>
    <w:rsid w:val="76CD08D5"/>
    <w:rsid w:val="76DB4B92"/>
    <w:rsid w:val="76E00193"/>
    <w:rsid w:val="76E90FAD"/>
    <w:rsid w:val="77052AA4"/>
    <w:rsid w:val="77136511"/>
    <w:rsid w:val="77340A39"/>
    <w:rsid w:val="77351FD0"/>
    <w:rsid w:val="773FEB64"/>
    <w:rsid w:val="77472422"/>
    <w:rsid w:val="777F31F2"/>
    <w:rsid w:val="778A6647"/>
    <w:rsid w:val="77D1700D"/>
    <w:rsid w:val="77EC04CC"/>
    <w:rsid w:val="78156C6C"/>
    <w:rsid w:val="78775729"/>
    <w:rsid w:val="78A42DB0"/>
    <w:rsid w:val="78A55B11"/>
    <w:rsid w:val="78A656AB"/>
    <w:rsid w:val="78B2245C"/>
    <w:rsid w:val="78E172CC"/>
    <w:rsid w:val="78EA1D1F"/>
    <w:rsid w:val="7904172F"/>
    <w:rsid w:val="790F7E27"/>
    <w:rsid w:val="792A231A"/>
    <w:rsid w:val="79316829"/>
    <w:rsid w:val="797E66A9"/>
    <w:rsid w:val="79A166DA"/>
    <w:rsid w:val="79A97383"/>
    <w:rsid w:val="79E27E8B"/>
    <w:rsid w:val="79F850CE"/>
    <w:rsid w:val="79FD443C"/>
    <w:rsid w:val="7A1D1975"/>
    <w:rsid w:val="7A3E5150"/>
    <w:rsid w:val="7A4670D6"/>
    <w:rsid w:val="7A534B63"/>
    <w:rsid w:val="7A615382"/>
    <w:rsid w:val="7A67303B"/>
    <w:rsid w:val="7A7255A6"/>
    <w:rsid w:val="7AAB1D04"/>
    <w:rsid w:val="7AABF0DE"/>
    <w:rsid w:val="7ABA4368"/>
    <w:rsid w:val="7AD05746"/>
    <w:rsid w:val="7B1064F2"/>
    <w:rsid w:val="7B113990"/>
    <w:rsid w:val="7B257FFD"/>
    <w:rsid w:val="7B343476"/>
    <w:rsid w:val="7B5A2978"/>
    <w:rsid w:val="7B5A7E4C"/>
    <w:rsid w:val="7B5F9D17"/>
    <w:rsid w:val="7B667AF9"/>
    <w:rsid w:val="7B7468F8"/>
    <w:rsid w:val="7BCF15A3"/>
    <w:rsid w:val="7BEE0103"/>
    <w:rsid w:val="7C0A0FE4"/>
    <w:rsid w:val="7C254906"/>
    <w:rsid w:val="7C254F6F"/>
    <w:rsid w:val="7C375AB1"/>
    <w:rsid w:val="7C590818"/>
    <w:rsid w:val="7C6D19C8"/>
    <w:rsid w:val="7C7C10F6"/>
    <w:rsid w:val="7C853BEA"/>
    <w:rsid w:val="7C881368"/>
    <w:rsid w:val="7CC52412"/>
    <w:rsid w:val="7CE27788"/>
    <w:rsid w:val="7CFB47F7"/>
    <w:rsid w:val="7D0C32F1"/>
    <w:rsid w:val="7D0F408D"/>
    <w:rsid w:val="7D1C285B"/>
    <w:rsid w:val="7D491C6C"/>
    <w:rsid w:val="7D5429C0"/>
    <w:rsid w:val="7D6E6D43"/>
    <w:rsid w:val="7D7D4340"/>
    <w:rsid w:val="7DB57A34"/>
    <w:rsid w:val="7DE60973"/>
    <w:rsid w:val="7DEF0916"/>
    <w:rsid w:val="7E1E5218"/>
    <w:rsid w:val="7E3A2A74"/>
    <w:rsid w:val="7E581777"/>
    <w:rsid w:val="7E9A4E1F"/>
    <w:rsid w:val="7E9C313A"/>
    <w:rsid w:val="7EA7723A"/>
    <w:rsid w:val="7ECA3C03"/>
    <w:rsid w:val="7EED5A23"/>
    <w:rsid w:val="7EEF35B8"/>
    <w:rsid w:val="7EF56FBB"/>
    <w:rsid w:val="7F0768EB"/>
    <w:rsid w:val="7F143BEC"/>
    <w:rsid w:val="7F715AF2"/>
    <w:rsid w:val="7F886E69"/>
    <w:rsid w:val="7FBE54A0"/>
    <w:rsid w:val="7FBFBBCC"/>
    <w:rsid w:val="7FEB6202"/>
    <w:rsid w:val="B76548F5"/>
    <w:rsid w:val="BB7FA927"/>
    <w:rsid w:val="BBF7DE7C"/>
    <w:rsid w:val="BDFF9560"/>
    <w:rsid w:val="C7ED55FB"/>
    <w:rsid w:val="E4FF4B98"/>
    <w:rsid w:val="F5FFD31F"/>
    <w:rsid w:val="F5FFF46E"/>
    <w:rsid w:val="FF2FA7A9"/>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仿宋" w:cs="Times New Roman"/>
      <w:kern w:val="2"/>
      <w:sz w:val="24"/>
      <w:szCs w:val="24"/>
      <w:lang w:val="en-US" w:eastAsia="zh-CN" w:bidi="ar-SA"/>
    </w:rPr>
  </w:style>
  <w:style w:type="paragraph" w:styleId="2">
    <w:name w:val="heading 1"/>
    <w:basedOn w:val="1"/>
    <w:next w:val="1"/>
    <w:link w:val="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966"/>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rPr>
  </w:style>
  <w:style w:type="paragraph" w:styleId="8">
    <w:name w:val="heading 7"/>
    <w:basedOn w:val="1"/>
    <w:next w:val="1"/>
    <w:link w:val="306"/>
    <w:qFormat/>
    <w:uiPriority w:val="0"/>
    <w:pPr>
      <w:keepNext/>
      <w:keepLines/>
      <w:tabs>
        <w:tab w:val="left" w:pos="1296"/>
      </w:tabs>
      <w:spacing w:before="240" w:after="64" w:line="320" w:lineRule="auto"/>
      <w:ind w:left="1296" w:hanging="1296"/>
      <w:outlineLvl w:val="6"/>
    </w:pPr>
    <w:rPr>
      <w:b/>
      <w:bCs/>
    </w:rPr>
  </w:style>
  <w:style w:type="paragraph" w:styleId="9">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rPr>
  </w:style>
  <w:style w:type="paragraph" w:styleId="10">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Lines="50"/>
      <w:ind w:left="454" w:hanging="284"/>
      <w:jc w:val="left"/>
    </w:pPr>
    <w:rPr>
      <w:kern w:val="0"/>
      <w:szCs w:val="20"/>
    </w:rPr>
  </w:style>
  <w:style w:type="paragraph" w:styleId="15">
    <w:name w:val="Normal Indent"/>
    <w:basedOn w:val="1"/>
    <w:next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3"/>
    <w:qFormat/>
    <w:uiPriority w:val="99"/>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style>
  <w:style w:type="paragraph" w:styleId="23">
    <w:name w:val="Body Text"/>
    <w:basedOn w:val="1"/>
    <w:next w:val="1"/>
    <w:link w:val="429"/>
    <w:qFormat/>
    <w:uiPriority w:val="0"/>
    <w:pPr>
      <w:autoSpaceDE w:val="0"/>
      <w:autoSpaceDN w:val="0"/>
      <w:spacing w:line="360" w:lineRule="auto"/>
    </w:pPr>
    <w:rPr>
      <w:rFonts w:ascii="宋体" w:hAnsi="Arial" w:cs="Arial"/>
      <w:snapToGrid w:val="0"/>
      <w:szCs w:val="21"/>
      <w:lang w:val="zh-CN"/>
    </w:rPr>
  </w:style>
  <w:style w:type="paragraph" w:styleId="24">
    <w:name w:val="Body Text Indent"/>
    <w:basedOn w:val="1"/>
    <w:next w:val="25"/>
    <w:link w:val="266"/>
    <w:qFormat/>
    <w:uiPriority w:val="0"/>
    <w:pPr>
      <w:spacing w:line="480" w:lineRule="exact"/>
      <w:ind w:firstLine="480" w:firstLineChars="200"/>
    </w:pPr>
    <w:rPr>
      <w:rFonts w:ascii="宋体" w:hAnsi="宋体"/>
    </w:rPr>
  </w:style>
  <w:style w:type="paragraph" w:styleId="25">
    <w:name w:val="Body Text First Indent 2"/>
    <w:basedOn w:val="24"/>
    <w:link w:val="123"/>
    <w:qFormat/>
    <w:uiPriority w:val="0"/>
    <w:pPr>
      <w:adjustRightInd/>
      <w:spacing w:after="120" w:line="240" w:lineRule="auto"/>
      <w:ind w:left="420" w:leftChars="200" w:firstLine="210"/>
    </w:pPr>
    <w:rPr>
      <w:sz w:val="21"/>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7"/>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Cs w:val="20"/>
    </w:rPr>
  </w:style>
  <w:style w:type="paragraph" w:styleId="47">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Cs w:val="20"/>
    </w:rPr>
  </w:style>
  <w:style w:type="paragraph" w:styleId="49">
    <w:name w:val="List"/>
    <w:basedOn w:val="1"/>
    <w:qFormat/>
    <w:uiPriority w:val="0"/>
    <w:pPr>
      <w:ind w:left="200" w:hanging="200" w:hangingChars="200"/>
    </w:pPr>
  </w:style>
  <w:style w:type="paragraph" w:styleId="50">
    <w:name w:val="footnote text"/>
    <w:basedOn w:val="15"/>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rPr>
  </w:style>
  <w:style w:type="paragraph" w:styleId="59">
    <w:name w:val="Title"/>
    <w:basedOn w:val="1"/>
    <w:link w:val="286"/>
    <w:qFormat/>
    <w:uiPriority w:val="10"/>
    <w:pPr>
      <w:widowControl/>
      <w:overflowPunct w:val="0"/>
      <w:autoSpaceDE w:val="0"/>
      <w:autoSpaceDN w:val="0"/>
      <w:jc w:val="center"/>
      <w:textAlignment w:val="baseline"/>
    </w:pPr>
    <w:rPr>
      <w:b/>
      <w:kern w:val="0"/>
      <w:szCs w:val="20"/>
      <w:lang w:val="en-GB"/>
    </w:rPr>
  </w:style>
  <w:style w:type="paragraph" w:styleId="60">
    <w:name w:val="annotation subject"/>
    <w:basedOn w:val="19"/>
    <w:next w:val="19"/>
    <w:link w:val="99"/>
    <w:qFormat/>
    <w:uiPriority w:val="0"/>
    <w:rPr>
      <w:b/>
      <w:bCs/>
    </w:rPr>
  </w:style>
  <w:style w:type="paragraph" w:styleId="61">
    <w:name w:val="Body Text First Indent"/>
    <w:basedOn w:val="23"/>
    <w:next w:val="1"/>
    <w:link w:val="320"/>
    <w:qFormat/>
    <w:uiPriority w:val="0"/>
    <w:pPr>
      <w:ind w:firstLine="420"/>
    </w:pPr>
    <w:rPr>
      <w:rFonts w:hAnsi="Calibri" w:cs="Times New Roman"/>
      <w:snapToGrid/>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character" w:customStyle="1" w:styleId="80">
    <w:name w:val="标题 1 字符1"/>
    <w:link w:val="2"/>
    <w:qFormat/>
    <w:uiPriority w:val="9"/>
    <w:rPr>
      <w:b/>
      <w:bCs/>
      <w:kern w:val="44"/>
      <w:sz w:val="44"/>
      <w:szCs w:val="44"/>
    </w:rPr>
  </w:style>
  <w:style w:type="character" w:customStyle="1" w:styleId="81">
    <w:name w:val="标题 2 Char"/>
    <w:qFormat/>
    <w:uiPriority w:val="0"/>
    <w:rPr>
      <w:rFonts w:ascii="Arial" w:hAnsi="Arial" w:eastAsia="黑体"/>
      <w:b/>
      <w:kern w:val="2"/>
      <w:sz w:val="32"/>
      <w:lang w:val="en-US" w:eastAsia="zh-CN"/>
    </w:rPr>
  </w:style>
  <w:style w:type="character" w:customStyle="1" w:styleId="82">
    <w:name w:val="标题 4 Char"/>
    <w:qFormat/>
    <w:uiPriority w:val="0"/>
    <w:rPr>
      <w:rFonts w:ascii="Arial" w:hAnsi="Arial" w:eastAsia="黑体"/>
      <w:b/>
      <w:kern w:val="2"/>
      <w:sz w:val="28"/>
    </w:rPr>
  </w:style>
  <w:style w:type="character" w:customStyle="1" w:styleId="83">
    <w:name w:val="标题 5 Char"/>
    <w:qFormat/>
    <w:uiPriority w:val="9"/>
    <w:rPr>
      <w:b/>
      <w:bCs/>
      <w:kern w:val="2"/>
      <w:sz w:val="28"/>
      <w:szCs w:val="28"/>
    </w:rPr>
  </w:style>
  <w:style w:type="character" w:customStyle="1" w:styleId="84">
    <w:name w:val="批注主题 Char"/>
    <w:qFormat/>
    <w:uiPriority w:val="0"/>
    <w:rPr>
      <w:rFonts w:eastAsia="宋体"/>
      <w:b/>
      <w:bCs/>
      <w:kern w:val="2"/>
      <w:sz w:val="21"/>
      <w:szCs w:val="24"/>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locked/>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Cs w:val="20"/>
    </w:rPr>
  </w:style>
  <w:style w:type="character" w:customStyle="1" w:styleId="89">
    <w:name w:val="Char Char71"/>
    <w:semiHidden/>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字符"/>
    <w:link w:val="60"/>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
    <w:qFormat/>
    <w:locked/>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qFormat/>
    <w:uiPriority w:val="9"/>
    <w:rPr>
      <w:b/>
      <w:bCs/>
      <w:kern w:val="2"/>
      <w:sz w:val="32"/>
      <w:szCs w:val="32"/>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文本首行缩进 2 字符"/>
    <w:link w:val="25"/>
    <w:qFormat/>
    <w:uiPriority w:val="0"/>
    <w:rPr>
      <w:rFonts w:ascii="宋体" w:hAnsi="宋体"/>
      <w:kern w:val="2"/>
      <w:sz w:val="21"/>
      <w:szCs w:val="24"/>
    </w:rPr>
  </w:style>
  <w:style w:type="character" w:customStyle="1" w:styleId="124">
    <w:name w:val="font11"/>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69"/>
    <w:qFormat/>
    <w:uiPriority w:val="0"/>
    <w:rPr>
      <w:rFonts w:ascii="Arial" w:hAnsi="Arial" w:eastAsia="黑体" w:cs="Arial"/>
      <w:snapToGrid w:val="0"/>
      <w:kern w:val="0"/>
      <w:szCs w:val="21"/>
    </w:rPr>
  </w:style>
  <w:style w:type="character" w:customStyle="1" w:styleId="127">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Cs w:val="20"/>
    </w:rPr>
  </w:style>
  <w:style w:type="character" w:customStyle="1" w:styleId="134">
    <w:name w:val="Char Char24"/>
    <w:qFormat/>
    <w:uiPriority w:val="6"/>
    <w:rPr>
      <w:kern w:val="1"/>
      <w:sz w:val="21"/>
    </w:rPr>
  </w:style>
  <w:style w:type="character" w:customStyle="1" w:styleId="135">
    <w:name w:val="副标题 字符"/>
    <w:link w:val="47"/>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字符"/>
    <w:link w:val="7"/>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3"/>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字符"/>
    <w:link w:val="36"/>
    <w:qFormat/>
    <w:uiPriority w:val="0"/>
    <w:rPr>
      <w:rFonts w:ascii="宋体"/>
      <w:kern w:val="2"/>
      <w:sz w:val="24"/>
      <w:szCs w:val="21"/>
      <w:lang w:val="zh-CN"/>
    </w:rPr>
  </w:style>
  <w:style w:type="character" w:customStyle="1" w:styleId="183">
    <w:name w:val="标题 9 字符"/>
    <w:link w:val="10"/>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字符1"/>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rPr>
  </w:style>
  <w:style w:type="character" w:customStyle="1" w:styleId="194">
    <w:name w:val="正文缩进 字符2"/>
    <w:link w:val="15"/>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99"/>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字符"/>
    <w:link w:val="18"/>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70"/>
    <w:qFormat/>
    <w:uiPriority w:val="0"/>
    <w:rPr>
      <w:rFonts w:ascii="仿宋_GB2312" w:hAnsi="仿宋" w:eastAsia="仿宋_GB2312" w:cs="仿宋_GB2312"/>
      <w:sz w:val="32"/>
      <w:szCs w:val="30"/>
      <w:lang w:val="zh-CN"/>
    </w:rPr>
  </w:style>
  <w:style w:type="character" w:customStyle="1" w:styleId="219">
    <w:name w:val="HTML 地址 字符"/>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5"/>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Cs w:val="20"/>
      <w:lang w:eastAsia="en-US"/>
    </w:rPr>
  </w:style>
  <w:style w:type="paragraph" w:customStyle="1" w:styleId="259">
    <w:name w:val="列出段落1"/>
    <w:basedOn w:val="1"/>
    <w:qFormat/>
    <w:uiPriority w:val="34"/>
    <w:pPr>
      <w:spacing w:line="360" w:lineRule="auto"/>
      <w:ind w:firstLine="200" w:firstLineChars="200"/>
    </w:pPr>
    <w:rPr>
      <w:rFonts w:eastAsia="楷体_GB2312" w:cs="Lucida Sans"/>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字符1"/>
    <w:link w:val="24"/>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字符"/>
    <w:link w:val="20"/>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字符"/>
    <w:link w:val="57"/>
    <w:qFormat/>
    <w:uiPriority w:val="0"/>
    <w:rPr>
      <w:rFonts w:ascii="黑体" w:hAnsi="Courier New" w:eastAsia="黑体"/>
    </w:rPr>
  </w:style>
  <w:style w:type="character" w:customStyle="1" w:styleId="301">
    <w:name w:val="正文文本 2 字符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5"/>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字符"/>
    <w:link w:val="8"/>
    <w:qFormat/>
    <w:uiPriority w:val="0"/>
    <w:rPr>
      <w:b/>
      <w:bCs/>
      <w:kern w:val="2"/>
      <w:sz w:val="24"/>
      <w:szCs w:val="24"/>
    </w:rPr>
  </w:style>
  <w:style w:type="character" w:customStyle="1" w:styleId="307">
    <w:name w:val="正文文本缩进 2 字符"/>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字符"/>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文本首行缩进 字符"/>
    <w:link w:val="61"/>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字符1"/>
    <w:link w:val="5"/>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字符"/>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字符1"/>
    <w:link w:val="19"/>
    <w:qFormat/>
    <w:uiPriority w:val="0"/>
    <w:rPr>
      <w:kern w:val="2"/>
      <w:sz w:val="21"/>
      <w:szCs w:val="24"/>
    </w:rPr>
  </w:style>
  <w:style w:type="character" w:customStyle="1" w:styleId="344">
    <w:name w:val="签名 字符"/>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9"/>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99"/>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字符"/>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字符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字符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1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Cs w:val="20"/>
    </w:rPr>
  </w:style>
  <w:style w:type="paragraph" w:customStyle="1" w:styleId="440">
    <w:name w:val="标题4_自定义"/>
    <w:basedOn w:val="5"/>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454">
    <w:name w:val="Char Char Char Char Char Char Char Char"/>
    <w:basedOn w:val="1"/>
    <w:qFormat/>
    <w:uiPriority w:val="0"/>
    <w:pPr>
      <w:tabs>
        <w:tab w:val="left" w:pos="360"/>
      </w:tabs>
    </w:pPr>
    <w:rPr>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79"/>
    <w:qFormat/>
    <w:uiPriority w:val="0"/>
    <w:pPr>
      <w:spacing w:beforeLines="100"/>
      <w:jc w:val="left"/>
    </w:pPr>
  </w:style>
  <w:style w:type="paragraph" w:customStyle="1" w:styleId="459">
    <w:name w:val="Char Char1 Char Char1 Char Char1"/>
    <w:basedOn w:val="1"/>
    <w:qFormat/>
    <w:uiPriority w:val="0"/>
    <w:pPr>
      <w:tabs>
        <w:tab w:val="left" w:pos="840"/>
      </w:tabs>
      <w:ind w:left="840" w:hanging="420"/>
    </w:pPr>
    <w:rPr>
      <w:rFonts w:ascii="Tahoma" w:hAnsi="Tahoma"/>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Cs w:val="20"/>
    </w:rPr>
  </w:style>
  <w:style w:type="paragraph" w:customStyle="1" w:styleId="46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478">
    <w:name w:val="Char Char Char"/>
    <w:basedOn w:val="1"/>
    <w:qFormat/>
    <w:uiPriority w:val="0"/>
    <w:rPr>
      <w:rFonts w:ascii="Tahoma" w:hAnsi="Tahoma"/>
      <w:szCs w:val="20"/>
    </w:rPr>
  </w:style>
  <w:style w:type="paragraph" w:customStyle="1" w:styleId="479">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无间隔2"/>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Cs w:val="20"/>
    </w:rPr>
  </w:style>
  <w:style w:type="paragraph" w:customStyle="1" w:styleId="496">
    <w:name w:val="MM Topic 5"/>
    <w:basedOn w:val="6"/>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Cs w:val="20"/>
    </w:rPr>
  </w:style>
  <w:style w:type="paragraph" w:customStyle="1" w:styleId="511">
    <w:name w:val="列出段落5"/>
    <w:basedOn w:val="1"/>
    <w:qFormat/>
    <w:uiPriority w:val="0"/>
    <w:pPr>
      <w:spacing w:line="360" w:lineRule="auto"/>
      <w:ind w:firstLine="200" w:firstLineChars="200"/>
    </w:pPr>
    <w:rPr>
      <w:rFonts w:eastAsia="楷体_GB2312" w:cs="Lucida Sans"/>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23"/>
    <w:qFormat/>
    <w:uiPriority w:val="0"/>
    <w:pPr>
      <w:adjustRightInd/>
      <w:ind w:firstLine="200" w:firstLineChars="200"/>
    </w:pPr>
    <w:rPr>
      <w:rFonts w:ascii="Arial" w:hAnsi="Arial"/>
      <w:spacing w:val="-5"/>
      <w:kern w:val="0"/>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Cs w:val="20"/>
    </w:rPr>
  </w:style>
  <w:style w:type="paragraph" w:customStyle="1" w:styleId="525">
    <w:name w:val="1正文"/>
    <w:basedOn w:val="1"/>
    <w:qFormat/>
    <w:uiPriority w:val="0"/>
    <w:pPr>
      <w:adjustRightInd/>
      <w:spacing w:line="360" w:lineRule="auto"/>
      <w:ind w:firstLine="200" w:firstLineChars="200"/>
    </w:pPr>
    <w:rPr>
      <w:rFonts w:ascii="仿宋_GB2312" w:hAnsi="Arial"/>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5"/>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5"/>
    <w:next w:val="235"/>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5"/>
    <w:next w:val="235"/>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rPr>
  </w:style>
  <w:style w:type="paragraph" w:customStyle="1" w:styleId="56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Cs w:val="20"/>
    </w:rPr>
  </w:style>
  <w:style w:type="paragraph" w:customStyle="1" w:styleId="582">
    <w:name w:val="标题五"/>
    <w:basedOn w:val="1"/>
    <w:qFormat/>
    <w:uiPriority w:val="0"/>
    <w:pPr>
      <w:adjustRightInd/>
      <w:spacing w:beforeLines="50" w:line="360" w:lineRule="auto"/>
    </w:pPr>
    <w:rPr>
      <w:b/>
    </w:rPr>
  </w:style>
  <w:style w:type="paragraph" w:customStyle="1" w:styleId="583">
    <w:name w:val="Char Char1101"/>
    <w:basedOn w:val="1"/>
    <w:qFormat/>
    <w:uiPriority w:val="0"/>
    <w:pPr>
      <w:spacing w:line="360" w:lineRule="auto"/>
    </w:pPr>
    <w:rPr>
      <w:rFonts w:ascii="Tahoma" w:hAnsi="Tahoma"/>
      <w:szCs w:val="20"/>
    </w:rPr>
  </w:style>
  <w:style w:type="paragraph" w:customStyle="1" w:styleId="584">
    <w:name w:val="Char Char Char Char Char Char Char Char1"/>
    <w:basedOn w:val="1"/>
    <w:qFormat/>
    <w:uiPriority w:val="0"/>
    <w:pPr>
      <w:tabs>
        <w:tab w:val="left" w:pos="360"/>
      </w:tabs>
    </w:pPr>
    <w:rPr>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Cs w:val="20"/>
    </w:rPr>
  </w:style>
  <w:style w:type="paragraph" w:customStyle="1" w:styleId="600">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Cs w:val="20"/>
    </w:rPr>
  </w:style>
  <w:style w:type="paragraph" w:customStyle="1" w:styleId="602">
    <w:name w:val="正文文字表格居中"/>
    <w:basedOn w:val="1"/>
    <w:next w:val="56"/>
    <w:qFormat/>
    <w:uiPriority w:val="0"/>
    <w:pPr>
      <w:snapToGrid w:val="0"/>
      <w:spacing w:line="360" w:lineRule="auto"/>
    </w:pPr>
    <w:rPr>
      <w:rFonts w:ascii="宋体"/>
      <w:b/>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Cs w:val="20"/>
    </w:rPr>
  </w:style>
  <w:style w:type="paragraph" w:customStyle="1" w:styleId="644">
    <w:name w:val="Char1 Char Char Char1"/>
    <w:basedOn w:val="1"/>
    <w:qFormat/>
    <w:uiPriority w:val="0"/>
    <w:pPr>
      <w:adjustRightInd/>
      <w:ind w:firstLine="200" w:firstLineChars="200"/>
    </w:pPr>
    <w:rPr>
      <w:rFonts w:ascii="Tahoma" w:hAnsi="Tahoma"/>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7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Cs w:val="20"/>
    </w:rPr>
  </w:style>
  <w:style w:type="paragraph" w:customStyle="1" w:styleId="665">
    <w:name w:val="Body Text 2*"/>
    <w:basedOn w:val="1"/>
    <w:qFormat/>
    <w:uiPriority w:val="6"/>
    <w:pPr>
      <w:widowControl/>
      <w:adjustRightInd/>
      <w:ind w:left="720" w:hanging="720"/>
    </w:pPr>
    <w:rPr>
      <w:color w:val="000000"/>
      <w:kern w:val="0"/>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rPr>
  </w:style>
  <w:style w:type="paragraph" w:customStyle="1" w:styleId="670">
    <w:name w:val="2级标题"/>
    <w:basedOn w:val="671"/>
    <w:qFormat/>
    <w:uiPriority w:val="0"/>
    <w:pPr>
      <w:jc w:val="left"/>
      <w:outlineLvl w:val="1"/>
    </w:pPr>
    <w:rPr>
      <w:rFonts w:ascii="Times New Roman" w:hAnsi="Times New Roman"/>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5"/>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4"/>
    <w:qFormat/>
    <w:uiPriority w:val="0"/>
    <w:pPr>
      <w:autoSpaceDE w:val="0"/>
      <w:autoSpaceDN w:val="0"/>
      <w:snapToGrid w:val="0"/>
      <w:spacing w:after="120" w:line="360" w:lineRule="auto"/>
      <w:ind w:left="420" w:leftChars="200" w:firstLine="480" w:firstLineChars="200"/>
    </w:pPr>
    <w:rPr>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Cs w:val="20"/>
    </w:rPr>
  </w:style>
  <w:style w:type="paragraph" w:customStyle="1" w:styleId="720">
    <w:name w:val="4"/>
    <w:basedOn w:val="1"/>
    <w:next w:val="37"/>
    <w:qFormat/>
    <w:uiPriority w:val="0"/>
    <w:pPr>
      <w:spacing w:after="120" w:line="480" w:lineRule="auto"/>
      <w:ind w:left="420" w:leftChars="200"/>
    </w:pPr>
    <w:rPr>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rPr>
  </w:style>
  <w:style w:type="paragraph" w:customStyle="1" w:styleId="751">
    <w:name w:val="Char Char Char Char Char Char Char Char Char Char Char1 Char"/>
    <w:basedOn w:val="1"/>
    <w:qFormat/>
    <w:uiPriority w:val="0"/>
    <w:pPr>
      <w:adjustRightInd/>
    </w:pPr>
    <w:rPr>
      <w:rFonts w:ascii="Tahoma" w:hAnsi="Tahoma"/>
    </w:rPr>
  </w:style>
  <w:style w:type="paragraph" w:customStyle="1" w:styleId="752">
    <w:name w:val="Char Char Char Char11"/>
    <w:basedOn w:val="1"/>
    <w:qFormat/>
    <w:uiPriority w:val="0"/>
    <w:rPr>
      <w:rFonts w:ascii="Tahoma" w:hAnsi="Tahoma"/>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776">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3"/>
    <w:qFormat/>
    <w:uiPriority w:val="0"/>
    <w:pPr>
      <w:tabs>
        <w:tab w:val="clear" w:pos="900"/>
      </w:tabs>
      <w:spacing w:after="0" w:line="360" w:lineRule="auto"/>
    </w:pPr>
    <w:rPr>
      <w:rFonts w:ascii="仿宋" w:hAnsi="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Cs w:val="20"/>
    </w:rPr>
  </w:style>
  <w:style w:type="paragraph" w:customStyle="1" w:styleId="789">
    <w:name w:val="列出段落11"/>
    <w:basedOn w:val="1"/>
    <w:qFormat/>
    <w:uiPriority w:val="0"/>
    <w:pPr>
      <w:adjustRightInd/>
      <w:spacing w:line="360" w:lineRule="auto"/>
      <w:ind w:firstLine="420" w:firstLineChars="200"/>
    </w:pPr>
    <w:rPr>
      <w:rFonts w:ascii="Calibri" w:hAnsi="Calibri"/>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rPr>
  </w:style>
  <w:style w:type="paragraph" w:customStyle="1" w:styleId="797">
    <w:name w:val="列出段落3"/>
    <w:basedOn w:val="1"/>
    <w:qFormat/>
    <w:uiPriority w:val="34"/>
    <w:pPr>
      <w:adjustRightInd/>
      <w:spacing w:line="360" w:lineRule="auto"/>
      <w:ind w:firstLine="420" w:firstLineChars="200"/>
    </w:pPr>
    <w:rPr>
      <w:rFonts w:ascii="Calibri" w:hAnsi="Calibri"/>
      <w:szCs w:val="22"/>
    </w:rPr>
  </w:style>
  <w:style w:type="paragraph" w:customStyle="1" w:styleId="798">
    <w:name w:val="首行缩进"/>
    <w:basedOn w:val="1"/>
    <w:qFormat/>
    <w:uiPriority w:val="0"/>
    <w:pPr>
      <w:spacing w:line="360" w:lineRule="auto"/>
      <w:ind w:firstLine="480" w:firstLineChars="200"/>
    </w:pPr>
    <w:rPr>
      <w:rFonts w:ascii="宋体"/>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800">
    <w:name w:val="单元格左对齐"/>
    <w:basedOn w:val="1"/>
    <w:qFormat/>
    <w:uiPriority w:val="0"/>
    <w:pPr>
      <w:adjustRightInd/>
      <w:spacing w:line="360" w:lineRule="auto"/>
    </w:p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Cs w:val="20"/>
      <w:lang w:eastAsia="en-US"/>
    </w:rPr>
  </w:style>
  <w:style w:type="paragraph" w:customStyle="1" w:styleId="826">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Cs w:val="20"/>
    </w:rPr>
  </w:style>
  <w:style w:type="paragraph" w:customStyle="1" w:styleId="837">
    <w:name w:val="Char Char Char Char Char Char Char Char Char Char Char Char1 Char"/>
    <w:basedOn w:val="1"/>
    <w:qFormat/>
    <w:uiPriority w:val="0"/>
    <w:rPr>
      <w:rFonts w:ascii="Tahoma" w:hAnsi="Tahoma" w:cs="仿宋_GB2312"/>
      <w:szCs w:val="20"/>
    </w:rPr>
  </w:style>
  <w:style w:type="paragraph" w:customStyle="1" w:styleId="838">
    <w:name w:val="正文1"/>
    <w:basedOn w:val="32"/>
    <w:next w:val="1"/>
    <w:qFormat/>
    <w:uiPriority w:val="0"/>
    <w:pPr>
      <w:ind w:left="0" w:leftChars="0" w:firstLine="480" w:firstLineChars="200"/>
    </w:pPr>
    <w:rPr>
      <w:rFonts w:ascii="仿宋_GB2312" w:hAnsi="Courier New" w:eastAsia="仿宋_GB2312"/>
      <w:kern w:val="28"/>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41">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rPr>
  </w:style>
  <w:style w:type="paragraph" w:customStyle="1" w:styleId="861">
    <w:name w:val="Char Char110"/>
    <w:basedOn w:val="1"/>
    <w:qFormat/>
    <w:uiPriority w:val="6"/>
    <w:pPr>
      <w:spacing w:line="360" w:lineRule="auto"/>
    </w:pPr>
    <w:rPr>
      <w:rFonts w:ascii="Tahoma" w:hAnsi="Tahoma"/>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4"/>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lang w:eastAsia="en-US"/>
    </w:rPr>
  </w:style>
  <w:style w:type="paragraph" w:customStyle="1" w:styleId="874">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kern w:val="0"/>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style>
  <w:style w:type="paragraph" w:customStyle="1" w:styleId="894">
    <w:name w:val="数字标题5"/>
    <w:basedOn w:val="6"/>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9"/>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unhideWhenUsed/>
    <w:qFormat/>
    <w:uiPriority w:val="99"/>
    <w:rPr>
      <w:rFonts w:ascii="Times New Roman" w:hAnsi="Times New Roman" w:eastAsia="仿宋" w:cs="Times New Roman"/>
      <w:kern w:val="2"/>
      <w:sz w:val="24"/>
      <w:szCs w:val="24"/>
      <w:lang w:val="en-US" w:eastAsia="zh-CN" w:bidi="ar-SA"/>
    </w:rPr>
  </w:style>
  <w:style w:type="paragraph" w:customStyle="1" w:styleId="963">
    <w:name w:val="数字编号列项（二级）"/>
    <w:qFormat/>
    <w:uiPriority w:val="0"/>
    <w:pPr>
      <w:numPr>
        <w:ilvl w:val="1"/>
        <w:numId w:val="1"/>
      </w:numPr>
      <w:jc w:val="both"/>
    </w:pPr>
    <w:rPr>
      <w:rFonts w:ascii="宋体" w:hAnsi="Times New Roman" w:eastAsia="宋体" w:cs="Times New Roman"/>
      <w:sz w:val="21"/>
      <w:lang w:val="en-US" w:eastAsia="zh-CN" w:bidi="ar-SA"/>
    </w:rPr>
  </w:style>
  <w:style w:type="paragraph" w:customStyle="1" w:styleId="964">
    <w:name w:val="字母编号列项（一级）"/>
    <w:qFormat/>
    <w:uiPriority w:val="0"/>
    <w:pPr>
      <w:numPr>
        <w:ilvl w:val="0"/>
        <w:numId w:val="1"/>
      </w:numPr>
      <w:jc w:val="both"/>
    </w:pPr>
    <w:rPr>
      <w:rFonts w:ascii="宋体" w:hAnsi="Times New Roman" w:eastAsia="宋体" w:cs="Times New Roman"/>
      <w:sz w:val="21"/>
      <w:lang w:val="en-US" w:eastAsia="zh-CN" w:bidi="ar-SA"/>
    </w:rPr>
  </w:style>
  <w:style w:type="paragraph" w:styleId="965">
    <w:name w:val="List Paragraph"/>
    <w:basedOn w:val="1"/>
    <w:qFormat/>
    <w:uiPriority w:val="34"/>
    <w:pPr>
      <w:adjustRightInd/>
      <w:ind w:firstLine="420" w:firstLineChars="200"/>
    </w:pPr>
    <w:rPr>
      <w:rFonts w:asciiTheme="minorHAnsi" w:hAnsiTheme="minorHAnsi" w:eastAsiaTheme="minorEastAsia" w:cstheme="minorBidi"/>
      <w:sz w:val="21"/>
      <w:szCs w:val="22"/>
    </w:rPr>
  </w:style>
  <w:style w:type="character" w:customStyle="1" w:styleId="966">
    <w:name w:val="标题 5 字符"/>
    <w:basedOn w:val="69"/>
    <w:link w:val="6"/>
    <w:qFormat/>
    <w:uiPriority w:val="0"/>
    <w:rPr>
      <w:rFonts w:hint="eastAsia" w:ascii="仿宋" w:hAnsi="仿宋" w:eastAsia="仿宋" w:cs="仿宋"/>
      <w:b/>
      <w:kern w:val="2"/>
      <w:sz w:val="28"/>
      <w:szCs w:val="28"/>
    </w:rPr>
  </w:style>
  <w:style w:type="paragraph" w:customStyle="1" w:styleId="967">
    <w:name w:val="自动更正"/>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1.png"/><Relationship Id="rId31" Type="http://schemas.openxmlformats.org/officeDocument/2006/relationships/theme" Target="theme/theme1.xml"/><Relationship Id="rId30" Type="http://schemas.openxmlformats.org/officeDocument/2006/relationships/footer" Target="footer17.xml"/><Relationship Id="rId3" Type="http://schemas.openxmlformats.org/officeDocument/2006/relationships/header" Target="header1.xml"/><Relationship Id="rId29" Type="http://schemas.openxmlformats.org/officeDocument/2006/relationships/footer" Target="footer16.xml"/><Relationship Id="rId28" Type="http://schemas.openxmlformats.org/officeDocument/2006/relationships/footer" Target="footer15.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63</Pages>
  <Words>2444</Words>
  <Characters>2845</Characters>
  <Lines>253</Lines>
  <Paragraphs>71</Paragraphs>
  <TotalTime>24</TotalTime>
  <ScaleCrop>false</ScaleCrop>
  <LinksUpToDate>false</LinksUpToDate>
  <CharactersWithSpaces>2867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2024-07-10T19:19:00Z</dcterms:created>
  <dc:creator>蒋乐聪</dc:creator>
  <cp:lastModifiedBy>ANGRY-T</cp:lastModifiedBy>
  <cp:lastPrinted>2022-03-06T00:35:00Z</cp:lastPrinted>
  <dcterms:modified xsi:type="dcterms:W3CDTF">2025-03-31T01:33:35Z</dcterms:modified>
  <dc:title>杭州市市民卡扩大发卡工程</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C897016B5F7CBD0DC926DD678B37B1DE</vt:lpwstr>
  </property>
  <property fmtid="{D5CDD505-2E9C-101B-9397-08002B2CF9AE}" pid="5" name="commondata">
    <vt:lpwstr>eyJoZGlkIjoiM2JjZTZjMTc3MmU3OGQ0NGU0N2M2NzIyNzM1YmIyYTMifQ==</vt:lpwstr>
  </property>
  <property fmtid="{D5CDD505-2E9C-101B-9397-08002B2CF9AE}" pid="6" name="KSOTemplateDocerSaveRecord">
    <vt:lpwstr>eyJoZGlkIjoiM2M2YjlkMjNjMzlhZWViOGRiZjY4ZWY1YjI1ODRkMDciLCJ1c2VySWQiOiIyOTQ4MDUyMDkifQ==</vt:lpwstr>
  </property>
</Properties>
</file>