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7502E">
      <w:pPr>
        <w:spacing w:line="360" w:lineRule="auto"/>
        <w:jc w:val="center"/>
        <w:rPr>
          <w:rFonts w:ascii="宋体" w:hAnsi="宋体" w:cs="宋体"/>
          <w:b/>
          <w:sz w:val="24"/>
          <w:highlight w:val="none"/>
        </w:rPr>
      </w:pPr>
      <w:bookmarkStart w:id="540" w:name="_GoBack"/>
      <w:bookmarkEnd w:id="540"/>
    </w:p>
    <w:p w14:paraId="556D4989">
      <w:pPr>
        <w:spacing w:line="360" w:lineRule="auto"/>
        <w:jc w:val="center"/>
        <w:rPr>
          <w:rFonts w:ascii="宋体" w:hAnsi="宋体" w:cs="宋体"/>
          <w:b/>
          <w:sz w:val="24"/>
          <w:highlight w:val="none"/>
        </w:rPr>
      </w:pPr>
    </w:p>
    <w:p w14:paraId="7A4498AC">
      <w:pPr>
        <w:adjustRightInd/>
        <w:spacing w:line="360" w:lineRule="auto"/>
        <w:jc w:val="center"/>
        <w:rPr>
          <w:rFonts w:ascii="宋体" w:hAnsi="宋体" w:cs="宋体"/>
          <w:b/>
          <w:sz w:val="48"/>
          <w:szCs w:val="48"/>
          <w:highlight w:val="none"/>
        </w:rPr>
      </w:pPr>
    </w:p>
    <w:p w14:paraId="58F450F9">
      <w:pPr>
        <w:shd w:val="clear" w:color="auto" w:fill="FFFFFF"/>
        <w:tabs>
          <w:tab w:val="left" w:pos="4500"/>
        </w:tabs>
        <w:snapToGrid w:val="0"/>
        <w:spacing w:line="360" w:lineRule="auto"/>
        <w:jc w:val="center"/>
        <w:textAlignment w:val="bottom"/>
        <w:rPr>
          <w:rFonts w:ascii="宋体" w:hAnsi="宋体" w:cs="仿宋"/>
          <w:b/>
          <w:bCs/>
          <w:sz w:val="72"/>
          <w:szCs w:val="72"/>
          <w:highlight w:val="none"/>
        </w:rPr>
      </w:pPr>
      <w:r>
        <w:rPr>
          <w:rFonts w:hint="eastAsia" w:ascii="宋体" w:hAnsi="宋体" w:cs="仿宋"/>
          <w:b/>
          <w:bCs/>
          <w:spacing w:val="6"/>
          <w:sz w:val="44"/>
          <w:szCs w:val="44"/>
          <w:highlight w:val="none"/>
        </w:rPr>
        <w:t>2024年杭州交警业务系统使用服务-2024年杭州交警网络及数据安全运维服务</w:t>
      </w:r>
    </w:p>
    <w:p w14:paraId="5F31310E">
      <w:pPr>
        <w:adjustRightInd/>
        <w:spacing w:line="360" w:lineRule="auto"/>
        <w:jc w:val="center"/>
        <w:rPr>
          <w:rFonts w:ascii="宋体" w:hAnsi="宋体" w:cs="宋体"/>
          <w:sz w:val="48"/>
          <w:szCs w:val="48"/>
          <w:highlight w:val="none"/>
        </w:rPr>
      </w:pPr>
    </w:p>
    <w:p w14:paraId="1110DFAC">
      <w:pPr>
        <w:adjustRightInd/>
        <w:spacing w:line="360" w:lineRule="auto"/>
        <w:jc w:val="center"/>
        <w:rPr>
          <w:rFonts w:ascii="宋体" w:hAnsi="宋体" w:cs="宋体"/>
          <w:sz w:val="48"/>
          <w:szCs w:val="48"/>
          <w:highlight w:val="none"/>
        </w:rPr>
      </w:pPr>
    </w:p>
    <w:p w14:paraId="1631656C">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招标文件</w:t>
      </w:r>
    </w:p>
    <w:p w14:paraId="15775749">
      <w:pPr>
        <w:adjustRightInd/>
        <w:spacing w:line="360" w:lineRule="auto"/>
        <w:jc w:val="center"/>
        <w:rPr>
          <w:rFonts w:ascii="宋体" w:hAnsi="宋体" w:cs="宋体"/>
          <w:b/>
          <w:sz w:val="44"/>
          <w:szCs w:val="44"/>
          <w:highlight w:val="none"/>
        </w:rPr>
      </w:pPr>
      <w:r>
        <w:rPr>
          <w:rFonts w:ascii="宋体" w:hAnsi="宋体" w:cs="宋体"/>
          <w:b/>
          <w:sz w:val="44"/>
          <w:szCs w:val="44"/>
          <w:highlight w:val="none"/>
        </w:rPr>
        <w:t xml:space="preserve"> （电子招投标）</w:t>
      </w:r>
    </w:p>
    <w:p w14:paraId="1B0AE585">
      <w:pPr>
        <w:shd w:val="clear" w:color="auto" w:fill="FFFFFF"/>
        <w:snapToGrid w:val="0"/>
        <w:spacing w:line="360" w:lineRule="auto"/>
        <w:jc w:val="center"/>
        <w:rPr>
          <w:rFonts w:ascii="宋体" w:hAnsi="宋体" w:cs="仿宋"/>
          <w:b/>
          <w:bCs/>
          <w:sz w:val="32"/>
          <w:szCs w:val="32"/>
          <w:highlight w:val="none"/>
        </w:rPr>
      </w:pPr>
      <w:r>
        <w:rPr>
          <w:rFonts w:hint="eastAsia" w:ascii="宋体" w:hAnsi="宋体" w:cs="宋体"/>
          <w:sz w:val="30"/>
          <w:szCs w:val="30"/>
          <w:highlight w:val="none"/>
        </w:rPr>
        <w:t>编号</w:t>
      </w:r>
      <w:r>
        <w:rPr>
          <w:rFonts w:ascii="宋体" w:hAnsi="宋体" w:cs="宋体"/>
          <w:sz w:val="30"/>
          <w:szCs w:val="30"/>
          <w:highlight w:val="none"/>
        </w:rPr>
        <w:t>:</w:t>
      </w:r>
      <w:r>
        <w:rPr>
          <w:rFonts w:ascii="宋体" w:hAnsi="宋体" w:cs="仿宋"/>
          <w:b/>
          <w:bCs/>
          <w:sz w:val="32"/>
          <w:szCs w:val="32"/>
          <w:highlight w:val="none"/>
        </w:rPr>
        <w:t xml:space="preserve"> HZSGAJ-2024-</w:t>
      </w:r>
      <w:r>
        <w:rPr>
          <w:rFonts w:hint="eastAsia" w:ascii="宋体" w:hAnsi="宋体" w:cs="仿宋"/>
          <w:b/>
          <w:bCs/>
          <w:sz w:val="32"/>
          <w:szCs w:val="32"/>
          <w:highlight w:val="none"/>
        </w:rPr>
        <w:t>17</w:t>
      </w:r>
      <w:r>
        <w:rPr>
          <w:rFonts w:ascii="宋体" w:hAnsi="宋体" w:cs="仿宋"/>
          <w:b/>
          <w:bCs/>
          <w:sz w:val="32"/>
          <w:szCs w:val="32"/>
          <w:highlight w:val="none"/>
        </w:rPr>
        <w:t>（代)</w:t>
      </w:r>
    </w:p>
    <w:p w14:paraId="4E8ADA12">
      <w:pPr>
        <w:snapToGrid w:val="0"/>
        <w:spacing w:line="360" w:lineRule="auto"/>
        <w:jc w:val="center"/>
        <w:rPr>
          <w:rFonts w:ascii="宋体" w:hAnsi="宋体" w:cs="宋体"/>
          <w:sz w:val="30"/>
          <w:szCs w:val="30"/>
          <w:highlight w:val="none"/>
        </w:rPr>
      </w:pPr>
    </w:p>
    <w:p w14:paraId="053C45B1">
      <w:pPr>
        <w:adjustRightInd/>
        <w:spacing w:line="360" w:lineRule="auto"/>
        <w:rPr>
          <w:rFonts w:ascii="宋体" w:hAnsi="宋体" w:cs="宋体"/>
          <w:sz w:val="28"/>
          <w:szCs w:val="20"/>
          <w:highlight w:val="none"/>
        </w:rPr>
      </w:pPr>
    </w:p>
    <w:p w14:paraId="3CC16DAB">
      <w:pPr>
        <w:spacing w:line="360" w:lineRule="auto"/>
        <w:jc w:val="center"/>
        <w:rPr>
          <w:rFonts w:ascii="宋体" w:hAnsi="宋体" w:cs="宋体"/>
          <w:b/>
          <w:sz w:val="44"/>
          <w:szCs w:val="44"/>
          <w:highlight w:val="none"/>
        </w:rPr>
      </w:pPr>
    </w:p>
    <w:p w14:paraId="00F46F09">
      <w:pPr>
        <w:spacing w:line="360" w:lineRule="auto"/>
        <w:jc w:val="center"/>
        <w:rPr>
          <w:rFonts w:ascii="宋体" w:hAnsi="宋体" w:cs="宋体"/>
          <w:b/>
          <w:sz w:val="44"/>
          <w:szCs w:val="44"/>
          <w:highlight w:val="none"/>
        </w:rPr>
      </w:pPr>
    </w:p>
    <w:p w14:paraId="4CCE5514">
      <w:pPr>
        <w:spacing w:line="360" w:lineRule="auto"/>
        <w:jc w:val="center"/>
        <w:rPr>
          <w:rFonts w:ascii="宋体" w:hAnsi="宋体" w:cs="宋体"/>
          <w:sz w:val="24"/>
          <w:highlight w:val="none"/>
        </w:rPr>
      </w:pPr>
    </w:p>
    <w:p w14:paraId="310BD253">
      <w:pPr>
        <w:spacing w:line="360" w:lineRule="auto"/>
        <w:rPr>
          <w:rFonts w:ascii="宋体" w:hAnsi="宋体" w:cs="宋体"/>
          <w:sz w:val="32"/>
          <w:szCs w:val="32"/>
          <w:highlight w:val="none"/>
        </w:rPr>
      </w:pPr>
    </w:p>
    <w:p w14:paraId="2C394935">
      <w:pPr>
        <w:snapToGrid w:val="0"/>
        <w:spacing w:line="360" w:lineRule="auto"/>
        <w:jc w:val="center"/>
        <w:rPr>
          <w:rFonts w:ascii="宋体" w:hAnsi="宋体" w:cs="宋体"/>
          <w:sz w:val="32"/>
          <w:szCs w:val="32"/>
          <w:highlight w:val="none"/>
        </w:rPr>
      </w:pPr>
      <w:r>
        <w:rPr>
          <w:rFonts w:hint="eastAsia" w:ascii="宋体" w:hAnsi="宋体" w:cs="宋体"/>
          <w:sz w:val="32"/>
          <w:szCs w:val="32"/>
          <w:highlight w:val="none"/>
        </w:rPr>
        <w:t>采购人：</w:t>
      </w:r>
      <w:r>
        <w:rPr>
          <w:rFonts w:hint="eastAsia" w:ascii="宋体" w:hAnsi="宋体" w:cs="仿宋"/>
          <w:b/>
          <w:bCs/>
          <w:sz w:val="30"/>
          <w:szCs w:val="30"/>
          <w:highlight w:val="none"/>
        </w:rPr>
        <w:t>杭州市公安局交通警察支队</w:t>
      </w:r>
    </w:p>
    <w:p w14:paraId="7F10C3BD">
      <w:pPr>
        <w:spacing w:line="360" w:lineRule="auto"/>
        <w:jc w:val="center"/>
        <w:rPr>
          <w:rFonts w:ascii="宋体" w:hAnsi="宋体" w:cs="仿宋"/>
          <w:b/>
          <w:bCs/>
          <w:sz w:val="30"/>
          <w:szCs w:val="30"/>
          <w:highlight w:val="none"/>
        </w:rPr>
      </w:pPr>
      <w:r>
        <w:rPr>
          <w:rFonts w:hint="eastAsia" w:ascii="宋体" w:hAnsi="宋体" w:cs="宋体"/>
          <w:bCs/>
          <w:sz w:val="32"/>
          <w:szCs w:val="32"/>
          <w:highlight w:val="none"/>
        </w:rPr>
        <w:t>采购代理机构：</w:t>
      </w:r>
      <w:r>
        <w:rPr>
          <w:rFonts w:hint="eastAsia" w:ascii="宋体" w:hAnsi="宋体" w:cs="仿宋"/>
          <w:b/>
          <w:bCs/>
          <w:sz w:val="30"/>
          <w:szCs w:val="30"/>
          <w:highlight w:val="none"/>
        </w:rPr>
        <w:t>浙江信达咨询监理有限公司</w:t>
      </w:r>
    </w:p>
    <w:p w14:paraId="154AEFDA">
      <w:pPr>
        <w:snapToGrid w:val="0"/>
        <w:spacing w:line="360" w:lineRule="auto"/>
        <w:jc w:val="center"/>
        <w:rPr>
          <w:rFonts w:ascii="宋体" w:hAnsi="宋体" w:cs="宋体"/>
          <w:sz w:val="24"/>
          <w:highlight w:val="none"/>
        </w:rPr>
      </w:pPr>
      <w:r>
        <w:rPr>
          <w:rFonts w:hint="eastAsia" w:ascii="宋体" w:hAnsi="宋体" w:cs="宋体"/>
          <w:bCs/>
          <w:sz w:val="32"/>
          <w:szCs w:val="32"/>
          <w:highlight w:val="none"/>
        </w:rPr>
        <w:t>二〇二四年</w:t>
      </w:r>
      <w:r>
        <w:rPr>
          <w:rFonts w:hint="eastAsia" w:ascii="宋体" w:hAnsi="宋体" w:cs="宋体"/>
          <w:bCs/>
          <w:sz w:val="32"/>
          <w:szCs w:val="32"/>
          <w:highlight w:val="none"/>
          <w:lang w:val="en-US" w:eastAsia="zh-CN"/>
        </w:rPr>
        <w:t>八</w:t>
      </w:r>
      <w:r>
        <w:rPr>
          <w:rFonts w:hint="eastAsia" w:ascii="宋体" w:hAnsi="宋体" w:cs="宋体"/>
          <w:bCs/>
          <w:sz w:val="32"/>
          <w:szCs w:val="32"/>
          <w:highlight w:val="none"/>
        </w:rPr>
        <w:t>月</w:t>
      </w:r>
      <w:r>
        <w:rPr>
          <w:rFonts w:hint="eastAsia" w:ascii="宋体" w:hAnsi="宋体" w:cs="宋体"/>
          <w:sz w:val="24"/>
          <w:highlight w:val="none"/>
        </w:rPr>
        <w:br w:type="page"/>
      </w:r>
      <w:bookmarkStart w:id="0" w:name="_Hlt67893495"/>
      <w:bookmarkEnd w:id="0"/>
    </w:p>
    <w:p w14:paraId="509D478F">
      <w:pPr>
        <w:pStyle w:val="321"/>
        <w:rPr>
          <w:highlight w:val="none"/>
        </w:rPr>
      </w:pPr>
    </w:p>
    <w:p w14:paraId="60DBA936">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5CCF7389">
      <w:pPr>
        <w:spacing w:line="360" w:lineRule="auto"/>
        <w:rPr>
          <w:rFonts w:ascii="宋体" w:hAnsi="宋体" w:cs="宋体"/>
          <w:sz w:val="32"/>
          <w:szCs w:val="32"/>
          <w:highlight w:val="none"/>
        </w:rPr>
      </w:pPr>
    </w:p>
    <w:p w14:paraId="66045DE0">
      <w:pPr>
        <w:spacing w:line="360" w:lineRule="auto"/>
        <w:rPr>
          <w:rFonts w:ascii="宋体" w:hAnsi="宋体" w:cs="宋体"/>
          <w:sz w:val="32"/>
          <w:szCs w:val="32"/>
          <w:highlight w:val="none"/>
        </w:rPr>
      </w:pPr>
    </w:p>
    <w:p w14:paraId="33A534A0">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2626FE2C">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2A1CDDBC">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49D9E8D6">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719AF69C">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0F59518D">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604CC0A8">
      <w:pPr>
        <w:spacing w:line="360" w:lineRule="auto"/>
        <w:ind w:firstLine="549" w:firstLineChars="229"/>
        <w:rPr>
          <w:rFonts w:ascii="宋体" w:hAnsi="宋体" w:cs="宋体"/>
          <w:sz w:val="24"/>
          <w:highlight w:val="none"/>
        </w:rPr>
      </w:pPr>
      <w:bookmarkStart w:id="1" w:name="_Hlt91233176"/>
      <w:bookmarkEnd w:id="1"/>
      <w:bookmarkStart w:id="2" w:name="_Toc91899869"/>
    </w:p>
    <w:p w14:paraId="4C8A8001">
      <w:pPr>
        <w:spacing w:line="360" w:lineRule="auto"/>
        <w:ind w:firstLine="549" w:firstLineChars="229"/>
        <w:rPr>
          <w:rFonts w:ascii="宋体" w:hAnsi="宋体" w:cs="宋体"/>
          <w:sz w:val="24"/>
          <w:highlight w:val="none"/>
        </w:rPr>
      </w:pPr>
    </w:p>
    <w:p w14:paraId="06861F2D">
      <w:pPr>
        <w:spacing w:line="360" w:lineRule="auto"/>
        <w:ind w:firstLine="549" w:firstLineChars="229"/>
        <w:rPr>
          <w:rFonts w:ascii="宋体" w:hAnsi="宋体" w:cs="宋体"/>
          <w:sz w:val="24"/>
          <w:highlight w:val="none"/>
        </w:rPr>
      </w:pPr>
    </w:p>
    <w:p w14:paraId="14CB8F6C">
      <w:pPr>
        <w:spacing w:line="360" w:lineRule="auto"/>
        <w:ind w:firstLine="549" w:firstLineChars="229"/>
        <w:rPr>
          <w:rFonts w:ascii="宋体" w:hAnsi="宋体" w:cs="宋体"/>
          <w:sz w:val="24"/>
          <w:highlight w:val="none"/>
        </w:rPr>
      </w:pPr>
    </w:p>
    <w:p w14:paraId="79DADAF2">
      <w:pPr>
        <w:spacing w:line="360" w:lineRule="auto"/>
        <w:ind w:firstLine="549" w:firstLineChars="229"/>
        <w:rPr>
          <w:rFonts w:ascii="宋体" w:hAnsi="宋体" w:cs="宋体"/>
          <w:sz w:val="24"/>
          <w:highlight w:val="none"/>
        </w:rPr>
      </w:pPr>
    </w:p>
    <w:p w14:paraId="6241F3D2">
      <w:pPr>
        <w:spacing w:line="360" w:lineRule="auto"/>
        <w:ind w:firstLine="549" w:firstLineChars="229"/>
        <w:rPr>
          <w:rFonts w:ascii="宋体" w:hAnsi="宋体" w:cs="宋体"/>
          <w:sz w:val="24"/>
          <w:highlight w:val="none"/>
        </w:rPr>
      </w:pPr>
    </w:p>
    <w:p w14:paraId="254B7890">
      <w:pPr>
        <w:spacing w:line="360" w:lineRule="auto"/>
        <w:ind w:firstLine="549" w:firstLineChars="229"/>
        <w:rPr>
          <w:rFonts w:ascii="宋体" w:hAnsi="宋体" w:cs="宋体"/>
          <w:sz w:val="24"/>
          <w:highlight w:val="none"/>
        </w:rPr>
      </w:pPr>
    </w:p>
    <w:p w14:paraId="124BC019">
      <w:pPr>
        <w:spacing w:line="360" w:lineRule="auto"/>
        <w:ind w:firstLine="549" w:firstLineChars="229"/>
        <w:rPr>
          <w:rFonts w:ascii="宋体" w:hAnsi="宋体" w:cs="宋体"/>
          <w:sz w:val="24"/>
          <w:highlight w:val="none"/>
        </w:rPr>
      </w:pPr>
    </w:p>
    <w:p w14:paraId="213E64B6">
      <w:pPr>
        <w:spacing w:line="360" w:lineRule="auto"/>
        <w:ind w:firstLine="549" w:firstLineChars="229"/>
        <w:rPr>
          <w:rFonts w:ascii="宋体" w:hAnsi="宋体" w:cs="宋体"/>
          <w:sz w:val="24"/>
          <w:highlight w:val="none"/>
        </w:rPr>
      </w:pPr>
    </w:p>
    <w:p w14:paraId="41C57D29">
      <w:pPr>
        <w:spacing w:line="360" w:lineRule="auto"/>
        <w:ind w:firstLine="549" w:firstLineChars="229"/>
        <w:rPr>
          <w:rFonts w:ascii="宋体" w:hAnsi="宋体" w:cs="宋体"/>
          <w:sz w:val="24"/>
          <w:highlight w:val="none"/>
        </w:rPr>
      </w:pPr>
    </w:p>
    <w:p w14:paraId="6AA887B1">
      <w:pPr>
        <w:spacing w:line="360" w:lineRule="auto"/>
        <w:ind w:firstLine="549" w:firstLineChars="229"/>
        <w:rPr>
          <w:rFonts w:ascii="宋体" w:hAnsi="宋体" w:cs="宋体"/>
          <w:sz w:val="24"/>
          <w:highlight w:val="none"/>
        </w:rPr>
      </w:pPr>
    </w:p>
    <w:p w14:paraId="05D4D38E">
      <w:pPr>
        <w:spacing w:line="360" w:lineRule="auto"/>
        <w:ind w:firstLine="549" w:firstLineChars="229"/>
        <w:rPr>
          <w:rFonts w:ascii="宋体" w:hAnsi="宋体" w:cs="宋体"/>
          <w:sz w:val="24"/>
          <w:highlight w:val="none"/>
        </w:rPr>
      </w:pPr>
    </w:p>
    <w:p w14:paraId="6C11BD20">
      <w:pPr>
        <w:spacing w:line="360" w:lineRule="auto"/>
        <w:ind w:firstLine="549" w:firstLineChars="229"/>
        <w:rPr>
          <w:rFonts w:ascii="宋体" w:hAnsi="宋体" w:cs="宋体"/>
          <w:sz w:val="24"/>
          <w:highlight w:val="none"/>
        </w:rPr>
      </w:pPr>
    </w:p>
    <w:p w14:paraId="6A6D8D1B">
      <w:pPr>
        <w:spacing w:line="360" w:lineRule="auto"/>
        <w:rPr>
          <w:rFonts w:ascii="宋体" w:hAnsi="宋体" w:cs="宋体"/>
          <w:sz w:val="24"/>
          <w:highlight w:val="none"/>
        </w:rPr>
      </w:pPr>
    </w:p>
    <w:p w14:paraId="16E4F8EF">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2F16526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01B6D2B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rPr>
        <w:t>2024年杭州交警业务系统使用服务-2024年杭州交警网络及数据安全运维服务</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6"/>
          <w:rFonts w:hint="eastAsia" w:ascii="宋体" w:hAnsi="宋体" w:eastAsia="宋体" w:cs="宋体"/>
          <w:color w:val="auto"/>
          <w:kern w:val="2"/>
          <w:sz w:val="24"/>
          <w:szCs w:val="24"/>
          <w:highlight w:val="none"/>
        </w:rPr>
        <w:t>https://www.zcygov.cn/）获取（下载）招标文件，并于2024年</w:t>
      </w:r>
      <w:r>
        <w:rPr>
          <w:rStyle w:val="76"/>
          <w:rFonts w:hint="eastAsia" w:ascii="宋体" w:hAnsi="宋体" w:cs="宋体"/>
          <w:color w:val="auto"/>
          <w:kern w:val="2"/>
          <w:sz w:val="24"/>
          <w:szCs w:val="24"/>
          <w:highlight w:val="none"/>
          <w:lang w:val="en-US" w:eastAsia="zh-CN"/>
        </w:rPr>
        <w:t>8</w:t>
      </w:r>
      <w:r>
        <w:rPr>
          <w:rStyle w:val="76"/>
          <w:rFonts w:hint="eastAsia" w:ascii="宋体" w:hAnsi="宋体" w:eastAsia="宋体" w:cs="宋体"/>
          <w:color w:val="auto"/>
          <w:kern w:val="2"/>
          <w:sz w:val="24"/>
          <w:szCs w:val="24"/>
          <w:highlight w:val="none"/>
        </w:rPr>
        <w:t>月</w:t>
      </w:r>
      <w:r>
        <w:rPr>
          <w:rStyle w:val="76"/>
          <w:rFonts w:hint="eastAsia" w:ascii="宋体" w:hAnsi="宋体" w:cs="宋体"/>
          <w:color w:val="auto"/>
          <w:kern w:val="2"/>
          <w:sz w:val="24"/>
          <w:szCs w:val="24"/>
          <w:highlight w:val="none"/>
          <w:lang w:val="en-US" w:eastAsia="zh-CN"/>
        </w:rPr>
        <w:t>23</w:t>
      </w:r>
      <w:r>
        <w:rPr>
          <w:rStyle w:val="76"/>
          <w:rFonts w:hint="eastAsia" w:ascii="宋体" w:hAnsi="宋体" w:eastAsia="宋体" w:cs="宋体"/>
          <w:color w:val="auto"/>
          <w:kern w:val="2"/>
          <w:sz w:val="24"/>
          <w:szCs w:val="24"/>
          <w:highlight w:val="none"/>
        </w:rPr>
        <w:t>日</w:t>
      </w:r>
      <w:r>
        <w:rPr>
          <w:rStyle w:val="76"/>
          <w:rFonts w:hint="eastAsia" w:ascii="宋体" w:hAnsi="宋体" w:cs="宋体"/>
          <w:color w:val="auto"/>
          <w:kern w:val="2"/>
          <w:sz w:val="24"/>
          <w:szCs w:val="24"/>
          <w:highlight w:val="none"/>
          <w:lang w:val="en-US" w:eastAsia="zh-CN"/>
        </w:rPr>
        <w:t>09</w:t>
      </w:r>
      <w:r>
        <w:rPr>
          <w:rStyle w:val="76"/>
          <w:rFonts w:hint="eastAsia" w:ascii="宋体" w:hAnsi="宋体" w:eastAsia="宋体" w:cs="宋体"/>
          <w:color w:val="auto"/>
          <w:kern w:val="2"/>
          <w:sz w:val="24"/>
          <w:szCs w:val="24"/>
          <w:highlight w:val="none"/>
        </w:rPr>
        <w:t>点</w:t>
      </w:r>
      <w:r>
        <w:rPr>
          <w:rStyle w:val="76"/>
          <w:rFonts w:hint="eastAsia" w:ascii="宋体" w:hAnsi="宋体" w:cs="宋体"/>
          <w:color w:val="auto"/>
          <w:kern w:val="2"/>
          <w:sz w:val="24"/>
          <w:szCs w:val="24"/>
          <w:highlight w:val="none"/>
          <w:lang w:val="en-US" w:eastAsia="zh-CN"/>
        </w:rPr>
        <w:t>30</w:t>
      </w:r>
      <w:r>
        <w:rPr>
          <w:rStyle w:val="76"/>
          <w:rFonts w:hint="eastAsia" w:ascii="宋体" w:hAnsi="宋体" w:eastAsia="宋体" w:cs="宋体"/>
          <w:color w:val="auto"/>
          <w:kern w:val="2"/>
          <w:sz w:val="24"/>
          <w:szCs w:val="24"/>
          <w:highlight w:val="none"/>
        </w:rPr>
        <w:t>分</w:t>
      </w:r>
      <w:r>
        <w:rPr>
          <w:rStyle w:val="76"/>
          <w:rFonts w:hint="eastAsia" w:ascii="宋体" w:hAnsi="宋体" w:eastAsia="宋体" w:cs="宋体"/>
          <w:bCs/>
          <w:color w:val="auto"/>
          <w:kern w:val="2"/>
          <w:sz w:val="24"/>
          <w:szCs w:val="24"/>
          <w:highlight w:val="none"/>
        </w:rPr>
        <w:t>00秒</w:t>
      </w:r>
      <w:r>
        <w:rPr>
          <w:rStyle w:val="76"/>
          <w:rFonts w:hint="eastAsia" w:ascii="宋体" w:hAnsi="宋体" w:eastAsia="宋体" w:cs="宋体"/>
          <w:bCs/>
          <w:color w:val="auto"/>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29B9792A">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1B44654C">
      <w:pPr>
        <w:spacing w:line="360" w:lineRule="auto"/>
        <w:rPr>
          <w:rFonts w:ascii="宋体" w:hAnsi="宋体" w:cs="宋体"/>
          <w:sz w:val="24"/>
          <w:highlight w:val="none"/>
        </w:rPr>
      </w:pPr>
      <w:r>
        <w:rPr>
          <w:rFonts w:hint="eastAsia" w:ascii="宋体" w:hAnsi="宋体" w:cs="宋体"/>
          <w:b/>
          <w:sz w:val="24"/>
          <w:highlight w:val="none"/>
        </w:rPr>
        <w:t>项目编号：</w:t>
      </w:r>
      <w:r>
        <w:rPr>
          <w:rFonts w:ascii="宋体" w:hAnsi="宋体" w:cs="宋体"/>
          <w:b/>
          <w:sz w:val="24"/>
          <w:highlight w:val="none"/>
        </w:rPr>
        <w:t>HZSGAJ-2024-17</w:t>
      </w:r>
      <w:r>
        <w:rPr>
          <w:rFonts w:hint="eastAsia" w:ascii="宋体" w:hAnsi="宋体" w:cs="宋体"/>
          <w:b/>
          <w:sz w:val="24"/>
          <w:highlight w:val="none"/>
        </w:rPr>
        <w:t>（代</w:t>
      </w:r>
      <w:r>
        <w:rPr>
          <w:rFonts w:ascii="宋体" w:hAnsi="宋体" w:cs="宋体"/>
          <w:b/>
          <w:sz w:val="24"/>
          <w:highlight w:val="none"/>
        </w:rPr>
        <w:t>)</w:t>
      </w:r>
    </w:p>
    <w:p w14:paraId="47F84178">
      <w:pPr>
        <w:spacing w:line="360" w:lineRule="auto"/>
        <w:rPr>
          <w:rFonts w:ascii="宋体" w:hAnsi="宋体" w:cs="宋体"/>
          <w:sz w:val="24"/>
          <w:highlight w:val="none"/>
        </w:rPr>
      </w:pPr>
      <w:r>
        <w:rPr>
          <w:rFonts w:hint="eastAsia" w:ascii="宋体" w:hAnsi="宋体" w:cs="宋体"/>
          <w:b/>
          <w:sz w:val="24"/>
          <w:highlight w:val="none"/>
        </w:rPr>
        <w:t xml:space="preserve"> 项目名称：</w:t>
      </w:r>
      <w:r>
        <w:rPr>
          <w:rFonts w:hint="eastAsia" w:ascii="宋体" w:hAnsi="宋体" w:cs="宋体"/>
          <w:sz w:val="24"/>
          <w:highlight w:val="none"/>
        </w:rPr>
        <w:t>2024年杭州交警业务系统使用服务-2024年杭州交警网络及数据安全运维服务</w:t>
      </w:r>
    </w:p>
    <w:p w14:paraId="227D203E">
      <w:pPr>
        <w:spacing w:line="360" w:lineRule="auto"/>
        <w:rPr>
          <w:rFonts w:ascii="宋体" w:hAnsi="宋体" w:cs="宋体"/>
          <w:sz w:val="24"/>
          <w:highlight w:val="none"/>
        </w:rPr>
      </w:pPr>
      <w:r>
        <w:rPr>
          <w:rFonts w:hint="eastAsia" w:ascii="宋体" w:hAnsi="宋体" w:cs="宋体"/>
          <w:b/>
          <w:sz w:val="24"/>
          <w:highlight w:val="none"/>
        </w:rPr>
        <w:t xml:space="preserve"> 预算金额（元）：</w:t>
      </w:r>
      <w:r>
        <w:rPr>
          <w:rFonts w:hint="eastAsia" w:ascii="宋体" w:hAnsi="宋体" w:cs="宋体"/>
          <w:sz w:val="24"/>
          <w:highlight w:val="none"/>
        </w:rPr>
        <w:t>8674500（其中2024年安排3469800元）</w:t>
      </w:r>
    </w:p>
    <w:p w14:paraId="7BDF30D5">
      <w:pPr>
        <w:spacing w:line="360" w:lineRule="auto"/>
        <w:ind w:firstLine="480"/>
        <w:rPr>
          <w:rFonts w:hint="default" w:ascii="宋体" w:hAnsi="宋体" w:eastAsia="宋体" w:cs="宋体"/>
          <w:sz w:val="24"/>
          <w:highlight w:val="none"/>
          <w:lang w:val="en-US" w:eastAsia="zh-CN"/>
        </w:rPr>
      </w:pPr>
      <w:r>
        <w:rPr>
          <w:rFonts w:hint="eastAsia" w:ascii="宋体" w:hAnsi="宋体" w:cs="宋体"/>
          <w:b/>
          <w:sz w:val="24"/>
          <w:highlight w:val="none"/>
        </w:rPr>
        <w:t>最高限价（元）：</w:t>
      </w:r>
      <w:r>
        <w:rPr>
          <w:rFonts w:hint="eastAsia" w:ascii="宋体" w:hAnsi="宋体" w:eastAsia="宋体" w:cs="宋体"/>
          <w:sz w:val="24"/>
          <w:szCs w:val="24"/>
          <w:highlight w:val="none"/>
        </w:rPr>
        <w:t>8544500</w:t>
      </w:r>
    </w:p>
    <w:p w14:paraId="05C7136E">
      <w:pPr>
        <w:spacing w:line="360" w:lineRule="auto"/>
        <w:ind w:firstLine="420"/>
        <w:jc w:val="left"/>
        <w:rPr>
          <w:rFonts w:ascii="宋体" w:hAnsi="宋体" w:cs="宋体"/>
          <w:sz w:val="24"/>
          <w:highlight w:val="none"/>
        </w:rPr>
      </w:pPr>
      <w:r>
        <w:rPr>
          <w:rFonts w:hint="eastAsia" w:hAnsi="宋体" w:cs="宋体"/>
          <w:b/>
          <w:sz w:val="24"/>
          <w:highlight w:val="none"/>
        </w:rPr>
        <w:t>采购需求：</w:t>
      </w:r>
      <w:r>
        <w:rPr>
          <w:rFonts w:hint="eastAsia" w:ascii="宋体" w:hAnsi="宋体" w:cs="宋体"/>
          <w:sz w:val="24"/>
          <w:highlight w:val="none"/>
        </w:rPr>
        <w:t>2024年杭州交警业务系统使用服务-2024年杭州交警网络及数据安全运维服务</w:t>
      </w:r>
      <w:r>
        <w:rPr>
          <w:rFonts w:hint="eastAsia" w:hAnsi="宋体" w:cs="宋体"/>
          <w:bCs/>
          <w:sz w:val="24"/>
          <w:highlight w:val="none"/>
        </w:rPr>
        <w:t>主要内容：</w:t>
      </w:r>
      <w:r>
        <w:rPr>
          <w:rFonts w:hint="eastAsia" w:ascii="宋体" w:hAnsi="宋体" w:cs="宋体"/>
          <w:sz w:val="24"/>
          <w:highlight w:val="none"/>
        </w:rPr>
        <w:t>本项目以购买服务方式，提供交通管理数据全生命周期运营服务、安全加固及应用迁移改造服务、货运导航数据及运营保障服务、安全防控风险预警服务，要求提供不少于11人驻点服务。</w:t>
      </w:r>
    </w:p>
    <w:p w14:paraId="06687B2E">
      <w:pPr>
        <w:spacing w:line="360" w:lineRule="auto"/>
        <w:ind w:firstLine="420"/>
        <w:jc w:val="left"/>
        <w:rPr>
          <w:rFonts w:hAnsi="宋体" w:cs="宋体"/>
          <w:sz w:val="24"/>
          <w:highlight w:val="none"/>
        </w:rPr>
      </w:pPr>
      <w:r>
        <w:rPr>
          <w:rFonts w:hint="eastAsia" w:ascii="宋体" w:hAnsi="宋体" w:cs="宋体"/>
          <w:sz w:val="24"/>
          <w:highlight w:val="none"/>
        </w:rPr>
        <w:t>实施目标：通过本项目实施，提供常态化交通数据运维服务，为采购人正常业务运行提供数据支撑、模型支撑、技术保障支撑，完成采购人数据及应用安全迁移改造，实现数据及应用安全合规。</w:t>
      </w:r>
      <w:r>
        <w:rPr>
          <w:rFonts w:hint="eastAsia" w:ascii="宋体" w:hAnsi="宋体"/>
          <w:sz w:val="24"/>
          <w:highlight w:val="none"/>
        </w:rPr>
        <w:t>具体以招标文件第三部分采购需求为准，供应商可点击本公告下方“浏览采购文件”查看采购需求。</w:t>
      </w:r>
    </w:p>
    <w:p w14:paraId="5424771E">
      <w:pPr>
        <w:pStyle w:val="86"/>
        <w:ind w:firstLine="482"/>
        <w:outlineLvl w:val="2"/>
        <w:rPr>
          <w:rFonts w:hint="default" w:ascii="宋体" w:hAnsi="宋体" w:eastAsia="宋体" w:cs="宋体"/>
          <w:highlight w:val="none"/>
          <w:lang w:val="en-US" w:eastAsia="zh-CN"/>
        </w:rPr>
      </w:pPr>
      <w:r>
        <w:rPr>
          <w:rFonts w:hint="eastAsia" w:ascii="宋体" w:hAnsi="宋体" w:cs="宋体"/>
          <w:b/>
          <w:highlight w:val="none"/>
        </w:rPr>
        <w:t>合同履约期限：</w:t>
      </w:r>
      <w:r>
        <w:rPr>
          <w:rFonts w:ascii="宋体" w:hAnsi="宋体" w:cs="宋体"/>
          <w:szCs w:val="24"/>
          <w:highlight w:val="none"/>
        </w:rPr>
        <w:t xml:space="preserve"> 12个月（2024年8月1日-2025年7月31日）</w:t>
      </w:r>
      <w:r>
        <w:rPr>
          <w:rFonts w:hint="eastAsia" w:ascii="宋体" w:hAnsi="宋体" w:cs="宋体"/>
          <w:szCs w:val="24"/>
          <w:highlight w:val="none"/>
          <w:lang w:val="en-US" w:eastAsia="zh-CN"/>
        </w:rPr>
        <w:t>,服务空档期（即2024年8月1日至开始提供服务之前)由原供应商（2023年供应商）按照2024年需求提供服务，期间产生的费用由投标人，按照实际服务时间及2024年合同单价与原供应商按实结算。</w:t>
      </w:r>
    </w:p>
    <w:p w14:paraId="25F636A6">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sym w:font="Wingdings" w:char="0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62A8D5B7">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1F13C7B6">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0FA2A14">
      <w:pPr>
        <w:spacing w:line="360" w:lineRule="auto"/>
        <w:rPr>
          <w:rFonts w:ascii="宋体" w:hAnsi="宋体" w:cs="宋体"/>
          <w:snapToGrid w:val="0"/>
          <w:kern w:val="28"/>
          <w:sz w:val="24"/>
          <w:szCs w:val="20"/>
          <w:highlight w:val="none"/>
        </w:rPr>
      </w:pP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15727802">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37BF66A1">
      <w:pPr>
        <w:spacing w:line="360" w:lineRule="auto"/>
        <w:ind w:firstLine="480" w:firstLineChars="200"/>
        <w:rPr>
          <w:rFonts w:ascii="宋体" w:hAnsi="宋体" w:cs="宋体"/>
          <w:sz w:val="24"/>
          <w:highlight w:val="none"/>
        </w:rPr>
      </w:pPr>
      <w:r>
        <w:rPr>
          <w:rFonts w:hAnsi="宋体" w:cs="宋体"/>
          <w:kern w:val="0"/>
          <w:sz w:val="24"/>
          <w:highlight w:val="none"/>
        </w:rPr>
        <w:sym w:font="Wingdings" w:char="00FE"/>
      </w:r>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p>
    <w:p w14:paraId="44C48C8A">
      <w:pPr>
        <w:spacing w:line="360" w:lineRule="auto"/>
        <w:ind w:firstLine="480" w:firstLineChars="200"/>
        <w:rPr>
          <w:rFonts w:ascii="宋体" w:hAnsi="宋体" w:cs="宋体"/>
          <w:sz w:val="24"/>
          <w:highlight w:val="none"/>
        </w:rPr>
      </w:pPr>
      <w:r>
        <w:rPr>
          <w:rFonts w:hint="eastAsia" w:ascii="MS Gothic" w:hAnsi="MS Gothic" w:eastAsia="MS Gothic" w:cs="宋体"/>
          <w:kern w:val="0"/>
          <w:sz w:val="24"/>
          <w:highlight w:val="none"/>
        </w:rPr>
        <w:t>☐</w:t>
      </w:r>
      <w:r>
        <w:rPr>
          <w:rFonts w:hint="eastAsia" w:ascii="宋体" w:hAnsi="宋体" w:cs="宋体"/>
          <w:kern w:val="0"/>
          <w:sz w:val="24"/>
          <w:highlight w:val="none"/>
        </w:rPr>
        <w:t>专</w:t>
      </w:r>
      <w:r>
        <w:rPr>
          <w:rFonts w:hint="eastAsia" w:ascii="宋体" w:hAnsi="宋体" w:cs="宋体"/>
          <w:sz w:val="24"/>
          <w:highlight w:val="none"/>
        </w:rPr>
        <w:t>门面向中小企业</w:t>
      </w:r>
    </w:p>
    <w:p w14:paraId="6DD100EC">
      <w:pPr>
        <w:spacing w:line="360" w:lineRule="auto"/>
        <w:ind w:firstLine="897" w:firstLineChars="374"/>
        <w:rPr>
          <w:rFonts w:ascii="宋体" w:hAnsi="宋体" w:cs="宋体"/>
          <w:sz w:val="24"/>
          <w:highlight w:val="none"/>
        </w:rPr>
      </w:pPr>
      <w:r>
        <w:rPr>
          <w:rFonts w:hint="eastAsia" w:ascii="MS Gothic" w:hAnsi="MS Gothic" w:eastAsia="MS Gothic" w:cs="宋体"/>
          <w:kern w:val="0"/>
          <w:sz w:val="24"/>
          <w:highlight w:val="none"/>
        </w:rPr>
        <w:t>☐</w:t>
      </w:r>
      <w:r>
        <w:rPr>
          <w:rFonts w:hint="eastAsia" w:ascii="宋体" w:hAnsi="宋体" w:cs="宋体"/>
          <w:sz w:val="24"/>
          <w:highlight w:val="none"/>
        </w:rPr>
        <w:t>服务全部由符合政策要求的中小企业承接，提供中小企业声明函；</w:t>
      </w:r>
    </w:p>
    <w:p w14:paraId="67222A5E">
      <w:pPr>
        <w:spacing w:line="360" w:lineRule="auto"/>
        <w:ind w:firstLine="897" w:firstLineChars="374"/>
        <w:rPr>
          <w:rFonts w:ascii="宋体" w:hAnsi="宋体" w:cs="宋体"/>
          <w:highlight w:val="none"/>
        </w:rPr>
      </w:pPr>
      <w:r>
        <w:rPr>
          <w:rFonts w:hint="eastAsia" w:ascii="宋体" w:hAnsi="宋体" w:cs="宋体"/>
          <w:kern w:val="0"/>
          <w:sz w:val="24"/>
          <w:highlight w:val="none"/>
        </w:rPr>
        <w:t>☐</w:t>
      </w:r>
      <w:r>
        <w:rPr>
          <w:rFonts w:hint="eastAsia" w:ascii="宋体" w:hAnsi="宋体" w:cs="宋体"/>
          <w:sz w:val="24"/>
          <w:highlight w:val="none"/>
        </w:rPr>
        <w:t>服务全部由符合政策要求的小微企业承接，提供中小企业声明函；</w:t>
      </w:r>
    </w:p>
    <w:p w14:paraId="5AD33FA8">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要求以联合体形式参加，提供联合协议和中小企业声明函，联合协议中中小企业合同金额应当达到%，其中小微企业合同金额应当达到%;</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highlight w:val="none"/>
        </w:rPr>
        <w:t>；</w:t>
      </w:r>
    </w:p>
    <w:p w14:paraId="26F3DA63">
      <w:pPr>
        <w:spacing w:line="360" w:lineRule="auto"/>
        <w:ind w:firstLine="480" w:firstLineChars="200"/>
        <w:rPr>
          <w:rFonts w:ascii="宋体" w:hAnsi="宋体" w:cs="宋体"/>
          <w:sz w:val="24"/>
          <w:highlight w:val="none"/>
        </w:rPr>
      </w:pPr>
      <w:r>
        <w:rPr>
          <w:rFonts w:ascii="宋体" w:hAnsi="宋体" w:cs="宋体"/>
          <w:kern w:val="0"/>
          <w:sz w:val="24"/>
          <w:highlight w:val="none"/>
        </w:rPr>
        <w:t>☐</w:t>
      </w:r>
      <w:r>
        <w:rPr>
          <w:rFonts w:hint="eastAsia" w:ascii="宋体" w:hAnsi="宋体" w:cs="宋体"/>
          <w:sz w:val="24"/>
          <w:highlight w:val="none"/>
        </w:rPr>
        <w:t>要求合同分包，提供分包意向协议和中小企业声明函，分包意向协议中中小企业合同金额应当达到达到</w:t>
      </w:r>
      <w:r>
        <w:rPr>
          <w:rFonts w:ascii="宋体" w:hAnsi="宋体" w:cs="宋体"/>
          <w:sz w:val="24"/>
          <w:highlight w:val="none"/>
        </w:rPr>
        <w:t xml:space="preserve">% </w:t>
      </w:r>
      <w:r>
        <w:rPr>
          <w:rFonts w:hint="eastAsia" w:ascii="宋体" w:hAnsi="宋体" w:cs="宋体"/>
          <w:sz w:val="24"/>
          <w:highlight w:val="none"/>
        </w:rPr>
        <w:t>，其中小微企业合同金额应当达到</w:t>
      </w:r>
      <w:r>
        <w:rPr>
          <w:rFonts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highlight w:val="none"/>
        </w:rPr>
        <w:t>；</w:t>
      </w:r>
    </w:p>
    <w:p w14:paraId="3AAFB2AF">
      <w:pPr>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.本项目的特定资格要求：无；</w:t>
      </w:r>
    </w:p>
    <w:p w14:paraId="3A391A7B">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F8F4874">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59ECDD5D">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2024年</w:t>
      </w:r>
      <w:r>
        <w:rPr>
          <w:rFonts w:hint="eastAsia" w:ascii="宋体" w:hAnsi="宋体" w:cs="宋体"/>
          <w:sz w:val="24"/>
          <w:highlight w:val="none"/>
          <w:u w:val="single"/>
          <w:lang w:val="en-US" w:eastAsia="zh-CN"/>
        </w:rPr>
        <w:t>8</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23</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14:paraId="4FED6CA9">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79017F7F">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244BB8D1">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112EBC7D">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6A3D43BB">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2024年</w:t>
      </w:r>
      <w:r>
        <w:rPr>
          <w:rFonts w:hint="eastAsia" w:ascii="宋体" w:hAnsi="宋体" w:cs="宋体"/>
          <w:sz w:val="24"/>
          <w:highlight w:val="none"/>
          <w:u w:val="single"/>
          <w:lang w:val="en-US" w:eastAsia="zh-CN"/>
        </w:rPr>
        <w:t>8</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23</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09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分00秒</w:t>
      </w:r>
      <w:r>
        <w:rPr>
          <w:rFonts w:hint="eastAsia" w:ascii="宋体" w:hAnsi="宋体" w:cs="宋体"/>
          <w:sz w:val="24"/>
          <w:highlight w:val="none"/>
        </w:rPr>
        <w:t>（北京时间）</w:t>
      </w:r>
    </w:p>
    <w:p w14:paraId="798DB4F0">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1C5020A8">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2024年</w:t>
      </w:r>
      <w:r>
        <w:rPr>
          <w:rFonts w:hint="eastAsia" w:ascii="宋体" w:hAnsi="宋体" w:cs="宋体"/>
          <w:sz w:val="24"/>
          <w:highlight w:val="none"/>
          <w:u w:val="single"/>
          <w:lang w:val="en-US" w:eastAsia="zh-CN"/>
        </w:rPr>
        <w:t>8</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23</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09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分00秒</w:t>
      </w:r>
    </w:p>
    <w:p w14:paraId="4342431F">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25D4350F">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51CFA9E6">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3F8DFB9C">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2F6C4229">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7BC4157B">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A86B135">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887E5B">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6EF7D90">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3E61FFCE">
      <w:pPr>
        <w:spacing w:line="360" w:lineRule="auto"/>
        <w:rPr>
          <w:rFonts w:ascii="宋体" w:hAnsi="宋体" w:cs="宋体"/>
          <w:sz w:val="24"/>
          <w:highlight w:val="none"/>
        </w:rPr>
      </w:pPr>
      <w:r>
        <w:rPr>
          <w:rFonts w:hint="eastAsia" w:ascii="宋体" w:hAnsi="宋体" w:cs="宋体"/>
          <w:sz w:val="24"/>
          <w:highlight w:val="none"/>
        </w:rPr>
        <w:t xml:space="preserve">    1.采购人信息</w:t>
      </w:r>
    </w:p>
    <w:p w14:paraId="1EEFDE7B">
      <w:pPr>
        <w:spacing w:line="360" w:lineRule="auto"/>
        <w:ind w:firstLine="480" w:firstLineChars="200"/>
        <w:rPr>
          <w:rFonts w:ascii="宋体" w:hAnsi="宋体" w:cs="宋体"/>
          <w:sz w:val="24"/>
          <w:highlight w:val="none"/>
        </w:rPr>
      </w:pPr>
      <w:r>
        <w:rPr>
          <w:rFonts w:hint="eastAsia" w:ascii="宋体" w:hAnsi="宋体" w:cs="宋体"/>
          <w:sz w:val="24"/>
          <w:highlight w:val="none"/>
        </w:rPr>
        <w:t>名称：</w:t>
      </w:r>
      <w:r>
        <w:rPr>
          <w:rFonts w:hint="eastAsia" w:ascii="宋体" w:hAnsi="宋体"/>
          <w:sz w:val="24"/>
          <w:highlight w:val="none"/>
        </w:rPr>
        <w:t>杭州市公安局交通警察支队</w:t>
      </w:r>
    </w:p>
    <w:p w14:paraId="7E6AB5F3">
      <w:pPr>
        <w:spacing w:line="360" w:lineRule="auto"/>
        <w:rPr>
          <w:rFonts w:ascii="宋体" w:hAnsi="宋体" w:cs="宋体"/>
          <w:sz w:val="24"/>
          <w:highlight w:val="none"/>
        </w:rPr>
      </w:pPr>
      <w:r>
        <w:rPr>
          <w:rFonts w:ascii="宋体" w:hAnsi="宋体" w:cs="宋体"/>
          <w:sz w:val="24"/>
          <w:highlight w:val="none"/>
        </w:rPr>
        <w:t xml:space="preserve">    地    址：</w:t>
      </w:r>
      <w:r>
        <w:rPr>
          <w:rFonts w:hint="eastAsia" w:ascii="宋体" w:hAnsi="宋体"/>
          <w:sz w:val="24"/>
          <w:highlight w:val="none"/>
        </w:rPr>
        <w:t>杭州市文晖路</w:t>
      </w:r>
      <w:r>
        <w:rPr>
          <w:rFonts w:ascii="宋体" w:hAnsi="宋体"/>
          <w:sz w:val="24"/>
          <w:highlight w:val="none"/>
        </w:rPr>
        <w:t>336号</w:t>
      </w:r>
    </w:p>
    <w:p w14:paraId="7254D5DF">
      <w:pPr>
        <w:spacing w:line="360" w:lineRule="auto"/>
        <w:ind w:firstLine="480"/>
        <w:rPr>
          <w:rFonts w:ascii="宋体" w:hAnsi="宋体" w:cs="宋体"/>
          <w:sz w:val="24"/>
          <w:highlight w:val="none"/>
        </w:rPr>
      </w:pPr>
      <w:r>
        <w:rPr>
          <w:rFonts w:hint="eastAsia" w:ascii="宋体" w:hAnsi="宋体" w:cs="宋体"/>
          <w:sz w:val="24"/>
          <w:highlight w:val="none"/>
        </w:rPr>
        <w:t>传真：</w:t>
      </w:r>
      <w:r>
        <w:rPr>
          <w:rFonts w:ascii="宋体" w:hAnsi="宋体" w:cs="宋体"/>
          <w:sz w:val="24"/>
          <w:highlight w:val="none"/>
        </w:rPr>
        <w:t xml:space="preserve"> /</w:t>
      </w:r>
    </w:p>
    <w:p w14:paraId="00F6B050">
      <w:pPr>
        <w:spacing w:line="360" w:lineRule="auto"/>
        <w:ind w:firstLine="480"/>
        <w:rPr>
          <w:rFonts w:ascii="宋体" w:hAnsi="宋体" w:cs="宋体"/>
          <w:sz w:val="24"/>
          <w:highlight w:val="none"/>
        </w:rPr>
      </w:pPr>
      <w:r>
        <w:rPr>
          <w:rFonts w:hint="eastAsia" w:ascii="宋体" w:hAnsi="宋体" w:cs="宋体"/>
          <w:sz w:val="24"/>
          <w:highlight w:val="none"/>
        </w:rPr>
        <w:t>项目联系人（询问）：</w:t>
      </w:r>
      <w:r>
        <w:rPr>
          <w:rFonts w:hint="eastAsia" w:ascii="宋体" w:hAnsi="宋体"/>
          <w:sz w:val="24"/>
          <w:highlight w:val="none"/>
        </w:rPr>
        <w:t>蒋斌</w:t>
      </w:r>
    </w:p>
    <w:p w14:paraId="4FA24B02">
      <w:pPr>
        <w:spacing w:line="360" w:lineRule="auto"/>
        <w:rPr>
          <w:rFonts w:ascii="宋体" w:hAnsi="宋体" w:cs="宋体"/>
          <w:sz w:val="24"/>
          <w:highlight w:val="none"/>
        </w:rPr>
      </w:pPr>
      <w:r>
        <w:rPr>
          <w:rFonts w:ascii="宋体" w:hAnsi="宋体" w:cs="宋体"/>
          <w:sz w:val="24"/>
          <w:highlight w:val="none"/>
        </w:rPr>
        <w:t xml:space="preserve">    项目联系方式（询问）：</w:t>
      </w:r>
      <w:r>
        <w:rPr>
          <w:rFonts w:ascii="宋体" w:hAnsi="宋体"/>
          <w:sz w:val="24"/>
          <w:highlight w:val="none"/>
        </w:rPr>
        <w:t>87282217</w:t>
      </w:r>
    </w:p>
    <w:p w14:paraId="1E1240C2">
      <w:pPr>
        <w:spacing w:line="360" w:lineRule="auto"/>
        <w:rPr>
          <w:rFonts w:ascii="宋体" w:hAnsi="宋体" w:cs="宋体"/>
          <w:sz w:val="24"/>
          <w:highlight w:val="none"/>
        </w:rPr>
      </w:pPr>
      <w:r>
        <w:rPr>
          <w:rFonts w:ascii="宋体" w:hAnsi="宋体" w:cs="宋体"/>
          <w:sz w:val="24"/>
          <w:highlight w:val="none"/>
        </w:rPr>
        <w:t xml:space="preserve">    质疑联系人：</w:t>
      </w:r>
      <w:r>
        <w:rPr>
          <w:rFonts w:hint="eastAsia" w:ascii="宋体" w:hAnsi="宋体"/>
          <w:sz w:val="24"/>
          <w:highlight w:val="none"/>
        </w:rPr>
        <w:t>郑红军</w:t>
      </w:r>
    </w:p>
    <w:p w14:paraId="0FA4C8F6">
      <w:pPr>
        <w:spacing w:line="360" w:lineRule="auto"/>
        <w:rPr>
          <w:rFonts w:ascii="宋体" w:hAnsi="宋体" w:cs="宋体"/>
          <w:sz w:val="24"/>
          <w:highlight w:val="none"/>
        </w:rPr>
      </w:pPr>
      <w:r>
        <w:rPr>
          <w:rFonts w:ascii="宋体" w:hAnsi="宋体" w:cs="宋体"/>
          <w:sz w:val="24"/>
          <w:highlight w:val="none"/>
        </w:rPr>
        <w:t xml:space="preserve">    质疑联系方式： </w:t>
      </w:r>
      <w:r>
        <w:rPr>
          <w:rFonts w:ascii="宋体" w:hAnsi="宋体"/>
          <w:sz w:val="24"/>
          <w:highlight w:val="none"/>
        </w:rPr>
        <w:t>87282209</w:t>
      </w:r>
    </w:p>
    <w:p w14:paraId="689DFC95">
      <w:pPr>
        <w:spacing w:line="360" w:lineRule="auto"/>
        <w:rPr>
          <w:rFonts w:ascii="宋体" w:hAnsi="宋体" w:cs="宋体"/>
          <w:sz w:val="24"/>
          <w:highlight w:val="none"/>
        </w:rPr>
      </w:pPr>
      <w:r>
        <w:rPr>
          <w:rFonts w:ascii="宋体" w:hAnsi="宋体" w:cs="宋体"/>
          <w:sz w:val="24"/>
          <w:highlight w:val="none"/>
        </w:rPr>
        <w:t xml:space="preserve">   2.采购代理机构信息            </w:t>
      </w:r>
    </w:p>
    <w:p w14:paraId="6E27FC31">
      <w:pPr>
        <w:spacing w:line="360" w:lineRule="auto"/>
        <w:ind w:firstLine="480"/>
        <w:rPr>
          <w:rFonts w:ascii="宋体" w:hAnsi="宋体" w:cs="宋体"/>
          <w:sz w:val="24"/>
          <w:highlight w:val="none"/>
        </w:rPr>
      </w:pPr>
      <w:r>
        <w:rPr>
          <w:rFonts w:hint="eastAsia" w:ascii="宋体" w:hAnsi="宋体" w:cs="宋体"/>
          <w:sz w:val="24"/>
          <w:highlight w:val="none"/>
        </w:rPr>
        <w:t>名称：</w:t>
      </w:r>
      <w:r>
        <w:rPr>
          <w:rFonts w:hint="eastAsia" w:ascii="宋体" w:hAnsi="宋体"/>
          <w:sz w:val="24"/>
          <w:highlight w:val="none"/>
        </w:rPr>
        <w:t>浙江信达咨询监理有限公司</w:t>
      </w:r>
    </w:p>
    <w:p w14:paraId="357157DB">
      <w:pPr>
        <w:spacing w:line="360" w:lineRule="auto"/>
        <w:ind w:firstLine="480"/>
        <w:rPr>
          <w:rFonts w:ascii="宋体" w:hAnsi="宋体" w:cs="宋体"/>
          <w:sz w:val="24"/>
          <w:highlight w:val="none"/>
        </w:rPr>
      </w:pPr>
      <w:r>
        <w:rPr>
          <w:rFonts w:hint="eastAsia" w:ascii="宋体" w:hAnsi="宋体" w:cs="宋体"/>
          <w:sz w:val="24"/>
          <w:highlight w:val="none"/>
        </w:rPr>
        <w:t>地址：</w:t>
      </w:r>
      <w:r>
        <w:rPr>
          <w:rFonts w:hint="eastAsia" w:ascii="宋体" w:hAnsi="宋体" w:cs="仿宋_GB2312"/>
          <w:sz w:val="24"/>
          <w:highlight w:val="none"/>
        </w:rPr>
        <w:t>杭州市德胜路</w:t>
      </w:r>
      <w:r>
        <w:rPr>
          <w:rFonts w:ascii="宋体" w:hAnsi="宋体" w:cs="仿宋_GB2312"/>
          <w:sz w:val="24"/>
          <w:highlight w:val="none"/>
        </w:rPr>
        <w:t>289号602；</w:t>
      </w:r>
    </w:p>
    <w:p w14:paraId="648BD35E">
      <w:pPr>
        <w:spacing w:line="360" w:lineRule="auto"/>
        <w:rPr>
          <w:rFonts w:ascii="宋体" w:hAnsi="宋体" w:cs="宋体"/>
          <w:sz w:val="24"/>
          <w:highlight w:val="none"/>
        </w:rPr>
      </w:pPr>
      <w:r>
        <w:rPr>
          <w:rFonts w:ascii="宋体" w:hAnsi="宋体" w:cs="宋体"/>
          <w:sz w:val="24"/>
          <w:highlight w:val="none"/>
        </w:rPr>
        <w:t xml:space="preserve">    传    真： /</w:t>
      </w:r>
    </w:p>
    <w:p w14:paraId="4C5C63E2">
      <w:pPr>
        <w:spacing w:line="360" w:lineRule="auto"/>
        <w:rPr>
          <w:rFonts w:ascii="宋体" w:hAnsi="宋体" w:cs="宋体"/>
          <w:sz w:val="24"/>
          <w:highlight w:val="none"/>
        </w:rPr>
      </w:pPr>
      <w:r>
        <w:rPr>
          <w:rFonts w:ascii="宋体" w:hAnsi="宋体" w:cs="宋体"/>
          <w:sz w:val="24"/>
          <w:highlight w:val="none"/>
        </w:rPr>
        <w:t xml:space="preserve">    项目联系人（询问）： </w:t>
      </w:r>
      <w:r>
        <w:rPr>
          <w:rFonts w:hint="eastAsia" w:ascii="宋体" w:hAnsi="宋体" w:cs="宋体"/>
          <w:sz w:val="24"/>
          <w:highlight w:val="none"/>
        </w:rPr>
        <w:t>沈州</w:t>
      </w:r>
    </w:p>
    <w:p w14:paraId="322C7A13">
      <w:pPr>
        <w:spacing w:line="360" w:lineRule="auto"/>
        <w:rPr>
          <w:rFonts w:ascii="宋体" w:hAnsi="宋体" w:cs="宋体"/>
          <w:sz w:val="24"/>
          <w:highlight w:val="none"/>
        </w:rPr>
      </w:pPr>
      <w:r>
        <w:rPr>
          <w:rFonts w:ascii="宋体" w:hAnsi="宋体" w:cs="宋体"/>
          <w:sz w:val="24"/>
          <w:highlight w:val="none"/>
        </w:rPr>
        <w:t xml:space="preserve">    项目联系方式（询问）：13666623146</w:t>
      </w:r>
    </w:p>
    <w:p w14:paraId="0D5E301A">
      <w:pPr>
        <w:spacing w:line="360" w:lineRule="auto"/>
        <w:rPr>
          <w:rFonts w:ascii="宋体" w:hAnsi="宋体" w:cs="宋体"/>
          <w:sz w:val="24"/>
          <w:highlight w:val="none"/>
        </w:rPr>
      </w:pPr>
      <w:r>
        <w:rPr>
          <w:rFonts w:ascii="宋体" w:hAnsi="宋体" w:cs="宋体"/>
          <w:sz w:val="24"/>
          <w:highlight w:val="none"/>
        </w:rPr>
        <w:t xml:space="preserve">    质疑联系人： </w:t>
      </w:r>
      <w:r>
        <w:rPr>
          <w:rFonts w:hint="eastAsia" w:ascii="宋体" w:hAnsi="宋体" w:cs="宋体"/>
          <w:sz w:val="24"/>
          <w:highlight w:val="none"/>
        </w:rPr>
        <w:t>吴秀琴</w:t>
      </w:r>
    </w:p>
    <w:p w14:paraId="18B5EAAA">
      <w:pPr>
        <w:spacing w:line="360" w:lineRule="auto"/>
        <w:rPr>
          <w:rFonts w:ascii="宋体" w:hAnsi="宋体" w:cs="宋体"/>
          <w:sz w:val="24"/>
          <w:highlight w:val="none"/>
        </w:rPr>
      </w:pPr>
      <w:r>
        <w:rPr>
          <w:rFonts w:ascii="宋体" w:hAnsi="宋体" w:cs="宋体"/>
          <w:sz w:val="24"/>
          <w:highlight w:val="none"/>
        </w:rPr>
        <w:t xml:space="preserve">    质疑联系方式：1358800576</w:t>
      </w:r>
    </w:p>
    <w:p w14:paraId="509F356F">
      <w:pPr>
        <w:spacing w:line="360" w:lineRule="auto"/>
        <w:rPr>
          <w:rFonts w:ascii="宋体" w:hAnsi="宋体" w:cs="宋体"/>
          <w:sz w:val="24"/>
          <w:highlight w:val="none"/>
        </w:rPr>
      </w:pPr>
      <w:r>
        <w:rPr>
          <w:rFonts w:hint="eastAsia" w:ascii="宋体" w:hAnsi="宋体" w:cs="宋体"/>
          <w:sz w:val="24"/>
          <w:highlight w:val="none"/>
        </w:rPr>
        <w:t xml:space="preserve">    3.同级政府采购监督管理部门            </w:t>
      </w:r>
    </w:p>
    <w:p w14:paraId="09FD2896">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名    称：杭州市财政局政府采购监管处 /浙江省政府采购行政裁决服务中心（杭州）</w:t>
      </w:r>
    </w:p>
    <w:p w14:paraId="32822533">
      <w:pPr>
        <w:spacing w:line="360" w:lineRule="auto"/>
        <w:rPr>
          <w:rFonts w:ascii="宋体" w:hAnsi="宋体" w:cs="宋体"/>
          <w:sz w:val="24"/>
          <w:highlight w:val="none"/>
        </w:rPr>
      </w:pPr>
      <w:r>
        <w:rPr>
          <w:rFonts w:hint="eastAsia" w:ascii="宋体" w:hAnsi="宋体" w:cs="宋体"/>
          <w:sz w:val="24"/>
          <w:highlight w:val="none"/>
        </w:rPr>
        <w:t xml:space="preserve">    地    址：杭州市上城区四季青街道新业路市民之家G03办公室 </w:t>
      </w:r>
    </w:p>
    <w:p w14:paraId="6890405A">
      <w:pPr>
        <w:spacing w:line="360" w:lineRule="auto"/>
        <w:rPr>
          <w:rFonts w:ascii="宋体" w:hAnsi="宋体" w:cs="宋体"/>
          <w:sz w:val="24"/>
          <w:highlight w:val="none"/>
        </w:rPr>
      </w:pPr>
      <w:r>
        <w:rPr>
          <w:rFonts w:hint="eastAsia" w:ascii="宋体" w:hAnsi="宋体" w:cs="宋体"/>
          <w:sz w:val="24"/>
          <w:highlight w:val="none"/>
        </w:rPr>
        <w:t xml:space="preserve">    传    真： /</w:t>
      </w:r>
    </w:p>
    <w:p w14:paraId="049CAE74">
      <w:pPr>
        <w:spacing w:line="360" w:lineRule="auto"/>
        <w:rPr>
          <w:rFonts w:ascii="宋体" w:hAnsi="宋体" w:cs="宋体"/>
          <w:sz w:val="24"/>
          <w:highlight w:val="none"/>
        </w:rPr>
      </w:pPr>
      <w:r>
        <w:rPr>
          <w:rFonts w:hint="eastAsia" w:ascii="宋体" w:hAnsi="宋体" w:cs="宋体"/>
          <w:sz w:val="24"/>
          <w:highlight w:val="none"/>
        </w:rPr>
        <w:t xml:space="preserve">    联系人 ：朱女士、王女士</w:t>
      </w:r>
    </w:p>
    <w:p w14:paraId="55E06AEC">
      <w:pPr>
        <w:spacing w:line="360" w:lineRule="auto"/>
        <w:ind w:firstLine="480"/>
        <w:rPr>
          <w:rFonts w:ascii="宋体" w:hAnsi="宋体" w:cs="宋体"/>
          <w:sz w:val="24"/>
          <w:highlight w:val="none"/>
        </w:rPr>
      </w:pPr>
      <w:r>
        <w:rPr>
          <w:rFonts w:hint="eastAsia" w:ascii="宋体" w:hAnsi="宋体" w:cs="宋体"/>
          <w:sz w:val="24"/>
          <w:highlight w:val="none"/>
        </w:rPr>
        <w:t xml:space="preserve">监督投诉电话：电话：0571-85252453   </w:t>
      </w:r>
    </w:p>
    <w:p w14:paraId="55317F15">
      <w:pPr>
        <w:spacing w:line="360" w:lineRule="auto"/>
        <w:ind w:firstLine="480"/>
        <w:rPr>
          <w:rFonts w:ascii="宋体" w:hAnsi="宋体" w:cs="宋体"/>
          <w:sz w:val="24"/>
          <w:highlight w:val="none"/>
        </w:rPr>
      </w:pPr>
      <w:r>
        <w:rPr>
          <w:rFonts w:hint="eastAsia" w:ascii="宋体" w:hAnsi="宋体" w:cs="宋体"/>
          <w:sz w:val="24"/>
          <w:highlight w:val="none"/>
        </w:rPr>
        <w:t>政策咨询：陈先生、钟先生，0571-89580460、89580456</w:t>
      </w:r>
    </w:p>
    <w:p w14:paraId="7A1B3B0E">
      <w:pPr>
        <w:spacing w:line="360" w:lineRule="auto"/>
        <w:ind w:firstLine="48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44E03F69">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29829BFD">
      <w:pPr>
        <w:widowControl/>
        <w:adjustRightInd/>
        <w:jc w:val="left"/>
        <w:rPr>
          <w:rFonts w:ascii="宋体" w:hAnsi="宋体" w:cs="宋体"/>
          <w:b/>
          <w:sz w:val="36"/>
          <w:szCs w:val="20"/>
          <w:highlight w:val="none"/>
        </w:rPr>
      </w:pPr>
      <w:r>
        <w:rPr>
          <w:rFonts w:ascii="宋体" w:hAnsi="宋体" w:cs="宋体"/>
          <w:b/>
          <w:sz w:val="36"/>
          <w:szCs w:val="20"/>
          <w:highlight w:val="none"/>
        </w:rPr>
        <w:br w:type="page"/>
      </w:r>
    </w:p>
    <w:p w14:paraId="677FD2EC">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14:paraId="074716FB">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2"/>
        <w:tblW w:w="100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37"/>
        <w:gridCol w:w="2159"/>
        <w:gridCol w:w="7144"/>
      </w:tblGrid>
      <w:tr w14:paraId="315FF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737" w:type="dxa"/>
            <w:tcBorders>
              <w:top w:val="single" w:color="auto" w:sz="4" w:space="0"/>
              <w:left w:val="single" w:color="auto" w:sz="4" w:space="0"/>
              <w:bottom w:val="single" w:color="auto" w:sz="4" w:space="0"/>
              <w:right w:val="single" w:color="auto" w:sz="4" w:space="0"/>
            </w:tcBorders>
          </w:tcPr>
          <w:p w14:paraId="745E15A4">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2159" w:type="dxa"/>
            <w:tcBorders>
              <w:top w:val="single" w:color="000000" w:sz="8" w:space="0"/>
              <w:left w:val="single" w:color="auto" w:sz="4" w:space="0"/>
              <w:bottom w:val="single" w:color="000000" w:sz="8" w:space="0"/>
              <w:right w:val="single" w:color="000000" w:sz="8" w:space="0"/>
            </w:tcBorders>
            <w:vAlign w:val="center"/>
          </w:tcPr>
          <w:p w14:paraId="151E3B9A">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7144" w:type="dxa"/>
            <w:tcBorders>
              <w:top w:val="single" w:color="000000" w:sz="8" w:space="0"/>
              <w:left w:val="single" w:color="000000" w:sz="2" w:space="0"/>
              <w:bottom w:val="single" w:color="000000" w:sz="8" w:space="0"/>
              <w:right w:val="single" w:color="000000" w:sz="8" w:space="0"/>
            </w:tcBorders>
            <w:vAlign w:val="center"/>
          </w:tcPr>
          <w:p w14:paraId="118100BB">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47848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737" w:type="dxa"/>
            <w:tcBorders>
              <w:top w:val="single" w:color="auto" w:sz="4" w:space="0"/>
              <w:left w:val="single" w:color="auto" w:sz="4" w:space="0"/>
              <w:bottom w:val="single" w:color="auto" w:sz="4" w:space="0"/>
              <w:right w:val="single" w:color="auto" w:sz="4" w:space="0"/>
            </w:tcBorders>
            <w:vAlign w:val="center"/>
          </w:tcPr>
          <w:p w14:paraId="19818A85">
            <w:pPr>
              <w:snapToGrid w:val="0"/>
              <w:spacing w:line="360" w:lineRule="auto"/>
              <w:jc w:val="center"/>
              <w:rPr>
                <w:rFonts w:ascii="宋体" w:hAnsi="宋体" w:cs="宋体"/>
                <w:sz w:val="24"/>
                <w:highlight w:val="none"/>
              </w:rPr>
            </w:pPr>
          </w:p>
          <w:p w14:paraId="2F80CAA4">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2159" w:type="dxa"/>
            <w:tcBorders>
              <w:top w:val="single" w:color="000000" w:sz="8" w:space="0"/>
              <w:left w:val="single" w:color="auto" w:sz="4" w:space="0"/>
              <w:bottom w:val="single" w:color="000000" w:sz="8" w:space="0"/>
              <w:right w:val="single" w:color="000000" w:sz="8" w:space="0"/>
            </w:tcBorders>
            <w:vAlign w:val="center"/>
          </w:tcPr>
          <w:p w14:paraId="3F56C6F9">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w:t>
            </w:r>
          </w:p>
        </w:tc>
        <w:tc>
          <w:tcPr>
            <w:tcW w:w="7144" w:type="dxa"/>
            <w:tcBorders>
              <w:top w:val="single" w:color="000000" w:sz="8" w:space="0"/>
              <w:left w:val="single" w:color="000000" w:sz="2" w:space="0"/>
              <w:bottom w:val="single" w:color="000000" w:sz="8" w:space="0"/>
              <w:right w:val="single" w:color="000000" w:sz="8" w:space="0"/>
            </w:tcBorders>
            <w:vAlign w:val="center"/>
          </w:tcPr>
          <w:p w14:paraId="52882EAF">
            <w:pPr>
              <w:snapToGrid w:val="0"/>
              <w:spacing w:line="360" w:lineRule="auto"/>
              <w:rPr>
                <w:rFonts w:ascii="宋体" w:hAnsi="宋体" w:cs="宋体"/>
                <w:sz w:val="24"/>
                <w:highlight w:val="none"/>
              </w:rPr>
            </w:pPr>
            <w:r>
              <w:rPr>
                <w:rFonts w:hint="eastAsia" w:ascii="宋体" w:hAnsi="宋体" w:cs="宋体"/>
                <w:sz w:val="24"/>
                <w:highlight w:val="none"/>
              </w:rPr>
              <w:t>服务类。</w:t>
            </w:r>
          </w:p>
        </w:tc>
      </w:tr>
      <w:tr w14:paraId="58AD1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737" w:type="dxa"/>
            <w:tcBorders>
              <w:top w:val="single" w:color="auto" w:sz="4" w:space="0"/>
              <w:left w:val="single" w:color="auto" w:sz="4" w:space="0"/>
              <w:bottom w:val="single" w:color="auto" w:sz="4" w:space="0"/>
              <w:right w:val="single" w:color="auto" w:sz="4" w:space="0"/>
            </w:tcBorders>
            <w:vAlign w:val="center"/>
          </w:tcPr>
          <w:p w14:paraId="2B73B945">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2159" w:type="dxa"/>
            <w:tcBorders>
              <w:top w:val="single" w:color="000000" w:sz="8" w:space="0"/>
              <w:left w:val="single" w:color="auto" w:sz="4" w:space="0"/>
              <w:bottom w:val="single" w:color="000000" w:sz="8" w:space="0"/>
              <w:right w:val="single" w:color="000000" w:sz="8" w:space="0"/>
            </w:tcBorders>
            <w:vAlign w:val="center"/>
          </w:tcPr>
          <w:p w14:paraId="5DD3505B">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7144" w:type="dxa"/>
            <w:tcBorders>
              <w:top w:val="single" w:color="000000" w:sz="8" w:space="0"/>
              <w:left w:val="single" w:color="000000" w:sz="2" w:space="0"/>
              <w:bottom w:val="single" w:color="000000" w:sz="8" w:space="0"/>
              <w:right w:val="single" w:color="000000" w:sz="8" w:space="0"/>
            </w:tcBorders>
            <w:vAlign w:val="center"/>
          </w:tcPr>
          <w:p w14:paraId="7A5DEEB9">
            <w:pPr>
              <w:numPr>
                <w:ilvl w:val="0"/>
                <w:numId w:val="1"/>
              </w:numPr>
              <w:snapToGrid w:val="0"/>
              <w:spacing w:line="360" w:lineRule="auto"/>
              <w:rPr>
                <w:rFonts w:ascii="宋体" w:hAnsi="宋体" w:cs="宋体"/>
                <w:kern w:val="0"/>
                <w:sz w:val="24"/>
                <w:highlight w:val="none"/>
              </w:rPr>
            </w:pPr>
            <w:r>
              <w:rPr>
                <w:rFonts w:hint="eastAsia" w:ascii="宋体" w:hAnsi="宋体" w:cs="宋体"/>
                <w:kern w:val="0"/>
                <w:sz w:val="24"/>
                <w:highlight w:val="none"/>
              </w:rPr>
              <w:t>标的：</w:t>
            </w:r>
            <w:r>
              <w:rPr>
                <w:rFonts w:hint="eastAsia" w:ascii="宋体" w:hAnsi="宋体" w:cs="宋体"/>
                <w:sz w:val="24"/>
                <w:highlight w:val="none"/>
                <w:u w:val="single"/>
              </w:rPr>
              <w:t>2024年杭州交警业务系统使用服务-2024年杭州交警网络及数据安全运维服务</w:t>
            </w:r>
            <w:r>
              <w:rPr>
                <w:rFonts w:hint="eastAsia" w:ascii="宋体" w:hAnsi="宋体" w:cs="宋体"/>
                <w:kern w:val="0"/>
                <w:sz w:val="24"/>
                <w:highlight w:val="none"/>
              </w:rPr>
              <w:t>，属于</w:t>
            </w:r>
            <w:r>
              <w:rPr>
                <w:rFonts w:hint="eastAsia" w:ascii="宋体" w:hAnsi="宋体" w:cs="宋体"/>
                <w:kern w:val="0"/>
                <w:sz w:val="24"/>
                <w:highlight w:val="none"/>
                <w:u w:val="single"/>
              </w:rPr>
              <w:t>软件和信息技术服务</w:t>
            </w:r>
            <w:r>
              <w:rPr>
                <w:rFonts w:hint="eastAsia" w:ascii="宋体" w:hAnsi="宋体" w:cs="宋体"/>
                <w:kern w:val="0"/>
                <w:sz w:val="24"/>
                <w:highlight w:val="none"/>
              </w:rPr>
              <w:t>行业；中小企业划分标准为：从业人员</w:t>
            </w:r>
            <w:r>
              <w:rPr>
                <w:rFonts w:ascii="宋体" w:hAnsi="宋体" w:cs="宋体"/>
                <w:kern w:val="0"/>
                <w:sz w:val="24"/>
                <w:highlight w:val="none"/>
              </w:rPr>
              <w:t xml:space="preserve"> 300 </w:t>
            </w:r>
            <w:r>
              <w:rPr>
                <w:rFonts w:hint="eastAsia" w:ascii="宋体" w:hAnsi="宋体" w:cs="宋体"/>
                <w:kern w:val="0"/>
                <w:sz w:val="24"/>
                <w:highlight w:val="none"/>
              </w:rPr>
              <w:t>人以下或营业收入</w:t>
            </w:r>
            <w:r>
              <w:rPr>
                <w:rFonts w:ascii="宋体" w:hAnsi="宋体" w:cs="宋体"/>
                <w:kern w:val="0"/>
                <w:sz w:val="24"/>
                <w:highlight w:val="none"/>
              </w:rPr>
              <w:t xml:space="preserve"> 10000万元以下的为中小微型企业。其中，从业人员 100人及以上，且营业收入 1000万元及以上的为中型企业;从业人员10人及以上，且营业收入 50万元及以上的为小型企业;从业人员 10人以下或营业收入50 </w:t>
            </w:r>
            <w:r>
              <w:rPr>
                <w:rFonts w:hint="eastAsia" w:ascii="宋体" w:hAnsi="宋体" w:cs="宋体"/>
                <w:kern w:val="0"/>
                <w:sz w:val="24"/>
                <w:highlight w:val="none"/>
              </w:rPr>
              <w:t>万元以下的为微型企业。</w:t>
            </w:r>
          </w:p>
        </w:tc>
      </w:tr>
      <w:tr w14:paraId="725E7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737" w:type="dxa"/>
            <w:tcBorders>
              <w:top w:val="single" w:color="auto" w:sz="4" w:space="0"/>
              <w:left w:val="single" w:color="auto" w:sz="4" w:space="0"/>
              <w:bottom w:val="single" w:color="auto" w:sz="4" w:space="0"/>
              <w:right w:val="single" w:color="auto" w:sz="4" w:space="0"/>
            </w:tcBorders>
            <w:vAlign w:val="center"/>
          </w:tcPr>
          <w:p w14:paraId="44EC9899">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2159" w:type="dxa"/>
            <w:tcBorders>
              <w:top w:val="single" w:color="000000" w:sz="8" w:space="0"/>
              <w:left w:val="single" w:color="auto" w:sz="4" w:space="0"/>
              <w:bottom w:val="single" w:color="000000" w:sz="8" w:space="0"/>
              <w:right w:val="single" w:color="000000" w:sz="8" w:space="0"/>
            </w:tcBorders>
            <w:vAlign w:val="center"/>
          </w:tcPr>
          <w:p w14:paraId="5E7A9410">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7144" w:type="dxa"/>
            <w:tcBorders>
              <w:top w:val="single" w:color="000000" w:sz="8" w:space="0"/>
              <w:left w:val="single" w:color="000000" w:sz="2" w:space="0"/>
              <w:bottom w:val="single" w:color="000000" w:sz="8" w:space="0"/>
              <w:right w:val="single" w:color="000000" w:sz="8" w:space="0"/>
            </w:tcBorders>
            <w:vAlign w:val="center"/>
          </w:tcPr>
          <w:p w14:paraId="12529ECB">
            <w:pPr>
              <w:snapToGrid w:val="0"/>
              <w:spacing w:line="360" w:lineRule="auto"/>
              <w:rPr>
                <w:rFonts w:ascii="宋体" w:hAnsi="宋体" w:cs="宋体"/>
                <w:kern w:val="0"/>
                <w:sz w:val="24"/>
                <w:highlight w:val="none"/>
              </w:rPr>
            </w:pPr>
            <w:r>
              <w:rPr>
                <w:rFonts w:hAnsi="宋体" w:cs="宋体"/>
                <w:kern w:val="0"/>
                <w:sz w:val="24"/>
                <w:highlight w:val="none"/>
              </w:rPr>
              <w:sym w:font="Wingdings" w:char="00FE"/>
            </w:r>
            <w:r>
              <w:rPr>
                <w:rFonts w:hint="eastAsia" w:ascii="宋体" w:hAnsi="宋体" w:cs="宋体"/>
                <w:kern w:val="0"/>
                <w:sz w:val="24"/>
                <w:highlight w:val="none"/>
              </w:rPr>
              <w:t>本项目不允许采购进口产品。</w:t>
            </w:r>
          </w:p>
          <w:p w14:paraId="38F56091">
            <w:pPr>
              <w:snapToGrid w:val="0"/>
              <w:spacing w:line="360" w:lineRule="auto"/>
              <w:rPr>
                <w:rFonts w:ascii="宋体" w:hAnsi="宋体" w:cs="宋体"/>
                <w:highlight w:val="none"/>
              </w:rPr>
            </w:pPr>
            <w:r>
              <w:rPr>
                <w:rFonts w:hint="eastAsia" w:ascii="宋体" w:hAnsi="宋体" w:cs="宋体"/>
                <w:kern w:val="0"/>
                <w:sz w:val="24"/>
                <w:highlight w:val="none"/>
              </w:rPr>
              <w:t>☐可以就采购进口产品。</w:t>
            </w:r>
          </w:p>
        </w:tc>
      </w:tr>
      <w:tr w14:paraId="7E2CB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737" w:type="dxa"/>
            <w:tcBorders>
              <w:top w:val="single" w:color="auto" w:sz="4" w:space="0"/>
              <w:left w:val="single" w:color="auto" w:sz="4" w:space="0"/>
              <w:bottom w:val="single" w:color="auto" w:sz="4" w:space="0"/>
              <w:right w:val="single" w:color="auto" w:sz="4" w:space="0"/>
            </w:tcBorders>
            <w:vAlign w:val="center"/>
          </w:tcPr>
          <w:p w14:paraId="0D6B616D">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2159" w:type="dxa"/>
            <w:tcBorders>
              <w:top w:val="single" w:color="000000" w:sz="8" w:space="0"/>
              <w:left w:val="single" w:color="auto" w:sz="4" w:space="0"/>
              <w:bottom w:val="single" w:color="000000" w:sz="8" w:space="0"/>
              <w:right w:val="single" w:color="000000" w:sz="8" w:space="0"/>
            </w:tcBorders>
            <w:vAlign w:val="center"/>
          </w:tcPr>
          <w:p w14:paraId="054E28CE">
            <w:pPr>
              <w:snapToGrid w:val="0"/>
              <w:spacing w:line="360" w:lineRule="auto"/>
              <w:ind w:firstLine="482" w:firstLineChars="200"/>
              <w:jc w:val="center"/>
              <w:rPr>
                <w:rFonts w:ascii="宋体" w:hAnsi="宋体" w:cs="宋体"/>
                <w:b/>
                <w:sz w:val="24"/>
                <w:highlight w:val="none"/>
              </w:rPr>
            </w:pPr>
            <w:r>
              <w:rPr>
                <w:rFonts w:hint="eastAsia" w:ascii="宋体" w:hAnsi="宋体" w:cs="宋体"/>
                <w:b/>
                <w:sz w:val="24"/>
                <w:highlight w:val="none"/>
              </w:rPr>
              <w:t>分包</w:t>
            </w:r>
          </w:p>
        </w:tc>
        <w:tc>
          <w:tcPr>
            <w:tcW w:w="7144" w:type="dxa"/>
            <w:tcBorders>
              <w:top w:val="single" w:color="000000" w:sz="8" w:space="0"/>
              <w:left w:val="single" w:color="000000" w:sz="2" w:space="0"/>
              <w:bottom w:val="single" w:color="000000" w:sz="8" w:space="0"/>
              <w:right w:val="single" w:color="000000" w:sz="8" w:space="0"/>
            </w:tcBorders>
            <w:vAlign w:val="center"/>
          </w:tcPr>
          <w:p w14:paraId="1385EE54">
            <w:pPr>
              <w:snapToGrid w:val="0"/>
              <w:spacing w:line="360" w:lineRule="auto"/>
              <w:rPr>
                <w:rFonts w:ascii="宋体" w:hAnsi="宋体" w:cs="宋体"/>
                <w:sz w:val="24"/>
                <w:highlight w:val="none"/>
              </w:rPr>
            </w:pPr>
            <w:r>
              <w:rPr>
                <w:rFonts w:hAnsi="宋体" w:cs="宋体"/>
                <w:kern w:val="0"/>
                <w:sz w:val="24"/>
                <w:highlight w:val="none"/>
              </w:rPr>
              <w:sym w:font="Wingdings" w:char="00FE"/>
            </w:r>
            <w:r>
              <w:rPr>
                <w:rFonts w:hint="eastAsia" w:ascii="宋体" w:hAnsi="宋体" w:cs="宋体"/>
                <w:kern w:val="0"/>
                <w:sz w:val="24"/>
                <w:highlight w:val="none"/>
              </w:rPr>
              <w:t xml:space="preserve"> A</w:t>
            </w:r>
            <w:r>
              <w:rPr>
                <w:rFonts w:hint="eastAsia" w:ascii="宋体" w:hAnsi="宋体" w:cs="宋体"/>
                <w:sz w:val="24"/>
                <w:highlight w:val="none"/>
              </w:rPr>
              <w:t>同意将非主体、非关键性的</w:t>
            </w:r>
            <w:r>
              <w:rPr>
                <w:rFonts w:hint="eastAsia" w:ascii="宋体" w:hAnsi="宋体" w:cs="宋体"/>
                <w:b/>
                <w:sz w:val="24"/>
                <w:highlight w:val="none"/>
                <w:u w:val="single"/>
              </w:rPr>
              <w:t>安全加固及应用迁移改造服务、城市货运导航数据运营服务</w:t>
            </w:r>
            <w:r>
              <w:rPr>
                <w:rFonts w:hint="eastAsia" w:ascii="宋体" w:hAnsi="宋体" w:cs="宋体"/>
                <w:sz w:val="24"/>
                <w:highlight w:val="none"/>
              </w:rPr>
              <w:t>工作分包。</w:t>
            </w:r>
          </w:p>
          <w:p w14:paraId="25D7D320">
            <w:pPr>
              <w:snapToGrid w:val="0"/>
              <w:spacing w:line="360" w:lineRule="auto"/>
              <w:rPr>
                <w:rFonts w:ascii="宋体" w:hAnsi="宋体" w:cs="宋体"/>
                <w:sz w:val="24"/>
                <w:highlight w:val="none"/>
              </w:rPr>
            </w:pPr>
            <w:r>
              <w:rPr>
                <w:rFonts w:hint="eastAsia" w:ascii="MS Gothic" w:hAnsi="MS Gothic" w:cs="宋体"/>
                <w:kern w:val="0"/>
                <w:sz w:val="24"/>
                <w:highlight w:val="none"/>
              </w:rPr>
              <w:t>☐</w:t>
            </w:r>
            <w:r>
              <w:rPr>
                <w:rFonts w:hint="eastAsia" w:ascii="宋体" w:hAnsi="宋体" w:cs="宋体"/>
                <w:kern w:val="0"/>
                <w:sz w:val="24"/>
                <w:highlight w:val="none"/>
              </w:rPr>
              <w:t xml:space="preserve"> B</w:t>
            </w:r>
            <w:r>
              <w:rPr>
                <w:rFonts w:hint="eastAsia" w:ascii="宋体" w:hAnsi="宋体" w:cs="宋体"/>
                <w:sz w:val="24"/>
                <w:highlight w:val="none"/>
              </w:rPr>
              <w:t>不同意分包。</w:t>
            </w:r>
          </w:p>
          <w:p w14:paraId="4E263C03">
            <w:pPr>
              <w:snapToGrid w:val="0"/>
              <w:spacing w:line="360" w:lineRule="auto"/>
              <w:rPr>
                <w:rFonts w:ascii="宋体" w:hAnsi="宋体" w:cs="宋体"/>
                <w:sz w:val="24"/>
                <w:highlight w:val="none"/>
              </w:rPr>
            </w:pPr>
            <w:r>
              <w:rPr>
                <w:rFonts w:hint="eastAsia" w:ascii="宋体" w:hAnsi="宋体" w:cs="宋体"/>
                <w:sz w:val="24"/>
                <w:highlight w:val="none"/>
              </w:rPr>
              <w:t>注：不得限制大中型企业向小微企业合理分包。</w:t>
            </w:r>
          </w:p>
        </w:tc>
      </w:tr>
      <w:tr w14:paraId="0BF10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737" w:type="dxa"/>
            <w:tcBorders>
              <w:top w:val="single" w:color="auto" w:sz="4" w:space="0"/>
              <w:left w:val="single" w:color="auto" w:sz="4" w:space="0"/>
              <w:bottom w:val="single" w:color="auto" w:sz="4" w:space="0"/>
              <w:right w:val="single" w:color="auto" w:sz="4" w:space="0"/>
            </w:tcBorders>
            <w:vAlign w:val="center"/>
          </w:tcPr>
          <w:p w14:paraId="297F9A19">
            <w:pPr>
              <w:snapToGrid w:val="0"/>
              <w:spacing w:line="360" w:lineRule="auto"/>
              <w:jc w:val="center"/>
              <w:rPr>
                <w:rFonts w:ascii="宋体" w:hAnsi="宋体" w:cs="宋体"/>
                <w:sz w:val="24"/>
                <w:highlight w:val="none"/>
              </w:rPr>
            </w:pPr>
          </w:p>
          <w:p w14:paraId="76014E6A">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2159" w:type="dxa"/>
            <w:tcBorders>
              <w:top w:val="single" w:color="000000" w:sz="8" w:space="0"/>
              <w:left w:val="single" w:color="auto" w:sz="4" w:space="0"/>
              <w:bottom w:val="single" w:color="000000" w:sz="8" w:space="0"/>
              <w:right w:val="single" w:color="000000" w:sz="8" w:space="0"/>
            </w:tcBorders>
            <w:vAlign w:val="center"/>
          </w:tcPr>
          <w:p w14:paraId="7C16865C">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7144" w:type="dxa"/>
            <w:tcBorders>
              <w:top w:val="single" w:color="000000" w:sz="8" w:space="0"/>
              <w:left w:val="single" w:color="000000" w:sz="2" w:space="0"/>
              <w:bottom w:val="single" w:color="000000" w:sz="8" w:space="0"/>
              <w:right w:val="single" w:color="000000" w:sz="8" w:space="0"/>
            </w:tcBorders>
            <w:vAlign w:val="center"/>
          </w:tcPr>
          <w:p w14:paraId="18B8F870">
            <w:pPr>
              <w:snapToGrid w:val="0"/>
              <w:spacing w:line="360" w:lineRule="auto"/>
              <w:rPr>
                <w:rFonts w:ascii="宋体" w:hAnsi="宋体" w:cs="宋体"/>
                <w:sz w:val="24"/>
                <w:highlight w:val="none"/>
              </w:rPr>
            </w:pPr>
            <w:r>
              <w:rPr>
                <w:rFonts w:hAnsi="宋体" w:cs="宋体"/>
                <w:kern w:val="0"/>
                <w:sz w:val="24"/>
                <w:highlight w:val="none"/>
              </w:rPr>
              <w:sym w:font="Wingdings" w:char="00FE"/>
            </w:r>
            <w:r>
              <w:rPr>
                <w:rFonts w:hint="eastAsia" w:ascii="宋体" w:hAnsi="宋体" w:cs="宋体"/>
                <w:kern w:val="0"/>
                <w:sz w:val="24"/>
                <w:highlight w:val="none"/>
              </w:rPr>
              <w:t>A</w:t>
            </w:r>
            <w:r>
              <w:rPr>
                <w:rFonts w:hint="eastAsia" w:ascii="宋体" w:hAnsi="宋体" w:cs="宋体"/>
                <w:sz w:val="24"/>
                <w:highlight w:val="none"/>
              </w:rPr>
              <w:t>不组织。</w:t>
            </w:r>
          </w:p>
          <w:p w14:paraId="280F30AA">
            <w:pPr>
              <w:snapToGrid w:val="0"/>
              <w:spacing w:line="360" w:lineRule="auto"/>
              <w:rPr>
                <w:rFonts w:ascii="宋体" w:hAnsi="宋体" w:cs="宋体"/>
                <w:sz w:val="24"/>
                <w:szCs w:val="20"/>
                <w:highlight w:val="none"/>
              </w:rPr>
            </w:pPr>
            <w:r>
              <w:rPr>
                <w:rFonts w:hint="eastAsia" w:ascii="宋体" w:hAnsi="宋体" w:cs="宋体"/>
                <w:kern w:val="0"/>
                <w:sz w:val="24"/>
                <w:highlight w:val="none"/>
              </w:rPr>
              <w:t>☐B组织，</w:t>
            </w:r>
            <w:r>
              <w:rPr>
                <w:rFonts w:hint="eastAsia" w:ascii="宋体" w:hAnsi="宋体" w:cs="宋体"/>
                <w:sz w:val="24"/>
                <w:highlight w:val="none"/>
              </w:rPr>
              <w:t>时间：,地点：，联系人：，联系方式：</w:t>
            </w:r>
            <w:r>
              <w:rPr>
                <w:rFonts w:hint="eastAsia" w:ascii="宋体" w:hAnsi="宋体" w:cs="宋体"/>
                <w:sz w:val="24"/>
                <w:szCs w:val="20"/>
                <w:highlight w:val="none"/>
              </w:rPr>
              <w:t>。</w:t>
            </w:r>
          </w:p>
        </w:tc>
      </w:tr>
      <w:tr w14:paraId="2CE0C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737" w:type="dxa"/>
            <w:tcBorders>
              <w:top w:val="single" w:color="auto" w:sz="4" w:space="0"/>
              <w:left w:val="single" w:color="auto" w:sz="4" w:space="0"/>
              <w:bottom w:val="single" w:color="auto" w:sz="4" w:space="0"/>
              <w:right w:val="single" w:color="auto" w:sz="4" w:space="0"/>
            </w:tcBorders>
            <w:vAlign w:val="center"/>
          </w:tcPr>
          <w:p w14:paraId="7EBB6E5F">
            <w:pPr>
              <w:snapToGrid w:val="0"/>
              <w:spacing w:line="360" w:lineRule="auto"/>
              <w:jc w:val="center"/>
              <w:rPr>
                <w:rFonts w:ascii="宋体" w:hAnsi="宋体" w:cs="宋体"/>
                <w:sz w:val="24"/>
                <w:highlight w:val="none"/>
              </w:rPr>
            </w:pPr>
          </w:p>
          <w:p w14:paraId="2B8BFE55">
            <w:pPr>
              <w:snapToGrid w:val="0"/>
              <w:spacing w:line="360" w:lineRule="auto"/>
              <w:jc w:val="center"/>
              <w:rPr>
                <w:rFonts w:ascii="宋体" w:hAnsi="宋体" w:cs="宋体"/>
                <w:sz w:val="24"/>
                <w:highlight w:val="none"/>
              </w:rPr>
            </w:pPr>
          </w:p>
          <w:p w14:paraId="16FF9379">
            <w:pPr>
              <w:snapToGrid w:val="0"/>
              <w:spacing w:line="360" w:lineRule="auto"/>
              <w:jc w:val="center"/>
              <w:rPr>
                <w:rFonts w:ascii="宋体" w:hAnsi="宋体" w:cs="宋体"/>
                <w:sz w:val="24"/>
                <w:highlight w:val="none"/>
              </w:rPr>
            </w:pPr>
          </w:p>
          <w:p w14:paraId="160B32A9">
            <w:pPr>
              <w:snapToGrid w:val="0"/>
              <w:spacing w:line="360" w:lineRule="auto"/>
              <w:jc w:val="center"/>
              <w:rPr>
                <w:rFonts w:ascii="宋体" w:hAnsi="宋体" w:cs="宋体"/>
                <w:sz w:val="24"/>
                <w:highlight w:val="none"/>
              </w:rPr>
            </w:pPr>
          </w:p>
          <w:p w14:paraId="18D26067">
            <w:pPr>
              <w:snapToGrid w:val="0"/>
              <w:spacing w:line="360" w:lineRule="auto"/>
              <w:jc w:val="center"/>
              <w:rPr>
                <w:rFonts w:ascii="宋体" w:hAnsi="宋体" w:cs="宋体"/>
                <w:sz w:val="24"/>
                <w:highlight w:val="none"/>
              </w:rPr>
            </w:pPr>
          </w:p>
          <w:p w14:paraId="116A3BD4">
            <w:pPr>
              <w:snapToGrid w:val="0"/>
              <w:spacing w:line="360" w:lineRule="auto"/>
              <w:jc w:val="center"/>
              <w:rPr>
                <w:rFonts w:ascii="宋体" w:hAnsi="宋体" w:cs="宋体"/>
                <w:sz w:val="24"/>
                <w:highlight w:val="none"/>
              </w:rPr>
            </w:pPr>
          </w:p>
          <w:p w14:paraId="74960672">
            <w:pPr>
              <w:snapToGrid w:val="0"/>
              <w:spacing w:line="360" w:lineRule="auto"/>
              <w:jc w:val="center"/>
              <w:rPr>
                <w:rFonts w:ascii="宋体" w:hAnsi="宋体" w:cs="宋体"/>
                <w:sz w:val="24"/>
                <w:highlight w:val="none"/>
              </w:rPr>
            </w:pPr>
          </w:p>
          <w:p w14:paraId="36AEAE39">
            <w:pPr>
              <w:snapToGrid w:val="0"/>
              <w:spacing w:line="360" w:lineRule="auto"/>
              <w:jc w:val="center"/>
              <w:rPr>
                <w:rFonts w:ascii="宋体" w:hAnsi="宋体" w:cs="宋体"/>
                <w:sz w:val="24"/>
                <w:highlight w:val="none"/>
              </w:rPr>
            </w:pPr>
          </w:p>
          <w:p w14:paraId="68DBCF44">
            <w:pPr>
              <w:snapToGrid w:val="0"/>
              <w:spacing w:line="360" w:lineRule="auto"/>
              <w:jc w:val="center"/>
              <w:rPr>
                <w:rFonts w:ascii="宋体" w:hAnsi="宋体" w:cs="宋体"/>
                <w:sz w:val="24"/>
                <w:highlight w:val="none"/>
              </w:rPr>
            </w:pPr>
          </w:p>
          <w:p w14:paraId="2D6BCEC3">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2159" w:type="dxa"/>
            <w:tcBorders>
              <w:top w:val="single" w:color="000000" w:sz="8" w:space="0"/>
              <w:left w:val="single" w:color="auto" w:sz="4" w:space="0"/>
              <w:bottom w:val="single" w:color="000000" w:sz="8" w:space="0"/>
              <w:right w:val="single" w:color="000000" w:sz="8" w:space="0"/>
            </w:tcBorders>
            <w:vAlign w:val="center"/>
          </w:tcPr>
          <w:p w14:paraId="0430C17A">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7144" w:type="dxa"/>
            <w:tcBorders>
              <w:top w:val="single" w:color="000000" w:sz="8" w:space="0"/>
              <w:left w:val="single" w:color="000000" w:sz="2" w:space="0"/>
              <w:bottom w:val="single" w:color="000000" w:sz="8" w:space="0"/>
              <w:right w:val="single" w:color="000000" w:sz="8" w:space="0"/>
            </w:tcBorders>
            <w:vAlign w:val="center"/>
          </w:tcPr>
          <w:p w14:paraId="6DBCB07D">
            <w:pPr>
              <w:snapToGrid w:val="0"/>
              <w:spacing w:line="360" w:lineRule="auto"/>
              <w:rPr>
                <w:rFonts w:ascii="宋体" w:hAnsi="宋体" w:cs="宋体"/>
                <w:sz w:val="24"/>
                <w:highlight w:val="none"/>
              </w:rPr>
            </w:pPr>
            <w:r>
              <w:rPr>
                <w:rFonts w:hAnsi="宋体" w:cs="宋体"/>
                <w:kern w:val="0"/>
                <w:sz w:val="24"/>
                <w:highlight w:val="none"/>
              </w:rPr>
              <w:sym w:font="Wingdings" w:char="00FE"/>
            </w:r>
            <w:r>
              <w:rPr>
                <w:rFonts w:hint="eastAsia" w:ascii="宋体" w:hAnsi="宋体" w:cs="宋体"/>
                <w:kern w:val="0"/>
                <w:sz w:val="24"/>
                <w:highlight w:val="none"/>
              </w:rPr>
              <w:t>A</w:t>
            </w:r>
            <w:r>
              <w:rPr>
                <w:rFonts w:hint="eastAsia" w:ascii="宋体" w:hAnsi="宋体" w:cs="宋体"/>
                <w:sz w:val="24"/>
                <w:highlight w:val="none"/>
              </w:rPr>
              <w:t>不要求提供。</w:t>
            </w:r>
          </w:p>
          <w:p w14:paraId="7AFDC333">
            <w:pPr>
              <w:snapToGrid w:val="0"/>
              <w:spacing w:line="360" w:lineRule="auto"/>
              <w:rPr>
                <w:rFonts w:ascii="宋体" w:hAnsi="宋体" w:cs="宋体"/>
                <w:kern w:val="0"/>
                <w:sz w:val="24"/>
                <w:highlight w:val="none"/>
              </w:rPr>
            </w:pPr>
            <w:r>
              <w:rPr>
                <w:rFonts w:hint="eastAsia" w:ascii="MS Gothic" w:hAnsi="MS Gothic" w:eastAsia="MS Gothic" w:cs="宋体"/>
                <w:kern w:val="0"/>
                <w:sz w:val="24"/>
                <w:highlight w:val="none"/>
              </w:rPr>
              <w:t>☐</w:t>
            </w:r>
            <w:r>
              <w:rPr>
                <w:rFonts w:hint="eastAsia" w:ascii="宋体" w:hAnsi="宋体" w:cs="宋体"/>
                <w:kern w:val="0"/>
                <w:sz w:val="24"/>
                <w:highlight w:val="none"/>
              </w:rPr>
              <w:t>B要求提供，</w:t>
            </w:r>
          </w:p>
          <w:p w14:paraId="7EE90834">
            <w:pPr>
              <w:snapToGrid w:val="0"/>
              <w:spacing w:line="360"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kern w:val="0"/>
                <w:sz w:val="24"/>
                <w:highlight w:val="none"/>
              </w:rPr>
              <w:t>；</w:t>
            </w:r>
          </w:p>
          <w:p w14:paraId="71327C57">
            <w:pPr>
              <w:snapToGrid w:val="0"/>
              <w:spacing w:line="360"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kern w:val="0"/>
                <w:sz w:val="24"/>
                <w:highlight w:val="none"/>
              </w:rPr>
              <w:t>；</w:t>
            </w:r>
          </w:p>
          <w:p w14:paraId="419B4EAC">
            <w:pPr>
              <w:snapToGrid w:val="0"/>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14:paraId="210B0694">
            <w:pPr>
              <w:snapToGrid w:val="0"/>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r>
              <w:rPr>
                <w:rFonts w:hint="eastAsia" w:ascii="MS Gothic" w:hAnsi="MS Gothic" w:eastAsia="MS Gothic" w:cs="宋体"/>
                <w:kern w:val="0"/>
                <w:sz w:val="24"/>
                <w:highlight w:val="none"/>
              </w:rPr>
              <w:t>☐</w:t>
            </w:r>
            <w:r>
              <w:rPr>
                <w:rFonts w:hint="eastAsia" w:ascii="宋体" w:hAnsi="宋体" w:cs="宋体"/>
                <w:kern w:val="0"/>
                <w:sz w:val="24"/>
                <w:highlight w:val="none"/>
              </w:rPr>
              <w:t>否；☐是，检测机构的要求</w:t>
            </w:r>
            <w:r>
              <w:rPr>
                <w:rFonts w:hint="eastAsia" w:ascii="宋体" w:hAnsi="宋体" w:cs="宋体"/>
                <w:sz w:val="24"/>
                <w:highlight w:val="none"/>
              </w:rPr>
              <w:t>：</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kern w:val="0"/>
                <w:sz w:val="24"/>
                <w:highlight w:val="none"/>
              </w:rPr>
              <w:t>。</w:t>
            </w:r>
          </w:p>
          <w:p w14:paraId="713399BE">
            <w:pPr>
              <w:snapToGrid w:val="0"/>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kern w:val="0"/>
                <w:sz w:val="24"/>
                <w:highlight w:val="none"/>
              </w:rPr>
              <w:t>；地点：；联系人</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7393CA4D">
            <w:pPr>
              <w:snapToGrid w:val="0"/>
              <w:spacing w:line="360" w:lineRule="auto"/>
              <w:rPr>
                <w:rFonts w:ascii="宋体" w:hAnsi="宋体" w:cs="宋体"/>
                <w:sz w:val="24"/>
                <w:highlight w:val="none"/>
              </w:rPr>
            </w:pPr>
            <w:r>
              <w:rPr>
                <w:rFonts w:hint="eastAsia" w:ascii="宋体" w:hAnsi="宋体" w:cs="宋体"/>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42A303E">
            <w:pPr>
              <w:snapToGrid w:val="0"/>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1E081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737" w:type="dxa"/>
            <w:tcBorders>
              <w:top w:val="single" w:color="auto" w:sz="4" w:space="0"/>
              <w:left w:val="single" w:color="auto" w:sz="4" w:space="0"/>
              <w:bottom w:val="single" w:color="auto" w:sz="4" w:space="0"/>
              <w:right w:val="single" w:color="auto" w:sz="4" w:space="0"/>
            </w:tcBorders>
            <w:vAlign w:val="center"/>
          </w:tcPr>
          <w:p w14:paraId="768CF248">
            <w:pPr>
              <w:snapToGrid w:val="0"/>
              <w:spacing w:line="360" w:lineRule="auto"/>
              <w:jc w:val="center"/>
              <w:rPr>
                <w:rFonts w:ascii="宋体" w:hAnsi="宋体" w:cs="宋体"/>
                <w:sz w:val="24"/>
                <w:highlight w:val="none"/>
              </w:rPr>
            </w:pPr>
          </w:p>
          <w:p w14:paraId="39F5454C">
            <w:pPr>
              <w:snapToGrid w:val="0"/>
              <w:spacing w:line="360" w:lineRule="auto"/>
              <w:jc w:val="center"/>
              <w:rPr>
                <w:rFonts w:ascii="宋体" w:hAnsi="宋体" w:cs="宋体"/>
                <w:sz w:val="24"/>
                <w:highlight w:val="none"/>
              </w:rPr>
            </w:pPr>
          </w:p>
          <w:p w14:paraId="0A5A40AC">
            <w:pPr>
              <w:snapToGrid w:val="0"/>
              <w:spacing w:line="360" w:lineRule="auto"/>
              <w:jc w:val="center"/>
              <w:rPr>
                <w:rFonts w:ascii="宋体" w:hAnsi="宋体" w:cs="宋体"/>
                <w:sz w:val="24"/>
                <w:highlight w:val="none"/>
              </w:rPr>
            </w:pPr>
          </w:p>
          <w:p w14:paraId="011A9E14">
            <w:pPr>
              <w:snapToGrid w:val="0"/>
              <w:spacing w:line="360" w:lineRule="auto"/>
              <w:jc w:val="center"/>
              <w:rPr>
                <w:rFonts w:ascii="宋体" w:hAnsi="宋体" w:cs="宋体"/>
                <w:sz w:val="24"/>
                <w:highlight w:val="none"/>
              </w:rPr>
            </w:pPr>
          </w:p>
          <w:p w14:paraId="0FB830E4">
            <w:pPr>
              <w:snapToGrid w:val="0"/>
              <w:spacing w:line="360" w:lineRule="auto"/>
              <w:jc w:val="center"/>
              <w:rPr>
                <w:rFonts w:ascii="宋体" w:hAnsi="宋体" w:cs="宋体"/>
                <w:sz w:val="24"/>
                <w:highlight w:val="none"/>
              </w:rPr>
            </w:pPr>
          </w:p>
          <w:p w14:paraId="12EE23B9">
            <w:pPr>
              <w:snapToGrid w:val="0"/>
              <w:spacing w:line="360" w:lineRule="auto"/>
              <w:jc w:val="center"/>
              <w:rPr>
                <w:rFonts w:ascii="宋体" w:hAnsi="宋体" w:cs="宋体"/>
                <w:sz w:val="24"/>
                <w:highlight w:val="none"/>
              </w:rPr>
            </w:pPr>
          </w:p>
          <w:p w14:paraId="60F9A931">
            <w:pPr>
              <w:snapToGrid w:val="0"/>
              <w:spacing w:line="360" w:lineRule="auto"/>
              <w:jc w:val="center"/>
              <w:rPr>
                <w:rFonts w:ascii="宋体" w:hAnsi="宋体" w:cs="宋体"/>
                <w:sz w:val="24"/>
                <w:highlight w:val="none"/>
              </w:rPr>
            </w:pPr>
          </w:p>
          <w:p w14:paraId="2D409D87">
            <w:pPr>
              <w:snapToGrid w:val="0"/>
              <w:spacing w:line="360" w:lineRule="auto"/>
              <w:jc w:val="center"/>
              <w:rPr>
                <w:rFonts w:ascii="宋体" w:hAnsi="宋体" w:cs="宋体"/>
                <w:sz w:val="24"/>
                <w:highlight w:val="none"/>
              </w:rPr>
            </w:pPr>
          </w:p>
          <w:p w14:paraId="69198022">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2159" w:type="dxa"/>
            <w:tcBorders>
              <w:top w:val="single" w:color="000000" w:sz="8" w:space="0"/>
              <w:left w:val="single" w:color="auto" w:sz="4" w:space="0"/>
              <w:bottom w:val="single" w:color="000000" w:sz="8" w:space="0"/>
              <w:right w:val="single" w:color="000000" w:sz="8" w:space="0"/>
            </w:tcBorders>
            <w:vAlign w:val="center"/>
          </w:tcPr>
          <w:p w14:paraId="5C7DD5F3">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7144" w:type="dxa"/>
            <w:tcBorders>
              <w:top w:val="single" w:color="000000" w:sz="8" w:space="0"/>
              <w:left w:val="single" w:color="000000" w:sz="2" w:space="0"/>
              <w:bottom w:val="single" w:color="000000" w:sz="8" w:space="0"/>
              <w:right w:val="single" w:color="000000" w:sz="8" w:space="0"/>
            </w:tcBorders>
            <w:vAlign w:val="center"/>
          </w:tcPr>
          <w:p w14:paraId="2766D43B">
            <w:pPr>
              <w:snapToGrid w:val="0"/>
              <w:spacing w:line="360" w:lineRule="auto"/>
              <w:rPr>
                <w:rFonts w:ascii="宋体" w:hAnsi="宋体" w:cs="宋体"/>
                <w:sz w:val="24"/>
                <w:highlight w:val="none"/>
              </w:rPr>
            </w:pPr>
            <w:r>
              <w:rPr>
                <w:rFonts w:hAnsi="宋体" w:cs="宋体"/>
                <w:kern w:val="0"/>
                <w:sz w:val="24"/>
                <w:highlight w:val="none"/>
              </w:rPr>
              <w:sym w:font="Wingdings" w:char="00FE"/>
            </w:r>
            <w:r>
              <w:rPr>
                <w:rFonts w:hint="eastAsia" w:ascii="宋体" w:hAnsi="宋体" w:cs="宋体"/>
                <w:kern w:val="0"/>
                <w:sz w:val="24"/>
                <w:highlight w:val="none"/>
              </w:rPr>
              <w:t>A</w:t>
            </w:r>
            <w:r>
              <w:rPr>
                <w:rFonts w:hint="eastAsia" w:ascii="宋体" w:hAnsi="宋体" w:cs="宋体"/>
                <w:sz w:val="24"/>
                <w:highlight w:val="none"/>
              </w:rPr>
              <w:t>不组织。</w:t>
            </w:r>
          </w:p>
          <w:p w14:paraId="6527B6B5">
            <w:pPr>
              <w:snapToGrid w:val="0"/>
              <w:spacing w:line="360" w:lineRule="auto"/>
              <w:rPr>
                <w:rFonts w:ascii="宋体" w:hAnsi="宋体" w:cs="宋体"/>
                <w:kern w:val="0"/>
                <w:sz w:val="24"/>
                <w:highlight w:val="none"/>
              </w:rPr>
            </w:pPr>
            <w:r>
              <w:rPr>
                <w:rFonts w:hint="eastAsia" w:ascii="宋体" w:hAnsi="宋体" w:cs="宋体"/>
                <w:kern w:val="0"/>
                <w:sz w:val="24"/>
                <w:highlight w:val="none"/>
              </w:rPr>
              <w:t>☐B组织。</w:t>
            </w:r>
          </w:p>
          <w:p w14:paraId="65E49EBD">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rPr>
              <w:t>20</w:t>
            </w:r>
            <w:r>
              <w:rPr>
                <w:rFonts w:hint="eastAsia" w:ascii="宋体" w:hAnsi="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rPr>
              <w:t>3</w:t>
            </w:r>
            <w:r>
              <w:rPr>
                <w:rFonts w:hint="eastAsia" w:ascii="宋体" w:hAnsi="宋体" w:cs="宋体"/>
                <w:kern w:val="0"/>
                <w:sz w:val="24"/>
                <w:highlight w:val="none"/>
              </w:rPr>
              <w:t>人。讲解演示结束后按要求解答评标委员会提问。</w:t>
            </w:r>
          </w:p>
          <w:p w14:paraId="1CD9543C">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14:paraId="340CEAF1">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14:paraId="2ED39A0B">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方式二：交易中心现场讲解演示。现场讲解地点为，讲解演示所用电脑等设备由投标人自备。现场讲解演示人员进场时提供讲解人员名单（加盖公章或授权代表签名）及身份证明，否则不得讲解演示。</w:t>
            </w:r>
          </w:p>
          <w:p w14:paraId="1FB78647">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1509B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737" w:type="dxa"/>
            <w:vMerge w:val="restart"/>
            <w:tcBorders>
              <w:top w:val="single" w:color="auto" w:sz="4" w:space="0"/>
              <w:left w:val="single" w:color="auto" w:sz="4" w:space="0"/>
              <w:right w:val="single" w:color="auto" w:sz="4" w:space="0"/>
            </w:tcBorders>
            <w:vAlign w:val="center"/>
          </w:tcPr>
          <w:p w14:paraId="52CE0F54">
            <w:pPr>
              <w:snapToGrid w:val="0"/>
              <w:spacing w:line="360" w:lineRule="auto"/>
              <w:jc w:val="center"/>
              <w:rPr>
                <w:rFonts w:ascii="宋体" w:hAnsi="宋体" w:cs="宋体"/>
                <w:sz w:val="24"/>
                <w:highlight w:val="none"/>
              </w:rPr>
            </w:pPr>
          </w:p>
          <w:p w14:paraId="2FB925F6">
            <w:pPr>
              <w:snapToGrid w:val="0"/>
              <w:spacing w:line="360" w:lineRule="auto"/>
              <w:jc w:val="center"/>
              <w:rPr>
                <w:rFonts w:ascii="宋体" w:hAnsi="宋体" w:cs="宋体"/>
                <w:sz w:val="24"/>
                <w:highlight w:val="none"/>
              </w:rPr>
            </w:pPr>
          </w:p>
          <w:p w14:paraId="636CBC2E">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2159" w:type="dxa"/>
            <w:vMerge w:val="restart"/>
            <w:tcBorders>
              <w:top w:val="single" w:color="000000" w:sz="8" w:space="0"/>
              <w:left w:val="single" w:color="auto" w:sz="4" w:space="0"/>
              <w:right w:val="single" w:color="000000" w:sz="8" w:space="0"/>
            </w:tcBorders>
            <w:vAlign w:val="center"/>
          </w:tcPr>
          <w:p w14:paraId="7FAE0A66">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7144" w:type="dxa"/>
            <w:tcBorders>
              <w:top w:val="single" w:color="000000" w:sz="8" w:space="0"/>
              <w:left w:val="single" w:color="000000" w:sz="2" w:space="0"/>
              <w:bottom w:val="single" w:color="auto" w:sz="4" w:space="0"/>
              <w:right w:val="single" w:color="000000" w:sz="8" w:space="0"/>
            </w:tcBorders>
            <w:vAlign w:val="center"/>
          </w:tcPr>
          <w:p w14:paraId="5DE6484B">
            <w:pPr>
              <w:snapToGrid w:val="0"/>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336C68A1">
            <w:pPr>
              <w:snapToGrid w:val="0"/>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2F00AC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737" w:type="dxa"/>
            <w:vMerge w:val="continue"/>
            <w:tcBorders>
              <w:left w:val="single" w:color="auto" w:sz="4" w:space="0"/>
              <w:bottom w:val="single" w:color="auto" w:sz="4" w:space="0"/>
              <w:right w:val="single" w:color="auto" w:sz="4" w:space="0"/>
            </w:tcBorders>
            <w:vAlign w:val="center"/>
          </w:tcPr>
          <w:p w14:paraId="6FACDFCC">
            <w:pPr>
              <w:snapToGrid w:val="0"/>
              <w:spacing w:line="360" w:lineRule="auto"/>
              <w:jc w:val="center"/>
              <w:rPr>
                <w:rFonts w:ascii="宋体" w:hAnsi="宋体" w:cs="宋体"/>
                <w:sz w:val="24"/>
                <w:highlight w:val="none"/>
              </w:rPr>
            </w:pPr>
          </w:p>
        </w:tc>
        <w:tc>
          <w:tcPr>
            <w:tcW w:w="2159" w:type="dxa"/>
            <w:vMerge w:val="continue"/>
            <w:tcBorders>
              <w:left w:val="single" w:color="auto" w:sz="4" w:space="0"/>
              <w:bottom w:val="single" w:color="000000" w:sz="8" w:space="0"/>
              <w:right w:val="single" w:color="000000" w:sz="8" w:space="0"/>
            </w:tcBorders>
            <w:vAlign w:val="center"/>
          </w:tcPr>
          <w:p w14:paraId="4BFCC201">
            <w:pPr>
              <w:snapToGrid w:val="0"/>
              <w:spacing w:line="360" w:lineRule="auto"/>
              <w:jc w:val="center"/>
              <w:rPr>
                <w:rFonts w:ascii="宋体" w:hAnsi="宋体" w:cs="宋体"/>
                <w:b/>
                <w:sz w:val="24"/>
                <w:highlight w:val="none"/>
              </w:rPr>
            </w:pPr>
          </w:p>
        </w:tc>
        <w:tc>
          <w:tcPr>
            <w:tcW w:w="7144" w:type="dxa"/>
            <w:tcBorders>
              <w:top w:val="single" w:color="auto" w:sz="4" w:space="0"/>
              <w:left w:val="single" w:color="000000" w:sz="2" w:space="0"/>
              <w:bottom w:val="single" w:color="000000" w:sz="8" w:space="0"/>
              <w:right w:val="single" w:color="000000" w:sz="8" w:space="0"/>
            </w:tcBorders>
            <w:vAlign w:val="center"/>
          </w:tcPr>
          <w:p w14:paraId="0C04725B">
            <w:pPr>
              <w:snapToGrid w:val="0"/>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7F172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737" w:type="dxa"/>
            <w:tcBorders>
              <w:top w:val="single" w:color="auto" w:sz="4" w:space="0"/>
              <w:left w:val="single" w:color="000000" w:sz="8" w:space="0"/>
              <w:bottom w:val="single" w:color="auto" w:sz="4" w:space="0"/>
              <w:right w:val="single" w:color="000000" w:sz="2" w:space="0"/>
            </w:tcBorders>
            <w:vAlign w:val="center"/>
          </w:tcPr>
          <w:p w14:paraId="7317F712">
            <w:pPr>
              <w:snapToGrid w:val="0"/>
              <w:spacing w:line="360" w:lineRule="auto"/>
              <w:jc w:val="center"/>
              <w:rPr>
                <w:rFonts w:ascii="宋体" w:hAnsi="宋体" w:cs="宋体"/>
                <w:sz w:val="24"/>
                <w:highlight w:val="none"/>
              </w:rPr>
            </w:pPr>
          </w:p>
          <w:p w14:paraId="2F91E2AA">
            <w:pPr>
              <w:snapToGrid w:val="0"/>
              <w:spacing w:line="360" w:lineRule="auto"/>
              <w:jc w:val="center"/>
              <w:rPr>
                <w:rFonts w:ascii="宋体" w:hAnsi="宋体" w:cs="宋体"/>
                <w:sz w:val="24"/>
                <w:highlight w:val="none"/>
              </w:rPr>
            </w:pPr>
          </w:p>
          <w:p w14:paraId="3A08B95E">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2159" w:type="dxa"/>
            <w:tcBorders>
              <w:top w:val="single" w:color="000000" w:sz="8" w:space="0"/>
              <w:left w:val="single" w:color="000000" w:sz="2" w:space="0"/>
              <w:bottom w:val="single" w:color="000000" w:sz="8" w:space="0"/>
              <w:right w:val="single" w:color="000000" w:sz="8" w:space="0"/>
            </w:tcBorders>
            <w:vAlign w:val="center"/>
          </w:tcPr>
          <w:p w14:paraId="0402B3A9">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7144" w:type="dxa"/>
            <w:tcBorders>
              <w:top w:val="single" w:color="000000" w:sz="8" w:space="0"/>
              <w:left w:val="single" w:color="000000" w:sz="2" w:space="0"/>
              <w:bottom w:val="single" w:color="000000" w:sz="8" w:space="0"/>
              <w:right w:val="single" w:color="000000" w:sz="8" w:space="0"/>
            </w:tcBorders>
            <w:vAlign w:val="center"/>
          </w:tcPr>
          <w:p w14:paraId="5310888D">
            <w:pPr>
              <w:snapToGrid w:val="0"/>
              <w:spacing w:line="36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5BB2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737" w:type="dxa"/>
            <w:tcBorders>
              <w:top w:val="single" w:color="auto" w:sz="4" w:space="0"/>
              <w:left w:val="single" w:color="000000" w:sz="8" w:space="0"/>
              <w:bottom w:val="single" w:color="auto" w:sz="4" w:space="0"/>
              <w:right w:val="single" w:color="000000" w:sz="2" w:space="0"/>
            </w:tcBorders>
            <w:vAlign w:val="center"/>
          </w:tcPr>
          <w:p w14:paraId="570A6D3F">
            <w:pPr>
              <w:snapToGrid w:val="0"/>
              <w:spacing w:line="360" w:lineRule="auto"/>
              <w:jc w:val="center"/>
              <w:rPr>
                <w:rFonts w:ascii="宋体" w:hAnsi="宋体" w:cs="宋体"/>
                <w:sz w:val="24"/>
                <w:highlight w:val="none"/>
              </w:rPr>
            </w:pPr>
          </w:p>
          <w:p w14:paraId="0B1ED602">
            <w:pPr>
              <w:snapToGrid w:val="0"/>
              <w:spacing w:line="360" w:lineRule="auto"/>
              <w:jc w:val="center"/>
              <w:rPr>
                <w:rFonts w:ascii="宋体" w:hAnsi="宋体" w:cs="宋体"/>
                <w:sz w:val="24"/>
                <w:highlight w:val="none"/>
              </w:rPr>
            </w:pPr>
          </w:p>
          <w:p w14:paraId="0183A771">
            <w:pPr>
              <w:snapToGrid w:val="0"/>
              <w:spacing w:line="360" w:lineRule="auto"/>
              <w:jc w:val="center"/>
              <w:rPr>
                <w:rFonts w:ascii="宋体" w:hAnsi="宋体" w:cs="宋体"/>
                <w:sz w:val="24"/>
                <w:highlight w:val="none"/>
              </w:rPr>
            </w:pPr>
          </w:p>
          <w:p w14:paraId="1F76FC59">
            <w:pPr>
              <w:snapToGrid w:val="0"/>
              <w:spacing w:line="360" w:lineRule="auto"/>
              <w:jc w:val="center"/>
              <w:rPr>
                <w:rFonts w:ascii="宋体" w:hAnsi="宋体" w:cs="宋体"/>
                <w:sz w:val="24"/>
                <w:highlight w:val="none"/>
              </w:rPr>
            </w:pPr>
          </w:p>
          <w:p w14:paraId="07C37C68">
            <w:pPr>
              <w:snapToGrid w:val="0"/>
              <w:spacing w:line="360" w:lineRule="auto"/>
              <w:jc w:val="center"/>
              <w:rPr>
                <w:rFonts w:ascii="宋体" w:hAnsi="宋体" w:cs="宋体"/>
                <w:sz w:val="24"/>
                <w:highlight w:val="none"/>
              </w:rPr>
            </w:pPr>
          </w:p>
          <w:p w14:paraId="32D56BB1">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2159" w:type="dxa"/>
            <w:tcBorders>
              <w:top w:val="single" w:color="000000" w:sz="8" w:space="0"/>
              <w:left w:val="single" w:color="000000" w:sz="2" w:space="0"/>
              <w:bottom w:val="single" w:color="000000" w:sz="8" w:space="0"/>
              <w:right w:val="single" w:color="000000" w:sz="8" w:space="0"/>
            </w:tcBorders>
            <w:vAlign w:val="center"/>
          </w:tcPr>
          <w:p w14:paraId="20BD45D8">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7144" w:type="dxa"/>
            <w:tcBorders>
              <w:top w:val="single" w:color="000000" w:sz="8" w:space="0"/>
              <w:left w:val="single" w:color="000000" w:sz="2" w:space="0"/>
              <w:bottom w:val="single" w:color="000000" w:sz="8" w:space="0"/>
              <w:right w:val="single" w:color="000000" w:sz="8" w:space="0"/>
            </w:tcBorders>
            <w:vAlign w:val="center"/>
          </w:tcPr>
          <w:p w14:paraId="2223708A">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r>
              <w:rPr>
                <w:rFonts w:hint="eastAsia" w:ascii="宋体" w:hAnsi="宋体" w:cs="宋体"/>
                <w:b/>
                <w:kern w:val="0"/>
                <w:sz w:val="24"/>
                <w:highlight w:val="none"/>
                <w:lang w:val="zh-CN"/>
              </w:rPr>
              <w:t>提醒：验收时检测费用由采购人承担，不包含在投标总价中。</w:t>
            </w:r>
          </w:p>
          <w:p w14:paraId="18E630A5">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48D1D3F8">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2E8BC1E0">
            <w:pPr>
              <w:snapToGrid w:val="0"/>
              <w:spacing w:line="360" w:lineRule="auto"/>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71E2B142">
            <w:pPr>
              <w:snapToGrid w:val="0"/>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1D9DE89E">
            <w:pPr>
              <w:snapToGrid w:val="0"/>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78FD8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737" w:type="dxa"/>
            <w:tcBorders>
              <w:top w:val="single" w:color="auto" w:sz="4" w:space="0"/>
              <w:left w:val="single" w:color="000000" w:sz="8" w:space="0"/>
              <w:right w:val="single" w:color="000000" w:sz="2" w:space="0"/>
            </w:tcBorders>
            <w:vAlign w:val="center"/>
          </w:tcPr>
          <w:p w14:paraId="404197D8">
            <w:pPr>
              <w:snapToGrid w:val="0"/>
              <w:spacing w:line="360" w:lineRule="auto"/>
              <w:jc w:val="center"/>
              <w:rPr>
                <w:rFonts w:ascii="宋体" w:hAnsi="宋体" w:cs="宋体"/>
                <w:sz w:val="24"/>
                <w:highlight w:val="none"/>
              </w:rPr>
            </w:pPr>
          </w:p>
          <w:p w14:paraId="09399A35">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2159" w:type="dxa"/>
            <w:tcBorders>
              <w:top w:val="single" w:color="000000" w:sz="8" w:space="0"/>
              <w:left w:val="single" w:color="000000" w:sz="2" w:space="0"/>
              <w:right w:val="single" w:color="000000" w:sz="8" w:space="0"/>
            </w:tcBorders>
            <w:vAlign w:val="center"/>
          </w:tcPr>
          <w:p w14:paraId="3B2AFF75">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7144" w:type="dxa"/>
            <w:tcBorders>
              <w:top w:val="single" w:color="000000" w:sz="8" w:space="0"/>
              <w:left w:val="single" w:color="000000" w:sz="2" w:space="0"/>
              <w:right w:val="single" w:color="000000" w:sz="8" w:space="0"/>
            </w:tcBorders>
            <w:vAlign w:val="center"/>
          </w:tcPr>
          <w:p w14:paraId="67C02851">
            <w:pPr>
              <w:snapToGrid w:val="0"/>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93996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737" w:type="dxa"/>
            <w:tcBorders>
              <w:top w:val="single" w:color="auto" w:sz="4" w:space="0"/>
              <w:left w:val="single" w:color="000000" w:sz="8" w:space="0"/>
              <w:bottom w:val="single" w:color="auto" w:sz="4" w:space="0"/>
              <w:right w:val="single" w:color="000000" w:sz="2" w:space="0"/>
            </w:tcBorders>
            <w:vAlign w:val="center"/>
          </w:tcPr>
          <w:p w14:paraId="7218B72B">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2159" w:type="dxa"/>
            <w:tcBorders>
              <w:top w:val="single" w:color="000000" w:sz="8" w:space="0"/>
              <w:left w:val="single" w:color="000000" w:sz="2" w:space="0"/>
              <w:bottom w:val="single" w:color="000000" w:sz="8" w:space="0"/>
              <w:right w:val="single" w:color="000000" w:sz="8" w:space="0"/>
            </w:tcBorders>
            <w:vAlign w:val="center"/>
          </w:tcPr>
          <w:p w14:paraId="08511976">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7144" w:type="dxa"/>
            <w:tcBorders>
              <w:top w:val="single" w:color="000000" w:sz="8" w:space="0"/>
              <w:left w:val="single" w:color="000000" w:sz="2" w:space="0"/>
              <w:bottom w:val="single" w:color="000000" w:sz="8" w:space="0"/>
              <w:right w:val="single" w:color="000000" w:sz="8" w:space="0"/>
            </w:tcBorders>
            <w:vAlign w:val="center"/>
          </w:tcPr>
          <w:p w14:paraId="0C627F51">
            <w:pPr>
              <w:pStyle w:val="32"/>
              <w:snapToGrid w:val="0"/>
              <w:spacing w:line="360" w:lineRule="auto"/>
              <w:rPr>
                <w:rFonts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kern w:val="28"/>
                <w:sz w:val="24"/>
                <w:szCs w:val="24"/>
                <w:highlight w:val="none"/>
                <w:u w:val="single"/>
              </w:rPr>
              <w:t>杭州市德胜路</w:t>
            </w:r>
            <w:r>
              <w:rPr>
                <w:rFonts w:hAnsi="宋体" w:cs="宋体"/>
                <w:kern w:val="28"/>
                <w:sz w:val="24"/>
                <w:szCs w:val="24"/>
                <w:highlight w:val="none"/>
                <w:u w:val="single"/>
              </w:rPr>
              <w:t>289号602室</w:t>
            </w:r>
            <w:r>
              <w:rPr>
                <w:rFonts w:hint="eastAsia" w:hAnsi="宋体" w:cs="宋体"/>
                <w:kern w:val="28"/>
                <w:sz w:val="24"/>
                <w:szCs w:val="24"/>
                <w:highlight w:val="none"/>
              </w:rPr>
              <w:t>；备份投标文件签收人员联系电话：</w:t>
            </w:r>
            <w:r>
              <w:rPr>
                <w:rFonts w:hint="eastAsia" w:hAnsi="宋体" w:cs="宋体"/>
                <w:sz w:val="24"/>
                <w:highlight w:val="none"/>
                <w:u w:val="single"/>
              </w:rPr>
              <w:t>沈州13666623146</w:t>
            </w:r>
            <w:r>
              <w:rPr>
                <w:rFonts w:hint="eastAsia" w:hAnsi="宋体" w:cs="宋体"/>
                <w:sz w:val="24"/>
                <w:szCs w:val="24"/>
                <w:highlight w:val="none"/>
              </w:rPr>
              <w:t>。</w:t>
            </w:r>
            <w:r>
              <w:rPr>
                <w:rFonts w:hint="eastAsia" w:hAnsi="宋体" w:cs="宋体"/>
                <w:b/>
                <w:sz w:val="24"/>
                <w:szCs w:val="24"/>
                <w:highlight w:val="none"/>
              </w:rPr>
              <w:t>采购人、采购代理机构不强制或变相强制投标人提交备份投标文件。</w:t>
            </w:r>
          </w:p>
        </w:tc>
      </w:tr>
      <w:tr w14:paraId="72946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737" w:type="dxa"/>
            <w:vMerge w:val="restart"/>
            <w:tcBorders>
              <w:top w:val="single" w:color="auto" w:sz="4" w:space="0"/>
              <w:left w:val="single" w:color="000000" w:sz="8" w:space="0"/>
              <w:right w:val="single" w:color="000000" w:sz="2" w:space="0"/>
            </w:tcBorders>
            <w:vAlign w:val="center"/>
          </w:tcPr>
          <w:p w14:paraId="2D069852">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2159" w:type="dxa"/>
            <w:vMerge w:val="restart"/>
            <w:tcBorders>
              <w:top w:val="single" w:color="000000" w:sz="8" w:space="0"/>
              <w:left w:val="single" w:color="000000" w:sz="2" w:space="0"/>
              <w:right w:val="single" w:color="000000" w:sz="8" w:space="0"/>
            </w:tcBorders>
            <w:vAlign w:val="center"/>
          </w:tcPr>
          <w:p w14:paraId="18051F5F">
            <w:pPr>
              <w:snapToGrid w:val="0"/>
              <w:spacing w:line="360" w:lineRule="auto"/>
              <w:jc w:val="center"/>
              <w:rPr>
                <w:rFonts w:ascii="宋体" w:hAnsi="宋体" w:cs="宋体"/>
                <w:b/>
                <w:sz w:val="24"/>
                <w:highlight w:val="none"/>
              </w:rPr>
            </w:pPr>
            <w:r>
              <w:rPr>
                <w:rFonts w:hint="eastAsia" w:ascii="宋体" w:hAnsi="宋体" w:cs="仿宋_GB2312"/>
                <w:b/>
                <w:sz w:val="24"/>
                <w:highlight w:val="none"/>
              </w:rPr>
              <w:t>特别说明</w:t>
            </w:r>
          </w:p>
        </w:tc>
        <w:tc>
          <w:tcPr>
            <w:tcW w:w="7144" w:type="dxa"/>
            <w:tcBorders>
              <w:top w:val="single" w:color="000000" w:sz="8" w:space="0"/>
              <w:left w:val="single" w:color="000000" w:sz="2" w:space="0"/>
              <w:bottom w:val="single" w:color="auto" w:sz="4" w:space="0"/>
              <w:right w:val="single" w:color="000000" w:sz="8" w:space="0"/>
            </w:tcBorders>
            <w:vAlign w:val="center"/>
          </w:tcPr>
          <w:p w14:paraId="6CF994D2">
            <w:pPr>
              <w:snapToGrid w:val="0"/>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7207BD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737" w:type="dxa"/>
            <w:vMerge w:val="continue"/>
            <w:tcBorders>
              <w:left w:val="single" w:color="000000" w:sz="8" w:space="0"/>
              <w:bottom w:val="single" w:color="auto" w:sz="4" w:space="0"/>
              <w:right w:val="single" w:color="000000" w:sz="2" w:space="0"/>
            </w:tcBorders>
          </w:tcPr>
          <w:p w14:paraId="24E3B194">
            <w:pPr>
              <w:snapToGrid w:val="0"/>
              <w:spacing w:line="360" w:lineRule="auto"/>
              <w:jc w:val="center"/>
              <w:rPr>
                <w:rFonts w:ascii="宋体" w:hAnsi="宋体" w:cs="宋体"/>
                <w:sz w:val="24"/>
                <w:highlight w:val="none"/>
              </w:rPr>
            </w:pPr>
          </w:p>
        </w:tc>
        <w:tc>
          <w:tcPr>
            <w:tcW w:w="2159" w:type="dxa"/>
            <w:vMerge w:val="continue"/>
            <w:tcBorders>
              <w:left w:val="single" w:color="000000" w:sz="2" w:space="0"/>
              <w:bottom w:val="single" w:color="auto" w:sz="4" w:space="0"/>
              <w:right w:val="single" w:color="000000" w:sz="8" w:space="0"/>
            </w:tcBorders>
            <w:vAlign w:val="center"/>
          </w:tcPr>
          <w:p w14:paraId="509A76E8">
            <w:pPr>
              <w:snapToGrid w:val="0"/>
              <w:spacing w:line="360" w:lineRule="auto"/>
              <w:jc w:val="center"/>
              <w:rPr>
                <w:rFonts w:ascii="宋体" w:hAnsi="宋体" w:cs="宋体"/>
                <w:b/>
                <w:sz w:val="24"/>
                <w:highlight w:val="none"/>
              </w:rPr>
            </w:pPr>
          </w:p>
        </w:tc>
        <w:tc>
          <w:tcPr>
            <w:tcW w:w="7144" w:type="dxa"/>
            <w:tcBorders>
              <w:top w:val="single" w:color="auto" w:sz="4" w:space="0"/>
              <w:left w:val="single" w:color="000000" w:sz="2" w:space="0"/>
              <w:bottom w:val="single" w:color="auto" w:sz="4" w:space="0"/>
              <w:right w:val="single" w:color="000000" w:sz="8" w:space="0"/>
            </w:tcBorders>
            <w:vAlign w:val="center"/>
          </w:tcPr>
          <w:p w14:paraId="2E4EFA5C">
            <w:pPr>
              <w:snapToGrid w:val="0"/>
              <w:spacing w:line="360" w:lineRule="auto"/>
              <w:rPr>
                <w:rFonts w:ascii="宋体" w:hAnsi="宋体" w:cs="宋体"/>
                <w:snapToGrid w:val="0"/>
                <w:kern w:val="28"/>
                <w:sz w:val="24"/>
                <w:highlight w:val="none"/>
              </w:rPr>
            </w:pPr>
            <w:r>
              <w:rPr>
                <w:rFonts w:hint="eastAsia" w:ascii="MS Mincho" w:hAnsi="MS Mincho" w:eastAsia="MS Mincho" w:cs="MS Mincho"/>
                <w:kern w:val="0"/>
                <w:sz w:val="24"/>
                <w:highlight w:val="none"/>
              </w:rPr>
              <w:t>☐</w:t>
            </w:r>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40BA9E84">
            <w:pPr>
              <w:snapToGrid w:val="0"/>
              <w:spacing w:line="360" w:lineRule="auto"/>
              <w:rPr>
                <w:rFonts w:ascii="宋体" w:hAnsi="宋体" w:cs="宋体"/>
                <w:snapToGrid w:val="0"/>
                <w:kern w:val="28"/>
                <w:sz w:val="24"/>
                <w:highlight w:val="none"/>
              </w:rPr>
            </w:pPr>
            <w:r>
              <w:rPr>
                <w:rFonts w:hint="eastAsia" w:ascii="宋体" w:hAnsi="宋体" w:cs="Arial"/>
                <w:kern w:val="0"/>
                <w:sz w:val="24"/>
                <w:highlight w:val="none"/>
              </w:rPr>
              <w:sym w:font="Wingdings" w:char="F0FE"/>
            </w:r>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1874F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737" w:type="dxa"/>
            <w:tcBorders>
              <w:top w:val="single" w:color="auto" w:sz="4" w:space="0"/>
              <w:left w:val="single" w:color="000000" w:sz="8" w:space="0"/>
              <w:bottom w:val="single" w:color="auto" w:sz="4" w:space="0"/>
              <w:right w:val="single" w:color="000000" w:sz="2" w:space="0"/>
            </w:tcBorders>
          </w:tcPr>
          <w:p w14:paraId="7EEE0C6F">
            <w:pPr>
              <w:snapToGrid w:val="0"/>
              <w:spacing w:line="360" w:lineRule="auto"/>
              <w:jc w:val="center"/>
              <w:rPr>
                <w:rFonts w:ascii="宋体" w:hAnsi="宋体" w:cs="仿宋_GB2312"/>
                <w:sz w:val="24"/>
                <w:highlight w:val="none"/>
              </w:rPr>
            </w:pPr>
            <w:r>
              <w:rPr>
                <w:rFonts w:ascii="宋体" w:hAnsi="宋体" w:cs="仿宋_GB2312"/>
                <w:sz w:val="24"/>
                <w:highlight w:val="none"/>
              </w:rPr>
              <w:t>14</w:t>
            </w:r>
          </w:p>
        </w:tc>
        <w:tc>
          <w:tcPr>
            <w:tcW w:w="2159" w:type="dxa"/>
            <w:tcBorders>
              <w:top w:val="single" w:color="auto" w:sz="4" w:space="0"/>
              <w:left w:val="single" w:color="000000" w:sz="2" w:space="0"/>
              <w:bottom w:val="single" w:color="000000" w:sz="8" w:space="0"/>
              <w:right w:val="single" w:color="000000" w:sz="8" w:space="0"/>
            </w:tcBorders>
            <w:vAlign w:val="center"/>
          </w:tcPr>
          <w:p w14:paraId="1B096664">
            <w:pPr>
              <w:snapToGrid w:val="0"/>
              <w:spacing w:line="360" w:lineRule="auto"/>
              <w:jc w:val="center"/>
              <w:rPr>
                <w:rFonts w:ascii="宋体" w:hAnsi="宋体" w:cs="仿宋_GB2312"/>
                <w:b/>
                <w:sz w:val="24"/>
                <w:highlight w:val="none"/>
              </w:rPr>
            </w:pPr>
            <w:r>
              <w:rPr>
                <w:rFonts w:hint="eastAsia" w:ascii="宋体" w:hAnsi="宋体" w:cs="仿宋_GB2312"/>
                <w:b/>
                <w:sz w:val="24"/>
                <w:highlight w:val="none"/>
              </w:rPr>
              <w:t>招标服务费</w:t>
            </w:r>
          </w:p>
        </w:tc>
        <w:tc>
          <w:tcPr>
            <w:tcW w:w="7144" w:type="dxa"/>
            <w:tcBorders>
              <w:top w:val="single" w:color="auto" w:sz="4" w:space="0"/>
              <w:left w:val="single" w:color="000000" w:sz="2" w:space="0"/>
              <w:bottom w:val="single" w:color="000000" w:sz="8" w:space="0"/>
              <w:right w:val="single" w:color="000000" w:sz="8" w:space="0"/>
            </w:tcBorders>
            <w:vAlign w:val="center"/>
          </w:tcPr>
          <w:p w14:paraId="29C7ADDC">
            <w:pPr>
              <w:snapToGrid w:val="0"/>
              <w:spacing w:line="360" w:lineRule="auto"/>
              <w:jc w:val="left"/>
              <w:rPr>
                <w:rFonts w:ascii="宋体" w:hAnsi="宋体" w:cs="宋体"/>
                <w:snapToGrid w:val="0"/>
                <w:kern w:val="28"/>
                <w:sz w:val="24"/>
                <w:highlight w:val="none"/>
              </w:rPr>
            </w:pPr>
            <w:r>
              <w:rPr>
                <w:rFonts w:hint="eastAsia" w:ascii="宋体" w:hAnsi="宋体" w:cs="宋体"/>
                <w:snapToGrid w:val="0"/>
                <w:kern w:val="28"/>
                <w:sz w:val="24"/>
                <w:highlight w:val="none"/>
              </w:rPr>
              <w:t>采购代理机构代理服务费用：</w:t>
            </w:r>
          </w:p>
          <w:p w14:paraId="14D67B2D">
            <w:pPr>
              <w:snapToGrid w:val="0"/>
              <w:spacing w:line="360" w:lineRule="auto"/>
              <w:rPr>
                <w:rFonts w:ascii="宋体" w:hAnsi="宋体" w:cs="Arial"/>
                <w:kern w:val="0"/>
                <w:sz w:val="24"/>
                <w:highlight w:val="none"/>
              </w:rPr>
            </w:pPr>
            <w:r>
              <w:rPr>
                <w:rFonts w:hint="eastAsia" w:ascii="宋体" w:hAnsi="宋体" w:cs="宋体"/>
                <w:snapToGrid w:val="0"/>
                <w:kern w:val="28"/>
                <w:sz w:val="24"/>
                <w:highlight w:val="none"/>
              </w:rPr>
              <w:t>中标人需向浙江信达咨询监理有限公司支付招标代理服务费，收费标准为：以中标通知书中确定的中标总金额作为收费的计算基数，根据《关于杭州市招标代理服务收费管理有关问题的通知》（杭价费</w:t>
            </w:r>
            <w:r>
              <w:rPr>
                <w:rFonts w:ascii="宋体" w:hAnsi="宋体" w:cs="宋体"/>
                <w:snapToGrid w:val="0"/>
                <w:kern w:val="28"/>
                <w:sz w:val="24"/>
                <w:highlight w:val="none"/>
              </w:rPr>
              <w:t>[2003]148号）文件规定的相应项目收费标准下浮40%取费。以上费用由中标人在领取中标通知书时一次性向采购代理机构付清。</w:t>
            </w:r>
          </w:p>
        </w:tc>
      </w:tr>
    </w:tbl>
    <w:p w14:paraId="5E6A8B17">
      <w:pPr>
        <w:snapToGrid w:val="0"/>
        <w:spacing w:line="360" w:lineRule="auto"/>
        <w:jc w:val="center"/>
        <w:rPr>
          <w:rFonts w:ascii="宋体" w:hAnsi="宋体" w:cs="宋体"/>
          <w:b/>
          <w:sz w:val="32"/>
          <w:szCs w:val="20"/>
          <w:highlight w:val="none"/>
        </w:rPr>
      </w:pPr>
    </w:p>
    <w:p w14:paraId="644BA114">
      <w:pPr>
        <w:snapToGrid w:val="0"/>
        <w:spacing w:line="360" w:lineRule="auto"/>
        <w:jc w:val="center"/>
        <w:rPr>
          <w:rFonts w:ascii="宋体" w:hAnsi="宋体" w:cs="宋体"/>
          <w:b/>
          <w:sz w:val="32"/>
          <w:szCs w:val="20"/>
          <w:highlight w:val="none"/>
        </w:rPr>
      </w:pPr>
    </w:p>
    <w:p w14:paraId="5875E325">
      <w:pPr>
        <w:snapToGrid w:val="0"/>
        <w:spacing w:line="360" w:lineRule="auto"/>
        <w:jc w:val="center"/>
        <w:rPr>
          <w:rFonts w:ascii="宋体" w:hAnsi="宋体" w:cs="宋体"/>
          <w:b/>
          <w:sz w:val="32"/>
          <w:szCs w:val="20"/>
          <w:highlight w:val="none"/>
        </w:rPr>
      </w:pPr>
    </w:p>
    <w:p w14:paraId="1BFC02D0">
      <w:pPr>
        <w:snapToGrid w:val="0"/>
        <w:spacing w:line="360" w:lineRule="auto"/>
        <w:jc w:val="center"/>
        <w:rPr>
          <w:rFonts w:ascii="宋体" w:hAnsi="宋体" w:cs="宋体"/>
          <w:b/>
          <w:sz w:val="32"/>
          <w:szCs w:val="20"/>
          <w:highlight w:val="none"/>
        </w:rPr>
      </w:pPr>
    </w:p>
    <w:p w14:paraId="464A61D8">
      <w:pPr>
        <w:snapToGrid w:val="0"/>
        <w:spacing w:line="360" w:lineRule="auto"/>
        <w:jc w:val="center"/>
        <w:rPr>
          <w:rFonts w:ascii="宋体" w:hAnsi="宋体" w:cs="宋体"/>
          <w:b/>
          <w:sz w:val="32"/>
          <w:szCs w:val="20"/>
          <w:highlight w:val="none"/>
        </w:rPr>
      </w:pPr>
    </w:p>
    <w:p w14:paraId="19C2A2B8">
      <w:pPr>
        <w:snapToGrid w:val="0"/>
        <w:spacing w:line="360" w:lineRule="auto"/>
        <w:jc w:val="center"/>
        <w:rPr>
          <w:rFonts w:ascii="宋体" w:hAnsi="宋体" w:cs="宋体"/>
          <w:b/>
          <w:sz w:val="32"/>
          <w:szCs w:val="20"/>
          <w:highlight w:val="none"/>
        </w:rPr>
      </w:pPr>
    </w:p>
    <w:p w14:paraId="2833E680">
      <w:pPr>
        <w:snapToGrid w:val="0"/>
        <w:spacing w:line="360" w:lineRule="auto"/>
        <w:jc w:val="center"/>
        <w:rPr>
          <w:rFonts w:ascii="宋体" w:hAnsi="宋体" w:cs="宋体"/>
          <w:b/>
          <w:sz w:val="32"/>
          <w:szCs w:val="20"/>
          <w:highlight w:val="none"/>
        </w:rPr>
      </w:pPr>
    </w:p>
    <w:p w14:paraId="48577894">
      <w:pPr>
        <w:snapToGrid w:val="0"/>
        <w:spacing w:line="360" w:lineRule="auto"/>
        <w:jc w:val="center"/>
        <w:rPr>
          <w:rFonts w:ascii="宋体" w:hAnsi="宋体" w:cs="宋体"/>
          <w:b/>
          <w:sz w:val="32"/>
          <w:szCs w:val="20"/>
          <w:highlight w:val="none"/>
        </w:rPr>
      </w:pPr>
    </w:p>
    <w:p w14:paraId="4E61D93E">
      <w:pPr>
        <w:snapToGrid w:val="0"/>
        <w:spacing w:line="360" w:lineRule="auto"/>
        <w:jc w:val="center"/>
        <w:rPr>
          <w:rFonts w:ascii="宋体" w:hAnsi="宋体" w:cs="宋体"/>
          <w:b/>
          <w:sz w:val="32"/>
          <w:szCs w:val="20"/>
          <w:highlight w:val="none"/>
        </w:rPr>
      </w:pPr>
    </w:p>
    <w:p w14:paraId="36CD190C">
      <w:pPr>
        <w:snapToGrid w:val="0"/>
        <w:spacing w:line="360" w:lineRule="auto"/>
        <w:jc w:val="center"/>
        <w:rPr>
          <w:rFonts w:ascii="宋体" w:hAnsi="宋体" w:cs="宋体"/>
          <w:b/>
          <w:sz w:val="32"/>
          <w:szCs w:val="20"/>
          <w:highlight w:val="none"/>
        </w:rPr>
      </w:pPr>
    </w:p>
    <w:p w14:paraId="3AA5A5CA">
      <w:pPr>
        <w:snapToGrid w:val="0"/>
        <w:spacing w:line="360" w:lineRule="auto"/>
        <w:jc w:val="center"/>
        <w:rPr>
          <w:rFonts w:ascii="宋体" w:hAnsi="宋体" w:cs="宋体"/>
          <w:b/>
          <w:sz w:val="32"/>
          <w:szCs w:val="20"/>
          <w:highlight w:val="none"/>
        </w:rPr>
      </w:pPr>
    </w:p>
    <w:p w14:paraId="2B6DBA87">
      <w:pPr>
        <w:snapToGrid w:val="0"/>
        <w:spacing w:line="360" w:lineRule="auto"/>
        <w:rPr>
          <w:rFonts w:ascii="宋体" w:hAnsi="宋体" w:cs="宋体"/>
          <w:b/>
          <w:sz w:val="32"/>
          <w:szCs w:val="20"/>
          <w:highlight w:val="none"/>
        </w:rPr>
      </w:pPr>
    </w:p>
    <w:bookmarkEnd w:id="10"/>
    <w:p w14:paraId="154E32D4">
      <w:pPr>
        <w:adjustRightInd/>
        <w:spacing w:line="360" w:lineRule="auto"/>
        <w:ind w:firstLine="3845" w:firstLineChars="1197"/>
        <w:outlineLvl w:val="0"/>
        <w:rPr>
          <w:rFonts w:ascii="宋体" w:hAnsi="宋体" w:cs="宋体"/>
          <w:b/>
          <w:sz w:val="32"/>
          <w:szCs w:val="20"/>
          <w:highlight w:val="none"/>
        </w:rPr>
      </w:pPr>
      <w:bookmarkStart w:id="11" w:name="_Toc164416483"/>
      <w:bookmarkStart w:id="12" w:name="第三部分"/>
      <w:r>
        <w:rPr>
          <w:rFonts w:hint="eastAsia" w:ascii="宋体" w:hAnsi="宋体" w:cs="宋体"/>
          <w:b/>
          <w:sz w:val="32"/>
          <w:szCs w:val="20"/>
          <w:highlight w:val="none"/>
        </w:rPr>
        <w:t>一、总则</w:t>
      </w:r>
    </w:p>
    <w:p w14:paraId="61822A8B">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22DF9E07">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4B02DDB5">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14:paraId="199FB29B">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6EEBD226">
      <w:pPr>
        <w:spacing w:line="360" w:lineRule="auto"/>
        <w:ind w:firstLine="480" w:firstLineChars="200"/>
        <w:rPr>
          <w:rFonts w:ascii="宋体" w:hAnsi="宋体" w:cs="宋体"/>
          <w:sz w:val="24"/>
          <w:highlight w:val="none"/>
        </w:rPr>
      </w:pPr>
      <w:r>
        <w:rPr>
          <w:rFonts w:hint="eastAsia" w:ascii="宋体" w:hAnsi="宋体" w:cs="宋体"/>
          <w:sz w:val="24"/>
          <w:highlight w:val="none"/>
        </w:rPr>
        <w:t>2.2 “采购代理机构”系指招标公告中载明的本项目的采购代理机构。</w:t>
      </w:r>
    </w:p>
    <w:p w14:paraId="49669585">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35968BEA">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42D90E74">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0DCACF6">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089721F0">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r>
        <w:rPr>
          <w:rFonts w:ascii="Wingdings" w:hAnsi="Wingdings" w:cs="宋体"/>
          <w:kern w:val="0"/>
          <w:sz w:val="24"/>
          <w:highlight w:val="none"/>
        </w:rPr>
        <w:t></w:t>
      </w:r>
      <w:r>
        <w:rPr>
          <w:rFonts w:hint="eastAsia" w:ascii="宋体" w:hAnsi="宋体" w:cs="宋体"/>
          <w:sz w:val="24"/>
          <w:highlight w:val="none"/>
        </w:rPr>
        <w:t>” 系指适用本项目的要求，“</w:t>
      </w:r>
      <w:r>
        <w:rPr>
          <w:rFonts w:hint="eastAsia" w:ascii="宋体" w:hAnsi="宋体" w:cs="宋体"/>
          <w:kern w:val="0"/>
          <w:sz w:val="24"/>
          <w:highlight w:val="none"/>
        </w:rPr>
        <w:t>☐</w:t>
      </w:r>
      <w:r>
        <w:rPr>
          <w:rFonts w:hint="eastAsia" w:ascii="宋体" w:hAnsi="宋体" w:cs="宋体"/>
          <w:sz w:val="24"/>
          <w:highlight w:val="none"/>
        </w:rPr>
        <w:t>” 系指不适用本项目的要求。</w:t>
      </w:r>
    </w:p>
    <w:p w14:paraId="774223B3">
      <w:pPr>
        <w:spacing w:line="360" w:lineRule="auto"/>
        <w:ind w:firstLine="241" w:firstLineChars="100"/>
        <w:rPr>
          <w:rFonts w:ascii="宋体" w:hAnsi="宋体" w:cs="宋体"/>
          <w:b/>
          <w:sz w:val="24"/>
          <w:highlight w:val="none"/>
        </w:rPr>
      </w:pPr>
      <w:r>
        <w:rPr>
          <w:rFonts w:hint="eastAsia" w:ascii="宋体" w:hAnsi="宋体" w:cs="宋体"/>
          <w:b/>
          <w:sz w:val="24"/>
          <w:highlight w:val="none"/>
        </w:rPr>
        <w:t>3.采购项目需要落实的政府采购政策</w:t>
      </w:r>
    </w:p>
    <w:p w14:paraId="2DAD9C0C">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768E6CAF">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37CD3D3C">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8028582">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14:paraId="44FE017D">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D476EEE">
      <w:pPr>
        <w:spacing w:line="360" w:lineRule="auto"/>
        <w:ind w:firstLine="480" w:firstLineChars="200"/>
        <w:rPr>
          <w:rFonts w:ascii="宋体" w:hAnsi="宋体" w:cs="宋体"/>
          <w:sz w:val="24"/>
          <w:highlight w:val="none"/>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806C2B0">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2366EC26">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D5FDDA7">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2AF43BD0">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CFAD834">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11136024">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highlight w:val="none"/>
        </w:rPr>
        <w:t>6</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14:paraId="2A8E049D">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426FB3AF">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70554BB">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E8EB703">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643B0144">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70C0CFEE">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5ABC0758">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14:paraId="2F08C53B">
      <w:pPr>
        <w:pStyle w:val="3"/>
        <w:adjustRightInd w:val="0"/>
        <w:ind w:left="0" w:firstLine="480" w:firstLineChars="200"/>
        <w:rPr>
          <w:highlight w:val="none"/>
        </w:rPr>
      </w:pPr>
      <w:r>
        <w:rPr>
          <w:rFonts w:ascii="宋体" w:hAnsi="宋体" w:eastAsia="宋体" w:cs="仿宋"/>
          <w:b w:val="0"/>
          <w:bCs w:val="0"/>
          <w:sz w:val="24"/>
          <w:szCs w:val="24"/>
          <w:highlight w:val="none"/>
          <w:lang w:val="en-US"/>
        </w:rPr>
        <w:t xml:space="preserve">3.4.3 </w:t>
      </w:r>
      <w:r>
        <w:rPr>
          <w:rFonts w:hint="eastAsia" w:ascii="宋体" w:hAnsi="宋体" w:eastAsia="宋体" w:cs="仿宋"/>
          <w:b w:val="0"/>
          <w:bCs w:val="0"/>
          <w:sz w:val="24"/>
          <w:szCs w:val="24"/>
          <w:highlight w:val="none"/>
          <w:lang w:val="en-US"/>
        </w:rPr>
        <w:t>采购人应当贯彻落实知识产权保护相关法律法规，应当采购使用正版软件。</w:t>
      </w:r>
    </w:p>
    <w:p w14:paraId="76E5B3BE">
      <w:pPr>
        <w:spacing w:line="360" w:lineRule="auto"/>
        <w:ind w:firstLine="480" w:firstLineChars="200"/>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741BF180">
      <w:pPr>
        <w:spacing w:line="360" w:lineRule="auto"/>
        <w:ind w:firstLine="240" w:firstLineChars="1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询问、质疑、投诉、补偿救济</w:t>
      </w:r>
    </w:p>
    <w:p w14:paraId="278476C0">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AD81BC3">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15D6ECA2">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4696A00">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0DAE8500">
      <w:pPr>
        <w:pStyle w:val="32"/>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4EA6BB3A">
      <w:pPr>
        <w:pStyle w:val="32"/>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B81035B">
      <w:pPr>
        <w:pStyle w:val="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2C722112">
      <w:pPr>
        <w:pStyle w:val="32"/>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7E0811C0">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088076A8">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787F103E">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1CE5010E">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42488FB6">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44792E2D">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5A540BBC">
      <w:pPr>
        <w:pStyle w:val="32"/>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14:paraId="4D25D7BE">
      <w:pPr>
        <w:pStyle w:val="573"/>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76006C55">
      <w:pPr>
        <w:pStyle w:val="573"/>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14:paraId="1B59474A">
      <w:pPr>
        <w:pStyle w:val="573"/>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5D79C9AC">
      <w:pPr>
        <w:pStyle w:val="573"/>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C8BB33E">
      <w:pPr>
        <w:pStyle w:val="573"/>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582075D4">
      <w:pPr>
        <w:pStyle w:val="573"/>
        <w:shd w:val="clear" w:color="auto" w:fill="FFFFFF"/>
        <w:snapToGrid w:val="0"/>
        <w:spacing w:before="0" w:beforeAutospacing="0" w:after="0" w:afterAutospacing="0" w:line="360" w:lineRule="auto"/>
        <w:ind w:firstLine="480" w:firstLineChars="200"/>
        <w:contextualSpacing/>
        <w:jc w:val="both"/>
        <w:rPr>
          <w:highlight w:val="none"/>
          <w:lang w:val="zh-CN"/>
        </w:rPr>
      </w:pPr>
      <w:r>
        <w:rPr>
          <w:rFonts w:hint="eastAsia"/>
          <w:highlight w:val="none"/>
          <w:lang w:val="zh-CN"/>
        </w:rPr>
        <w:t>4.4供应商投诉</w:t>
      </w:r>
    </w:p>
    <w:p w14:paraId="0A2B500E">
      <w:pPr>
        <w:pStyle w:val="573"/>
        <w:shd w:val="clear" w:color="auto" w:fill="FFFFFF"/>
        <w:snapToGrid w:val="0"/>
        <w:spacing w:before="0" w:beforeAutospacing="0" w:after="0" w:afterAutospacing="0" w:line="360" w:lineRule="auto"/>
        <w:ind w:firstLine="200"/>
        <w:contextualSpacing/>
        <w:jc w:val="both"/>
        <w:rPr>
          <w:highlight w:val="none"/>
        </w:rPr>
      </w:pPr>
      <w:r>
        <w:rPr>
          <w:rFonts w:hint="eastAsia"/>
          <w:highlight w:val="none"/>
        </w:rPr>
        <w:t xml:space="preserve">  4.4.1质疑供应商对采购人、采购代理机构的答复不满意或者采购人、采购代理机构未在规定的时间内作出答复的，可以在答复期满后十五个工作日内向同级政府采购监督管理部门提出投诉。</w:t>
      </w:r>
    </w:p>
    <w:p w14:paraId="268C1B60">
      <w:pPr>
        <w:pStyle w:val="573"/>
        <w:shd w:val="clear" w:color="auto" w:fill="FFFFFF"/>
        <w:snapToGrid w:val="0"/>
        <w:spacing w:before="0" w:beforeAutospacing="0" w:after="0" w:afterAutospacing="0" w:line="360" w:lineRule="auto"/>
        <w:ind w:firstLine="200"/>
        <w:contextualSpacing/>
        <w:jc w:val="both"/>
        <w:rPr>
          <w:highlight w:val="none"/>
        </w:rPr>
      </w:pPr>
      <w:r>
        <w:rPr>
          <w:rFonts w:hint="eastAsia"/>
          <w:highlight w:val="none"/>
        </w:rPr>
        <w:t xml:space="preserve">  4.4.</w:t>
      </w:r>
      <w:r>
        <w:rPr>
          <w:rFonts w:hint="eastAsia"/>
          <w:highlight w:val="none"/>
          <w:lang w:val="zh-CN"/>
        </w:rPr>
        <w:t>2</w:t>
      </w:r>
      <w:r>
        <w:rPr>
          <w:rFonts w:hint="eastAsia"/>
          <w:highlight w:val="none"/>
        </w:rPr>
        <w:t>供应商投诉的事项不得超出已质疑事项的范围，基于质疑答复内容提出的投诉事项除外。</w:t>
      </w:r>
    </w:p>
    <w:p w14:paraId="22252AE6">
      <w:pPr>
        <w:pStyle w:val="573"/>
        <w:shd w:val="clear" w:color="auto" w:fill="FFFFFF"/>
        <w:snapToGrid w:val="0"/>
        <w:spacing w:before="0" w:beforeAutospacing="0" w:after="0" w:afterAutospacing="0" w:line="360" w:lineRule="auto"/>
        <w:ind w:firstLine="200"/>
        <w:contextualSpacing/>
        <w:jc w:val="both"/>
        <w:rPr>
          <w:highlight w:val="none"/>
        </w:rPr>
      </w:pPr>
      <w:r>
        <w:rPr>
          <w:rFonts w:hint="eastAsia"/>
          <w:highlight w:val="none"/>
        </w:rPr>
        <w:t xml:space="preserve">  4.4.3供应商投诉应当有明确的请求和必要的证明材料。</w:t>
      </w:r>
    </w:p>
    <w:p w14:paraId="54689E7E">
      <w:pPr>
        <w:pStyle w:val="573"/>
        <w:shd w:val="clear" w:color="auto" w:fill="FFFFFF"/>
        <w:snapToGrid w:val="0"/>
        <w:spacing w:before="0" w:beforeAutospacing="0" w:after="0" w:afterAutospacing="0" w:line="360" w:lineRule="auto"/>
        <w:ind w:firstLine="200"/>
        <w:contextualSpacing/>
        <w:jc w:val="both"/>
        <w:rPr>
          <w:highlight w:val="none"/>
        </w:rPr>
      </w:pPr>
      <w:r>
        <w:rPr>
          <w:rFonts w:hint="eastAsia"/>
          <w:highlight w:val="none"/>
        </w:rPr>
        <w:t xml:space="preserve">  4.4.4以联合体形式参加政府采购活动的，其投诉应当由组成联合体的所有供应商共同提出。</w:t>
      </w:r>
    </w:p>
    <w:p w14:paraId="5E0584FF">
      <w:pPr>
        <w:pStyle w:val="573"/>
        <w:shd w:val="clear" w:color="auto" w:fill="FFFFFF"/>
        <w:snapToGrid w:val="0"/>
        <w:spacing w:before="0" w:beforeAutospacing="0" w:after="0" w:afterAutospacing="0" w:line="360" w:lineRule="auto"/>
        <w:ind w:firstLine="200"/>
        <w:contextualSpacing/>
        <w:jc w:val="both"/>
        <w:rPr>
          <w:highlight w:val="none"/>
        </w:rPr>
      </w:pPr>
      <w:r>
        <w:rPr>
          <w:rFonts w:hint="eastAsia"/>
          <w:highlight w:val="none"/>
        </w:rPr>
        <w:t xml:space="preserve">  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14704B2A">
      <w:pPr>
        <w:snapToGrid w:val="0"/>
        <w:spacing w:line="360" w:lineRule="auto"/>
        <w:ind w:firstLine="480" w:firstLineChars="200"/>
        <w:rPr>
          <w:rFonts w:ascii="宋体" w:hAnsi="宋体" w:cs="仿宋"/>
          <w:sz w:val="24"/>
          <w:highlight w:val="none"/>
        </w:rPr>
      </w:pPr>
      <w:r>
        <w:rPr>
          <w:rFonts w:ascii="宋体" w:hAnsi="宋体" w:cs="仿宋"/>
          <w:sz w:val="24"/>
          <w:highlight w:val="none"/>
        </w:rPr>
        <w:t xml:space="preserve">4.5 </w:t>
      </w:r>
      <w:r>
        <w:rPr>
          <w:rFonts w:hint="eastAsia" w:ascii="宋体" w:hAnsi="宋体" w:cs="仿宋"/>
          <w:sz w:val="24"/>
          <w:highlight w:val="none"/>
        </w:rPr>
        <w:t>补偿救济</w:t>
      </w:r>
    </w:p>
    <w:p w14:paraId="08FC1A7A">
      <w:pPr>
        <w:shd w:val="clear" w:color="auto" w:fill="FFFFFF"/>
        <w:snapToGrid w:val="0"/>
        <w:spacing w:after="240" w:line="360" w:lineRule="auto"/>
        <w:ind w:firstLine="480" w:firstLineChars="200"/>
        <w:contextualSpacing/>
        <w:rPr>
          <w:highlight w:val="none"/>
        </w:rPr>
      </w:pPr>
      <w:r>
        <w:rPr>
          <w:rFonts w:hint="eastAsia" w:ascii="宋体" w:hAnsi="宋体" w:cs="仿宋"/>
          <w:sz w:val="24"/>
          <w:highlight w:val="none"/>
        </w:rPr>
        <w:t>采购人（行政机关）因政策变化、规划调整而不履行政府采购合同的，供应商可依据《杭州市涉企补偿救济实施办法（试行）》向采购人（行政机关）提起补偿申请。</w:t>
      </w:r>
    </w:p>
    <w:p w14:paraId="08E989DB">
      <w:pPr>
        <w:pStyle w:val="573"/>
        <w:shd w:val="clear" w:color="auto" w:fill="FFFFFF"/>
        <w:snapToGrid w:val="0"/>
        <w:spacing w:before="0" w:beforeAutospacing="0" w:after="0" w:afterAutospacing="0" w:line="360" w:lineRule="auto"/>
        <w:ind w:firstLine="200"/>
        <w:contextualSpacing/>
        <w:jc w:val="both"/>
        <w:rPr>
          <w:highlight w:val="none"/>
        </w:rPr>
      </w:pPr>
      <w:r>
        <w:rPr>
          <w:rFonts w:hint="eastAsia"/>
          <w:highlight w:val="none"/>
        </w:rPr>
        <w:t xml:space="preserve">  投诉书范本及制作说明详见附件3。</w:t>
      </w:r>
    </w:p>
    <w:p w14:paraId="332E0155">
      <w:pPr>
        <w:pStyle w:val="86"/>
        <w:snapToGrid w:val="0"/>
        <w:spacing w:before="0"/>
        <w:ind w:firstLine="360"/>
        <w:rPr>
          <w:rFonts w:ascii="宋体" w:hAnsi="宋体" w:cs="宋体"/>
          <w:sz w:val="18"/>
          <w:szCs w:val="18"/>
          <w:highlight w:val="none"/>
        </w:rPr>
      </w:pPr>
    </w:p>
    <w:p w14:paraId="2BF78B24">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14:paraId="621139A9">
      <w:pPr>
        <w:pStyle w:val="32"/>
        <w:spacing w:line="360" w:lineRule="auto"/>
        <w:rPr>
          <w:rFonts w:hAnsi="宋体" w:cs="宋体"/>
          <w:b/>
          <w:sz w:val="24"/>
          <w:szCs w:val="24"/>
          <w:highlight w:val="none"/>
        </w:rPr>
      </w:pPr>
      <w:r>
        <w:rPr>
          <w:rFonts w:hint="eastAsia" w:hAnsi="宋体" w:cs="宋体"/>
          <w:b/>
          <w:sz w:val="24"/>
          <w:szCs w:val="24"/>
          <w:highlight w:val="none"/>
        </w:rPr>
        <w:t>5．招标文件的构成</w:t>
      </w:r>
    </w:p>
    <w:p w14:paraId="6A39C294">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577A0060">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13CC2575">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372AEF80">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48FC6494">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3920418D">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724D37F8">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225E68DD">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33C6EB1B">
      <w:pPr>
        <w:pStyle w:val="32"/>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100D718B">
      <w:pPr>
        <w:pStyle w:val="86"/>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14:paraId="3AF74E19">
      <w:pPr>
        <w:pStyle w:val="86"/>
        <w:snapToGrid w:val="0"/>
        <w:spacing w:before="0"/>
        <w:ind w:firstLine="480"/>
        <w:rPr>
          <w:rFonts w:ascii="宋体" w:hAnsi="宋体" w:cs="宋体"/>
          <w:highlight w:val="none"/>
        </w:rPr>
      </w:pPr>
      <w:r>
        <w:rPr>
          <w:rFonts w:hint="eastAsia" w:ascii="宋体" w:hAnsi="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2A3022">
      <w:pPr>
        <w:pStyle w:val="23"/>
        <w:rPr>
          <w:rFonts w:hAnsi="宋体" w:cs="宋体"/>
          <w:sz w:val="18"/>
          <w:szCs w:val="18"/>
          <w:highlight w:val="none"/>
          <w:lang w:val="en-US"/>
        </w:rPr>
      </w:pPr>
    </w:p>
    <w:p w14:paraId="3810A481">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14:paraId="3DC399B8">
      <w:pPr>
        <w:pStyle w:val="32"/>
        <w:spacing w:line="360" w:lineRule="auto"/>
        <w:rPr>
          <w:rFonts w:hAnsi="宋体" w:cs="宋体"/>
          <w:b/>
          <w:sz w:val="24"/>
          <w:szCs w:val="24"/>
          <w:highlight w:val="none"/>
        </w:rPr>
      </w:pPr>
      <w:r>
        <w:rPr>
          <w:rFonts w:hint="eastAsia" w:hAnsi="宋体" w:cs="宋体"/>
          <w:b/>
          <w:sz w:val="24"/>
          <w:szCs w:val="24"/>
          <w:highlight w:val="none"/>
        </w:rPr>
        <w:t>7. 招标文件的获取</w:t>
      </w:r>
    </w:p>
    <w:p w14:paraId="6332E603">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4E4328F6">
      <w:pPr>
        <w:pStyle w:val="32"/>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4D030EC2">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27E3476D">
      <w:pPr>
        <w:pStyle w:val="32"/>
        <w:spacing w:line="360" w:lineRule="auto"/>
        <w:rPr>
          <w:rFonts w:hAnsi="宋体" w:cs="宋体"/>
          <w:b/>
          <w:szCs w:val="24"/>
          <w:highlight w:val="none"/>
        </w:rPr>
      </w:pPr>
      <w:r>
        <w:rPr>
          <w:rFonts w:hint="eastAsia" w:hAnsi="宋体" w:cs="宋体"/>
          <w:b/>
          <w:kern w:val="28"/>
          <w:sz w:val="24"/>
          <w:szCs w:val="24"/>
          <w:highlight w:val="none"/>
        </w:rPr>
        <w:t>9.投标保证金</w:t>
      </w:r>
    </w:p>
    <w:p w14:paraId="5920FECB">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6AB26BF">
      <w:pPr>
        <w:pStyle w:val="32"/>
        <w:spacing w:line="360" w:lineRule="auto"/>
        <w:rPr>
          <w:rFonts w:hAnsi="宋体" w:cs="宋体"/>
          <w:b/>
          <w:sz w:val="24"/>
          <w:szCs w:val="24"/>
          <w:highlight w:val="none"/>
        </w:rPr>
      </w:pPr>
      <w:r>
        <w:rPr>
          <w:rFonts w:hint="eastAsia" w:hAnsi="宋体" w:cs="宋体"/>
          <w:b/>
          <w:sz w:val="24"/>
          <w:szCs w:val="24"/>
          <w:highlight w:val="none"/>
        </w:rPr>
        <w:t>10. 投标文件的语言</w:t>
      </w:r>
    </w:p>
    <w:p w14:paraId="5049FE4F">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720C3A5C">
      <w:pPr>
        <w:pStyle w:val="32"/>
        <w:spacing w:line="360" w:lineRule="auto"/>
        <w:rPr>
          <w:rFonts w:hAnsi="宋体" w:cs="宋体"/>
          <w:b/>
          <w:sz w:val="24"/>
          <w:szCs w:val="24"/>
          <w:highlight w:val="none"/>
        </w:rPr>
      </w:pPr>
      <w:r>
        <w:rPr>
          <w:rFonts w:hint="eastAsia" w:hAnsi="宋体" w:cs="宋体"/>
          <w:b/>
          <w:sz w:val="24"/>
          <w:szCs w:val="24"/>
          <w:highlight w:val="none"/>
        </w:rPr>
        <w:t>11. 投标文件的组成</w:t>
      </w:r>
    </w:p>
    <w:p w14:paraId="5BB9AE3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6E3C09F6">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0EBC3EB4">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r>
        <w:rPr>
          <w:rFonts w:hint="eastAsia" w:ascii="宋体" w:hAnsi="宋体" w:cs="宋体"/>
          <w:snapToGrid w:val="0"/>
          <w:kern w:val="28"/>
          <w:sz w:val="24"/>
          <w:szCs w:val="20"/>
          <w:highlight w:val="none"/>
        </w:rPr>
        <w:t>联合协议（如果有)；</w:t>
      </w:r>
    </w:p>
    <w:p w14:paraId="5127B970">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7C8CDB00">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1C8D0229">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2商务技术</w:t>
      </w:r>
      <w:r>
        <w:rPr>
          <w:rFonts w:hint="eastAsia" w:ascii="宋体" w:hAnsi="宋体" w:cs="宋体"/>
          <w:sz w:val="24"/>
          <w:highlight w:val="none"/>
          <w:lang w:val="zh-CN"/>
        </w:rPr>
        <w:t>文件：</w:t>
      </w:r>
    </w:p>
    <w:p w14:paraId="6F1DD25F">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p>
    <w:p w14:paraId="35F66312">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7D52CEFE">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4AE0B3F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14:paraId="75FAA41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p>
    <w:p w14:paraId="6AD9434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投标标的清单；</w:t>
      </w:r>
    </w:p>
    <w:p w14:paraId="3FB93466">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7</w:t>
      </w:r>
      <w:r>
        <w:rPr>
          <w:rFonts w:hint="eastAsia" w:ascii="宋体" w:hAnsi="宋体" w:cs="宋体"/>
          <w:sz w:val="24"/>
          <w:highlight w:val="none"/>
        </w:rPr>
        <w:t>商务技术偏离表；</w:t>
      </w:r>
    </w:p>
    <w:p w14:paraId="3861264E">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4F8DF4DC">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p>
    <w:p w14:paraId="25C7C51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14:paraId="5723AAEC">
      <w:pPr>
        <w:pStyle w:val="3"/>
        <w:adjustRightInd w:val="0"/>
        <w:ind w:left="0" w:firstLine="960" w:firstLineChars="400"/>
        <w:rPr>
          <w:highlight w:val="none"/>
        </w:rPr>
      </w:pPr>
      <w:r>
        <w:rPr>
          <w:rFonts w:ascii="宋体" w:hAnsi="宋体" w:eastAsia="宋体" w:cs="宋体"/>
          <w:b w:val="0"/>
          <w:bCs w:val="0"/>
          <w:sz w:val="24"/>
          <w:szCs w:val="24"/>
          <w:highlight w:val="none"/>
          <w:lang w:val="en-US"/>
        </w:rPr>
        <w:t>11.3.2 报价情况说明（如供应商报价低于项目预算50%的，应当提交本文档，详细阐述不影响产品质量或者诚信履约的具体原因）</w:t>
      </w:r>
      <w:r>
        <w:rPr>
          <w:rFonts w:hint="eastAsia" w:ascii="宋体" w:hAnsi="宋体" w:eastAsia="宋体" w:cs="宋体"/>
          <w:b w:val="0"/>
          <w:bCs w:val="0"/>
          <w:sz w:val="24"/>
          <w:szCs w:val="24"/>
          <w:highlight w:val="none"/>
          <w:lang w:val="en-US"/>
        </w:rPr>
        <w:t>；</w:t>
      </w:r>
    </w:p>
    <w:p w14:paraId="5FA0BD1C">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11.3.3中小企业声明函。</w:t>
      </w:r>
    </w:p>
    <w:p w14:paraId="3A2E702B">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4D985252">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投标人提供虚假材料投标的，投标无效。</w:t>
      </w:r>
    </w:p>
    <w:p w14:paraId="393541A7">
      <w:pPr>
        <w:spacing w:line="360" w:lineRule="auto"/>
        <w:ind w:firstLine="720" w:firstLineChars="300"/>
        <w:rPr>
          <w:highlight w:val="none"/>
        </w:rPr>
      </w:pPr>
      <w:r>
        <w:rPr>
          <w:rFonts w:hint="eastAsia"/>
          <w:sz w:val="24"/>
          <w:highlight w:val="none"/>
          <w:shd w:val="clear" w:color="auto" w:fill="FFFFFF"/>
        </w:rPr>
        <w:t>投标人应对投标文件中材料的真实性、合法性负责。</w:t>
      </w:r>
    </w:p>
    <w:p w14:paraId="659992E6">
      <w:pPr>
        <w:pStyle w:val="86"/>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79EB86DB">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A5528DF">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B01BB09">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54FC7910">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34ECF676">
      <w:pPr>
        <w:pStyle w:val="86"/>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013E6069">
      <w:pPr>
        <w:pStyle w:val="86"/>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0066C006">
      <w:pPr>
        <w:pStyle w:val="86"/>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52820AC7">
      <w:pPr>
        <w:pStyle w:val="86"/>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1BBA36AA">
      <w:pPr>
        <w:pStyle w:val="86"/>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E2AE7A4">
      <w:pPr>
        <w:pStyle w:val="86"/>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D445AB5">
      <w:pPr>
        <w:pStyle w:val="86"/>
        <w:spacing w:before="0"/>
        <w:ind w:firstLine="480"/>
        <w:rPr>
          <w:rFonts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5677835">
      <w:pPr>
        <w:pStyle w:val="32"/>
        <w:spacing w:line="360" w:lineRule="auto"/>
        <w:rPr>
          <w:rFonts w:hAnsi="宋体" w:cs="宋体"/>
          <w:b/>
          <w:sz w:val="24"/>
          <w:szCs w:val="24"/>
          <w:highlight w:val="none"/>
        </w:rPr>
      </w:pPr>
      <w:r>
        <w:rPr>
          <w:rFonts w:hint="eastAsia" w:hAnsi="宋体" w:cs="宋体"/>
          <w:b/>
          <w:sz w:val="24"/>
          <w:szCs w:val="24"/>
          <w:highlight w:val="none"/>
        </w:rPr>
        <w:t>15.备份投标文件</w:t>
      </w:r>
    </w:p>
    <w:p w14:paraId="0BBCEAD1">
      <w:pPr>
        <w:pStyle w:val="32"/>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但采购人、采购代理机构不强制或变相强制投标人提交备份投标文件。</w:t>
      </w:r>
    </w:p>
    <w:p w14:paraId="73779BD2">
      <w:pPr>
        <w:pStyle w:val="32"/>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66D4E6EF">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A05F8B9">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5C42763A">
      <w:pPr>
        <w:pStyle w:val="32"/>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484E683A">
      <w:pPr>
        <w:pStyle w:val="86"/>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40AD945C">
      <w:pPr>
        <w:pStyle w:val="24"/>
        <w:spacing w:line="360" w:lineRule="auto"/>
        <w:ind w:firstLine="360" w:firstLineChars="150"/>
        <w:rPr>
          <w:rFonts w:cs="宋体"/>
          <w:szCs w:val="21"/>
          <w:highlight w:val="none"/>
        </w:rPr>
      </w:pPr>
      <w:r>
        <w:rPr>
          <w:rFonts w:hint="eastAsia" w:cs="宋体"/>
          <w:szCs w:val="21"/>
          <w:highlight w:val="none"/>
        </w:rPr>
        <w:t>有招标文件第四部分</w:t>
      </w:r>
      <w:r>
        <w:rPr>
          <w:rFonts w:cs="宋体"/>
          <w:szCs w:val="21"/>
          <w:highlight w:val="none"/>
        </w:rPr>
        <w:t>4.2规定</w:t>
      </w:r>
      <w:r>
        <w:rPr>
          <w:rFonts w:hint="eastAsia" w:cs="宋体"/>
          <w:szCs w:val="21"/>
          <w:highlight w:val="none"/>
        </w:rPr>
        <w:t>的情形之一的，投标无效：</w:t>
      </w:r>
    </w:p>
    <w:p w14:paraId="1A4FEA08">
      <w:pPr>
        <w:pStyle w:val="86"/>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256A8528">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1D58F417">
      <w:pPr>
        <w:pStyle w:val="86"/>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1BF1106A">
      <w:pPr>
        <w:pStyle w:val="86"/>
        <w:spacing w:before="0"/>
        <w:ind w:firstLine="480"/>
        <w:rPr>
          <w:rFonts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2080573">
      <w:pPr>
        <w:pStyle w:val="86"/>
        <w:spacing w:before="0"/>
        <w:ind w:firstLine="643"/>
        <w:rPr>
          <w:rFonts w:ascii="宋体" w:hAnsi="宋体" w:cs="宋体"/>
          <w:b/>
          <w:sz w:val="32"/>
          <w:highlight w:val="none"/>
        </w:rPr>
      </w:pPr>
    </w:p>
    <w:p w14:paraId="7FB50A6F">
      <w:pPr>
        <w:pStyle w:val="86"/>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390B0BC5">
      <w:pPr>
        <w:pStyle w:val="241"/>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p>
    <w:p w14:paraId="4BD1BA27">
      <w:pPr>
        <w:pStyle w:val="241"/>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14:paraId="6F32B66B">
      <w:pPr>
        <w:pStyle w:val="241"/>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6729C091">
      <w:pPr>
        <w:pStyle w:val="241"/>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62FC02B2">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14:paraId="22F1FF11">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采购人或采购代理机构依据法律法规和招标文件的规定，对投标人的资格进行审查。</w:t>
      </w:r>
    </w:p>
    <w:p w14:paraId="4DE5FF9D">
      <w:pPr>
        <w:pStyle w:val="86"/>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0B283B2D">
      <w:pPr>
        <w:pStyle w:val="86"/>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14:paraId="1C449076">
      <w:pPr>
        <w:pStyle w:val="86"/>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51275EDF">
      <w:pPr>
        <w:pStyle w:val="86"/>
        <w:snapToGrid w:val="0"/>
        <w:spacing w:before="0"/>
        <w:ind w:firstLine="480"/>
        <w:rPr>
          <w:rFonts w:ascii="宋体" w:hAnsi="宋体" w:cs="宋体"/>
          <w:highlight w:val="none"/>
        </w:rPr>
      </w:pPr>
      <w:r>
        <w:rPr>
          <w:rFonts w:ascii="宋体" w:hAnsi="宋体" w:cs="宋体"/>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623C35D">
      <w:pPr>
        <w:pStyle w:val="86"/>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02EC2799">
      <w:pPr>
        <w:pStyle w:val="86"/>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6BD8EC9B">
      <w:pPr>
        <w:pStyle w:val="86"/>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72CE0B95">
      <w:pPr>
        <w:pStyle w:val="86"/>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726B3915">
      <w:pPr>
        <w:pStyle w:val="86"/>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2DD3B383">
      <w:pPr>
        <w:pStyle w:val="86"/>
        <w:spacing w:before="0"/>
        <w:ind w:firstLine="0" w:firstLineChars="0"/>
        <w:rPr>
          <w:rFonts w:ascii="宋体" w:hAnsi="宋体" w:cs="宋体"/>
          <w:kern w:val="0"/>
          <w:szCs w:val="24"/>
          <w:highlight w:val="none"/>
        </w:rPr>
      </w:pPr>
    </w:p>
    <w:p w14:paraId="7A02B3B0">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0F6FB2DA">
      <w:pPr>
        <w:spacing w:line="360" w:lineRule="auto"/>
        <w:rPr>
          <w:rFonts w:ascii="宋体" w:hAnsi="宋体" w:cs="宋体"/>
          <w:b/>
          <w:sz w:val="24"/>
          <w:highlight w:val="none"/>
        </w:rPr>
      </w:pPr>
      <w:bookmarkStart w:id="13" w:name="_Toc91899903"/>
      <w:r>
        <w:rPr>
          <w:rFonts w:hint="eastAsia" w:ascii="宋体" w:hAnsi="宋体" w:cs="宋体"/>
          <w:b/>
          <w:sz w:val="24"/>
          <w:highlight w:val="none"/>
        </w:rPr>
        <w:t>21.</w:t>
      </w:r>
      <w:r>
        <w:rPr>
          <w:rFonts w:hint="eastAsia" w:ascii="宋体" w:hAnsi="宋体" w:cs="宋体"/>
          <w:sz w:val="24"/>
          <w:highlight w:val="none"/>
        </w:rPr>
        <w:t>评标委员会【评标委员会由采购人代表和评审专家组成，成员人数为5人（采购人代表1人，评标专家4人由政采云平台随机抽取相关专业抽取产生）】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25964826">
      <w:pPr>
        <w:spacing w:line="360" w:lineRule="auto"/>
        <w:rPr>
          <w:rFonts w:ascii="宋体" w:hAnsi="宋体" w:cs="宋体"/>
          <w:b/>
          <w:sz w:val="24"/>
          <w:highlight w:val="none"/>
        </w:rPr>
      </w:pPr>
    </w:p>
    <w:p w14:paraId="33C1D029">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18FCF117">
      <w:pPr>
        <w:pStyle w:val="24"/>
        <w:spacing w:line="360" w:lineRule="auto"/>
        <w:ind w:left="479" w:hanging="479" w:hangingChars="199"/>
        <w:rPr>
          <w:rFonts w:cs="宋体"/>
          <w:b/>
          <w:highlight w:val="none"/>
        </w:rPr>
      </w:pPr>
      <w:r>
        <w:rPr>
          <w:rFonts w:hint="eastAsia" w:cs="宋体"/>
          <w:b/>
          <w:highlight w:val="none"/>
        </w:rPr>
        <w:t>22. 确定中标供应商</w:t>
      </w:r>
    </w:p>
    <w:p w14:paraId="0E2DFB38">
      <w:pPr>
        <w:pStyle w:val="86"/>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9E722AA">
      <w:pPr>
        <w:pStyle w:val="86"/>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2DE44A08">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23.1自中标人确定之日起2个工作日内，采购代理机构通过电子交易平台向中标人发出中标通知书，同时编制发布采购结果公告。采购代理机构也可以以纸质形式进行中标通知。</w:t>
      </w:r>
    </w:p>
    <w:p w14:paraId="32F2AED9">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highlight w:val="none"/>
        </w:rPr>
        <w:t>资格审查情况、评审专家抽取规则、符合性审查情况、</w:t>
      </w:r>
      <w:bookmarkEnd w:id="14"/>
      <w:r>
        <w:rPr>
          <w:rFonts w:hint="eastAsia" w:ascii="宋体" w:hAnsi="宋体" w:cs="宋体"/>
          <w:sz w:val="24"/>
          <w:highlight w:val="none"/>
        </w:rPr>
        <w:t>未中标情况说明、中标公告期限以及评审专家名单、评分汇总及明细。</w:t>
      </w:r>
    </w:p>
    <w:p w14:paraId="3CC7214E">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6A9058D9">
      <w:pPr>
        <w:pStyle w:val="86"/>
        <w:snapToGrid w:val="0"/>
        <w:spacing w:before="0"/>
        <w:ind w:firstLine="482"/>
        <w:rPr>
          <w:highlight w:val="none"/>
        </w:rPr>
      </w:pPr>
      <w:r>
        <w:rPr>
          <w:rFonts w:hint="eastAsia" w:ascii="宋体" w:hAnsi="宋体" w:cs="宋体"/>
          <w:b/>
          <w:szCs w:val="24"/>
          <w:highlight w:val="none"/>
        </w:rPr>
        <w:t xml:space="preserve">23.4 </w:t>
      </w:r>
      <w:r>
        <w:rPr>
          <w:rFonts w:hint="eastAsia" w:ascii="宋体" w:hAnsi="宋体" w:cs="宋体"/>
          <w:bCs/>
          <w:highlight w:val="none"/>
        </w:rPr>
        <w:t>由于中标、成交供应商原因导致重新采购的，应当承担支付代理费和专家评审费等费用在内的赔偿责任。</w:t>
      </w:r>
    </w:p>
    <w:p w14:paraId="7D7F219E">
      <w:pPr>
        <w:snapToGrid w:val="0"/>
        <w:spacing w:line="360" w:lineRule="auto"/>
        <w:ind w:left="120" w:leftChars="57" w:firstLine="482" w:firstLineChars="150"/>
        <w:jc w:val="center"/>
        <w:rPr>
          <w:rFonts w:ascii="宋体" w:hAnsi="宋体" w:cs="宋体"/>
          <w:b/>
          <w:sz w:val="32"/>
          <w:highlight w:val="none"/>
        </w:rPr>
      </w:pPr>
    </w:p>
    <w:p w14:paraId="5B405035">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79ABE47F">
      <w:pPr>
        <w:pStyle w:val="24"/>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6BDEC0AE">
      <w:pPr>
        <w:pStyle w:val="24"/>
        <w:spacing w:line="360" w:lineRule="auto"/>
        <w:ind w:left="479" w:hanging="479" w:hangingChars="199"/>
        <w:rPr>
          <w:rFonts w:cs="宋体"/>
          <w:b/>
          <w:highlight w:val="none"/>
        </w:rPr>
      </w:pPr>
      <w:r>
        <w:rPr>
          <w:rFonts w:hint="eastAsia" w:cs="宋体"/>
          <w:b/>
          <w:highlight w:val="none"/>
        </w:rPr>
        <w:t>25. 合同的签订</w:t>
      </w:r>
    </w:p>
    <w:p w14:paraId="3778D2CD">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3A716DF">
      <w:pPr>
        <w:pStyle w:val="86"/>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82DE113">
      <w:pPr>
        <w:pStyle w:val="86"/>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6F1AFFAA">
      <w:pPr>
        <w:pStyle w:val="86"/>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6C85963B">
      <w:pPr>
        <w:pStyle w:val="86"/>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3A2AF17D">
      <w:pPr>
        <w:pStyle w:val="24"/>
        <w:spacing w:line="360" w:lineRule="auto"/>
        <w:ind w:left="479" w:hanging="479" w:hangingChars="199"/>
        <w:rPr>
          <w:rFonts w:cs="宋体"/>
          <w:b/>
          <w:highlight w:val="none"/>
        </w:rPr>
      </w:pPr>
      <w:r>
        <w:rPr>
          <w:rFonts w:hint="eastAsia" w:cs="宋体"/>
          <w:b/>
          <w:highlight w:val="none"/>
        </w:rPr>
        <w:t>26. 履约保证金</w:t>
      </w:r>
    </w:p>
    <w:p w14:paraId="4ADD65E2">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1255107D">
      <w:pPr>
        <w:pStyle w:val="3"/>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EB7526A">
      <w:pPr>
        <w:pStyle w:val="3"/>
        <w:rPr>
          <w:highlight w:val="none"/>
        </w:rPr>
      </w:pPr>
      <w:r>
        <w:rPr>
          <w:rFonts w:ascii="宋体" w:hAnsi="宋体" w:eastAsia="宋体"/>
          <w:sz w:val="24"/>
          <w:highlight w:val="none"/>
          <w:lang w:val="en-US"/>
        </w:rPr>
        <w:t>27.预付款</w:t>
      </w:r>
    </w:p>
    <w:p w14:paraId="4662CDD7">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15F03871">
      <w:pPr>
        <w:rPr>
          <w:highlight w:val="none"/>
        </w:rPr>
      </w:pPr>
    </w:p>
    <w:p w14:paraId="3F3DE21B">
      <w:pPr>
        <w:snapToGrid w:val="0"/>
        <w:spacing w:line="360" w:lineRule="auto"/>
        <w:ind w:firstLine="3357" w:firstLineChars="1045"/>
        <w:rPr>
          <w:rFonts w:ascii="宋体" w:hAnsi="宋体" w:cs="宋体"/>
          <w:b/>
          <w:sz w:val="32"/>
          <w:highlight w:val="none"/>
        </w:rPr>
      </w:pPr>
    </w:p>
    <w:p w14:paraId="7B13A0FA">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0C2390BF">
      <w:pPr>
        <w:pStyle w:val="86"/>
        <w:snapToGrid w:val="0"/>
        <w:spacing w:before="0"/>
        <w:ind w:firstLine="0" w:firstLineChars="0"/>
        <w:rPr>
          <w:rFonts w:ascii="宋体" w:hAnsi="宋体" w:cs="宋体"/>
          <w:highlight w:val="none"/>
        </w:rPr>
      </w:pPr>
      <w:r>
        <w:rPr>
          <w:rFonts w:ascii="宋体" w:hAnsi="宋体" w:cs="宋体"/>
          <w:b/>
          <w:bCs/>
          <w:highlight w:val="none"/>
        </w:rPr>
        <w:t>2</w:t>
      </w:r>
      <w:r>
        <w:rPr>
          <w:rFonts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0843424D">
      <w:pPr>
        <w:pStyle w:val="86"/>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4AC47D3D">
      <w:pPr>
        <w:pStyle w:val="86"/>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486A74AF">
      <w:pPr>
        <w:pStyle w:val="86"/>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3D6D5397">
      <w:pPr>
        <w:pStyle w:val="86"/>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4B592721">
      <w:pPr>
        <w:pStyle w:val="86"/>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063DAD4F">
      <w:pPr>
        <w:pStyle w:val="86"/>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3F14586">
      <w:pPr>
        <w:tabs>
          <w:tab w:val="left" w:pos="0"/>
        </w:tabs>
        <w:spacing w:line="360" w:lineRule="auto"/>
        <w:ind w:firstLine="480"/>
        <w:rPr>
          <w:rFonts w:ascii="宋体" w:hAnsi="宋体" w:cs="宋体"/>
          <w:sz w:val="24"/>
          <w:highlight w:val="none"/>
        </w:rPr>
      </w:pPr>
    </w:p>
    <w:p w14:paraId="082B3146">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76A9419B">
      <w:pPr>
        <w:pStyle w:val="24"/>
        <w:spacing w:line="360" w:lineRule="auto"/>
        <w:ind w:firstLine="0" w:firstLineChars="0"/>
        <w:rPr>
          <w:rFonts w:cs="宋体"/>
          <w:b/>
          <w:highlight w:val="none"/>
        </w:rPr>
      </w:pPr>
      <w:r>
        <w:rPr>
          <w:rFonts w:hint="eastAsia" w:cs="宋体"/>
          <w:b/>
          <w:highlight w:val="none"/>
        </w:rPr>
        <w:t>30.验收</w:t>
      </w:r>
    </w:p>
    <w:p w14:paraId="7FAD72B8">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4778E92">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2D3473E5">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验收小组由5人组成：其中采购人1名，从政采云政企区专家库抽取相关专业专家4名），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02BB5BB">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00AAD45">
      <w:pPr>
        <w:pStyle w:val="3"/>
        <w:adjustRightInd w:val="0"/>
        <w:snapToGrid w:val="0"/>
        <w:ind w:left="0" w:firstLine="480" w:firstLineChars="200"/>
        <w:rPr>
          <w:rFonts w:ascii="宋体" w:hAnsi="宋体" w:eastAsia="宋体" w:cs="宋体"/>
          <w:b w:val="0"/>
          <w:bCs w:val="0"/>
          <w:kern w:val="0"/>
          <w:sz w:val="24"/>
          <w:szCs w:val="24"/>
          <w:highlight w:val="none"/>
          <w:lang w:val="en-US"/>
        </w:rPr>
      </w:pPr>
      <w:r>
        <w:rPr>
          <w:rFonts w:ascii="宋体" w:hAnsi="宋体" w:eastAsia="宋体" w:cs="宋体"/>
          <w:b w:val="0"/>
          <w:bCs w:val="0"/>
          <w:kern w:val="0"/>
          <w:sz w:val="24"/>
          <w:szCs w:val="24"/>
          <w:highlight w:val="none"/>
          <w:lang w:val="en-US"/>
        </w:rPr>
        <w:t xml:space="preserve">30.5 </w:t>
      </w:r>
      <w:r>
        <w:rPr>
          <w:rFonts w:hint="eastAsia" w:ascii="宋体" w:hAnsi="宋体" w:eastAsia="宋体" w:cs="宋体"/>
          <w:b w:val="0"/>
          <w:bCs w:val="0"/>
          <w:kern w:val="0"/>
          <w:sz w:val="24"/>
          <w:szCs w:val="24"/>
          <w:highlight w:val="none"/>
          <w:lang w:val="en-US"/>
        </w:rPr>
        <w:t>对于满足合同约定的采购资金支付条件的，供应商可通过政采云平台提起在线支付申请、查询支付结果，路径为政采云</w:t>
      </w:r>
      <w:r>
        <w:rPr>
          <w:rFonts w:ascii="宋体" w:hAnsi="宋体" w:eastAsia="宋体" w:cs="宋体"/>
          <w:b w:val="0"/>
          <w:bCs w:val="0"/>
          <w:kern w:val="0"/>
          <w:sz w:val="24"/>
          <w:szCs w:val="24"/>
          <w:highlight w:val="none"/>
          <w:lang w:val="en-US"/>
        </w:rPr>
        <w:t>-我的工作台-</w:t>
      </w:r>
      <w:r>
        <w:rPr>
          <w:rFonts w:hint="eastAsia" w:ascii="宋体" w:hAnsi="宋体" w:eastAsia="宋体" w:cs="宋体"/>
          <w:b w:val="0"/>
          <w:bCs w:val="0"/>
          <w:kern w:val="0"/>
          <w:sz w:val="24"/>
          <w:szCs w:val="24"/>
          <w:highlight w:val="none"/>
          <w:lang w:val="en-US"/>
        </w:rPr>
        <w:t>合同管理</w:t>
      </w:r>
      <w:r>
        <w:rPr>
          <w:rFonts w:ascii="宋体" w:hAnsi="宋体" w:eastAsia="宋体" w:cs="宋体"/>
          <w:b w:val="0"/>
          <w:bCs w:val="0"/>
          <w:kern w:val="0"/>
          <w:sz w:val="24"/>
          <w:szCs w:val="24"/>
          <w:highlight w:val="none"/>
          <w:lang w:val="en-US"/>
        </w:rPr>
        <w:t>-支付管理。对于供应商提起在线支付申请的，采购</w:t>
      </w:r>
      <w:r>
        <w:rPr>
          <w:rFonts w:hint="eastAsia" w:ascii="宋体" w:hAnsi="宋体" w:eastAsia="宋体" w:cs="宋体"/>
          <w:b w:val="0"/>
          <w:bCs w:val="0"/>
          <w:kern w:val="0"/>
          <w:sz w:val="24"/>
          <w:szCs w:val="24"/>
          <w:highlight w:val="none"/>
          <w:lang w:val="en-US"/>
        </w:rPr>
        <w:t>人应当按规定做好审核并完成支付。</w:t>
      </w:r>
    </w:p>
    <w:p w14:paraId="01AF115F">
      <w:pPr>
        <w:pStyle w:val="79"/>
        <w:rPr>
          <w:highlight w:val="none"/>
        </w:rPr>
      </w:pPr>
    </w:p>
    <w:bookmarkEnd w:id="13"/>
    <w:p w14:paraId="29EBABC5">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bookmarkStart w:id="15" w:name="_Hlt74714665"/>
      <w:bookmarkEnd w:id="15"/>
      <w:bookmarkStart w:id="16" w:name="_Hlt74707468"/>
      <w:bookmarkEnd w:id="16"/>
      <w:bookmarkStart w:id="17" w:name="_Hlt68057669"/>
      <w:bookmarkEnd w:id="17"/>
      <w:bookmarkStart w:id="18" w:name="_Hlt75236290"/>
      <w:bookmarkEnd w:id="18"/>
      <w:bookmarkStart w:id="19" w:name="_Hlt68403820"/>
      <w:bookmarkEnd w:id="19"/>
      <w:bookmarkStart w:id="20" w:name="_Hlt68073093"/>
      <w:bookmarkEnd w:id="20"/>
      <w:bookmarkStart w:id="21" w:name="_Hlt75236101"/>
      <w:bookmarkEnd w:id="21"/>
      <w:bookmarkStart w:id="22" w:name="_Hlt74730295"/>
      <w:bookmarkEnd w:id="22"/>
      <w:bookmarkStart w:id="23" w:name="_Hlt68072998"/>
      <w:bookmarkEnd w:id="23"/>
      <w:bookmarkStart w:id="24" w:name="_Hlt75236011"/>
      <w:bookmarkEnd w:id="24"/>
      <w:bookmarkStart w:id="25" w:name="_Hlt68072990"/>
      <w:bookmarkEnd w:id="25"/>
      <w:bookmarkStart w:id="26" w:name="_Hlt74729768"/>
      <w:bookmarkEnd w:id="26"/>
    </w:p>
    <w:bookmarkEnd w:id="11"/>
    <w:bookmarkEnd w:id="12"/>
    <w:p w14:paraId="5DEDD7AA">
      <w:pPr>
        <w:spacing w:line="360" w:lineRule="auto"/>
        <w:jc w:val="center"/>
        <w:outlineLvl w:val="0"/>
        <w:rPr>
          <w:rFonts w:ascii="宋体" w:hAnsi="宋体" w:cs="宋体"/>
          <w:b/>
          <w:sz w:val="36"/>
          <w:szCs w:val="36"/>
          <w:highlight w:val="none"/>
        </w:rPr>
      </w:pPr>
      <w:bookmarkStart w:id="27" w:name="第四部分"/>
      <w:r>
        <w:rPr>
          <w:rFonts w:hint="eastAsia" w:ascii="宋体" w:hAnsi="宋体" w:cs="宋体"/>
          <w:b/>
          <w:sz w:val="36"/>
          <w:szCs w:val="36"/>
          <w:highlight w:val="none"/>
        </w:rPr>
        <w:t>第三部分   采购需求</w:t>
      </w:r>
    </w:p>
    <w:p w14:paraId="122DB3D3">
      <w:pPr>
        <w:spacing w:line="360" w:lineRule="auto"/>
        <w:jc w:val="left"/>
        <w:rPr>
          <w:rFonts w:ascii="宋体" w:hAnsi="宋体" w:cs="宋体"/>
          <w:sz w:val="24"/>
          <w:highlight w:val="none"/>
        </w:rPr>
      </w:pPr>
      <w:r>
        <w:rPr>
          <w:rFonts w:hint="eastAsia" w:ascii="宋体" w:hAnsi="宋体" w:cs="宋体"/>
          <w:sz w:val="24"/>
          <w:highlight w:val="none"/>
        </w:rPr>
        <w:t>（一）项目概况</w:t>
      </w:r>
    </w:p>
    <w:p w14:paraId="7192458F">
      <w:pPr>
        <w:spacing w:line="360" w:lineRule="auto"/>
        <w:ind w:firstLine="420"/>
        <w:jc w:val="left"/>
        <w:rPr>
          <w:rFonts w:ascii="宋体" w:hAnsi="宋体" w:cs="宋体"/>
          <w:sz w:val="24"/>
          <w:highlight w:val="none"/>
        </w:rPr>
      </w:pPr>
      <w:r>
        <w:rPr>
          <w:rFonts w:hint="eastAsia" w:ascii="宋体" w:hAnsi="宋体" w:cs="宋体"/>
          <w:sz w:val="24"/>
          <w:highlight w:val="none"/>
        </w:rPr>
        <w:t>租赁内容：本项目以购买服务方式，提供交通管理数据全生命周期运营服务、安全加固及应用迁移改造服务、货运导航数据及运营保障服务、安全防控风险预警服务，要求提供不少于11人驻点服务。</w:t>
      </w:r>
    </w:p>
    <w:p w14:paraId="0016A99E">
      <w:pPr>
        <w:spacing w:line="360" w:lineRule="auto"/>
        <w:ind w:firstLine="420"/>
        <w:jc w:val="left"/>
        <w:rPr>
          <w:rFonts w:ascii="宋体" w:hAnsi="宋体" w:cs="宋体"/>
          <w:sz w:val="24"/>
          <w:highlight w:val="none"/>
        </w:rPr>
      </w:pPr>
      <w:r>
        <w:rPr>
          <w:rFonts w:hint="eastAsia" w:ascii="宋体" w:hAnsi="宋体" w:cs="宋体"/>
          <w:sz w:val="24"/>
          <w:highlight w:val="none"/>
        </w:rPr>
        <w:t>实施目标：通过本项目实施，提供常态化交通数据运维服务，为采购人正常业务运行提供数据支撑、模型支撑、技术保障支撑，完成采购人数据及应用安全迁移改造，实现数据及应用安全合规。</w:t>
      </w:r>
    </w:p>
    <w:p w14:paraId="2E12AD73">
      <w:pPr>
        <w:spacing w:line="360" w:lineRule="auto"/>
        <w:ind w:firstLine="420"/>
        <w:jc w:val="left"/>
        <w:rPr>
          <w:rFonts w:ascii="宋体" w:hAnsi="宋体" w:cs="宋体"/>
          <w:sz w:val="24"/>
          <w:highlight w:val="none"/>
        </w:rPr>
      </w:pPr>
      <w:r>
        <w:rPr>
          <w:rFonts w:hint="eastAsia" w:ascii="宋体" w:hAnsi="宋体" w:cs="宋体"/>
          <w:sz w:val="24"/>
          <w:highlight w:val="none"/>
        </w:rPr>
        <w:t>租赁期：</w:t>
      </w:r>
      <w:r>
        <w:rPr>
          <w:rFonts w:ascii="宋体" w:hAnsi="宋体" w:cs="宋体"/>
          <w:sz w:val="24"/>
          <w:highlight w:val="none"/>
        </w:rPr>
        <w:t>1</w:t>
      </w:r>
      <w:r>
        <w:rPr>
          <w:rFonts w:hint="eastAsia" w:ascii="宋体" w:hAnsi="宋体" w:cs="宋体"/>
          <w:sz w:val="24"/>
          <w:highlight w:val="none"/>
        </w:rPr>
        <w:t>2个月（</w:t>
      </w:r>
      <w:r>
        <w:rPr>
          <w:rFonts w:ascii="宋体" w:hAnsi="宋体" w:cs="宋体"/>
          <w:sz w:val="24"/>
          <w:highlight w:val="none"/>
        </w:rPr>
        <w:t>202</w:t>
      </w:r>
      <w:r>
        <w:rPr>
          <w:rFonts w:hint="eastAsia" w:ascii="宋体" w:hAnsi="宋体" w:cs="宋体"/>
          <w:sz w:val="24"/>
          <w:highlight w:val="none"/>
        </w:rPr>
        <w:t>4年8月</w:t>
      </w:r>
      <w:r>
        <w:rPr>
          <w:rFonts w:ascii="宋体" w:hAnsi="宋体" w:cs="宋体"/>
          <w:sz w:val="24"/>
          <w:highlight w:val="none"/>
        </w:rPr>
        <w:t>1日-202</w:t>
      </w:r>
      <w:r>
        <w:rPr>
          <w:rFonts w:hint="eastAsia" w:ascii="宋体" w:hAnsi="宋体" w:cs="宋体"/>
          <w:sz w:val="24"/>
          <w:highlight w:val="none"/>
        </w:rPr>
        <w:t>5年</w:t>
      </w:r>
      <w:r>
        <w:rPr>
          <w:rFonts w:ascii="宋体" w:hAnsi="宋体" w:cs="宋体"/>
          <w:sz w:val="24"/>
          <w:highlight w:val="none"/>
        </w:rPr>
        <w:t>7月31日）</w:t>
      </w:r>
      <w:r>
        <w:rPr>
          <w:rFonts w:hint="eastAsia" w:ascii="宋体" w:hAnsi="宋体" w:cs="宋体"/>
          <w:sz w:val="24"/>
          <w:szCs w:val="24"/>
          <w:highlight w:val="none"/>
          <w:lang w:val="en-US" w:eastAsia="zh-CN"/>
        </w:rPr>
        <w:t>,服务空档期（即2024年8月1日至开始提供服务之前)由原供应商（2023年供应商）按照2024年需求提供服务，期间产生的费用由投标人，按照实际服务时间及2024年合同单价与原供应商按实结算。</w:t>
      </w:r>
    </w:p>
    <w:p w14:paraId="6BF6AF8A">
      <w:pPr>
        <w:spacing w:line="360" w:lineRule="auto"/>
        <w:jc w:val="left"/>
        <w:rPr>
          <w:rFonts w:hint="default" w:ascii="宋体" w:hAnsi="宋体" w:eastAsia="宋体" w:cs="宋体"/>
          <w:sz w:val="24"/>
          <w:highlight w:val="none"/>
          <w:lang w:val="en-US" w:eastAsia="zh-CN"/>
        </w:rPr>
      </w:pPr>
      <w:r>
        <w:rPr>
          <w:rFonts w:hint="eastAsia" w:ascii="宋体" w:hAnsi="宋体" w:cs="宋体"/>
          <w:sz w:val="24"/>
          <w:highlight w:val="none"/>
        </w:rPr>
        <w:t>（二）预算金额：867.45万元（其中2024年安排346.98万元）；</w:t>
      </w:r>
      <w:r>
        <w:rPr>
          <w:rFonts w:hint="eastAsia" w:ascii="宋体" w:hAnsi="宋体" w:cs="宋体"/>
          <w:sz w:val="24"/>
          <w:highlight w:val="none"/>
          <w:lang w:eastAsia="zh-CN"/>
        </w:rPr>
        <w:t>最高限价：</w:t>
      </w:r>
      <w:r>
        <w:rPr>
          <w:rFonts w:hint="eastAsia" w:ascii="宋体" w:hAnsi="宋体" w:eastAsia="宋体" w:cs="宋体"/>
          <w:sz w:val="24"/>
          <w:szCs w:val="24"/>
          <w:highlight w:val="none"/>
        </w:rPr>
        <w:t>854</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4500</w:t>
      </w:r>
      <w:r>
        <w:rPr>
          <w:rFonts w:hint="eastAsia" w:ascii="宋体" w:hAnsi="宋体" w:cs="宋体"/>
          <w:sz w:val="24"/>
          <w:highlight w:val="none"/>
          <w:lang w:val="en-US" w:eastAsia="zh-CN"/>
        </w:rPr>
        <w:t>万元</w:t>
      </w:r>
    </w:p>
    <w:p w14:paraId="60CBEC37">
      <w:pPr>
        <w:spacing w:line="360" w:lineRule="auto"/>
        <w:jc w:val="left"/>
        <w:rPr>
          <w:rFonts w:ascii="宋体" w:hAnsi="宋体" w:cs="宋体"/>
          <w:sz w:val="24"/>
          <w:highlight w:val="none"/>
        </w:rPr>
      </w:pPr>
      <w:r>
        <w:rPr>
          <w:rFonts w:hint="eastAsia" w:ascii="宋体" w:hAnsi="宋体" w:cs="宋体"/>
          <w:sz w:val="24"/>
          <w:highlight w:val="none"/>
        </w:rPr>
        <w:t>（三）需满足的政府采购政策目标和具体支持对象：</w:t>
      </w:r>
    </w:p>
    <w:p w14:paraId="7A64AB92">
      <w:pPr>
        <w:spacing w:line="360" w:lineRule="auto"/>
        <w:ind w:firstLine="480" w:firstLineChars="200"/>
        <w:jc w:val="left"/>
        <w:rPr>
          <w:rFonts w:ascii="宋体" w:hAnsi="宋体" w:cs="宋体"/>
          <w:sz w:val="24"/>
          <w:highlight w:val="none"/>
        </w:rPr>
      </w:pPr>
      <w:r>
        <w:rPr>
          <w:rFonts w:ascii="宋体" w:hAnsi="宋体" w:cs="宋体"/>
          <w:sz w:val="24"/>
          <w:highlight w:val="none"/>
        </w:rPr>
        <w:sym w:font="Wingdings" w:char="00A8"/>
      </w:r>
      <w:r>
        <w:rPr>
          <w:rFonts w:hint="eastAsia" w:ascii="宋体" w:hAnsi="宋体" w:cs="宋体"/>
          <w:sz w:val="24"/>
          <w:highlight w:val="none"/>
        </w:rPr>
        <w:t>扶持中小企业</w:t>
      </w:r>
      <w:r>
        <w:rPr>
          <w:rFonts w:ascii="宋体" w:hAnsi="宋体" w:cs="宋体"/>
          <w:sz w:val="24"/>
          <w:highlight w:val="none"/>
        </w:rPr>
        <w:sym w:font="Wingdings" w:char="00A8"/>
      </w:r>
      <w:r>
        <w:rPr>
          <w:rFonts w:hint="eastAsia" w:ascii="宋体" w:hAnsi="宋体" w:cs="宋体"/>
          <w:sz w:val="24"/>
          <w:highlight w:val="none"/>
        </w:rPr>
        <w:t>节能环保</w:t>
      </w:r>
      <w:r>
        <w:rPr>
          <w:rFonts w:ascii="宋体" w:hAnsi="宋体" w:cs="宋体"/>
          <w:sz w:val="24"/>
          <w:highlight w:val="none"/>
        </w:rPr>
        <w:sym w:font="Wingdings" w:char="00A8"/>
      </w:r>
      <w:r>
        <w:rPr>
          <w:rFonts w:hint="eastAsia" w:ascii="宋体" w:hAnsi="宋体" w:cs="宋体"/>
          <w:sz w:val="24"/>
          <w:highlight w:val="none"/>
        </w:rPr>
        <w:t>其他（）</w:t>
      </w:r>
    </w:p>
    <w:p w14:paraId="71AE2315">
      <w:pPr>
        <w:spacing w:line="360" w:lineRule="auto"/>
        <w:jc w:val="left"/>
        <w:rPr>
          <w:rFonts w:ascii="宋体" w:hAnsi="宋体" w:cs="宋体"/>
          <w:sz w:val="24"/>
          <w:highlight w:val="none"/>
        </w:rPr>
      </w:pPr>
      <w:r>
        <w:rPr>
          <w:rFonts w:hint="eastAsia" w:ascii="宋体" w:hAnsi="宋体" w:cs="宋体"/>
          <w:sz w:val="24"/>
          <w:highlight w:val="none"/>
        </w:rPr>
        <w:t>（四）采购标的是否进口产品：</w:t>
      </w:r>
      <w:r>
        <w:rPr>
          <w:rFonts w:ascii="宋体" w:hAnsi="宋体" w:cs="宋体"/>
          <w:sz w:val="24"/>
          <w:highlight w:val="none"/>
        </w:rPr>
        <w:sym w:font="Wingdings" w:char="00A8"/>
      </w:r>
      <w:r>
        <w:rPr>
          <w:rFonts w:hint="eastAsia" w:ascii="宋体" w:hAnsi="宋体" w:cs="宋体"/>
          <w:sz w:val="24"/>
          <w:highlight w:val="none"/>
        </w:rPr>
        <w:t>进口</w:t>
      </w:r>
      <w:r>
        <w:rPr>
          <w:rFonts w:ascii="宋体" w:hAnsi="宋体" w:cs="宋体"/>
          <w:sz w:val="24"/>
          <w:highlight w:val="none"/>
        </w:rPr>
        <w:sym w:font="Wingdings" w:char="00A8"/>
      </w:r>
      <w:r>
        <w:rPr>
          <w:rFonts w:hint="eastAsia" w:ascii="宋体" w:hAnsi="宋体" w:cs="宋体"/>
          <w:sz w:val="24"/>
          <w:highlight w:val="none"/>
        </w:rPr>
        <w:t>国产，本项目为服务采购。</w:t>
      </w:r>
    </w:p>
    <w:p w14:paraId="0806DECF">
      <w:pPr>
        <w:spacing w:line="360" w:lineRule="auto"/>
        <w:jc w:val="left"/>
        <w:rPr>
          <w:rFonts w:ascii="宋体" w:hAnsi="宋体" w:cs="宋体"/>
          <w:sz w:val="24"/>
          <w:highlight w:val="none"/>
        </w:rPr>
      </w:pPr>
      <w:r>
        <w:rPr>
          <w:rFonts w:hint="eastAsia" w:ascii="宋体" w:hAnsi="宋体" w:cs="宋体"/>
          <w:sz w:val="24"/>
          <w:highlight w:val="none"/>
        </w:rPr>
        <w:t>（五）拟采购标的的技术要求</w:t>
      </w:r>
    </w:p>
    <w:p w14:paraId="66E26F58">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一）项目服务内容（</w:t>
      </w:r>
      <w:r>
        <w:rPr>
          <w:rFonts w:hint="eastAsia" w:ascii="宋体" w:hAnsi="宋体" w:cs="仿宋"/>
          <w:b/>
          <w:bCs/>
          <w:sz w:val="24"/>
          <w:highlight w:val="none"/>
        </w:rPr>
        <w:t>标*项参数投标时提供第三方检测机构出具的具备CMA标识的检测报告</w:t>
      </w:r>
      <w:r>
        <w:rPr>
          <w:rFonts w:hint="eastAsia" w:ascii="宋体" w:hAnsi="宋体" w:cs="宋体"/>
          <w:b/>
          <w:sz w:val="24"/>
          <w:highlight w:val="none"/>
        </w:rPr>
        <w:t>）</w:t>
      </w:r>
    </w:p>
    <w:p w14:paraId="2B7B3817">
      <w:pPr>
        <w:spacing w:line="360" w:lineRule="auto"/>
        <w:ind w:firstLine="480"/>
        <w:rPr>
          <w:rFonts w:ascii="宋体" w:hAnsi="宋体" w:cs="宋体"/>
          <w:b/>
          <w:bCs/>
          <w:sz w:val="24"/>
          <w:highlight w:val="none"/>
        </w:rPr>
      </w:pPr>
      <w:r>
        <w:rPr>
          <w:rFonts w:hint="eastAsia" w:ascii="宋体" w:hAnsi="宋体" w:cs="宋体"/>
          <w:b/>
          <w:bCs/>
          <w:sz w:val="24"/>
          <w:highlight w:val="none"/>
        </w:rPr>
        <w:t>（一）交通管理数据全生命周期运营服务</w:t>
      </w:r>
    </w:p>
    <w:p w14:paraId="793D09FE">
      <w:pPr>
        <w:spacing w:line="360" w:lineRule="auto"/>
        <w:ind w:firstLine="480" w:firstLineChars="200"/>
        <w:rPr>
          <w:rFonts w:ascii="宋体" w:hAnsi="宋体" w:cs="宋体"/>
          <w:sz w:val="24"/>
          <w:highlight w:val="none"/>
        </w:rPr>
      </w:pPr>
      <w:r>
        <w:rPr>
          <w:rFonts w:hint="eastAsia" w:ascii="宋体" w:hAnsi="宋体" w:cs="宋体"/>
          <w:sz w:val="24"/>
          <w:highlight w:val="none"/>
        </w:rPr>
        <w:t>1、专网云平台系统运行及数据治理</w:t>
      </w:r>
    </w:p>
    <w:p w14:paraId="7A7CA19D">
      <w:pPr>
        <w:spacing w:line="360" w:lineRule="auto"/>
        <w:ind w:firstLine="480" w:firstLineChars="200"/>
        <w:rPr>
          <w:rFonts w:ascii="宋体" w:hAnsi="宋体" w:cs="宋体"/>
          <w:sz w:val="24"/>
          <w:highlight w:val="none"/>
        </w:rPr>
      </w:pPr>
      <w:r>
        <w:rPr>
          <w:rFonts w:hint="eastAsia" w:ascii="宋体" w:hAnsi="宋体" w:cs="宋体"/>
          <w:sz w:val="24"/>
          <w:highlight w:val="none"/>
        </w:rPr>
        <w:t>（1）数据接入服务</w:t>
      </w:r>
    </w:p>
    <w:p w14:paraId="01910567">
      <w:pPr>
        <w:spacing w:line="360" w:lineRule="auto"/>
        <w:ind w:firstLine="480" w:firstLineChars="200"/>
        <w:rPr>
          <w:rFonts w:ascii="宋体" w:hAnsi="宋体" w:cs="宋体"/>
          <w:highlight w:val="none"/>
        </w:rPr>
      </w:pPr>
      <w:r>
        <w:rPr>
          <w:rFonts w:hint="eastAsia" w:ascii="宋体" w:hAnsi="宋体" w:cs="宋体"/>
          <w:sz w:val="24"/>
          <w:highlight w:val="none"/>
        </w:rPr>
        <w:t>将各类信息化系统的结构化、半结构化、非结构化多种类型数据统一接入和预处理，预计接入30多张相关数据库表，每日接入数据量在5.2亿条左右，每日约100GB 。</w:t>
      </w:r>
    </w:p>
    <w:p w14:paraId="7C372F14">
      <w:pPr>
        <w:spacing w:line="360" w:lineRule="auto"/>
        <w:ind w:firstLine="480" w:firstLineChars="200"/>
        <w:rPr>
          <w:rFonts w:ascii="宋体" w:hAnsi="宋体" w:cs="宋体"/>
          <w:sz w:val="24"/>
          <w:highlight w:val="none"/>
        </w:rPr>
      </w:pPr>
      <w:r>
        <w:rPr>
          <w:rFonts w:hint="eastAsia" w:ascii="宋体" w:hAnsi="宋体" w:cs="宋体"/>
          <w:sz w:val="24"/>
          <w:highlight w:val="none"/>
        </w:rPr>
        <w:t>1）接入杭州市机动车卡口过车数据；</w:t>
      </w:r>
    </w:p>
    <w:p w14:paraId="1CD5EFF6">
      <w:pPr>
        <w:spacing w:line="360" w:lineRule="auto"/>
        <w:ind w:firstLine="480" w:firstLineChars="200"/>
        <w:rPr>
          <w:rFonts w:ascii="宋体" w:hAnsi="宋体" w:cs="宋体"/>
          <w:sz w:val="24"/>
          <w:highlight w:val="none"/>
        </w:rPr>
      </w:pPr>
      <w:r>
        <w:rPr>
          <w:rFonts w:hint="eastAsia" w:ascii="宋体" w:hAnsi="宋体" w:cs="宋体"/>
          <w:sz w:val="24"/>
          <w:highlight w:val="none"/>
        </w:rPr>
        <w:t>2）接入互联网实时交通数据，包含交通事件、拥堵预警等；</w:t>
      </w:r>
    </w:p>
    <w:p w14:paraId="2F857A22">
      <w:pPr>
        <w:spacing w:line="360" w:lineRule="auto"/>
        <w:ind w:firstLine="480" w:firstLineChars="200"/>
        <w:rPr>
          <w:rFonts w:ascii="宋体" w:hAnsi="宋体" w:cs="宋体"/>
          <w:sz w:val="24"/>
          <w:highlight w:val="none"/>
        </w:rPr>
      </w:pPr>
      <w:r>
        <w:rPr>
          <w:rFonts w:hint="eastAsia" w:ascii="宋体" w:hAnsi="宋体" w:cs="宋体"/>
          <w:sz w:val="24"/>
          <w:highlight w:val="none"/>
        </w:rPr>
        <w:t>3）根据要完成表单的接入工作，每月底提供数据接入清单。</w:t>
      </w:r>
    </w:p>
    <w:p w14:paraId="78C4FF4B">
      <w:pPr>
        <w:spacing w:line="360" w:lineRule="auto"/>
        <w:ind w:firstLine="480" w:firstLineChars="200"/>
        <w:rPr>
          <w:rFonts w:ascii="宋体" w:hAnsi="宋体" w:cs="宋体"/>
          <w:sz w:val="24"/>
          <w:highlight w:val="none"/>
        </w:rPr>
      </w:pPr>
      <w:r>
        <w:rPr>
          <w:rFonts w:hint="eastAsia" w:ascii="宋体" w:hAnsi="宋体" w:cs="宋体"/>
          <w:sz w:val="24"/>
          <w:highlight w:val="none"/>
        </w:rPr>
        <w:t>（2）数据加工治理服务</w:t>
      </w:r>
    </w:p>
    <w:p w14:paraId="51051152">
      <w:pPr>
        <w:spacing w:line="360" w:lineRule="auto"/>
        <w:ind w:firstLine="480" w:firstLineChars="200"/>
        <w:rPr>
          <w:rFonts w:ascii="宋体" w:hAnsi="宋体" w:cs="宋体"/>
          <w:sz w:val="24"/>
          <w:highlight w:val="none"/>
        </w:rPr>
      </w:pPr>
      <w:r>
        <w:rPr>
          <w:rFonts w:hint="eastAsia" w:ascii="宋体" w:hAnsi="宋体" w:cs="宋体"/>
          <w:sz w:val="24"/>
          <w:highlight w:val="none"/>
        </w:rPr>
        <w:t>1）数据探查服务：对接入的杭州市机动车卡口过车、交通工程、互联网实时交通等多种类型数据来源进行打标。通过对来源数据存储位置、提供方式、总量和更新情况、业务含义、字段格式和取值分布、数据结构、数据质量等属性进行多维度探查，完成数据识别工作（例如空值率、值域及分布、命名实体、问题数据等多维度探查识别），为数据定义提供依据。</w:t>
      </w:r>
    </w:p>
    <w:p w14:paraId="7540E513">
      <w:pPr>
        <w:spacing w:line="360" w:lineRule="auto"/>
        <w:ind w:firstLine="480" w:firstLineChars="200"/>
        <w:rPr>
          <w:rFonts w:ascii="宋体" w:hAnsi="宋体" w:cs="宋体"/>
          <w:sz w:val="24"/>
          <w:highlight w:val="none"/>
        </w:rPr>
      </w:pPr>
      <w:r>
        <w:rPr>
          <w:rFonts w:hint="eastAsia" w:ascii="宋体" w:hAnsi="宋体" w:cs="宋体"/>
          <w:sz w:val="24"/>
          <w:highlight w:val="none"/>
        </w:rPr>
        <w:t>2）数据读取服务：在完成数据探查及数据定义工作后，将杭州市机动车卡口过车、交通工程、互联网实时交通等源数据与数据定义进行对比核验，确保数据质量和准确性。同时，对各种异构数据进行解密、解压、适配等多个环节操作，并对数据进行字符集转换、半结构化数据转换等其他转换，使数据符合数据处理要求的格式，供下一步处理。</w:t>
      </w:r>
    </w:p>
    <w:p w14:paraId="794CD433">
      <w:pPr>
        <w:spacing w:line="360" w:lineRule="auto"/>
        <w:ind w:firstLine="480" w:firstLineChars="200"/>
        <w:rPr>
          <w:rFonts w:ascii="宋体" w:hAnsi="宋体" w:cs="宋体"/>
          <w:sz w:val="24"/>
          <w:highlight w:val="none"/>
        </w:rPr>
      </w:pPr>
      <w:r>
        <w:rPr>
          <w:rFonts w:hint="eastAsia" w:ascii="宋体" w:hAnsi="宋体" w:cs="宋体"/>
          <w:sz w:val="24"/>
          <w:highlight w:val="none"/>
        </w:rPr>
        <w:t>3）数据清洗服务：按照数据清洗标准进行杭州市机动车卡口过车、交通工程、互联网实时交通等100多张书库表数据过滤、去重、格转、校验等数据清洗操作，从而实现数据标准化，包括数据对标、数据去重、数据转换以及数据完整性校验、规范性校验、一致性校验等。</w:t>
      </w:r>
    </w:p>
    <w:p w14:paraId="40F66165">
      <w:pPr>
        <w:spacing w:line="360" w:lineRule="auto"/>
        <w:ind w:firstLine="480" w:firstLineChars="200"/>
        <w:rPr>
          <w:rFonts w:ascii="宋体" w:hAnsi="宋体" w:cs="宋体"/>
          <w:sz w:val="24"/>
          <w:highlight w:val="none"/>
        </w:rPr>
      </w:pPr>
      <w:r>
        <w:rPr>
          <w:rFonts w:hint="eastAsia" w:ascii="宋体" w:hAnsi="宋体" w:cs="宋体"/>
          <w:sz w:val="24"/>
          <w:highlight w:val="none"/>
        </w:rPr>
        <w:t>4）数据共享服务：以专网云平台数据资源池为数据底座，通过数据共享打通采购人各部门的数据壁垒，加速数据资源由业务需求驱动和聚集，在业务协同上起到数据融合和共用的作用。为交通局日常业务、市局大数据平台、路网运行等场景提供杭州市机动车卡口过车、交通工程、互联网实时交通等数据支撑</w:t>
      </w:r>
    </w:p>
    <w:p w14:paraId="087BAB81">
      <w:pPr>
        <w:spacing w:line="360" w:lineRule="auto"/>
        <w:ind w:firstLine="480" w:firstLineChars="200"/>
        <w:rPr>
          <w:rFonts w:ascii="宋体" w:hAnsi="宋体" w:cs="宋体"/>
          <w:sz w:val="24"/>
          <w:highlight w:val="none"/>
        </w:rPr>
      </w:pPr>
      <w:r>
        <w:rPr>
          <w:rFonts w:hint="eastAsia" w:ascii="宋体" w:hAnsi="宋体" w:cs="宋体"/>
          <w:sz w:val="24"/>
          <w:highlight w:val="none"/>
        </w:rPr>
        <w:t>5）数据传输服务：在数据共享和分发过程中，将涉及到一条或多条链路，数据传输将维护数据传输链路安全畅通，保障数据在传输过程中不错、不重、不丢。</w:t>
      </w:r>
    </w:p>
    <w:p w14:paraId="0F97A532">
      <w:pPr>
        <w:spacing w:line="360" w:lineRule="auto"/>
        <w:ind w:firstLine="480" w:firstLineChars="200"/>
        <w:rPr>
          <w:rFonts w:ascii="宋体" w:hAnsi="宋体" w:cs="宋体"/>
          <w:sz w:val="24"/>
          <w:highlight w:val="none"/>
        </w:rPr>
      </w:pPr>
      <w:r>
        <w:rPr>
          <w:rFonts w:hint="eastAsia" w:ascii="宋体" w:hAnsi="宋体" w:cs="宋体"/>
          <w:sz w:val="24"/>
          <w:highlight w:val="none"/>
        </w:rPr>
        <w:t>6）模型标准化：使用标准化标签设计模型，包括杭州市机动车卡口过车、交通工程、互联网实时交通等众多的数据统计模型、分析模型、监控模型均具备管理和维护标识，便于模型运行维护过程中的统一化和规范化。</w:t>
      </w:r>
    </w:p>
    <w:p w14:paraId="14D27851">
      <w:pPr>
        <w:spacing w:line="360" w:lineRule="auto"/>
        <w:ind w:firstLine="480" w:firstLineChars="200"/>
        <w:rPr>
          <w:rFonts w:ascii="宋体" w:hAnsi="宋体" w:cs="宋体"/>
          <w:sz w:val="24"/>
          <w:highlight w:val="none"/>
        </w:rPr>
      </w:pPr>
      <w:r>
        <w:rPr>
          <w:rFonts w:hint="eastAsia" w:ascii="宋体" w:hAnsi="宋体" w:cs="宋体"/>
          <w:sz w:val="24"/>
          <w:highlight w:val="none"/>
        </w:rPr>
        <w:t>7）任务管理：对数据接入过程进行可视化管理，浏览数据接入任务，修改接入任务配置、实时调配任务的资源，设定任务通知等相关内容，保障接入任务顺畅进行。</w:t>
      </w:r>
    </w:p>
    <w:p w14:paraId="0DB3D7DB">
      <w:pPr>
        <w:spacing w:line="360" w:lineRule="auto"/>
        <w:ind w:firstLine="480" w:firstLineChars="200"/>
        <w:rPr>
          <w:rFonts w:ascii="宋体" w:hAnsi="宋体" w:cs="宋体"/>
          <w:sz w:val="24"/>
          <w:highlight w:val="none"/>
        </w:rPr>
      </w:pPr>
      <w:r>
        <w:rPr>
          <w:rFonts w:hint="eastAsia" w:ascii="宋体" w:hAnsi="宋体" w:cs="宋体"/>
          <w:sz w:val="24"/>
          <w:highlight w:val="none"/>
        </w:rPr>
        <w:t>8）断点传续保障：通过断点记录、断点标识、断点恢复，保障数据在下载或上传时,将下载或上传任务进行切分,每一个部分采用一个线程进行上传或下载,如果碰到网络故障,保障从已经上传或下载的部分开始继续上传下载未完成的部分，确保数据不重复、不缺失，从而提升数据传输效率、提高数据传输稳定性、减少网络带宽占用。</w:t>
      </w:r>
    </w:p>
    <w:p w14:paraId="00AED40D">
      <w:pPr>
        <w:spacing w:line="360" w:lineRule="auto"/>
        <w:ind w:firstLine="480" w:firstLineChars="200"/>
        <w:rPr>
          <w:rFonts w:ascii="宋体" w:hAnsi="宋体" w:cs="宋体"/>
          <w:sz w:val="24"/>
          <w:highlight w:val="none"/>
        </w:rPr>
      </w:pPr>
      <w:r>
        <w:rPr>
          <w:rFonts w:hint="eastAsia" w:ascii="宋体" w:hAnsi="宋体" w:cs="宋体"/>
          <w:sz w:val="24"/>
          <w:highlight w:val="none"/>
        </w:rPr>
        <w:t>（3）数据透出服务</w:t>
      </w:r>
    </w:p>
    <w:p w14:paraId="1CB3D815">
      <w:pPr>
        <w:spacing w:line="360" w:lineRule="auto"/>
        <w:ind w:firstLine="480" w:firstLineChars="200"/>
        <w:rPr>
          <w:rFonts w:ascii="宋体" w:hAnsi="宋体" w:cs="宋体"/>
          <w:sz w:val="24"/>
          <w:highlight w:val="none"/>
        </w:rPr>
      </w:pPr>
      <w:r>
        <w:rPr>
          <w:rFonts w:hint="eastAsia" w:ascii="宋体" w:hAnsi="宋体" w:cs="宋体"/>
          <w:sz w:val="24"/>
          <w:highlight w:val="none"/>
        </w:rPr>
        <w:t>数据透出开发：按照业务场景的数据需求，提供对应的数据开发服务，实现数据的共享。完成接口透出的开发，可用于进行路网运行、交通事件、交通需求、交通舆情等决策分析业务。</w:t>
      </w:r>
    </w:p>
    <w:p w14:paraId="0163B098">
      <w:pPr>
        <w:spacing w:line="360" w:lineRule="auto"/>
        <w:ind w:firstLine="480" w:firstLineChars="200"/>
        <w:rPr>
          <w:rFonts w:ascii="宋体" w:hAnsi="宋体" w:cs="宋体"/>
          <w:sz w:val="24"/>
          <w:highlight w:val="none"/>
        </w:rPr>
      </w:pPr>
      <w:r>
        <w:rPr>
          <w:rFonts w:hint="eastAsia" w:ascii="宋体" w:hAnsi="宋体" w:cs="宋体"/>
          <w:sz w:val="24"/>
          <w:highlight w:val="none"/>
        </w:rPr>
        <w:t>（4）数据统计服务</w:t>
      </w:r>
    </w:p>
    <w:p w14:paraId="6DEA85C9">
      <w:pPr>
        <w:spacing w:line="360" w:lineRule="auto"/>
        <w:ind w:firstLine="480" w:firstLineChars="200"/>
        <w:rPr>
          <w:rFonts w:ascii="宋体" w:hAnsi="宋体" w:cs="宋体"/>
          <w:sz w:val="24"/>
          <w:highlight w:val="none"/>
        </w:rPr>
      </w:pPr>
      <w:r>
        <w:rPr>
          <w:rFonts w:hint="eastAsia" w:ascii="宋体" w:hAnsi="宋体" w:cs="宋体"/>
          <w:sz w:val="24"/>
          <w:highlight w:val="none"/>
        </w:rPr>
        <w:t>1）统计类数据开发服务：满足支队日常统计类业务保障，如拥堵统计、事故统计、警情统计等，并实现数字、excel、word等多样式统计结果呈现。</w:t>
      </w:r>
    </w:p>
    <w:p w14:paraId="14DCEFCB">
      <w:pPr>
        <w:spacing w:line="360" w:lineRule="auto"/>
        <w:ind w:firstLine="480" w:firstLineChars="200"/>
        <w:rPr>
          <w:rFonts w:ascii="宋体" w:hAnsi="宋体" w:cs="宋体"/>
          <w:sz w:val="24"/>
          <w:highlight w:val="none"/>
        </w:rPr>
      </w:pPr>
      <w:r>
        <w:rPr>
          <w:rFonts w:hint="eastAsia" w:ascii="宋体" w:hAnsi="宋体" w:cs="宋体"/>
          <w:sz w:val="24"/>
          <w:highlight w:val="none"/>
        </w:rPr>
        <w:t>2）持续提供工程类、秩序类等的数据模型、算子模型开发工作，预计开发模型200个。</w:t>
      </w:r>
    </w:p>
    <w:p w14:paraId="638316F3">
      <w:pPr>
        <w:spacing w:line="360" w:lineRule="auto"/>
        <w:ind w:firstLine="480" w:firstLineChars="200"/>
        <w:rPr>
          <w:rFonts w:ascii="宋体" w:hAnsi="宋体" w:cs="宋体"/>
          <w:sz w:val="24"/>
          <w:highlight w:val="none"/>
        </w:rPr>
      </w:pPr>
      <w:r>
        <w:rPr>
          <w:rFonts w:hint="eastAsia" w:ascii="宋体" w:hAnsi="宋体" w:cs="宋体"/>
          <w:sz w:val="24"/>
          <w:highlight w:val="none"/>
        </w:rPr>
        <w:t>（5）运营服务</w:t>
      </w:r>
    </w:p>
    <w:p w14:paraId="454ECF79">
      <w:pPr>
        <w:spacing w:line="360" w:lineRule="auto"/>
        <w:ind w:firstLine="480" w:firstLineChars="200"/>
        <w:rPr>
          <w:rFonts w:ascii="宋体" w:hAnsi="宋体" w:cs="宋体"/>
          <w:sz w:val="24"/>
          <w:highlight w:val="none"/>
        </w:rPr>
      </w:pPr>
      <w:r>
        <w:rPr>
          <w:rFonts w:hint="eastAsia" w:ascii="宋体" w:hAnsi="宋体" w:cs="宋体"/>
          <w:sz w:val="24"/>
          <w:highlight w:val="none"/>
        </w:rPr>
        <w:t>对开发完成的数据魔方等进行运营保障工作。</w:t>
      </w:r>
    </w:p>
    <w:p w14:paraId="2FED6277">
      <w:pPr>
        <w:spacing w:line="360" w:lineRule="auto"/>
        <w:ind w:firstLine="480" w:firstLineChars="200"/>
        <w:rPr>
          <w:rFonts w:ascii="宋体" w:hAnsi="宋体" w:cs="宋体"/>
          <w:sz w:val="24"/>
          <w:highlight w:val="none"/>
        </w:rPr>
      </w:pPr>
      <w:r>
        <w:rPr>
          <w:rFonts w:hint="eastAsia" w:ascii="宋体" w:hAnsi="宋体" w:cs="宋体"/>
          <w:sz w:val="24"/>
          <w:highlight w:val="none"/>
        </w:rPr>
        <w:t>监测类数据工作：满足支队日常监测类业务保障，如在途量监测、拥堵指数监测、平均速度监测及某重点路段、重点路口拥堵监测等。同时，结合监测类数据接口开发，为采购人的大脑2.0各应用平台提供监测运营保障，每天巡检，每周出具运行监测报告一份。</w:t>
      </w:r>
    </w:p>
    <w:p w14:paraId="09CE399D">
      <w:pPr>
        <w:spacing w:line="360" w:lineRule="auto"/>
        <w:ind w:firstLine="480" w:firstLineChars="200"/>
        <w:rPr>
          <w:rFonts w:ascii="宋体" w:hAnsi="宋体" w:cs="宋体"/>
          <w:sz w:val="24"/>
          <w:highlight w:val="none"/>
        </w:rPr>
      </w:pPr>
      <w:r>
        <w:rPr>
          <w:rFonts w:hint="eastAsia" w:ascii="宋体" w:hAnsi="宋体" w:cs="宋体"/>
          <w:sz w:val="24"/>
          <w:highlight w:val="none"/>
        </w:rPr>
        <w:t>（6）专网云平台运行保障</w:t>
      </w:r>
    </w:p>
    <w:p w14:paraId="08FD253E">
      <w:pPr>
        <w:spacing w:line="360" w:lineRule="auto"/>
        <w:ind w:firstLine="480" w:firstLineChars="200"/>
        <w:rPr>
          <w:rFonts w:ascii="宋体" w:hAnsi="宋体" w:cs="宋体"/>
          <w:sz w:val="24"/>
          <w:highlight w:val="none"/>
        </w:rPr>
      </w:pPr>
      <w:r>
        <w:rPr>
          <w:rFonts w:hint="eastAsia" w:ascii="宋体" w:hAnsi="宋体" w:cs="宋体"/>
          <w:sz w:val="24"/>
          <w:highlight w:val="none"/>
        </w:rPr>
        <w:t>针对专网云平台运行提供驻点服务和应急响应，保障平日系统云资源的规划、开通、监测和运营保障。在重大活动和重大节日期间，提供云平台的应急保障。每天巡检，每天出具城市大脑云平台运行监测报告一份。</w:t>
      </w:r>
    </w:p>
    <w:p w14:paraId="28BB8054">
      <w:pPr>
        <w:spacing w:line="360" w:lineRule="auto"/>
        <w:ind w:firstLine="480" w:firstLineChars="200"/>
        <w:rPr>
          <w:rFonts w:ascii="宋体" w:hAnsi="宋体" w:cs="宋体"/>
          <w:sz w:val="24"/>
          <w:highlight w:val="none"/>
        </w:rPr>
      </w:pPr>
      <w:r>
        <w:rPr>
          <w:rFonts w:hint="eastAsia" w:ascii="宋体" w:hAnsi="宋体" w:cs="宋体"/>
          <w:sz w:val="24"/>
          <w:highlight w:val="none"/>
        </w:rPr>
        <w:t>2、公安网数据治理</w:t>
      </w:r>
    </w:p>
    <w:p w14:paraId="322344C7">
      <w:pPr>
        <w:spacing w:line="360" w:lineRule="auto"/>
        <w:ind w:firstLine="480" w:firstLineChars="200"/>
        <w:rPr>
          <w:rFonts w:ascii="宋体" w:hAnsi="宋体" w:cs="宋体"/>
          <w:sz w:val="24"/>
          <w:highlight w:val="none"/>
        </w:rPr>
      </w:pPr>
      <w:r>
        <w:rPr>
          <w:rFonts w:hint="eastAsia" w:ascii="宋体" w:hAnsi="宋体" w:cs="宋体"/>
          <w:sz w:val="24"/>
          <w:highlight w:val="none"/>
        </w:rPr>
        <w:t>（1）数据上云服务</w:t>
      </w:r>
    </w:p>
    <w:p w14:paraId="5E18652F">
      <w:pPr>
        <w:spacing w:line="360" w:lineRule="auto"/>
        <w:ind w:firstLine="480" w:firstLineChars="200"/>
        <w:rPr>
          <w:rFonts w:ascii="宋体" w:hAnsi="宋体" w:cs="宋体"/>
          <w:sz w:val="24"/>
          <w:highlight w:val="none"/>
        </w:rPr>
      </w:pPr>
      <w:r>
        <w:rPr>
          <w:rFonts w:hint="eastAsia" w:ascii="宋体" w:hAnsi="宋体" w:cs="宋体"/>
          <w:sz w:val="24"/>
          <w:highlight w:val="none"/>
        </w:rPr>
        <w:t>1）数据源管理：对数据接入的源端和目的端进行基本信息维护，提供对接入组件内数据源统一操作管理的能力，支持根据数据源名称搜索数据源，支持各种异构数据源的新增、编辑、删除等操作。</w:t>
      </w:r>
    </w:p>
    <w:p w14:paraId="1D9EB6F5">
      <w:pPr>
        <w:spacing w:line="360" w:lineRule="auto"/>
        <w:ind w:firstLine="480" w:firstLineChars="200"/>
        <w:rPr>
          <w:rFonts w:ascii="宋体" w:hAnsi="宋体" w:cs="宋体"/>
          <w:sz w:val="24"/>
          <w:highlight w:val="none"/>
        </w:rPr>
      </w:pPr>
      <w:r>
        <w:rPr>
          <w:rFonts w:hint="eastAsia" w:ascii="宋体" w:hAnsi="宋体" w:cs="宋体"/>
          <w:sz w:val="24"/>
          <w:highlight w:val="none"/>
        </w:rPr>
        <w:t>2）数据探查：以可视化配置的形式提供对数据的探查功能，包括数据接入方式探查、业务探查、字段探查、数据项集探查、问题数据探查等，可用于对来源数据存储位置、提供方式、总量和更新情况、取值分布、数据质量等进行多维度探查，以达到认识数据的目的，预计完成约200张表的数据探查工作，主要包括在专网经过初步治理后的数据、以及市局大数据平台中和采购人业务强相关的部分数据。</w:t>
      </w:r>
    </w:p>
    <w:p w14:paraId="607C5004">
      <w:pPr>
        <w:spacing w:line="360" w:lineRule="auto"/>
        <w:ind w:firstLine="480" w:firstLineChars="200"/>
        <w:rPr>
          <w:rFonts w:ascii="宋体" w:hAnsi="宋体" w:cs="宋体"/>
          <w:sz w:val="24"/>
          <w:highlight w:val="none"/>
        </w:rPr>
      </w:pPr>
      <w:r>
        <w:rPr>
          <w:rFonts w:hint="eastAsia" w:ascii="宋体" w:hAnsi="宋体" w:cs="宋体"/>
          <w:sz w:val="24"/>
          <w:highlight w:val="none"/>
        </w:rPr>
        <w:t>3）数据定义：包括数据分级分类定义、数据提取策略定义等步骤。按照部标GA/DSJ 230-2019和GA/DSJ 231-2019规范，定义数据项的字段性质分类和字段敏感度分类；对结构化/半结构化数据提取策略进行定义，实现来源数据资源/数据项到目的数据资源/数据项的提取映射关系，为数据治理提供依据。</w:t>
      </w:r>
    </w:p>
    <w:p w14:paraId="65AB0D4C">
      <w:pPr>
        <w:spacing w:line="360" w:lineRule="auto"/>
        <w:ind w:firstLine="480" w:firstLineChars="200"/>
        <w:rPr>
          <w:rFonts w:ascii="宋体" w:hAnsi="宋体" w:cs="宋体"/>
          <w:sz w:val="24"/>
          <w:highlight w:val="none"/>
        </w:rPr>
      </w:pPr>
      <w:r>
        <w:rPr>
          <w:rFonts w:hint="eastAsia" w:ascii="宋体" w:hAnsi="宋体" w:cs="宋体"/>
          <w:sz w:val="24"/>
          <w:highlight w:val="none"/>
        </w:rPr>
        <w:t>4）数据读取：建立跨网络、跨平台的数据安全接入通道，为内部及存在信息共享的部门间数据抽取汇聚提供接口通道，支持多源异构数据的源系统读取数据，包括文件读取、数据库读取及服务接口读取等，预计完成约200张表的数据读取工作，主要包括在专网经过初步治理后的数据、以及市局大数据平台中和采购人业务强相关的部分数据。</w:t>
      </w:r>
    </w:p>
    <w:p w14:paraId="7C7537AA">
      <w:pPr>
        <w:spacing w:line="360" w:lineRule="auto"/>
        <w:ind w:firstLine="480" w:firstLineChars="200"/>
        <w:rPr>
          <w:rFonts w:ascii="宋体" w:hAnsi="宋体" w:cs="宋体"/>
          <w:sz w:val="24"/>
          <w:highlight w:val="none"/>
        </w:rPr>
      </w:pPr>
      <w:r>
        <w:rPr>
          <w:rFonts w:hint="eastAsia" w:ascii="宋体" w:hAnsi="宋体" w:cs="宋体"/>
          <w:sz w:val="24"/>
          <w:highlight w:val="none"/>
        </w:rPr>
        <w:t>（2）数据治理服务</w:t>
      </w:r>
    </w:p>
    <w:p w14:paraId="7423CB08">
      <w:pPr>
        <w:spacing w:line="360" w:lineRule="auto"/>
        <w:ind w:firstLine="480" w:firstLineChars="200"/>
        <w:rPr>
          <w:rFonts w:ascii="宋体" w:hAnsi="宋体" w:cs="宋体"/>
          <w:sz w:val="24"/>
          <w:highlight w:val="none"/>
        </w:rPr>
      </w:pPr>
      <w:r>
        <w:rPr>
          <w:rFonts w:hint="eastAsia" w:ascii="宋体" w:hAnsi="宋体" w:cs="宋体"/>
          <w:sz w:val="24"/>
          <w:highlight w:val="none"/>
        </w:rPr>
        <w:t>1）数据清洗：按照数据清洗标准进行数据过滤、去重、格转、校验等数据清洗操作，从而实现数据标准化，包括数据对标、数据去重、数据格转、数据校验等，预计完成约200张表的数据清洗工作。</w:t>
      </w:r>
    </w:p>
    <w:p w14:paraId="637198F0">
      <w:pPr>
        <w:spacing w:line="360" w:lineRule="auto"/>
        <w:ind w:firstLine="480" w:firstLineChars="200"/>
        <w:rPr>
          <w:rFonts w:ascii="宋体" w:hAnsi="宋体" w:cs="宋体"/>
          <w:sz w:val="24"/>
          <w:highlight w:val="none"/>
        </w:rPr>
      </w:pPr>
      <w:r>
        <w:rPr>
          <w:rFonts w:hint="eastAsia" w:ascii="宋体" w:hAnsi="宋体" w:cs="宋体"/>
          <w:sz w:val="24"/>
          <w:highlight w:val="none"/>
        </w:rPr>
        <w:t>2）数据关联：根据数据定义中的关联规则或算法，将数据和其它知识数据、业务数据等进行关联，并输出关联信息，包括关联回填、关联提取。</w:t>
      </w:r>
    </w:p>
    <w:p w14:paraId="06F89945">
      <w:pPr>
        <w:spacing w:line="360" w:lineRule="auto"/>
        <w:ind w:firstLine="480" w:firstLineChars="200"/>
        <w:rPr>
          <w:rFonts w:ascii="宋体" w:hAnsi="宋体" w:cs="宋体"/>
          <w:sz w:val="24"/>
          <w:highlight w:val="none"/>
        </w:rPr>
      </w:pPr>
      <w:r>
        <w:rPr>
          <w:rFonts w:hint="eastAsia" w:ascii="宋体" w:hAnsi="宋体" w:cs="宋体"/>
          <w:sz w:val="24"/>
          <w:highlight w:val="none"/>
        </w:rPr>
        <w:t>3）数据提取：按照数据标准进行字段映射提取和处理函数配置，实现对源数据中各类数据的关键信息提取，预计完成约200张表的数据提取工作。</w:t>
      </w:r>
    </w:p>
    <w:p w14:paraId="73C2ECF7">
      <w:pPr>
        <w:spacing w:line="360" w:lineRule="auto"/>
        <w:ind w:firstLine="480" w:firstLineChars="200"/>
        <w:rPr>
          <w:rFonts w:ascii="宋体" w:hAnsi="宋体" w:cs="宋体"/>
          <w:sz w:val="24"/>
          <w:highlight w:val="none"/>
        </w:rPr>
      </w:pPr>
      <w:r>
        <w:rPr>
          <w:rFonts w:hint="eastAsia" w:ascii="宋体" w:hAnsi="宋体" w:cs="宋体"/>
          <w:sz w:val="24"/>
          <w:highlight w:val="none"/>
        </w:rPr>
        <w:t>4）数据分发：通过数据分发，实现对提取、清洗、关联、比对和标识后的数据进行分发处理（如：将结果数据对应分发到原始库、资源库等），预计完成约200张表的数据分发工作。</w:t>
      </w:r>
    </w:p>
    <w:p w14:paraId="04F2FAE3">
      <w:pPr>
        <w:spacing w:line="360" w:lineRule="auto"/>
        <w:ind w:firstLine="480" w:firstLineChars="200"/>
        <w:rPr>
          <w:rFonts w:ascii="宋体" w:hAnsi="宋体" w:cs="宋体"/>
          <w:sz w:val="24"/>
          <w:highlight w:val="none"/>
        </w:rPr>
      </w:pPr>
      <w:r>
        <w:rPr>
          <w:rFonts w:hint="eastAsia" w:ascii="宋体" w:hAnsi="宋体" w:cs="宋体"/>
          <w:sz w:val="24"/>
          <w:highlight w:val="none"/>
        </w:rPr>
        <w:t>（3）数据开发服务</w:t>
      </w:r>
    </w:p>
    <w:p w14:paraId="7A42C552">
      <w:pPr>
        <w:spacing w:line="360" w:lineRule="auto"/>
        <w:ind w:firstLine="480" w:firstLineChars="200"/>
        <w:rPr>
          <w:rFonts w:ascii="宋体" w:hAnsi="宋体" w:cs="宋体"/>
          <w:sz w:val="24"/>
          <w:highlight w:val="none"/>
        </w:rPr>
      </w:pPr>
      <w:r>
        <w:rPr>
          <w:rFonts w:hint="eastAsia" w:ascii="宋体" w:hAnsi="宋体" w:cs="宋体"/>
          <w:sz w:val="24"/>
          <w:highlight w:val="none"/>
        </w:rPr>
        <w:t>1）数据指标服务：包括指标计算、指标推送、指标采集；</w:t>
      </w:r>
    </w:p>
    <w:p w14:paraId="3F72C205">
      <w:pPr>
        <w:spacing w:line="360" w:lineRule="auto"/>
        <w:ind w:firstLine="480" w:firstLineChars="200"/>
        <w:rPr>
          <w:rFonts w:ascii="宋体" w:hAnsi="宋体" w:cs="宋体"/>
          <w:sz w:val="24"/>
          <w:highlight w:val="none"/>
        </w:rPr>
      </w:pPr>
      <w:r>
        <w:rPr>
          <w:rFonts w:hint="eastAsia" w:ascii="宋体" w:hAnsi="宋体" w:cs="宋体"/>
          <w:sz w:val="24"/>
          <w:highlight w:val="none"/>
        </w:rPr>
        <w:t>2）指标计算：基于客户需求完成指标内容的开发，整体流程包括：指标数据对接、指标详细设计、指标代码实现等，预计完成约50类的指标计算工作。</w:t>
      </w:r>
    </w:p>
    <w:p w14:paraId="2BCDF462">
      <w:pPr>
        <w:spacing w:line="360" w:lineRule="auto"/>
        <w:ind w:firstLine="480" w:firstLineChars="200"/>
        <w:rPr>
          <w:rFonts w:ascii="宋体" w:hAnsi="宋体" w:cs="宋体"/>
          <w:sz w:val="24"/>
          <w:highlight w:val="none"/>
        </w:rPr>
      </w:pPr>
      <w:r>
        <w:rPr>
          <w:rFonts w:hint="eastAsia" w:ascii="宋体" w:hAnsi="宋体" w:cs="宋体"/>
          <w:sz w:val="24"/>
          <w:highlight w:val="none"/>
        </w:rPr>
        <w:t>3）指标推送：基于指标注册的更新频率要求将指标结果推送到指标中心，以可视化配置的形式对指标推送任务进行管理，同时支持以查看日志的形式对历史推送情况进行验证，预计完成约50类的指标推送工作。</w:t>
      </w:r>
    </w:p>
    <w:p w14:paraId="286A2E69">
      <w:pPr>
        <w:spacing w:line="360" w:lineRule="auto"/>
        <w:ind w:firstLine="480" w:firstLineChars="200"/>
        <w:rPr>
          <w:rFonts w:ascii="宋体" w:hAnsi="宋体" w:cs="宋体"/>
          <w:sz w:val="24"/>
          <w:highlight w:val="none"/>
        </w:rPr>
      </w:pPr>
      <w:r>
        <w:rPr>
          <w:rFonts w:hint="eastAsia" w:ascii="宋体" w:hAnsi="宋体" w:cs="宋体"/>
          <w:sz w:val="24"/>
          <w:highlight w:val="none"/>
        </w:rPr>
        <w:t>4）指标采集：指标推送是从指标中心推送指标结果，而指标采集是从指标中心将指标结果进行采集，采集的范围可以根据采购人的实际使用需求进行申请；将指标结果从指标中心进行采集之后可以用于采购人相关业务系统的应用，预计完成约20类的指标采集工作。</w:t>
      </w:r>
    </w:p>
    <w:p w14:paraId="0B111512">
      <w:pPr>
        <w:spacing w:line="360" w:lineRule="auto"/>
        <w:ind w:firstLine="480" w:firstLineChars="200"/>
        <w:rPr>
          <w:rFonts w:ascii="宋体" w:hAnsi="宋体" w:cs="宋体"/>
          <w:sz w:val="24"/>
          <w:highlight w:val="none"/>
        </w:rPr>
      </w:pPr>
      <w:r>
        <w:rPr>
          <w:rFonts w:hint="eastAsia" w:ascii="宋体" w:hAnsi="宋体" w:cs="宋体"/>
          <w:sz w:val="24"/>
          <w:highlight w:val="none"/>
        </w:rPr>
        <w:t>5）数据融合服务：支撑客户特殊的数据使用需求，包括：数据关联、数据融合等，生成特定的结果表数据可以用于后续数据建模、数据查询、数据透出等数据使用需求，方便业务使用的同时也可以在数据安全层面进行把控，预计完成约20项的数据融合工作。</w:t>
      </w:r>
    </w:p>
    <w:p w14:paraId="05689955">
      <w:pPr>
        <w:spacing w:line="360" w:lineRule="auto"/>
        <w:ind w:firstLine="480" w:firstLineChars="200"/>
        <w:rPr>
          <w:rFonts w:ascii="宋体" w:hAnsi="宋体" w:cs="宋体"/>
          <w:sz w:val="24"/>
          <w:highlight w:val="none"/>
        </w:rPr>
      </w:pPr>
      <w:r>
        <w:rPr>
          <w:rFonts w:hint="eastAsia" w:ascii="宋体" w:hAnsi="宋体" w:cs="宋体"/>
          <w:sz w:val="24"/>
          <w:highlight w:val="none"/>
        </w:rPr>
        <w:t>6）计算分析服务：基于特定需求完成计算逻辑设计，针对云上已交付的数据治理成果开展统计分析并产出计算结果，满足客户数据分析需求，预计完成约20项的计算分析工作</w:t>
      </w:r>
    </w:p>
    <w:p w14:paraId="0815847C">
      <w:pPr>
        <w:spacing w:line="360" w:lineRule="auto"/>
        <w:ind w:firstLine="480" w:firstLineChars="200"/>
        <w:rPr>
          <w:rFonts w:ascii="宋体" w:hAnsi="宋体" w:cs="宋体"/>
          <w:sz w:val="24"/>
          <w:highlight w:val="none"/>
        </w:rPr>
      </w:pPr>
      <w:r>
        <w:rPr>
          <w:rFonts w:hint="eastAsia" w:ascii="宋体" w:hAnsi="宋体" w:cs="宋体"/>
          <w:sz w:val="24"/>
          <w:highlight w:val="none"/>
        </w:rPr>
        <w:t>7）进行现有200类数据魔方业务模型的梳理工作；在数据域进行200类数据魔方模型的重新设计、重新构建等工作（由于视频专网上的数据魔方模型不能直接迁移到数据域，故需要在数据域中将视频专网的里面的魔方重新在进行搭建并维护；因视频专网和数据中的数据存在一定的差距，且为了提升模型的多用途、计算等能力，故进行重构），涉及到的模型包括每日交通量、道路速度统计查询、高峰延误指数、道路早晚高峰速度模型等；实现重构200类数据魔方模型的测试、运行、优化等工作</w:t>
      </w:r>
    </w:p>
    <w:p w14:paraId="33BF29EE">
      <w:pPr>
        <w:spacing w:line="360" w:lineRule="auto"/>
        <w:ind w:firstLine="480" w:firstLineChars="200"/>
        <w:rPr>
          <w:rFonts w:ascii="宋体" w:hAnsi="宋体" w:cs="宋体"/>
          <w:sz w:val="24"/>
          <w:highlight w:val="none"/>
        </w:rPr>
      </w:pPr>
      <w:r>
        <w:rPr>
          <w:rFonts w:hint="eastAsia" w:ascii="宋体" w:hAnsi="宋体" w:cs="宋体"/>
          <w:sz w:val="24"/>
          <w:highlight w:val="none"/>
        </w:rPr>
        <w:t>8）根据业务发展以及云上数据治理需要，新增50个业务类、服务类等相关模型的设计、开发、测试、运营、优化等工作，涵盖交通卡口流量统计模型、卡口间车流OD统计模型等模型。</w:t>
      </w:r>
    </w:p>
    <w:p w14:paraId="0B793EDD">
      <w:pPr>
        <w:spacing w:line="360" w:lineRule="auto"/>
        <w:ind w:firstLine="480" w:firstLineChars="200"/>
        <w:rPr>
          <w:rFonts w:ascii="宋体" w:hAnsi="宋体" w:cs="宋体"/>
          <w:sz w:val="24"/>
          <w:highlight w:val="none"/>
        </w:rPr>
      </w:pPr>
      <w:r>
        <w:rPr>
          <w:rFonts w:hint="eastAsia" w:ascii="宋体" w:hAnsi="宋体" w:cs="宋体"/>
          <w:sz w:val="24"/>
          <w:highlight w:val="none"/>
        </w:rPr>
        <w:t>（4）数据能力支撑</w:t>
      </w:r>
    </w:p>
    <w:p w14:paraId="04B41737">
      <w:pPr>
        <w:spacing w:line="360" w:lineRule="auto"/>
        <w:ind w:firstLine="480" w:firstLineChars="200"/>
        <w:rPr>
          <w:rFonts w:ascii="宋体" w:hAnsi="宋体" w:cs="宋体"/>
          <w:sz w:val="24"/>
          <w:highlight w:val="none"/>
        </w:rPr>
      </w:pPr>
      <w:r>
        <w:rPr>
          <w:rFonts w:hint="eastAsia" w:ascii="宋体" w:hAnsi="宋体" w:cs="宋体"/>
          <w:sz w:val="24"/>
          <w:highlight w:val="none"/>
        </w:rPr>
        <w:t>1）数据资源管理：包括资源市场、资源档案、资源审批；</w:t>
      </w:r>
    </w:p>
    <w:p w14:paraId="03450ADD">
      <w:pPr>
        <w:spacing w:line="360" w:lineRule="auto"/>
        <w:ind w:firstLine="480" w:firstLineChars="200"/>
        <w:rPr>
          <w:rFonts w:ascii="宋体" w:hAnsi="宋体" w:cs="宋体"/>
          <w:sz w:val="24"/>
          <w:highlight w:val="none"/>
        </w:rPr>
      </w:pPr>
      <w:r>
        <w:rPr>
          <w:rFonts w:hint="eastAsia" w:ascii="宋体" w:hAnsi="宋体" w:cs="宋体"/>
          <w:sz w:val="24"/>
          <w:highlight w:val="none"/>
        </w:rPr>
        <w:t>2）资源市场：按照统一的标准规范对数据资源进行管理，实现数据资源科学、有序、安全使用。</w:t>
      </w:r>
    </w:p>
    <w:p w14:paraId="3B8AE07B">
      <w:pPr>
        <w:spacing w:line="360" w:lineRule="auto"/>
        <w:ind w:firstLine="480" w:firstLineChars="200"/>
        <w:rPr>
          <w:rFonts w:ascii="宋体" w:hAnsi="宋体" w:cs="宋体"/>
          <w:sz w:val="24"/>
          <w:highlight w:val="none"/>
        </w:rPr>
      </w:pPr>
      <w:r>
        <w:rPr>
          <w:rFonts w:hint="eastAsia" w:ascii="宋体" w:hAnsi="宋体" w:cs="宋体"/>
          <w:sz w:val="24"/>
          <w:highlight w:val="none"/>
        </w:rPr>
        <w:t>3）资源档案：对数据资源进行档案式管理，使的用户更方便地了解和使用数据资源，简化用户认知数据表的难度，提高数据易用性。</w:t>
      </w:r>
    </w:p>
    <w:p w14:paraId="37DDE9C4">
      <w:pPr>
        <w:spacing w:line="360" w:lineRule="auto"/>
        <w:ind w:firstLine="480" w:firstLineChars="200"/>
        <w:rPr>
          <w:rFonts w:ascii="宋体" w:hAnsi="宋体" w:cs="宋体"/>
          <w:sz w:val="24"/>
          <w:highlight w:val="none"/>
        </w:rPr>
      </w:pPr>
      <w:r>
        <w:rPr>
          <w:rFonts w:hint="eastAsia" w:ascii="宋体" w:hAnsi="宋体" w:cs="宋体"/>
          <w:sz w:val="24"/>
          <w:highlight w:val="none"/>
        </w:rPr>
        <w:t>4）资源审批：提供资源审批功能供民警进行合理性验证，同时，以线上资源审批工单的形式进行管理，方便后续进行溯源管理。</w:t>
      </w:r>
    </w:p>
    <w:p w14:paraId="7088A704">
      <w:pPr>
        <w:spacing w:line="360" w:lineRule="auto"/>
        <w:ind w:firstLine="480" w:firstLineChars="200"/>
        <w:rPr>
          <w:rFonts w:ascii="宋体" w:hAnsi="宋体" w:cs="宋体"/>
          <w:sz w:val="24"/>
          <w:highlight w:val="none"/>
        </w:rPr>
      </w:pPr>
      <w:r>
        <w:rPr>
          <w:rFonts w:hint="eastAsia" w:ascii="宋体" w:hAnsi="宋体" w:cs="宋体"/>
          <w:sz w:val="24"/>
          <w:highlight w:val="none"/>
        </w:rPr>
        <w:t>预计完成200张表的资源的注册与管理工作。</w:t>
      </w:r>
    </w:p>
    <w:p w14:paraId="6CCD5C95">
      <w:pPr>
        <w:spacing w:line="360" w:lineRule="auto"/>
        <w:ind w:firstLine="480" w:firstLineChars="200"/>
        <w:rPr>
          <w:rFonts w:ascii="宋体" w:hAnsi="宋体" w:cs="宋体"/>
          <w:sz w:val="24"/>
          <w:highlight w:val="none"/>
        </w:rPr>
      </w:pPr>
      <w:r>
        <w:rPr>
          <w:rFonts w:hint="eastAsia" w:ascii="宋体" w:hAnsi="宋体" w:cs="宋体"/>
          <w:sz w:val="24"/>
          <w:highlight w:val="none"/>
        </w:rPr>
        <w:t>5）服务资源管理：包括服务市场、服务安全。</w:t>
      </w:r>
    </w:p>
    <w:p w14:paraId="45B9EB2A">
      <w:pPr>
        <w:spacing w:line="360" w:lineRule="auto"/>
        <w:ind w:firstLine="480" w:firstLineChars="200"/>
        <w:rPr>
          <w:rFonts w:ascii="宋体" w:hAnsi="宋体" w:cs="宋体"/>
          <w:sz w:val="24"/>
          <w:highlight w:val="none"/>
        </w:rPr>
      </w:pPr>
      <w:r>
        <w:rPr>
          <w:rFonts w:hint="eastAsia" w:ascii="宋体" w:hAnsi="宋体" w:cs="宋体"/>
          <w:sz w:val="24"/>
          <w:highlight w:val="none"/>
        </w:rPr>
        <w:t>6）服务市场：以界面化的形式进行表转服务的注册，已发布的数据服务将展示在服务市场中供业务方申请使用。</w:t>
      </w:r>
    </w:p>
    <w:p w14:paraId="5C71E29A">
      <w:pPr>
        <w:spacing w:line="360" w:lineRule="auto"/>
        <w:ind w:firstLine="480" w:firstLineChars="200"/>
        <w:rPr>
          <w:rFonts w:ascii="宋体" w:hAnsi="宋体" w:cs="宋体"/>
          <w:sz w:val="24"/>
          <w:highlight w:val="none"/>
        </w:rPr>
      </w:pPr>
      <w:r>
        <w:rPr>
          <w:rFonts w:hint="eastAsia" w:ascii="宋体" w:hAnsi="宋体" w:cs="宋体"/>
          <w:sz w:val="24"/>
          <w:highlight w:val="none"/>
        </w:rPr>
        <w:t>7）服务安全：以数据应用的身份对服务接口进行白名单权限认证，支持对服务接口进行调用限额，避免单应用的异常调用影响整体系统。</w:t>
      </w:r>
    </w:p>
    <w:p w14:paraId="5A5467E4">
      <w:pPr>
        <w:spacing w:line="360" w:lineRule="auto"/>
        <w:ind w:firstLine="480" w:firstLineChars="200"/>
        <w:rPr>
          <w:rFonts w:ascii="宋体" w:hAnsi="宋体" w:cs="宋体"/>
          <w:sz w:val="24"/>
          <w:highlight w:val="none"/>
        </w:rPr>
      </w:pPr>
      <w:r>
        <w:rPr>
          <w:rFonts w:hint="eastAsia" w:ascii="宋体" w:hAnsi="宋体" w:cs="宋体"/>
          <w:sz w:val="24"/>
          <w:highlight w:val="none"/>
        </w:rPr>
        <w:t>预计完成30个服务的注册与管理工作。</w:t>
      </w:r>
    </w:p>
    <w:p w14:paraId="6C0FB0B9">
      <w:pPr>
        <w:spacing w:line="360" w:lineRule="auto"/>
        <w:ind w:firstLine="480" w:firstLineChars="200"/>
        <w:rPr>
          <w:rFonts w:ascii="宋体" w:hAnsi="宋体" w:cs="宋体"/>
          <w:sz w:val="24"/>
          <w:highlight w:val="none"/>
        </w:rPr>
      </w:pPr>
      <w:r>
        <w:rPr>
          <w:rFonts w:hint="eastAsia" w:ascii="宋体" w:hAnsi="宋体" w:cs="宋体"/>
          <w:sz w:val="24"/>
          <w:highlight w:val="none"/>
        </w:rPr>
        <w:t>8）数据推送服务：数据推送服务主要用于支撑采购人内部系统在云上的数据使用需求，包括离线数据推送、实时数据推送；</w:t>
      </w:r>
    </w:p>
    <w:p w14:paraId="25C3857A">
      <w:pPr>
        <w:spacing w:line="360" w:lineRule="auto"/>
        <w:ind w:firstLine="480" w:firstLineChars="200"/>
        <w:rPr>
          <w:rFonts w:ascii="宋体" w:hAnsi="宋体" w:cs="宋体"/>
          <w:sz w:val="24"/>
          <w:highlight w:val="none"/>
        </w:rPr>
      </w:pPr>
      <w:r>
        <w:rPr>
          <w:rFonts w:hint="eastAsia" w:ascii="宋体" w:hAnsi="宋体" w:cs="宋体"/>
          <w:sz w:val="24"/>
          <w:highlight w:val="none"/>
        </w:rPr>
        <w:t>9）离线数据推送：离线数据推送指的是将上云或治理完成的结果表推送到应用方特定的关系型数据库，预计完成50张表的离线数据推送。</w:t>
      </w:r>
    </w:p>
    <w:p w14:paraId="4D5C0E25">
      <w:pPr>
        <w:spacing w:line="360" w:lineRule="auto"/>
        <w:ind w:firstLine="480" w:firstLineChars="200"/>
        <w:rPr>
          <w:rFonts w:ascii="宋体" w:hAnsi="宋体" w:cs="宋体"/>
          <w:sz w:val="24"/>
          <w:highlight w:val="none"/>
        </w:rPr>
      </w:pPr>
      <w:r>
        <w:rPr>
          <w:rFonts w:hint="eastAsia" w:ascii="宋体" w:hAnsi="宋体" w:cs="宋体"/>
          <w:sz w:val="24"/>
          <w:highlight w:val="none"/>
        </w:rPr>
        <w:t>10）实时数据推送：实时数据指的是将实时数据推送到应用方的datahub，用于满足应用方的实时数据使用需求，预计完成30张表的实时数据推送。</w:t>
      </w:r>
    </w:p>
    <w:p w14:paraId="4480C665">
      <w:pPr>
        <w:spacing w:line="360" w:lineRule="auto"/>
        <w:ind w:firstLine="480" w:firstLineChars="200"/>
        <w:rPr>
          <w:rFonts w:ascii="宋体" w:hAnsi="宋体" w:cs="宋体"/>
          <w:sz w:val="24"/>
          <w:highlight w:val="none"/>
        </w:rPr>
      </w:pPr>
      <w:r>
        <w:rPr>
          <w:rFonts w:hint="eastAsia" w:ascii="宋体" w:hAnsi="宋体" w:cs="宋体"/>
          <w:sz w:val="24"/>
          <w:highlight w:val="none"/>
        </w:rPr>
        <w:t>11）数据透出服务：数据透出服务用于支撑采购人对外的数据共享需求，主要针对历史共享数据清单的数据链路进行梳理与切换，预计完成50张表的数据透出工作。</w:t>
      </w:r>
    </w:p>
    <w:p w14:paraId="320AF03C">
      <w:pPr>
        <w:spacing w:line="360" w:lineRule="auto"/>
        <w:ind w:firstLine="480" w:firstLineChars="200"/>
        <w:rPr>
          <w:rFonts w:ascii="宋体" w:hAnsi="宋体" w:cs="宋体"/>
          <w:sz w:val="24"/>
          <w:highlight w:val="none"/>
        </w:rPr>
      </w:pPr>
      <w:r>
        <w:rPr>
          <w:rFonts w:hint="eastAsia" w:ascii="宋体" w:hAnsi="宋体" w:cs="宋体"/>
          <w:sz w:val="24"/>
          <w:highlight w:val="none"/>
        </w:rPr>
        <w:t>12）能力中心对接，包括指标中心对接、IT服务平台对接。</w:t>
      </w:r>
    </w:p>
    <w:p w14:paraId="0F70594C">
      <w:pPr>
        <w:spacing w:line="360" w:lineRule="auto"/>
        <w:ind w:firstLine="480" w:firstLineChars="200"/>
        <w:rPr>
          <w:rFonts w:ascii="宋体" w:hAnsi="宋体" w:cs="宋体"/>
          <w:sz w:val="24"/>
          <w:highlight w:val="none"/>
        </w:rPr>
      </w:pPr>
      <w:r>
        <w:rPr>
          <w:rFonts w:hint="eastAsia" w:ascii="宋体" w:hAnsi="宋体" w:cs="宋体"/>
          <w:sz w:val="24"/>
          <w:highlight w:val="none"/>
        </w:rPr>
        <w:t>13）指标中心对接：包括指标推送与指标采集：指标推送是将采购人的相关系统、模型的成果转化为指标服务，发布到指标中心；指标采集是将指标中心各个业务系统和大屏已经开发好的指标成果进行采集共享，避免重复开发。</w:t>
      </w:r>
    </w:p>
    <w:p w14:paraId="76B039BF">
      <w:pPr>
        <w:spacing w:line="360" w:lineRule="auto"/>
        <w:ind w:firstLine="480" w:firstLineChars="200"/>
        <w:rPr>
          <w:rFonts w:ascii="宋体" w:hAnsi="宋体" w:cs="宋体"/>
          <w:sz w:val="24"/>
          <w:highlight w:val="none"/>
        </w:rPr>
      </w:pPr>
      <w:r>
        <w:rPr>
          <w:rFonts w:hint="eastAsia" w:ascii="宋体" w:hAnsi="宋体" w:cs="宋体"/>
          <w:sz w:val="24"/>
          <w:highlight w:val="none"/>
        </w:rPr>
        <w:t>14）IT服务平台对接：对接IT服务平台注册的相关服务接口，通过服务接口可以查询其它部门共享的业务系统数据，满足采购人特定的数据使用需求。</w:t>
      </w:r>
    </w:p>
    <w:p w14:paraId="74676B6D">
      <w:pPr>
        <w:spacing w:line="360" w:lineRule="auto"/>
        <w:ind w:firstLine="480" w:firstLineChars="200"/>
        <w:rPr>
          <w:rFonts w:ascii="宋体" w:hAnsi="宋体" w:cs="宋体"/>
          <w:sz w:val="24"/>
          <w:highlight w:val="none"/>
        </w:rPr>
      </w:pPr>
      <w:r>
        <w:rPr>
          <w:rFonts w:hint="eastAsia" w:ascii="宋体" w:hAnsi="宋体" w:cs="宋体"/>
          <w:sz w:val="24"/>
          <w:highlight w:val="none"/>
        </w:rPr>
        <w:t>（5）数据预警运营</w:t>
      </w:r>
    </w:p>
    <w:p w14:paraId="2F4CA17B">
      <w:pPr>
        <w:spacing w:line="360" w:lineRule="auto"/>
        <w:ind w:firstLine="480" w:firstLineChars="200"/>
        <w:rPr>
          <w:rFonts w:ascii="宋体" w:hAnsi="宋体" w:cs="宋体"/>
          <w:sz w:val="24"/>
          <w:highlight w:val="none"/>
        </w:rPr>
      </w:pPr>
      <w:r>
        <w:rPr>
          <w:rFonts w:hint="eastAsia" w:ascii="宋体" w:hAnsi="宋体" w:cs="宋体"/>
          <w:sz w:val="24"/>
          <w:highlight w:val="none"/>
        </w:rPr>
        <w:t>1）上云任务监控运营：对接入组件的运行状况做一个整体的监控、包括任务监控、事件通知以及节点监控，通过监控中心发现任务或者执行节点的异常信息，及时预警通知运营人员，及时解决，预计需要完成400+个接入任务的运营管理。</w:t>
      </w:r>
    </w:p>
    <w:p w14:paraId="525C1CDD">
      <w:pPr>
        <w:spacing w:line="360" w:lineRule="auto"/>
        <w:ind w:firstLine="480" w:firstLineChars="200"/>
        <w:rPr>
          <w:rFonts w:ascii="宋体" w:hAnsi="宋体" w:cs="宋体"/>
          <w:sz w:val="24"/>
          <w:highlight w:val="none"/>
        </w:rPr>
      </w:pPr>
      <w:r>
        <w:rPr>
          <w:rFonts w:hint="eastAsia" w:ascii="宋体" w:hAnsi="宋体" w:cs="宋体"/>
          <w:sz w:val="24"/>
          <w:highlight w:val="none"/>
        </w:rPr>
        <w:t>2）治理任务监控运营：将当前数据治理组件中的异常预警按照预警时间的倒序来进行展示，提供预警时间、处理状态、预警级别、监控对象、预警类型五种筛选条件来对预警进行分类，方便运营人员快速定位并修复数据治理问题，保障数据稳定性，预计需要完成200+个治理任务的运营管理。</w:t>
      </w:r>
    </w:p>
    <w:p w14:paraId="1B3DCB59">
      <w:pPr>
        <w:spacing w:line="360" w:lineRule="auto"/>
        <w:ind w:firstLine="480" w:firstLineChars="200"/>
        <w:rPr>
          <w:rFonts w:ascii="宋体" w:hAnsi="宋体" w:cs="宋体"/>
          <w:sz w:val="24"/>
          <w:highlight w:val="none"/>
        </w:rPr>
      </w:pPr>
      <w:r>
        <w:rPr>
          <w:rFonts w:hint="eastAsia" w:ascii="宋体" w:hAnsi="宋体" w:cs="宋体"/>
          <w:sz w:val="24"/>
          <w:highlight w:val="none"/>
        </w:rPr>
        <w:t>3）针对已经完成的200+数据模型和魔方算子进行维护、升级、运营等工作。</w:t>
      </w:r>
    </w:p>
    <w:p w14:paraId="0FCDD286">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（二）安全加固及应用迁移改造服务</w:t>
      </w:r>
    </w:p>
    <w:p w14:paraId="558E270F">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1、网络安全服务 </w:t>
      </w:r>
    </w:p>
    <w:p w14:paraId="6C03F892">
      <w:pPr>
        <w:spacing w:line="360" w:lineRule="auto"/>
        <w:ind w:firstLine="480" w:firstLineChars="200"/>
        <w:rPr>
          <w:rFonts w:ascii="宋体" w:hAnsi="宋体" w:cs="宋体"/>
          <w:sz w:val="24"/>
          <w:highlight w:val="none"/>
        </w:rPr>
      </w:pPr>
      <w:r>
        <w:rPr>
          <w:rFonts w:hint="eastAsia" w:ascii="宋体" w:hAnsi="宋体" w:cs="宋体"/>
          <w:sz w:val="24"/>
          <w:highlight w:val="none"/>
        </w:rPr>
        <w:t>针对采购人公安网、车管专网与视频专网的现状，公安网的网络安全性能尚能满足现有业务的安全保障工作。视频专网内仅建设有网络安全网关与大量的边界防护设备，网络内部安全隐患较大，故本期着重针对视频专网进行安全保障服务。</w:t>
      </w:r>
    </w:p>
    <w:p w14:paraId="2DFA75C1">
      <w:pPr>
        <w:spacing w:line="360" w:lineRule="auto"/>
        <w:ind w:firstLine="480" w:firstLineChars="200"/>
        <w:rPr>
          <w:rFonts w:ascii="宋体" w:hAnsi="宋体" w:cs="宋体"/>
          <w:sz w:val="24"/>
          <w:highlight w:val="none"/>
        </w:rPr>
      </w:pPr>
      <w:r>
        <w:rPr>
          <w:rFonts w:hint="eastAsia" w:ascii="宋体" w:hAnsi="宋体" w:cs="宋体"/>
          <w:sz w:val="24"/>
          <w:highlight w:val="none"/>
        </w:rPr>
        <w:t>（1）漏洞扫描服务</w:t>
      </w:r>
    </w:p>
    <w:p w14:paraId="138BEB83">
      <w:pPr>
        <w:spacing w:line="360" w:lineRule="auto"/>
        <w:ind w:firstLine="480" w:firstLineChars="200"/>
        <w:rPr>
          <w:rFonts w:ascii="宋体" w:hAnsi="宋体" w:cs="宋体"/>
          <w:sz w:val="24"/>
          <w:highlight w:val="none"/>
        </w:rPr>
      </w:pPr>
      <w:r>
        <w:rPr>
          <w:rFonts w:hint="eastAsia" w:ascii="宋体" w:hAnsi="宋体" w:cs="宋体"/>
          <w:sz w:val="24"/>
          <w:highlight w:val="none"/>
        </w:rPr>
        <w:t>安全漏洞检测是脆弱性识别的重要手段，能够发现设备和系统中存在的风险点，分析技术措施的有效执行，了解漏洞的危害，通过及时修补完善，避免对信息系统造成严重影响。</w:t>
      </w:r>
    </w:p>
    <w:p w14:paraId="6D71660A">
      <w:pPr>
        <w:spacing w:line="360" w:lineRule="auto"/>
        <w:ind w:firstLine="480" w:firstLineChars="200"/>
        <w:rPr>
          <w:rFonts w:ascii="宋体" w:hAnsi="宋体" w:cs="宋体"/>
          <w:sz w:val="24"/>
          <w:highlight w:val="none"/>
        </w:rPr>
      </w:pPr>
      <w:r>
        <w:rPr>
          <w:rFonts w:hint="eastAsia" w:ascii="宋体" w:hAnsi="宋体" w:cs="宋体"/>
          <w:sz w:val="24"/>
          <w:highlight w:val="none"/>
        </w:rPr>
        <w:t>采用漏洞扫描工具对服务范围内各种软硬件设备进行网络层、系统层、数据库、应用层面的扫描与分析，扫描完成后并人工验证所发现的操作系统漏洞、数据库漏洞、弱口令、信息泄露及配置不当等脆弱性问题。提供准确有效的扫描报告，并针对漏洞扫描中出现的问题，提供解决方案，协助采购人进行解决。</w:t>
      </w:r>
    </w:p>
    <w:p w14:paraId="5BCDEC19">
      <w:pPr>
        <w:spacing w:line="360" w:lineRule="auto"/>
        <w:ind w:firstLine="480" w:firstLineChars="200"/>
        <w:rPr>
          <w:rFonts w:ascii="宋体" w:hAnsi="宋体" w:cs="宋体"/>
          <w:sz w:val="24"/>
          <w:highlight w:val="none"/>
        </w:rPr>
      </w:pPr>
      <w:r>
        <w:rPr>
          <w:rFonts w:hint="eastAsia" w:ascii="宋体" w:hAnsi="宋体" w:cs="宋体"/>
          <w:sz w:val="24"/>
          <w:highlight w:val="none"/>
        </w:rPr>
        <w:t>（2）数据库审计服务</w:t>
      </w:r>
    </w:p>
    <w:p w14:paraId="12C9BDF2">
      <w:pPr>
        <w:spacing w:line="360" w:lineRule="auto"/>
        <w:ind w:firstLine="480" w:firstLineChars="200"/>
        <w:rPr>
          <w:rFonts w:ascii="宋体" w:hAnsi="宋体" w:cs="宋体"/>
          <w:sz w:val="24"/>
          <w:highlight w:val="none"/>
        </w:rPr>
      </w:pPr>
      <w:r>
        <w:rPr>
          <w:rFonts w:hint="eastAsia" w:ascii="宋体" w:hAnsi="宋体" w:cs="宋体"/>
          <w:sz w:val="24"/>
          <w:highlight w:val="none"/>
        </w:rPr>
        <w:t>以安全为核心的审计服务，以全面审计和精确审计为基础，通过全面管理手段贯穿安全事件处理生命周期，致力于全面降低安全风险。通过全面审计，深入了解安全事件的多层次方面，包括对潜在威胁的深入分析和对系统漏洞的详尽检查，确保系统在安全方面的高度韧性。强调精确审计，通过高度精细的审计过程，发现并识别任何异常活动，包括微小的安全漏洞和未经授权的访问，有效地防范潜在风险。全面管理贯穿整个安全事件处理生命周期，建立起强大而可持续的安全框架，包括对安全策略的不断优化和更新，以适应不断演变的威胁环境。这项审计服务不仅仅关注技术层面的保障，更注重整个组织的安全文化建设。通过构建的审计服务，实现了全面降低安全风险的目标，为采购人提供持久而可靠的安全保障。</w:t>
      </w:r>
    </w:p>
    <w:p w14:paraId="7F2E1EEF">
      <w:pPr>
        <w:spacing w:line="360" w:lineRule="auto"/>
        <w:ind w:firstLine="480" w:firstLineChars="200"/>
        <w:rPr>
          <w:rFonts w:ascii="宋体" w:hAnsi="宋体" w:cs="宋体"/>
          <w:sz w:val="24"/>
          <w:highlight w:val="none"/>
        </w:rPr>
      </w:pPr>
      <w:r>
        <w:rPr>
          <w:rFonts w:hint="eastAsia" w:ascii="宋体" w:hAnsi="宋体" w:cs="宋体"/>
          <w:sz w:val="24"/>
          <w:highlight w:val="none"/>
        </w:rPr>
        <w:t>（3）日志审计服务</w:t>
      </w:r>
    </w:p>
    <w:p w14:paraId="5610B79D">
      <w:pPr>
        <w:spacing w:line="360" w:lineRule="auto"/>
        <w:ind w:firstLine="480" w:firstLineChars="200"/>
        <w:rPr>
          <w:rFonts w:ascii="宋体" w:hAnsi="宋体" w:cs="宋体"/>
          <w:sz w:val="24"/>
          <w:highlight w:val="none"/>
        </w:rPr>
      </w:pPr>
      <w:r>
        <w:rPr>
          <w:rFonts w:hint="eastAsia" w:ascii="宋体" w:hAnsi="宋体" w:cs="宋体"/>
          <w:sz w:val="24"/>
          <w:highlight w:val="none"/>
        </w:rPr>
        <w:t>通过对网络设备、安全设备、主机和应用系统日志进行全面标准化处理，实现一个高效的安全监控体系。通过及时发现各类安全威胁和异常行为事件，以保障采购人业务的持续、安全运营。通过标准化处理各种日志信息，建立一个有机的关联体系，使得管理人员能够从全局的视角深入了解系统运行状态，确保任何潜在威胁都不会对业务造成中断。</w:t>
      </w:r>
    </w:p>
    <w:p w14:paraId="3F83AF1E">
      <w:pPr>
        <w:spacing w:line="360" w:lineRule="auto"/>
        <w:ind w:firstLine="480" w:firstLineChars="200"/>
        <w:rPr>
          <w:rFonts w:ascii="宋体" w:hAnsi="宋体" w:cs="宋体"/>
          <w:sz w:val="24"/>
          <w:highlight w:val="none"/>
        </w:rPr>
      </w:pPr>
      <w:r>
        <w:rPr>
          <w:rFonts w:hint="eastAsia" w:ascii="宋体" w:hAnsi="宋体" w:cs="宋体"/>
          <w:sz w:val="24"/>
          <w:highlight w:val="none"/>
        </w:rPr>
        <w:t>基于国际标准的关联分析引擎服务工具，提供全维度、跨设备、细粒度的关联分析，通过透过事件表象还原事件背后的信息，提供真正可信赖的事件追责依据，为业务运行的深度安全提供坚实支持。实现信息资产的统一管理和监控资产的运行状况，提供集中化的统一管理平台工具。完成所有的日志信息集中收集与处理。</w:t>
      </w:r>
    </w:p>
    <w:p w14:paraId="261650F8">
      <w:pPr>
        <w:spacing w:line="360" w:lineRule="auto"/>
        <w:ind w:firstLine="480" w:firstLineChars="200"/>
        <w:rPr>
          <w:rFonts w:ascii="宋体" w:hAnsi="宋体" w:cs="宋体"/>
          <w:sz w:val="24"/>
          <w:highlight w:val="none"/>
        </w:rPr>
      </w:pPr>
      <w:r>
        <w:rPr>
          <w:rFonts w:hint="eastAsia" w:ascii="宋体" w:hAnsi="宋体" w:cs="宋体"/>
          <w:sz w:val="24"/>
          <w:highlight w:val="none"/>
        </w:rPr>
        <w:t>通过对整体安全状况的全面审计，在第一时间发现潜在的问题并采取相应的措施。服务通过标准化处理日志信息，确保系统中的各类信息得到规范、统一的管理。通过关联分析引擎服务工具，深入挖掘事件背后的信息，为管理人员提供更为全面的安全视角。</w:t>
      </w:r>
    </w:p>
    <w:p w14:paraId="7F33D7FB">
      <w:pPr>
        <w:spacing w:line="360" w:lineRule="auto"/>
        <w:ind w:firstLine="480" w:firstLineChars="200"/>
        <w:rPr>
          <w:rFonts w:ascii="宋体" w:hAnsi="宋体" w:cs="宋体"/>
          <w:sz w:val="24"/>
          <w:highlight w:val="none"/>
        </w:rPr>
      </w:pPr>
      <w:r>
        <w:rPr>
          <w:rFonts w:hint="eastAsia" w:ascii="宋体" w:hAnsi="宋体" w:cs="宋体"/>
          <w:sz w:val="24"/>
          <w:highlight w:val="none"/>
        </w:rPr>
        <w:t>（4）安全运营服务</w:t>
      </w:r>
    </w:p>
    <w:p w14:paraId="5867E4C2">
      <w:pPr>
        <w:spacing w:line="360" w:lineRule="auto"/>
        <w:ind w:firstLine="480" w:firstLineChars="200"/>
        <w:rPr>
          <w:rFonts w:ascii="宋体" w:hAnsi="宋体" w:cs="宋体"/>
          <w:sz w:val="24"/>
          <w:highlight w:val="none"/>
        </w:rPr>
      </w:pPr>
      <w:r>
        <w:rPr>
          <w:rFonts w:hint="eastAsia" w:ascii="宋体" w:hAnsi="宋体" w:cs="宋体"/>
          <w:sz w:val="24"/>
          <w:highlight w:val="none"/>
        </w:rPr>
        <w:t>提供1名专业安全服务人员配合采购人开展安全运营管理工作，提供5*8小时服务，负责公安信息网、视频专网、电子政务外网等相关网络的安全运营管理工作。协助开展网络安全主管部门安全检查，协助开展等级保护定级、备案、建设整改、测评和监督检查等。</w:t>
      </w:r>
    </w:p>
    <w:p w14:paraId="5CA9ABDE">
      <w:pPr>
        <w:spacing w:line="360" w:lineRule="auto"/>
        <w:ind w:firstLine="480" w:firstLineChars="200"/>
        <w:rPr>
          <w:rFonts w:ascii="宋体" w:hAnsi="宋体" w:cs="宋体"/>
          <w:sz w:val="24"/>
          <w:highlight w:val="none"/>
        </w:rPr>
      </w:pPr>
      <w:r>
        <w:rPr>
          <w:rFonts w:hint="eastAsia" w:ascii="宋体" w:hAnsi="宋体" w:cs="宋体"/>
          <w:sz w:val="24"/>
          <w:highlight w:val="none"/>
        </w:rPr>
        <w:t>网络安全技术防护策略持续改进主要针对日常安全监测和安全风险检查的结果进行综合分析研判，识别网络安全威胁和脆弱性，从整体网络安全技术防护策略的角度提出准确、有效的改进措施，协助开展策略配置调优，并定期开展策略配置备份、系统软件、特征库升级等操作。</w:t>
      </w:r>
    </w:p>
    <w:p w14:paraId="7B835498">
      <w:pPr>
        <w:spacing w:line="360" w:lineRule="auto"/>
        <w:ind w:firstLine="480" w:firstLineChars="200"/>
        <w:rPr>
          <w:rFonts w:ascii="宋体" w:hAnsi="宋体" w:cs="宋体"/>
          <w:sz w:val="24"/>
          <w:highlight w:val="none"/>
        </w:rPr>
      </w:pPr>
      <w:r>
        <w:rPr>
          <w:rFonts w:hint="eastAsia" w:ascii="宋体" w:hAnsi="宋体" w:cs="宋体"/>
          <w:sz w:val="24"/>
          <w:highlight w:val="none"/>
        </w:rPr>
        <w:t>定期针对日常安全监测和安全风险检查的结果进行综合分析研判，识别网络安全威胁、脆弱性和不合规配置项，从整体网络安全技术防护策略的角度提出准确、有效的改进措施，协助开展策略配置调优，以持续提升安全运行和防护能力。</w:t>
      </w:r>
    </w:p>
    <w:p w14:paraId="6E290317">
      <w:pPr>
        <w:spacing w:line="360" w:lineRule="auto"/>
        <w:ind w:firstLine="480" w:firstLineChars="200"/>
        <w:rPr>
          <w:rFonts w:ascii="宋体" w:hAnsi="宋体" w:cs="宋体"/>
          <w:sz w:val="24"/>
          <w:highlight w:val="none"/>
        </w:rPr>
      </w:pPr>
      <w:r>
        <w:rPr>
          <w:rFonts w:hint="eastAsia" w:ascii="宋体" w:hAnsi="宋体" w:cs="宋体"/>
          <w:sz w:val="24"/>
          <w:highlight w:val="none"/>
        </w:rPr>
        <w:t>（5）应急响应服务</w:t>
      </w:r>
    </w:p>
    <w:p w14:paraId="76700DAF">
      <w:pPr>
        <w:spacing w:line="360" w:lineRule="auto"/>
        <w:ind w:firstLine="480" w:firstLineChars="200"/>
        <w:rPr>
          <w:rFonts w:ascii="宋体" w:hAnsi="宋体" w:cs="宋体"/>
          <w:sz w:val="24"/>
          <w:highlight w:val="none"/>
        </w:rPr>
      </w:pPr>
      <w:r>
        <w:rPr>
          <w:rFonts w:hint="eastAsia" w:ascii="宋体" w:hAnsi="宋体" w:cs="宋体"/>
          <w:sz w:val="24"/>
          <w:highlight w:val="none"/>
        </w:rPr>
        <w:t>应急响应服务通常包括采取远程、现场等紧急措施和行动，恢复业务到正常服务状态；调查安全事件发生的原因，避免同类安全事件再次发生；在需要司法机关介入时，提供法律认可的数字证据等。</w:t>
      </w:r>
    </w:p>
    <w:p w14:paraId="113793A7">
      <w:pPr>
        <w:spacing w:line="360" w:lineRule="auto"/>
        <w:ind w:firstLine="480" w:firstLineChars="200"/>
        <w:rPr>
          <w:rFonts w:ascii="宋体" w:hAnsi="宋体" w:cs="宋体"/>
          <w:sz w:val="24"/>
          <w:highlight w:val="none"/>
        </w:rPr>
      </w:pPr>
      <w:r>
        <w:rPr>
          <w:rFonts w:hint="eastAsia" w:ascii="宋体" w:hAnsi="宋体" w:cs="宋体"/>
          <w:sz w:val="24"/>
          <w:highlight w:val="none"/>
        </w:rPr>
        <w:t>安全专家采取远程、现场等方式应对采购人突发的安全事件和安全问题。专家通过事件分析、原因查找、事件处置、证据保留、及事件溯源等方式，快速解决采购人信息安全事件及问题，恢复业务及系统的安全运行，并确保所有事件应急处置过程得到有效控制和记录。</w:t>
      </w:r>
    </w:p>
    <w:p w14:paraId="58DCD8BB">
      <w:pPr>
        <w:spacing w:line="360" w:lineRule="auto"/>
        <w:ind w:firstLine="480" w:firstLineChars="200"/>
        <w:rPr>
          <w:rFonts w:ascii="宋体" w:hAnsi="宋体" w:cs="宋体"/>
          <w:sz w:val="24"/>
          <w:highlight w:val="none"/>
        </w:rPr>
      </w:pPr>
      <w:r>
        <w:rPr>
          <w:rFonts w:hint="eastAsia" w:ascii="宋体" w:hAnsi="宋体" w:cs="宋体"/>
          <w:sz w:val="24"/>
          <w:highlight w:val="none"/>
        </w:rPr>
        <w:t>当需要应急响应协助采购人针对应用系统发生安全事件，并产生重大影响时，提供应急资源支持和应急人员支持，评估影响范围、事件抑制、溯源分析和复盘安全事件，协助开展业务恢复工作，并针对安全事件提供有效的整改意见。每年提供不少于4次应急响应服务。</w:t>
      </w:r>
    </w:p>
    <w:p w14:paraId="0E2AF538">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（6）高级渗透测试服务 </w:t>
      </w:r>
    </w:p>
    <w:p w14:paraId="163E1267">
      <w:pPr>
        <w:spacing w:line="360" w:lineRule="auto"/>
        <w:ind w:firstLine="480" w:firstLineChars="200"/>
        <w:rPr>
          <w:rFonts w:ascii="宋体" w:hAnsi="宋体" w:cs="宋体"/>
          <w:sz w:val="24"/>
          <w:highlight w:val="none"/>
        </w:rPr>
      </w:pPr>
      <w:r>
        <w:rPr>
          <w:rFonts w:hint="eastAsia" w:ascii="宋体" w:hAnsi="宋体" w:cs="宋体"/>
          <w:sz w:val="24"/>
          <w:highlight w:val="none"/>
        </w:rPr>
        <w:t>渗透测试服务是安全专家通过利用目标应用系统的安全弱点，模拟黑客可能使用的攻击方法和漏洞发现技术，以人工渗透为主，漏洞扫描工具为辅，在保证整个渗透测试过程都在可以控制和调整的范围之内，尽可能的获取目标信息系统的管理权限以及敏感信息的过程。</w:t>
      </w:r>
    </w:p>
    <w:p w14:paraId="33B44F49">
      <w:pPr>
        <w:spacing w:line="360" w:lineRule="auto"/>
        <w:ind w:firstLine="480" w:firstLineChars="200"/>
        <w:rPr>
          <w:rFonts w:ascii="宋体" w:hAnsi="宋体" w:cs="宋体"/>
          <w:sz w:val="24"/>
          <w:highlight w:val="none"/>
        </w:rPr>
      </w:pPr>
      <w:r>
        <w:rPr>
          <w:rFonts w:hint="eastAsia" w:ascii="宋体" w:hAnsi="宋体" w:cs="宋体"/>
          <w:sz w:val="24"/>
          <w:highlight w:val="none"/>
        </w:rPr>
        <w:t>通过真实模拟黑客使用的工具和分析方法对采购人指定的信息系统进行模拟攻击，结合智能工具扫描结果，由网络安全高级专家进行深入的手工测试和分析，旨在识别工具弱点扫描无法发现的问题。这一过程包括先进的渗透测试工具的运用，模拟各类攻击场景，全面评估系统对于潜在威胁的抵抗能力。手工测试和分析与智能工具扫描相结合，通过深入的测试，发现那些仅依靠工具难以察觉的问题，提高对系统安全性的全面把控。服务注重发现系统中存在的潜在问题，如未经授权的访问、敏感数据的泄漏等，并为每个问题提供详尽的反馈和加固建议，确保信息系统能够在未来面对各类安全挑战时更为坚固和可靠。通过全面的、深度的渗透测试将为采购人信息系统提供实用而有效的安全加固方向，确保其在不断演进的网络威胁环境中保持最佳的安全状态。每年提供不少于20个系统的渗透测试服务。</w:t>
      </w:r>
    </w:p>
    <w:p w14:paraId="7817C6EF">
      <w:pPr>
        <w:spacing w:line="360" w:lineRule="auto"/>
        <w:ind w:firstLine="480" w:firstLineChars="200"/>
        <w:rPr>
          <w:rFonts w:ascii="宋体" w:hAnsi="宋体" w:cs="宋体"/>
          <w:sz w:val="24"/>
          <w:highlight w:val="none"/>
        </w:rPr>
      </w:pPr>
      <w:r>
        <w:rPr>
          <w:rFonts w:hint="eastAsia" w:ascii="宋体" w:hAnsi="宋体" w:cs="宋体"/>
          <w:sz w:val="24"/>
          <w:highlight w:val="none"/>
        </w:rPr>
        <w:t>（7）应急预案服务</w:t>
      </w:r>
    </w:p>
    <w:p w14:paraId="01777D6B">
      <w:pPr>
        <w:spacing w:line="360" w:lineRule="auto"/>
        <w:ind w:firstLine="480" w:firstLineChars="200"/>
        <w:rPr>
          <w:rFonts w:ascii="宋体" w:hAnsi="宋体" w:cs="宋体"/>
          <w:sz w:val="24"/>
          <w:highlight w:val="none"/>
        </w:rPr>
      </w:pPr>
      <w:r>
        <w:rPr>
          <w:rFonts w:hint="eastAsia" w:ascii="宋体" w:hAnsi="宋体" w:cs="宋体"/>
          <w:sz w:val="24"/>
          <w:highlight w:val="none"/>
        </w:rPr>
        <w:t>为了保障应急响应的服务质量，提供修订、完善应急预案服务。协助建立健全应急响应组织以及预防、预警机制，针对信息系统特点和可能的突发性安全事件拟制规范的应急处理流程，落实物质条件、人力和技术支撑等保障措施，制定出规范、全面、体系化的应急预案。</w:t>
      </w:r>
    </w:p>
    <w:p w14:paraId="010CA750">
      <w:pPr>
        <w:spacing w:line="360" w:lineRule="auto"/>
        <w:ind w:firstLine="480" w:firstLineChars="200"/>
        <w:rPr>
          <w:rFonts w:ascii="宋体" w:hAnsi="宋体" w:cs="宋体"/>
          <w:sz w:val="24"/>
          <w:highlight w:val="none"/>
        </w:rPr>
      </w:pPr>
      <w:r>
        <w:rPr>
          <w:rFonts w:hint="eastAsia" w:ascii="宋体" w:hAnsi="宋体" w:cs="宋体"/>
          <w:sz w:val="24"/>
          <w:highlight w:val="none"/>
        </w:rPr>
        <w:t>应急预案的制定和完善将规范应急处理行为，避免应急处理过程中出现混乱、无序状况，减少处理过程中错误的发生，从而避免不必要的损失。</w:t>
      </w:r>
    </w:p>
    <w:p w14:paraId="4450AF9E">
      <w:pPr>
        <w:spacing w:line="360" w:lineRule="auto"/>
        <w:ind w:firstLine="480" w:firstLineChars="200"/>
        <w:rPr>
          <w:rFonts w:ascii="宋体" w:hAnsi="宋体" w:cs="宋体"/>
          <w:sz w:val="24"/>
          <w:highlight w:val="none"/>
        </w:rPr>
      </w:pPr>
      <w:r>
        <w:rPr>
          <w:rFonts w:hint="eastAsia" w:ascii="宋体" w:hAnsi="宋体" w:cs="宋体"/>
          <w:sz w:val="24"/>
          <w:highlight w:val="none"/>
        </w:rPr>
        <w:t>（8）应急演练服务</w:t>
      </w:r>
    </w:p>
    <w:p w14:paraId="2833631D">
      <w:pPr>
        <w:spacing w:line="360" w:lineRule="auto"/>
        <w:ind w:firstLine="480" w:firstLineChars="200"/>
        <w:rPr>
          <w:rFonts w:ascii="宋体" w:hAnsi="宋体" w:cs="宋体"/>
          <w:sz w:val="24"/>
          <w:highlight w:val="none"/>
        </w:rPr>
      </w:pPr>
      <w:r>
        <w:rPr>
          <w:rFonts w:hint="eastAsia" w:ascii="宋体" w:hAnsi="宋体" w:cs="宋体"/>
          <w:sz w:val="24"/>
          <w:highlight w:val="none"/>
        </w:rPr>
        <w:t>应急演练服务根据国家、行业等相关规章和标准，结合近年发生的安全事件和面临的安全风险，对采购人的网络安全应急预案进行全面评估与修订。基于符合采购人自身组织架构的网络安全应急预案服务，明确各个部门的责任，准备措施以及应对突发事件的配合机制，提供特定场景的安全演练。</w:t>
      </w:r>
    </w:p>
    <w:p w14:paraId="2F15B40A">
      <w:pPr>
        <w:spacing w:line="360" w:lineRule="auto"/>
        <w:ind w:firstLine="480" w:firstLineChars="200"/>
        <w:rPr>
          <w:rFonts w:ascii="宋体" w:hAnsi="宋体" w:cs="宋体"/>
          <w:sz w:val="24"/>
          <w:highlight w:val="none"/>
        </w:rPr>
      </w:pPr>
      <w:r>
        <w:rPr>
          <w:rFonts w:hint="eastAsia" w:ascii="宋体" w:hAnsi="宋体" w:cs="宋体"/>
          <w:sz w:val="24"/>
          <w:highlight w:val="none"/>
        </w:rPr>
        <w:t>根据采购人需求提供特定场景的演练，可选形式：桌面演练、现场演练。桌面推演服务包括：演练场景分析、演练剧本编写、现场调研、人员组织等。现场演练服务内容包括：现状调研、演练方案编制、演练流程编制、现场演练组织、演练总结等。通过应急演练有效检验并完善应急预案、应急流程，提升采购人人员整体应急能力。</w:t>
      </w:r>
    </w:p>
    <w:p w14:paraId="5C1FDD13">
      <w:pPr>
        <w:spacing w:line="360" w:lineRule="auto"/>
        <w:ind w:firstLine="480" w:firstLineChars="200"/>
        <w:rPr>
          <w:rFonts w:ascii="宋体" w:hAnsi="宋体" w:cs="宋体"/>
          <w:sz w:val="24"/>
          <w:highlight w:val="none"/>
        </w:rPr>
      </w:pPr>
      <w:r>
        <w:rPr>
          <w:rFonts w:hint="eastAsia" w:ascii="宋体" w:hAnsi="宋体" w:cs="宋体"/>
          <w:sz w:val="24"/>
          <w:highlight w:val="none"/>
        </w:rPr>
        <w:t>（9）重要时期安全专家保障服务</w:t>
      </w:r>
    </w:p>
    <w:p w14:paraId="3FA3C825">
      <w:pPr>
        <w:spacing w:line="360" w:lineRule="auto"/>
        <w:ind w:firstLine="480" w:firstLineChars="200"/>
        <w:rPr>
          <w:rFonts w:ascii="宋体" w:hAnsi="宋体" w:cs="宋体"/>
          <w:sz w:val="24"/>
          <w:highlight w:val="none"/>
        </w:rPr>
      </w:pPr>
      <w:r>
        <w:rPr>
          <w:rFonts w:hint="eastAsia" w:ascii="宋体" w:hAnsi="宋体" w:cs="宋体"/>
          <w:sz w:val="24"/>
          <w:highlight w:val="none"/>
        </w:rPr>
        <w:t>在重要时期，网络安全保障服务在重大活动的前、中、后阶段发挥着至关重要的作用。服务涵盖活动前的安全自查和运维，活动中的日志分析、安全值守、应急响应等，以及活动后的复盘总结。通过真实模拟黑客攻击手段，结合智能工具扫描和深入的手工测试与分析，专业团队识别工具弱点扫描难以发现的问题。这一全方位的服务体系致力于全面提升活动相关网络的安全性，增强网络的防御能力，以为采购人提供安全、快速、有效的安全服务。早期的安全自查和运维消除潜在隐患，实时的分析和值守保障网络安全，而活动后的复盘总结提供宝贵经验教训，不断优化服务流程。这一综合性的服务策略为重要时期的活动提供了强有力的网络支持，确保其在安全、稳定的网络环境中顺利展开，最大程度地降低潜在风险。每年提供不少于4次保障服务并提供安全日报。</w:t>
      </w:r>
    </w:p>
    <w:p w14:paraId="739DA475">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（10）跨网数据请求与响应服务 </w:t>
      </w:r>
    </w:p>
    <w:p w14:paraId="40E4BFDC">
      <w:pPr>
        <w:spacing w:line="360" w:lineRule="auto"/>
        <w:ind w:firstLine="480" w:firstLineChars="200"/>
        <w:rPr>
          <w:rFonts w:ascii="宋体" w:hAnsi="宋体" w:cs="宋体"/>
          <w:sz w:val="24"/>
          <w:highlight w:val="none"/>
        </w:rPr>
      </w:pPr>
      <w:r>
        <w:rPr>
          <w:rFonts w:hint="eastAsia" w:ascii="宋体" w:hAnsi="宋体" w:cs="宋体"/>
          <w:sz w:val="24"/>
          <w:highlight w:val="none"/>
        </w:rPr>
        <w:t>提供跨网数据请求与响应工具，为系统和用户在异构网络环境下实现了高度灵活而无缝的数据交流能力。通过协议适配，服务克服了不同网络通信障碍，确保数据在不同网络之间的顺畅传输。安全性需得到充分保障，采用先进的加密技术、身份验证和访问控制，有效预防未经授权的访问和数据泄露。服务通过优化性能，包括对数据传输通道的优化、带宽管理和网络流量的控制，确保了高效、快速的数据交换；提供适当的错误处理机制，能够及时检测并解决问题，保障数据交流的连续性和稳定性；通过引入校验和机制，确保在数据传输过程中不会发生数据损坏或篡改。</w:t>
      </w:r>
    </w:p>
    <w:p w14:paraId="685EEFA1">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（11）数据交换边界防护服务 </w:t>
      </w:r>
    </w:p>
    <w:p w14:paraId="54AAD161">
      <w:pPr>
        <w:spacing w:line="360" w:lineRule="auto"/>
        <w:ind w:firstLine="480" w:firstLineChars="200"/>
        <w:rPr>
          <w:rFonts w:ascii="宋体" w:hAnsi="宋体" w:cs="宋体"/>
          <w:sz w:val="24"/>
          <w:highlight w:val="none"/>
        </w:rPr>
      </w:pPr>
      <w:r>
        <w:rPr>
          <w:rFonts w:hint="eastAsia" w:ascii="宋体" w:hAnsi="宋体" w:cs="宋体"/>
          <w:sz w:val="24"/>
          <w:highlight w:val="none"/>
        </w:rPr>
        <w:t>提供数据交换边界防护服务工具，在采购人视频专网与公安网业务进行数据交换过程中，提供数据的机密性、完整性和可用性的服务，保护数据在跨网传输和通信过程中的安全。在网络边界部署边界防护工具，对进行细粒度的访问控制。对进出网络的信息内容进行过滤，实现对应用层 HTTP、FTP、TELNET、SMTP、POP3等协议命令级的控制；拥有细粒度为端口级，并根据会话状态信息为数据流提供明确的允许/拒绝访问处理，可将会话处于非活跃一定时间或会话结束后终止网络连接并通过限制网络最大流量数及网络连接数以提升安全等访问控制能力。</w:t>
      </w:r>
    </w:p>
    <w:p w14:paraId="2A3DAFD9">
      <w:pPr>
        <w:spacing w:line="360" w:lineRule="auto"/>
        <w:ind w:firstLine="480" w:firstLineChars="200"/>
        <w:rPr>
          <w:rFonts w:ascii="宋体" w:hAnsi="宋体" w:cs="宋体"/>
          <w:sz w:val="24"/>
          <w:highlight w:val="none"/>
        </w:rPr>
      </w:pPr>
      <w:r>
        <w:rPr>
          <w:rFonts w:hint="eastAsia" w:ascii="宋体" w:hAnsi="宋体" w:cs="宋体"/>
          <w:sz w:val="24"/>
          <w:highlight w:val="none"/>
        </w:rPr>
        <w:t>（12）违规外联监测服务</w:t>
      </w:r>
    </w:p>
    <w:p w14:paraId="02668299">
      <w:pPr>
        <w:spacing w:line="360" w:lineRule="auto"/>
        <w:ind w:firstLine="480" w:firstLineChars="200"/>
        <w:rPr>
          <w:rFonts w:ascii="宋体" w:hAnsi="宋体" w:cs="宋体"/>
          <w:sz w:val="24"/>
          <w:highlight w:val="none"/>
        </w:rPr>
      </w:pPr>
      <w:r>
        <w:rPr>
          <w:rFonts w:hint="eastAsia" w:ascii="宋体" w:hAnsi="宋体" w:cs="宋体"/>
          <w:sz w:val="24"/>
          <w:highlight w:val="none"/>
        </w:rPr>
        <w:t>引入先进的监测技术和安全审计工具，实时监测网络流量、检测异常访问和识别不寻常的数据传输模式，以主动发现违规外联行为，提高对潜在威胁的感知。建立快速响应机制，一旦检测到异常行为，立即向本级监管方报告，以便迅速采取应对措施，增强监管方对整个网络系统的掌控。完成监测系统的定期检查和更新，修复系统漏洞，升级防护机制，保持系统的健康状态。采用智能化的边界安全防护系统，通过深度学习和行为分析，系统能够学习并识别正常的网络活动模式，实现对异常行为的自动识别和响应。</w:t>
      </w:r>
    </w:p>
    <w:p w14:paraId="6083C3AF">
      <w:pPr>
        <w:spacing w:line="360" w:lineRule="auto"/>
        <w:ind w:firstLine="480" w:firstLineChars="200"/>
        <w:rPr>
          <w:rFonts w:ascii="宋体" w:hAnsi="宋体" w:cs="宋体"/>
          <w:sz w:val="24"/>
          <w:highlight w:val="none"/>
        </w:rPr>
      </w:pPr>
      <w:r>
        <w:rPr>
          <w:rFonts w:hint="eastAsia" w:ascii="宋体" w:hAnsi="宋体" w:cs="宋体"/>
          <w:sz w:val="24"/>
          <w:highlight w:val="none"/>
        </w:rPr>
        <w:t>2、关键业务安全迁移及改造</w:t>
      </w:r>
    </w:p>
    <w:p w14:paraId="01A0C8C3">
      <w:pPr>
        <w:spacing w:line="360" w:lineRule="auto"/>
        <w:ind w:firstLine="480" w:firstLineChars="200"/>
        <w:rPr>
          <w:rFonts w:ascii="宋体" w:hAnsi="宋体" w:cs="宋体"/>
          <w:sz w:val="24"/>
          <w:highlight w:val="none"/>
        </w:rPr>
      </w:pPr>
      <w:r>
        <w:rPr>
          <w:rFonts w:hint="eastAsia" w:ascii="宋体" w:hAnsi="宋体" w:cs="宋体"/>
          <w:sz w:val="24"/>
          <w:highlight w:val="none"/>
        </w:rPr>
        <w:t>2.1合成作战应用迁移服务</w:t>
      </w:r>
    </w:p>
    <w:p w14:paraId="70638DA6">
      <w:pPr>
        <w:spacing w:line="360" w:lineRule="auto"/>
        <w:ind w:firstLine="480" w:firstLineChars="200"/>
        <w:rPr>
          <w:rFonts w:ascii="宋体" w:hAnsi="宋体" w:cs="宋体"/>
          <w:sz w:val="24"/>
          <w:highlight w:val="none"/>
        </w:rPr>
      </w:pPr>
      <w:r>
        <w:rPr>
          <w:rFonts w:hint="eastAsia" w:ascii="宋体" w:hAnsi="宋体" w:cs="宋体"/>
          <w:sz w:val="24"/>
          <w:highlight w:val="none"/>
        </w:rPr>
        <w:t>提供交管专有云平台合成作战应用向警务云迁移改造服务，满足信创要求，包括人车查询、电动车智控、勤务管理、视频巡查、预警中心、警情打标等模块迁移改造。投标人应保证在服务期内完成该项服务，具体内容如下：</w:t>
      </w:r>
    </w:p>
    <w:p w14:paraId="0D9E4E7E">
      <w:pPr>
        <w:spacing w:line="360" w:lineRule="auto"/>
        <w:ind w:firstLine="480" w:firstLineChars="200"/>
        <w:rPr>
          <w:rFonts w:ascii="宋体" w:hAnsi="宋体" w:cs="宋体"/>
          <w:sz w:val="24"/>
          <w:highlight w:val="none"/>
        </w:rPr>
      </w:pPr>
      <w:r>
        <w:rPr>
          <w:rFonts w:hint="eastAsia" w:ascii="宋体" w:hAnsi="宋体" w:cs="宋体"/>
          <w:sz w:val="24"/>
          <w:highlight w:val="none"/>
        </w:rPr>
        <w:t>（1）人车查询模块。包括机动车信息查询、驾驶人信息查询，具体工作包括：迁移表及数据的整理、应用前后端架构分离、应用升级改造、安全访问改造、应用配置改造、应用数据链路调整、整体系统调试及优化。</w:t>
      </w:r>
    </w:p>
    <w:p w14:paraId="0E3CA820">
      <w:pPr>
        <w:spacing w:line="360" w:lineRule="auto"/>
        <w:ind w:firstLine="480" w:firstLineChars="200"/>
        <w:rPr>
          <w:rFonts w:ascii="宋体" w:hAnsi="宋体" w:cs="宋体"/>
          <w:sz w:val="24"/>
          <w:highlight w:val="none"/>
        </w:rPr>
      </w:pPr>
      <w:r>
        <w:rPr>
          <w:rFonts w:hint="eastAsia" w:ascii="宋体" w:hAnsi="宋体" w:cs="宋体"/>
          <w:sz w:val="24"/>
          <w:highlight w:val="none"/>
        </w:rPr>
        <w:t>（2）电动车智控PC端。电动自行车智控闭环应用根据设定的违法查处、撤控规则，并串联移动端查处应用，支撑违法处置高效开展，绩效考核准确快捷。具体工作包括：迁移表及数据的整理、应用前后端架构分离、应用升级改造、安全访问改造、应用配置改造、应用数据链路调整、图片链路调整及保存、整体系统调试及优化。</w:t>
      </w:r>
    </w:p>
    <w:p w14:paraId="2602A0CC">
      <w:pPr>
        <w:spacing w:line="360" w:lineRule="auto"/>
        <w:ind w:firstLine="480" w:firstLineChars="200"/>
        <w:rPr>
          <w:rFonts w:ascii="宋体" w:hAnsi="宋体" w:cs="宋体"/>
          <w:sz w:val="24"/>
          <w:highlight w:val="none"/>
        </w:rPr>
      </w:pPr>
      <w:r>
        <w:rPr>
          <w:rFonts w:hint="eastAsia" w:ascii="宋体" w:hAnsi="宋体" w:cs="宋体"/>
          <w:sz w:val="24"/>
          <w:highlight w:val="none"/>
        </w:rPr>
        <w:t>（3）勤务管理模块。包含巡防区管理、勤务智检、在线警力、勤务排班等功能。具体工作包括：迁移表及数据的整理、应用前后端架构分离、应用升级改造、安全访问改造、应用配置改造、应用数据链路调整、图片链路调整及保存、整体系统调试及优化。</w:t>
      </w:r>
    </w:p>
    <w:p w14:paraId="628A5D85">
      <w:pPr>
        <w:spacing w:line="360" w:lineRule="auto"/>
        <w:ind w:firstLine="480" w:firstLineChars="200"/>
        <w:rPr>
          <w:rFonts w:ascii="宋体" w:hAnsi="宋体" w:cs="宋体"/>
          <w:sz w:val="24"/>
          <w:highlight w:val="none"/>
        </w:rPr>
      </w:pPr>
      <w:r>
        <w:rPr>
          <w:rFonts w:hint="eastAsia" w:ascii="宋体" w:hAnsi="宋体" w:cs="宋体"/>
          <w:sz w:val="24"/>
          <w:highlight w:val="none"/>
        </w:rPr>
        <w:t>（4）视频巡查PC端。包括视频巡查处置流程及视频巡查驾驶舱展示。具体工作包括：迁移表及数据的整理、应用前后端架构分离、应用升级改造、安全访问改造、应用配置改造、应用数据链路调整、图片链路调整及保存、整体系统调试及优化。</w:t>
      </w:r>
    </w:p>
    <w:p w14:paraId="18C998CC">
      <w:pPr>
        <w:spacing w:line="360" w:lineRule="auto"/>
        <w:ind w:firstLine="480" w:firstLineChars="200"/>
        <w:rPr>
          <w:rFonts w:ascii="宋体" w:hAnsi="宋体" w:cs="宋体"/>
          <w:sz w:val="24"/>
          <w:highlight w:val="none"/>
        </w:rPr>
      </w:pPr>
      <w:r>
        <w:rPr>
          <w:rFonts w:hint="eastAsia" w:ascii="宋体" w:hAnsi="宋体" w:cs="宋体"/>
          <w:sz w:val="24"/>
          <w:highlight w:val="none"/>
        </w:rPr>
        <w:t>（5）预警中心。应用对接多个第三方平台数据包括过车、违法等数据，直接预警或通过模型和算法产生预警。具体工作包括：迁移表及数据的整理、应用前后端架构分离、应用升级改造、安全访问改造、应用配置改造、应用数据链路调整、图片链路调整及保存、整体系统调试及优化。</w:t>
      </w:r>
    </w:p>
    <w:p w14:paraId="644D085F">
      <w:pPr>
        <w:spacing w:line="360" w:lineRule="auto"/>
        <w:ind w:firstLine="480" w:firstLineChars="200"/>
        <w:rPr>
          <w:rFonts w:ascii="宋体" w:hAnsi="宋体" w:cs="宋体"/>
          <w:sz w:val="24"/>
          <w:highlight w:val="none"/>
        </w:rPr>
      </w:pPr>
      <w:r>
        <w:rPr>
          <w:rFonts w:hint="eastAsia" w:ascii="宋体" w:hAnsi="宋体" w:cs="宋体"/>
          <w:sz w:val="24"/>
          <w:highlight w:val="none"/>
        </w:rPr>
        <w:t>（6）警情打标模块。包括标签设置、标签项自定义、警情打标、查案打标、标签筛选、相关统计、打标导出详情等功能。具体工作包括：迁移表及数据的整理、应用前后端架构分离、应用升级改造、安全访问改造、应用配置改造、应用数据链路调整、整体系统调试及优化。</w:t>
      </w:r>
    </w:p>
    <w:p w14:paraId="2C68AA6F">
      <w:pPr>
        <w:spacing w:line="360" w:lineRule="auto"/>
        <w:ind w:firstLine="480" w:firstLineChars="200"/>
        <w:rPr>
          <w:rFonts w:ascii="宋体" w:hAnsi="宋体" w:cs="宋体"/>
          <w:sz w:val="24"/>
          <w:highlight w:val="none"/>
        </w:rPr>
      </w:pPr>
      <w:r>
        <w:rPr>
          <w:rFonts w:hint="eastAsia" w:ascii="宋体" w:hAnsi="宋体" w:cs="宋体"/>
          <w:sz w:val="24"/>
          <w:highlight w:val="none"/>
        </w:rPr>
        <w:t>2.2非现场执法平台升级改造服务</w:t>
      </w:r>
    </w:p>
    <w:p w14:paraId="3080C56E">
      <w:pPr>
        <w:spacing w:line="360" w:lineRule="auto"/>
        <w:ind w:firstLine="480" w:firstLineChars="200"/>
        <w:rPr>
          <w:rFonts w:ascii="宋体" w:hAnsi="宋体" w:cs="宋体"/>
          <w:sz w:val="24"/>
          <w:highlight w:val="none"/>
        </w:rPr>
      </w:pPr>
      <w:r>
        <w:rPr>
          <w:rFonts w:hint="eastAsia" w:ascii="宋体" w:hAnsi="宋体" w:cs="宋体"/>
          <w:sz w:val="24"/>
          <w:highlight w:val="none"/>
        </w:rPr>
        <w:t>提供支队非现场执法平台软件迁移改造服务，满足信创要求，包括软件服务以及硬件支撑环境搭建服务。投标人应保证在服务期内完成该项服务，具体内容如下：</w:t>
      </w:r>
    </w:p>
    <w:p w14:paraId="0CD54EFD">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1）提供软件服务，包括非现场平台功能迁移、特色需求优化迁移、平台数据对接和扩容、平台业务接口迁移、专网数据转发、非现场功能升级等服务，构建公安网环境下的支队非现场执法平台，支撑非现场业务的高效运转。</w:t>
      </w:r>
    </w:p>
    <w:p w14:paraId="7FD4F07A">
      <w:pPr>
        <w:spacing w:line="360" w:lineRule="auto"/>
        <w:ind w:firstLine="480" w:firstLineChars="200"/>
        <w:rPr>
          <w:rFonts w:ascii="宋体" w:hAnsi="宋体" w:cs="宋体"/>
          <w:sz w:val="24"/>
          <w:highlight w:val="none"/>
        </w:rPr>
      </w:pPr>
      <w:r>
        <w:rPr>
          <w:rFonts w:hint="eastAsia" w:ascii="宋体" w:hAnsi="宋体" w:cs="宋体"/>
          <w:sz w:val="24"/>
          <w:highlight w:val="none"/>
        </w:rPr>
        <w:t>1）非现场平台功能迁移服务：主要涉及将现有非现场执法平台的所有功能迁移至新的软件平台。这包括但不限于数据采集、处理、存储、查询和分析等功能的完整迁移。</w:t>
      </w:r>
    </w:p>
    <w:p w14:paraId="62BBCF22">
      <w:pPr>
        <w:spacing w:line="360" w:lineRule="auto"/>
        <w:ind w:firstLine="480" w:firstLineChars="200"/>
        <w:rPr>
          <w:rFonts w:ascii="宋体" w:hAnsi="宋体" w:cs="宋体"/>
          <w:sz w:val="24"/>
          <w:highlight w:val="none"/>
        </w:rPr>
      </w:pPr>
      <w:r>
        <w:rPr>
          <w:rFonts w:hint="eastAsia" w:ascii="宋体" w:hAnsi="宋体" w:cs="宋体"/>
          <w:sz w:val="24"/>
          <w:highlight w:val="none"/>
        </w:rPr>
        <w:t>2）特色需求优化迁移服务：由于业务需求可能存在差异，因此需要进行特定的优化以满足采购人特色需求。包括优驾容错功能的优化、急事通功能的完善等。</w:t>
      </w:r>
    </w:p>
    <w:p w14:paraId="2FC2C985">
      <w:pPr>
        <w:spacing w:line="360" w:lineRule="auto"/>
        <w:ind w:firstLine="480" w:firstLineChars="200"/>
        <w:rPr>
          <w:rFonts w:ascii="宋体" w:hAnsi="宋体" w:cs="宋体"/>
          <w:sz w:val="24"/>
          <w:highlight w:val="none"/>
        </w:rPr>
      </w:pPr>
      <w:r>
        <w:rPr>
          <w:rFonts w:hint="eastAsia" w:ascii="宋体" w:hAnsi="宋体" w:cs="宋体"/>
          <w:sz w:val="24"/>
          <w:highlight w:val="none"/>
        </w:rPr>
        <w:t>3）平台数据对接和扩容服务：在迁移过程中，需要确保新旧平台之间的数据无缝对接，同时考虑到未来数据增长的需求，进行必要的扩容准备，以支撑更大规模的数据处理和分析。</w:t>
      </w:r>
    </w:p>
    <w:p w14:paraId="2E395CF1">
      <w:pPr>
        <w:spacing w:line="360" w:lineRule="auto"/>
        <w:ind w:firstLine="480" w:firstLineChars="200"/>
        <w:rPr>
          <w:rFonts w:ascii="宋体" w:hAnsi="宋体" w:cs="宋体"/>
          <w:sz w:val="24"/>
          <w:highlight w:val="none"/>
        </w:rPr>
      </w:pPr>
      <w:r>
        <w:rPr>
          <w:rFonts w:hint="eastAsia" w:ascii="宋体" w:hAnsi="宋体" w:cs="宋体"/>
          <w:sz w:val="24"/>
          <w:highlight w:val="none"/>
        </w:rPr>
        <w:t>4）平台业务接口迁移服务：对于与外部系统或应用之间的业务接口，需要进行相应的迁移，以确保与外部系统的兼容性和数据交互的顺畅性。</w:t>
      </w:r>
    </w:p>
    <w:p w14:paraId="535943FC">
      <w:pPr>
        <w:spacing w:line="360" w:lineRule="auto"/>
        <w:ind w:firstLine="480" w:firstLineChars="200"/>
        <w:rPr>
          <w:rFonts w:ascii="宋体" w:hAnsi="宋体" w:cs="宋体"/>
          <w:sz w:val="24"/>
          <w:highlight w:val="none"/>
        </w:rPr>
      </w:pPr>
      <w:r>
        <w:rPr>
          <w:rFonts w:hint="eastAsia" w:ascii="宋体" w:hAnsi="宋体" w:cs="宋体"/>
          <w:sz w:val="24"/>
          <w:highlight w:val="none"/>
        </w:rPr>
        <w:t>5）专网数据转发服务：在视频和专网采集的非现场数据，统一经过安全边界摆渡至公安网侧。</w:t>
      </w:r>
    </w:p>
    <w:p w14:paraId="69B45392">
      <w:pPr>
        <w:spacing w:line="360" w:lineRule="auto"/>
        <w:ind w:firstLine="480" w:firstLineChars="200"/>
        <w:rPr>
          <w:rFonts w:ascii="宋体" w:hAnsi="宋体" w:cs="宋体"/>
          <w:sz w:val="24"/>
          <w:highlight w:val="none"/>
        </w:rPr>
      </w:pPr>
      <w:r>
        <w:rPr>
          <w:rFonts w:hint="eastAsia" w:ascii="宋体" w:hAnsi="宋体" w:cs="宋体"/>
          <w:sz w:val="24"/>
          <w:highlight w:val="none"/>
        </w:rPr>
        <w:t>6）非现场功能升级服务：根据中国信息安全评测中心发布的《安全可靠测评工作指南》要求，需要对非现场执法平台的功能进行升级和改进。涉及到使用国产信创产品来构建新的平台，以满足公安网环境下对数据安全和隐私保护的高标准要求。</w:t>
      </w:r>
    </w:p>
    <w:p w14:paraId="14CCD0DD">
      <w:pPr>
        <w:spacing w:line="360" w:lineRule="auto"/>
        <w:ind w:firstLine="480" w:firstLineChars="200"/>
        <w:rPr>
          <w:rFonts w:ascii="宋体" w:hAnsi="宋体" w:cs="宋体"/>
          <w:sz w:val="24"/>
          <w:highlight w:val="none"/>
        </w:rPr>
      </w:pPr>
      <w:r>
        <w:rPr>
          <w:rFonts w:hint="eastAsia" w:ascii="宋体" w:hAnsi="宋体" w:cs="宋体"/>
          <w:sz w:val="24"/>
          <w:highlight w:val="none"/>
        </w:rPr>
        <w:t>（2）支队非现场执法平台硬件支撑环境搭建服务：租赁设备生产日期要求为2024年1月1日以后生产，项目服务期结束后设备处置权归投标人所有；</w:t>
      </w:r>
    </w:p>
    <w:tbl>
      <w:tblPr>
        <w:tblStyle w:val="6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006"/>
        <w:gridCol w:w="5698"/>
      </w:tblGrid>
      <w:tr w14:paraId="0143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0" w:type="dxa"/>
            <w:vAlign w:val="center"/>
          </w:tcPr>
          <w:p w14:paraId="345C1460">
            <w:pPr>
              <w:keepNext/>
              <w:keepLines/>
              <w:spacing w:before="160" w:after="160" w:line="720" w:lineRule="exact"/>
              <w:jc w:val="center"/>
              <w:outlineLvl w:val="1"/>
              <w:rPr>
                <w:rFonts w:ascii="宋体" w:hAnsi="宋体" w:cs="宋体"/>
                <w:sz w:val="24"/>
                <w:szCs w:val="20"/>
                <w:highlight w:val="none"/>
              </w:rPr>
            </w:pPr>
            <w:r>
              <w:rPr>
                <w:rFonts w:hint="eastAsia" w:ascii="宋体" w:hAnsi="宋体" w:cs="宋体"/>
                <w:sz w:val="24"/>
                <w:szCs w:val="20"/>
                <w:highlight w:val="none"/>
              </w:rPr>
              <w:t>序号</w:t>
            </w:r>
          </w:p>
        </w:tc>
        <w:tc>
          <w:tcPr>
            <w:tcW w:w="2006" w:type="dxa"/>
            <w:vAlign w:val="center"/>
          </w:tcPr>
          <w:p w14:paraId="0A540505">
            <w:pPr>
              <w:keepNext/>
              <w:keepLines/>
              <w:spacing w:before="160" w:after="160" w:line="720" w:lineRule="exact"/>
              <w:jc w:val="center"/>
              <w:outlineLvl w:val="1"/>
              <w:rPr>
                <w:rFonts w:ascii="宋体" w:hAnsi="宋体" w:cs="宋体"/>
                <w:sz w:val="24"/>
                <w:szCs w:val="20"/>
                <w:highlight w:val="none"/>
              </w:rPr>
            </w:pPr>
            <w:r>
              <w:rPr>
                <w:rFonts w:hint="eastAsia" w:ascii="宋体" w:hAnsi="宋体" w:cs="宋体"/>
                <w:sz w:val="24"/>
                <w:szCs w:val="20"/>
                <w:highlight w:val="none"/>
              </w:rPr>
              <w:t>服务</w:t>
            </w:r>
          </w:p>
        </w:tc>
        <w:tc>
          <w:tcPr>
            <w:tcW w:w="5698" w:type="dxa"/>
            <w:vAlign w:val="center"/>
          </w:tcPr>
          <w:p w14:paraId="711ED3C4">
            <w:pPr>
              <w:keepNext/>
              <w:keepLines/>
              <w:spacing w:before="160" w:after="160" w:line="720" w:lineRule="exact"/>
              <w:jc w:val="center"/>
              <w:outlineLvl w:val="1"/>
              <w:rPr>
                <w:rFonts w:ascii="宋体" w:hAnsi="宋体" w:cs="宋体"/>
                <w:sz w:val="24"/>
                <w:szCs w:val="20"/>
                <w:highlight w:val="none"/>
              </w:rPr>
            </w:pPr>
            <w:r>
              <w:rPr>
                <w:rFonts w:hint="eastAsia" w:ascii="宋体" w:hAnsi="宋体" w:cs="宋体"/>
                <w:sz w:val="24"/>
                <w:szCs w:val="20"/>
                <w:highlight w:val="none"/>
              </w:rPr>
              <w:t>参数</w:t>
            </w:r>
          </w:p>
        </w:tc>
      </w:tr>
      <w:tr w14:paraId="3260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4C246355">
            <w:pPr>
              <w:numPr>
                <w:ilvl w:val="0"/>
                <w:numId w:val="2"/>
              </w:numPr>
              <w:adjustRightInd/>
              <w:ind w:left="0" w:firstLine="0"/>
              <w:jc w:val="center"/>
              <w:rPr>
                <w:rFonts w:ascii="宋体" w:hAnsi="宋体" w:cs="宋体"/>
                <w:sz w:val="24"/>
                <w:szCs w:val="20"/>
                <w:highlight w:val="none"/>
              </w:rPr>
            </w:pPr>
          </w:p>
        </w:tc>
        <w:tc>
          <w:tcPr>
            <w:tcW w:w="2006" w:type="dxa"/>
            <w:vAlign w:val="center"/>
          </w:tcPr>
          <w:p w14:paraId="00A831E2">
            <w:pPr>
              <w:jc w:val="left"/>
              <w:rPr>
                <w:rFonts w:ascii="宋体" w:hAnsi="宋体" w:cs="宋体"/>
                <w:sz w:val="24"/>
                <w:szCs w:val="20"/>
                <w:highlight w:val="none"/>
              </w:rPr>
            </w:pPr>
            <w:r>
              <w:rPr>
                <w:rFonts w:hint="eastAsia" w:ascii="宋体" w:hAnsi="宋体" w:cs="宋体"/>
                <w:sz w:val="24"/>
                <w:szCs w:val="20"/>
                <w:highlight w:val="none"/>
              </w:rPr>
              <w:t>部署</w:t>
            </w:r>
            <w:r>
              <w:rPr>
                <w:rFonts w:ascii="宋体" w:hAnsi="宋体" w:cs="宋体"/>
                <w:sz w:val="24"/>
                <w:szCs w:val="20"/>
                <w:highlight w:val="none"/>
              </w:rPr>
              <w:t>4台物理服务器用于视频专网环境中违法终端设备的对接与数据上传</w:t>
            </w:r>
          </w:p>
        </w:tc>
        <w:tc>
          <w:tcPr>
            <w:tcW w:w="5698" w:type="dxa"/>
            <w:vAlign w:val="center"/>
          </w:tcPr>
          <w:p w14:paraId="778B6131">
            <w:pPr>
              <w:jc w:val="left"/>
              <w:rPr>
                <w:rFonts w:ascii="宋体" w:hAnsi="宋体" w:cs="宋体"/>
                <w:sz w:val="24"/>
                <w:szCs w:val="20"/>
                <w:highlight w:val="none"/>
              </w:rPr>
            </w:pPr>
            <w:r>
              <w:rPr>
                <w:rFonts w:hint="eastAsia" w:ascii="宋体" w:hAnsi="宋体" w:cs="宋体"/>
                <w:sz w:val="24"/>
                <w:szCs w:val="20"/>
                <w:highlight w:val="none"/>
              </w:rPr>
              <w:t>处理器：≥</w:t>
            </w:r>
            <w:r>
              <w:rPr>
                <w:rFonts w:ascii="宋体" w:hAnsi="宋体" w:cs="宋体"/>
                <w:sz w:val="24"/>
                <w:szCs w:val="20"/>
                <w:highlight w:val="none"/>
              </w:rPr>
              <w:t>16核 2.5G*1</w:t>
            </w:r>
          </w:p>
          <w:p w14:paraId="50BF5FFC">
            <w:pPr>
              <w:jc w:val="left"/>
              <w:rPr>
                <w:rFonts w:ascii="宋体" w:hAnsi="宋体" w:cs="宋体"/>
                <w:sz w:val="24"/>
                <w:szCs w:val="20"/>
                <w:highlight w:val="none"/>
              </w:rPr>
            </w:pPr>
            <w:r>
              <w:rPr>
                <w:rFonts w:hint="eastAsia" w:ascii="宋体" w:hAnsi="宋体" w:cs="宋体"/>
                <w:sz w:val="24"/>
                <w:szCs w:val="20"/>
                <w:highlight w:val="none"/>
              </w:rPr>
              <w:t>内存：≥</w:t>
            </w:r>
            <w:r>
              <w:rPr>
                <w:rFonts w:ascii="宋体" w:hAnsi="宋体" w:cs="宋体"/>
                <w:sz w:val="24"/>
                <w:szCs w:val="20"/>
                <w:highlight w:val="none"/>
              </w:rPr>
              <w:t>DDR4 32G*2</w:t>
            </w:r>
          </w:p>
          <w:p w14:paraId="7B509FBC">
            <w:pPr>
              <w:jc w:val="left"/>
              <w:rPr>
                <w:rFonts w:ascii="宋体" w:hAnsi="宋体" w:cs="宋体"/>
                <w:sz w:val="24"/>
                <w:szCs w:val="20"/>
                <w:highlight w:val="none"/>
              </w:rPr>
            </w:pPr>
            <w:r>
              <w:rPr>
                <w:rFonts w:hint="eastAsia" w:ascii="宋体" w:hAnsi="宋体" w:cs="宋体"/>
                <w:sz w:val="24"/>
                <w:szCs w:val="20"/>
                <w:highlight w:val="none"/>
              </w:rPr>
              <w:t>硬盘：≥</w:t>
            </w:r>
            <w:r>
              <w:rPr>
                <w:rFonts w:ascii="宋体" w:hAnsi="宋体" w:cs="宋体"/>
                <w:sz w:val="24"/>
                <w:szCs w:val="20"/>
                <w:highlight w:val="none"/>
              </w:rPr>
              <w:t>960G  SSD硬盘*2 +4×600G SAS硬盘</w:t>
            </w:r>
          </w:p>
          <w:p w14:paraId="53D10B41">
            <w:pPr>
              <w:jc w:val="left"/>
              <w:rPr>
                <w:rFonts w:ascii="宋体" w:hAnsi="宋体" w:cs="宋体"/>
                <w:sz w:val="24"/>
                <w:szCs w:val="20"/>
                <w:highlight w:val="none"/>
              </w:rPr>
            </w:pPr>
            <w:r>
              <w:rPr>
                <w:rFonts w:hint="eastAsia" w:ascii="宋体" w:hAnsi="宋体" w:cs="宋体"/>
                <w:sz w:val="24"/>
                <w:szCs w:val="20"/>
                <w:highlight w:val="none"/>
              </w:rPr>
              <w:t>网络：≥双口万兆网卡（含模块）</w:t>
            </w:r>
          </w:p>
          <w:p w14:paraId="7D6D3EA4">
            <w:pPr>
              <w:jc w:val="left"/>
              <w:rPr>
                <w:rFonts w:ascii="宋体" w:hAnsi="宋体" w:cs="宋体"/>
                <w:sz w:val="24"/>
                <w:szCs w:val="20"/>
                <w:highlight w:val="none"/>
              </w:rPr>
            </w:pPr>
            <w:r>
              <w:rPr>
                <w:rFonts w:hint="eastAsia" w:ascii="宋体" w:hAnsi="宋体" w:cs="宋体"/>
                <w:kern w:val="0"/>
                <w:sz w:val="24"/>
                <w:highlight w:val="none"/>
              </w:rPr>
              <w:t>电源：≥</w:t>
            </w:r>
            <w:r>
              <w:rPr>
                <w:rFonts w:ascii="宋体" w:hAnsi="宋体" w:cs="宋体"/>
                <w:sz w:val="24"/>
                <w:szCs w:val="20"/>
                <w:highlight w:val="none"/>
              </w:rPr>
              <w:t>550W电源模块*2</w:t>
            </w:r>
          </w:p>
          <w:p w14:paraId="3CCA368E">
            <w:pPr>
              <w:jc w:val="left"/>
              <w:rPr>
                <w:rFonts w:ascii="宋体" w:hAnsi="宋体" w:cs="宋体"/>
                <w:sz w:val="24"/>
                <w:szCs w:val="20"/>
                <w:highlight w:val="none"/>
              </w:rPr>
            </w:pPr>
            <w:r>
              <w:rPr>
                <w:rFonts w:hint="eastAsia" w:ascii="宋体" w:hAnsi="宋体" w:cs="宋体"/>
                <w:sz w:val="24"/>
                <w:highlight w:val="none"/>
              </w:rPr>
              <w:t>详细参数见“视频专网单台服务器详细参数要求”</w:t>
            </w:r>
          </w:p>
        </w:tc>
      </w:tr>
    </w:tbl>
    <w:p w14:paraId="298BB886">
      <w:pPr>
        <w:spacing w:line="360" w:lineRule="auto"/>
        <w:ind w:firstLine="480" w:firstLineChars="200"/>
        <w:rPr>
          <w:rFonts w:ascii="宋体" w:hAnsi="宋体" w:cs="宋体"/>
          <w:sz w:val="24"/>
          <w:highlight w:val="none"/>
        </w:rPr>
      </w:pPr>
      <w:r>
        <w:rPr>
          <w:rFonts w:hint="eastAsia" w:ascii="宋体" w:hAnsi="宋体" w:cs="宋体"/>
          <w:sz w:val="24"/>
          <w:highlight w:val="none"/>
        </w:rPr>
        <w:t>视频专网单台服务器详细参数如下：</w:t>
      </w:r>
    </w:p>
    <w:tbl>
      <w:tblPr>
        <w:tblStyle w:val="62"/>
        <w:tblW w:w="8100" w:type="dxa"/>
        <w:tblInd w:w="118" w:type="dxa"/>
        <w:tblLayout w:type="fixed"/>
        <w:tblCellMar>
          <w:top w:w="0" w:type="dxa"/>
          <w:left w:w="108" w:type="dxa"/>
          <w:bottom w:w="0" w:type="dxa"/>
          <w:right w:w="108" w:type="dxa"/>
        </w:tblCellMar>
      </w:tblPr>
      <w:tblGrid>
        <w:gridCol w:w="980"/>
        <w:gridCol w:w="980"/>
        <w:gridCol w:w="1020"/>
        <w:gridCol w:w="5120"/>
      </w:tblGrid>
      <w:tr w14:paraId="46C73366">
        <w:tblPrEx>
          <w:tblCellMar>
            <w:top w:w="0" w:type="dxa"/>
            <w:left w:w="108" w:type="dxa"/>
            <w:bottom w:w="0" w:type="dxa"/>
            <w:right w:w="108" w:type="dxa"/>
          </w:tblCellMar>
        </w:tblPrEx>
        <w:trPr>
          <w:trHeight w:val="936" w:hRule="atLeast"/>
        </w:trPr>
        <w:tc>
          <w:tcPr>
            <w:tcW w:w="980" w:type="dxa"/>
            <w:tcBorders>
              <w:top w:val="single" w:color="auto" w:sz="8" w:space="0"/>
              <w:left w:val="single" w:color="auto" w:sz="8" w:space="0"/>
              <w:bottom w:val="single" w:color="auto" w:sz="8" w:space="0"/>
              <w:right w:val="single" w:color="auto" w:sz="8" w:space="0"/>
            </w:tcBorders>
            <w:shd w:val="clear" w:color="000000" w:fill="D9D9D9"/>
            <w:vAlign w:val="center"/>
          </w:tcPr>
          <w:p w14:paraId="2E4DF166">
            <w:pPr>
              <w:keepNext/>
              <w:keepLines/>
              <w:widowControl/>
              <w:adjustRightInd/>
              <w:spacing w:before="160" w:after="160" w:line="720" w:lineRule="exact"/>
              <w:jc w:val="center"/>
              <w:outlineLvl w:val="1"/>
              <w:rPr>
                <w:rFonts w:ascii="宋体" w:hAnsi="宋体" w:cs="宋体"/>
                <w:b/>
                <w:bCs/>
                <w:kern w:val="0"/>
                <w:sz w:val="24"/>
                <w:highlight w:val="none"/>
              </w:rPr>
            </w:pPr>
            <w:r>
              <w:rPr>
                <w:rFonts w:hint="eastAsia" w:ascii="宋体" w:hAnsi="宋体" w:cs="宋体"/>
                <w:b/>
                <w:bCs/>
                <w:kern w:val="0"/>
                <w:sz w:val="24"/>
                <w:highlight w:val="none"/>
              </w:rPr>
              <w:t>序号</w:t>
            </w:r>
          </w:p>
        </w:tc>
        <w:tc>
          <w:tcPr>
            <w:tcW w:w="980" w:type="dxa"/>
            <w:tcBorders>
              <w:top w:val="single" w:color="auto" w:sz="8" w:space="0"/>
              <w:left w:val="nil"/>
              <w:bottom w:val="single" w:color="auto" w:sz="8" w:space="0"/>
              <w:right w:val="single" w:color="auto" w:sz="8" w:space="0"/>
            </w:tcBorders>
            <w:shd w:val="clear" w:color="000000" w:fill="D9D9D9"/>
            <w:vAlign w:val="center"/>
          </w:tcPr>
          <w:p w14:paraId="4B70B82D">
            <w:pPr>
              <w:keepNext/>
              <w:keepLines/>
              <w:widowControl/>
              <w:adjustRightInd/>
              <w:spacing w:before="160" w:after="160" w:line="720" w:lineRule="exact"/>
              <w:jc w:val="left"/>
              <w:outlineLvl w:val="1"/>
              <w:rPr>
                <w:rFonts w:ascii="宋体" w:hAnsi="宋体" w:cs="宋体"/>
                <w:b/>
                <w:bCs/>
                <w:kern w:val="0"/>
                <w:sz w:val="24"/>
                <w:highlight w:val="none"/>
              </w:rPr>
            </w:pPr>
            <w:r>
              <w:rPr>
                <w:rFonts w:hint="eastAsia" w:ascii="宋体" w:hAnsi="宋体" w:cs="宋体"/>
                <w:b/>
                <w:bCs/>
                <w:kern w:val="0"/>
                <w:sz w:val="24"/>
                <w:highlight w:val="none"/>
              </w:rPr>
              <w:t>一级性能参数指标</w:t>
            </w:r>
          </w:p>
        </w:tc>
        <w:tc>
          <w:tcPr>
            <w:tcW w:w="1020" w:type="dxa"/>
            <w:tcBorders>
              <w:top w:val="single" w:color="auto" w:sz="8" w:space="0"/>
              <w:left w:val="nil"/>
              <w:bottom w:val="single" w:color="auto" w:sz="8" w:space="0"/>
              <w:right w:val="single" w:color="auto" w:sz="8" w:space="0"/>
            </w:tcBorders>
            <w:shd w:val="clear" w:color="000000" w:fill="D9D9D9"/>
            <w:vAlign w:val="center"/>
          </w:tcPr>
          <w:p w14:paraId="4E96762B">
            <w:pPr>
              <w:keepNext/>
              <w:keepLines/>
              <w:widowControl/>
              <w:adjustRightInd/>
              <w:spacing w:before="160" w:after="160" w:line="720" w:lineRule="exact"/>
              <w:jc w:val="left"/>
              <w:outlineLvl w:val="1"/>
              <w:rPr>
                <w:rFonts w:ascii="宋体" w:hAnsi="宋体" w:cs="宋体"/>
                <w:b/>
                <w:bCs/>
                <w:kern w:val="0"/>
                <w:sz w:val="24"/>
                <w:highlight w:val="none"/>
              </w:rPr>
            </w:pPr>
            <w:r>
              <w:rPr>
                <w:rFonts w:hint="eastAsia" w:ascii="宋体" w:hAnsi="宋体" w:cs="宋体"/>
                <w:b/>
                <w:bCs/>
                <w:kern w:val="0"/>
                <w:sz w:val="24"/>
                <w:highlight w:val="none"/>
              </w:rPr>
              <w:t>二级性能参数指标</w:t>
            </w:r>
          </w:p>
        </w:tc>
        <w:tc>
          <w:tcPr>
            <w:tcW w:w="5120" w:type="dxa"/>
            <w:tcBorders>
              <w:top w:val="single" w:color="auto" w:sz="8" w:space="0"/>
              <w:left w:val="nil"/>
              <w:bottom w:val="single" w:color="auto" w:sz="8" w:space="0"/>
              <w:right w:val="single" w:color="auto" w:sz="8" w:space="0"/>
            </w:tcBorders>
            <w:shd w:val="clear" w:color="000000" w:fill="D9D9D9"/>
            <w:vAlign w:val="center"/>
          </w:tcPr>
          <w:p w14:paraId="635D0F97">
            <w:pPr>
              <w:keepNext/>
              <w:keepLines/>
              <w:widowControl/>
              <w:adjustRightInd/>
              <w:spacing w:before="160" w:after="160" w:line="720" w:lineRule="exact"/>
              <w:jc w:val="center"/>
              <w:outlineLvl w:val="1"/>
              <w:rPr>
                <w:rFonts w:ascii="宋体" w:hAnsi="宋体" w:cs="宋体"/>
                <w:b/>
                <w:bCs/>
                <w:kern w:val="0"/>
                <w:sz w:val="24"/>
                <w:highlight w:val="none"/>
              </w:rPr>
            </w:pPr>
            <w:r>
              <w:rPr>
                <w:rFonts w:hint="eastAsia" w:ascii="宋体" w:hAnsi="宋体" w:cs="宋体"/>
                <w:b/>
                <w:bCs/>
                <w:kern w:val="0"/>
                <w:sz w:val="24"/>
                <w:highlight w:val="none"/>
              </w:rPr>
              <w:t>指标要求</w:t>
            </w:r>
          </w:p>
        </w:tc>
      </w:tr>
      <w:tr w14:paraId="66DC511A">
        <w:tblPrEx>
          <w:tblCellMar>
            <w:top w:w="0" w:type="dxa"/>
            <w:left w:w="108" w:type="dxa"/>
            <w:bottom w:w="0" w:type="dxa"/>
            <w:right w:w="108" w:type="dxa"/>
          </w:tblCellMar>
        </w:tblPrEx>
        <w:trPr>
          <w:trHeight w:val="312" w:hRule="atLeast"/>
        </w:trPr>
        <w:tc>
          <w:tcPr>
            <w:tcW w:w="980" w:type="dxa"/>
            <w:vMerge w:val="restart"/>
            <w:tcBorders>
              <w:top w:val="nil"/>
              <w:left w:val="single" w:color="auto" w:sz="8" w:space="0"/>
              <w:bottom w:val="single" w:color="000000" w:sz="8" w:space="0"/>
              <w:right w:val="single" w:color="auto" w:sz="8" w:space="0"/>
            </w:tcBorders>
            <w:vAlign w:val="center"/>
          </w:tcPr>
          <w:p w14:paraId="7A372DF9">
            <w:pPr>
              <w:keepNext/>
              <w:keepLines/>
              <w:widowControl/>
              <w:adjustRightInd/>
              <w:spacing w:before="160" w:after="160" w:line="720" w:lineRule="exact"/>
              <w:jc w:val="center"/>
              <w:outlineLvl w:val="1"/>
              <w:rPr>
                <w:rFonts w:ascii="宋体" w:hAnsi="宋体" w:cs="宋体"/>
                <w:kern w:val="0"/>
                <w:sz w:val="24"/>
                <w:highlight w:val="none"/>
              </w:rPr>
            </w:pPr>
            <w:r>
              <w:rPr>
                <w:rFonts w:ascii="宋体" w:hAnsi="宋体" w:cs="宋体"/>
                <w:kern w:val="0"/>
                <w:sz w:val="24"/>
                <w:highlight w:val="none"/>
              </w:rPr>
              <w:t>1</w:t>
            </w:r>
          </w:p>
        </w:tc>
        <w:tc>
          <w:tcPr>
            <w:tcW w:w="980" w:type="dxa"/>
            <w:vMerge w:val="restart"/>
            <w:tcBorders>
              <w:top w:val="nil"/>
              <w:left w:val="single" w:color="auto" w:sz="8" w:space="0"/>
              <w:bottom w:val="single" w:color="000000" w:sz="8" w:space="0"/>
              <w:right w:val="single" w:color="auto" w:sz="8" w:space="0"/>
            </w:tcBorders>
            <w:vAlign w:val="center"/>
          </w:tcPr>
          <w:p w14:paraId="324DFD1D">
            <w:pPr>
              <w:keepNext/>
              <w:keepLines/>
              <w:widowControl/>
              <w:adjustRightInd/>
              <w:spacing w:before="160" w:after="160" w:line="720" w:lineRule="exact"/>
              <w:jc w:val="center"/>
              <w:outlineLvl w:val="1"/>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CPU规格</w:t>
            </w:r>
          </w:p>
        </w:tc>
        <w:tc>
          <w:tcPr>
            <w:tcW w:w="1020" w:type="dxa"/>
            <w:vMerge w:val="restart"/>
            <w:tcBorders>
              <w:top w:val="nil"/>
              <w:left w:val="single" w:color="auto" w:sz="8" w:space="0"/>
              <w:bottom w:val="single" w:color="000000" w:sz="8" w:space="0"/>
              <w:right w:val="single" w:color="auto" w:sz="8" w:space="0"/>
            </w:tcBorders>
            <w:vAlign w:val="center"/>
          </w:tcPr>
          <w:p w14:paraId="793438CB">
            <w:pPr>
              <w:keepNext/>
              <w:keepLines/>
              <w:widowControl/>
              <w:adjustRightInd/>
              <w:spacing w:before="160" w:after="160" w:line="720" w:lineRule="exact"/>
              <w:jc w:val="center"/>
              <w:outlineLvl w:val="1"/>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 xml:space="preserve">CPU </w:t>
            </w:r>
            <w:r>
              <w:rPr>
                <w:rFonts w:hint="eastAsia" w:ascii="宋体" w:hAnsi="宋体" w:cs="宋体"/>
                <w:kern w:val="0"/>
                <w:sz w:val="24"/>
                <w:highlight w:val="none"/>
              </w:rPr>
              <w:t>信息</w:t>
            </w:r>
          </w:p>
        </w:tc>
        <w:tc>
          <w:tcPr>
            <w:tcW w:w="5120" w:type="dxa"/>
            <w:tcBorders>
              <w:top w:val="nil"/>
              <w:left w:val="nil"/>
              <w:bottom w:val="single" w:color="auto" w:sz="8" w:space="0"/>
              <w:right w:val="single" w:color="auto" w:sz="8" w:space="0"/>
            </w:tcBorders>
            <w:vAlign w:val="center"/>
          </w:tcPr>
          <w:p w14:paraId="11513BF0">
            <w:pPr>
              <w:keepNext/>
              <w:keepLines/>
              <w:widowControl/>
              <w:adjustRightInd/>
              <w:spacing w:before="160" w:after="160" w:line="720" w:lineRule="exact"/>
              <w:jc w:val="center"/>
              <w:outlineLvl w:val="1"/>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1）配置国产</w:t>
            </w:r>
            <w:r>
              <w:rPr>
                <w:rFonts w:hint="eastAsia" w:ascii="宋体" w:hAnsi="宋体" w:cs="宋体"/>
                <w:kern w:val="0"/>
                <w:sz w:val="24"/>
                <w:highlight w:val="none"/>
              </w:rPr>
              <w:t>架构处理器，支持超线程技术和睿频技术；</w:t>
            </w:r>
          </w:p>
        </w:tc>
      </w:tr>
      <w:tr w14:paraId="0826744D">
        <w:tblPrEx>
          <w:tblCellMar>
            <w:top w:w="0" w:type="dxa"/>
            <w:left w:w="108" w:type="dxa"/>
            <w:bottom w:w="0" w:type="dxa"/>
            <w:right w:w="108" w:type="dxa"/>
          </w:tblCellMar>
        </w:tblPrEx>
        <w:trPr>
          <w:trHeight w:val="936" w:hRule="atLeast"/>
        </w:trPr>
        <w:tc>
          <w:tcPr>
            <w:tcW w:w="980" w:type="dxa"/>
            <w:vMerge w:val="continue"/>
            <w:tcBorders>
              <w:top w:val="nil"/>
              <w:left w:val="single" w:color="auto" w:sz="8" w:space="0"/>
              <w:bottom w:val="single" w:color="000000" w:sz="8" w:space="0"/>
              <w:right w:val="single" w:color="auto" w:sz="8" w:space="0"/>
            </w:tcBorders>
            <w:vAlign w:val="center"/>
          </w:tcPr>
          <w:p w14:paraId="6E69B1BE">
            <w:pPr>
              <w:widowControl/>
              <w:adjustRightInd/>
              <w:jc w:val="left"/>
              <w:rPr>
                <w:rFonts w:ascii="宋体" w:hAnsi="宋体" w:cs="宋体"/>
                <w:kern w:val="0"/>
                <w:sz w:val="24"/>
                <w:highlight w:val="none"/>
              </w:rPr>
            </w:pPr>
          </w:p>
        </w:tc>
        <w:tc>
          <w:tcPr>
            <w:tcW w:w="980" w:type="dxa"/>
            <w:vMerge w:val="continue"/>
            <w:tcBorders>
              <w:top w:val="nil"/>
              <w:left w:val="single" w:color="auto" w:sz="8" w:space="0"/>
              <w:bottom w:val="single" w:color="000000" w:sz="8" w:space="0"/>
              <w:right w:val="single" w:color="auto" w:sz="8" w:space="0"/>
            </w:tcBorders>
            <w:vAlign w:val="center"/>
          </w:tcPr>
          <w:p w14:paraId="4B935808">
            <w:pPr>
              <w:widowControl/>
              <w:adjustRightInd/>
              <w:jc w:val="left"/>
              <w:rPr>
                <w:rFonts w:ascii="宋体" w:hAnsi="宋体" w:cs="宋体"/>
                <w:kern w:val="0"/>
                <w:sz w:val="24"/>
                <w:highlight w:val="none"/>
              </w:rPr>
            </w:pPr>
          </w:p>
        </w:tc>
        <w:tc>
          <w:tcPr>
            <w:tcW w:w="1020" w:type="dxa"/>
            <w:vMerge w:val="continue"/>
            <w:tcBorders>
              <w:top w:val="nil"/>
              <w:left w:val="single" w:color="auto" w:sz="8" w:space="0"/>
              <w:bottom w:val="single" w:color="000000" w:sz="8" w:space="0"/>
              <w:right w:val="single" w:color="auto" w:sz="8" w:space="0"/>
            </w:tcBorders>
            <w:vAlign w:val="center"/>
          </w:tcPr>
          <w:p w14:paraId="6B53D9F0">
            <w:pPr>
              <w:widowControl/>
              <w:adjustRightInd/>
              <w:jc w:val="left"/>
              <w:rPr>
                <w:rFonts w:ascii="宋体" w:hAnsi="宋体" w:cs="宋体"/>
                <w:kern w:val="0"/>
                <w:sz w:val="24"/>
                <w:highlight w:val="none"/>
              </w:rPr>
            </w:pPr>
          </w:p>
        </w:tc>
        <w:tc>
          <w:tcPr>
            <w:tcW w:w="5120" w:type="dxa"/>
            <w:tcBorders>
              <w:top w:val="nil"/>
              <w:left w:val="nil"/>
              <w:bottom w:val="single" w:color="auto" w:sz="8" w:space="0"/>
              <w:right w:val="single" w:color="auto" w:sz="8" w:space="0"/>
            </w:tcBorders>
            <w:vAlign w:val="center"/>
          </w:tcPr>
          <w:p w14:paraId="1BA5A3A6">
            <w:pPr>
              <w:widowControl/>
              <w:numPr>
                <w:ilvl w:val="0"/>
                <w:numId w:val="1"/>
              </w:numPr>
              <w:adjustRightInd/>
              <w:rPr>
                <w:rFonts w:ascii="宋体" w:hAnsi="宋体" w:cs="宋体"/>
                <w:kern w:val="0"/>
                <w:sz w:val="24"/>
                <w:highlight w:val="none"/>
              </w:rPr>
            </w:pPr>
            <w:r>
              <w:rPr>
                <w:rFonts w:hint="eastAsia" w:ascii="宋体" w:hAnsi="宋体" w:cs="宋体"/>
                <w:kern w:val="0"/>
                <w:sz w:val="24"/>
                <w:highlight w:val="none"/>
              </w:rPr>
              <w:t>单颗</w:t>
            </w:r>
            <w:r>
              <w:rPr>
                <w:rFonts w:ascii="宋体" w:hAnsi="宋体" w:cs="宋体"/>
                <w:kern w:val="0"/>
                <w:sz w:val="24"/>
                <w:highlight w:val="none"/>
              </w:rPr>
              <w:t>CPU物理核心数≥16核、主频≥2.5GHz、末级缓存容量≥32MB、线程数≥32、热设计功耗≥135W、支持内存的最高速率≥3200MHz、通道数≥4、位宽≥64位；</w:t>
            </w:r>
          </w:p>
          <w:p w14:paraId="7DB8B6A4">
            <w:pPr>
              <w:widowControl/>
              <w:adjustRightInd/>
              <w:rPr>
                <w:rFonts w:ascii="宋体" w:hAnsi="宋体" w:cs="宋体"/>
                <w:kern w:val="0"/>
                <w:sz w:val="24"/>
                <w:highlight w:val="none"/>
              </w:rPr>
            </w:pPr>
          </w:p>
          <w:p w14:paraId="6FEB33D7">
            <w:pPr>
              <w:widowControl/>
              <w:adjustRightInd/>
              <w:rPr>
                <w:rFonts w:ascii="宋体" w:hAnsi="宋体" w:cs="宋体"/>
                <w:kern w:val="0"/>
                <w:sz w:val="24"/>
                <w:highlight w:val="none"/>
              </w:rPr>
            </w:pPr>
            <w:r>
              <w:rPr>
                <w:rFonts w:hint="eastAsia" w:ascii="宋体" w:hAnsi="宋体" w:cs="宋体"/>
                <w:kern w:val="0"/>
                <w:sz w:val="24"/>
                <w:highlight w:val="none"/>
              </w:rPr>
              <w:t>供应商应在投标时给出</w:t>
            </w:r>
            <w:r>
              <w:rPr>
                <w:rFonts w:ascii="宋体" w:hAnsi="宋体" w:cs="宋体"/>
                <w:kern w:val="0"/>
                <w:sz w:val="24"/>
                <w:highlight w:val="none"/>
              </w:rPr>
              <w:t>CPU型号；</w:t>
            </w:r>
          </w:p>
        </w:tc>
      </w:tr>
      <w:tr w14:paraId="728F7127">
        <w:tblPrEx>
          <w:tblCellMar>
            <w:top w:w="0" w:type="dxa"/>
            <w:left w:w="108" w:type="dxa"/>
            <w:bottom w:w="0" w:type="dxa"/>
            <w:right w:w="108" w:type="dxa"/>
          </w:tblCellMar>
        </w:tblPrEx>
        <w:trPr>
          <w:trHeight w:val="1560" w:hRule="atLeast"/>
        </w:trPr>
        <w:tc>
          <w:tcPr>
            <w:tcW w:w="980" w:type="dxa"/>
            <w:tcBorders>
              <w:top w:val="nil"/>
              <w:left w:val="single" w:color="auto" w:sz="8" w:space="0"/>
              <w:bottom w:val="single" w:color="auto" w:sz="8" w:space="0"/>
              <w:right w:val="single" w:color="auto" w:sz="8" w:space="0"/>
            </w:tcBorders>
            <w:vAlign w:val="center"/>
          </w:tcPr>
          <w:p w14:paraId="1975E5E3">
            <w:pPr>
              <w:widowControl/>
              <w:adjustRightInd/>
              <w:jc w:val="center"/>
              <w:rPr>
                <w:rFonts w:ascii="宋体" w:hAnsi="宋体" w:cs="宋体"/>
                <w:kern w:val="0"/>
                <w:sz w:val="24"/>
                <w:highlight w:val="none"/>
              </w:rPr>
            </w:pPr>
            <w:r>
              <w:rPr>
                <w:rFonts w:ascii="宋体" w:hAnsi="宋体" w:cs="宋体"/>
                <w:kern w:val="0"/>
                <w:sz w:val="24"/>
                <w:highlight w:val="none"/>
              </w:rPr>
              <w:t>2</w:t>
            </w:r>
          </w:p>
        </w:tc>
        <w:tc>
          <w:tcPr>
            <w:tcW w:w="980" w:type="dxa"/>
            <w:vMerge w:val="restart"/>
            <w:tcBorders>
              <w:top w:val="nil"/>
              <w:left w:val="single" w:color="auto" w:sz="8" w:space="0"/>
              <w:bottom w:val="single" w:color="000000" w:sz="8" w:space="0"/>
              <w:right w:val="single" w:color="auto" w:sz="8" w:space="0"/>
            </w:tcBorders>
            <w:vAlign w:val="center"/>
          </w:tcPr>
          <w:p w14:paraId="5FB711AF">
            <w:pPr>
              <w:widowControl/>
              <w:adjustRightInd/>
              <w:jc w:val="center"/>
              <w:rPr>
                <w:rFonts w:ascii="宋体" w:hAnsi="宋体" w:cs="宋体"/>
                <w:kern w:val="0"/>
                <w:sz w:val="24"/>
                <w:highlight w:val="none"/>
              </w:rPr>
            </w:pPr>
            <w:r>
              <w:rPr>
                <w:rFonts w:hint="eastAsia" w:ascii="宋体" w:hAnsi="宋体" w:cs="宋体"/>
                <w:kern w:val="0"/>
                <w:sz w:val="24"/>
                <w:highlight w:val="none"/>
              </w:rPr>
              <w:t>▲主板规格</w:t>
            </w:r>
          </w:p>
        </w:tc>
        <w:tc>
          <w:tcPr>
            <w:tcW w:w="1020" w:type="dxa"/>
            <w:tcBorders>
              <w:top w:val="nil"/>
              <w:left w:val="nil"/>
              <w:bottom w:val="single" w:color="auto" w:sz="8" w:space="0"/>
              <w:right w:val="single" w:color="auto" w:sz="8" w:space="0"/>
            </w:tcBorders>
            <w:vAlign w:val="center"/>
          </w:tcPr>
          <w:p w14:paraId="69230F28">
            <w:pPr>
              <w:widowControl/>
              <w:adjustRightInd/>
              <w:jc w:val="center"/>
              <w:rPr>
                <w:rFonts w:ascii="宋体" w:hAnsi="宋体" w:cs="宋体"/>
                <w:kern w:val="0"/>
                <w:sz w:val="24"/>
                <w:highlight w:val="none"/>
              </w:rPr>
            </w:pPr>
            <w:r>
              <w:rPr>
                <w:rFonts w:hint="eastAsia" w:ascii="宋体" w:hAnsi="宋体" w:cs="宋体"/>
                <w:kern w:val="0"/>
                <w:sz w:val="24"/>
                <w:highlight w:val="none"/>
              </w:rPr>
              <w:t>▲主板支持的</w:t>
            </w:r>
            <w:r>
              <w:rPr>
                <w:rFonts w:ascii="宋体" w:hAnsi="宋体" w:cs="宋体"/>
                <w:kern w:val="0"/>
                <w:sz w:val="24"/>
                <w:highlight w:val="none"/>
              </w:rPr>
              <w:t xml:space="preserve">CPU </w:t>
            </w:r>
            <w:r>
              <w:rPr>
                <w:rFonts w:hint="eastAsia" w:ascii="宋体" w:hAnsi="宋体" w:cs="宋体"/>
                <w:kern w:val="0"/>
                <w:sz w:val="24"/>
                <w:highlight w:val="none"/>
              </w:rPr>
              <w:t>和内存情况</w:t>
            </w:r>
          </w:p>
        </w:tc>
        <w:tc>
          <w:tcPr>
            <w:tcW w:w="5120" w:type="dxa"/>
            <w:tcBorders>
              <w:top w:val="nil"/>
              <w:left w:val="nil"/>
              <w:bottom w:val="single" w:color="auto" w:sz="8" w:space="0"/>
              <w:right w:val="single" w:color="auto" w:sz="8" w:space="0"/>
            </w:tcBorders>
            <w:vAlign w:val="center"/>
          </w:tcPr>
          <w:p w14:paraId="4797AAFD">
            <w:pPr>
              <w:widowControl/>
              <w:adjustRightInd/>
              <w:rPr>
                <w:rFonts w:ascii="宋体" w:hAnsi="宋体" w:cs="宋体"/>
                <w:kern w:val="0"/>
                <w:sz w:val="24"/>
                <w:highlight w:val="none"/>
              </w:rPr>
            </w:pPr>
            <w:r>
              <w:rPr>
                <w:rFonts w:hint="eastAsia" w:ascii="宋体" w:hAnsi="宋体" w:cs="宋体"/>
                <w:kern w:val="0"/>
                <w:sz w:val="24"/>
                <w:highlight w:val="none"/>
              </w:rPr>
              <w:t>主板支持</w:t>
            </w:r>
            <w:r>
              <w:rPr>
                <w:rFonts w:ascii="宋体" w:hAnsi="宋体" w:cs="宋体"/>
                <w:kern w:val="0"/>
                <w:sz w:val="24"/>
                <w:highlight w:val="none"/>
              </w:rPr>
              <w:t xml:space="preserve">CPU </w:t>
            </w:r>
            <w:r>
              <w:rPr>
                <w:rFonts w:hint="eastAsia" w:ascii="宋体" w:hAnsi="宋体" w:cs="宋体"/>
                <w:kern w:val="0"/>
                <w:sz w:val="24"/>
                <w:highlight w:val="none"/>
              </w:rPr>
              <w:t>≥</w:t>
            </w:r>
            <w:r>
              <w:rPr>
                <w:rFonts w:ascii="宋体" w:hAnsi="宋体" w:cs="宋体"/>
                <w:kern w:val="0"/>
                <w:sz w:val="24"/>
                <w:highlight w:val="none"/>
              </w:rPr>
              <w:t>2颗，内存数量支持≥ 16个；</w:t>
            </w:r>
          </w:p>
          <w:p w14:paraId="223179A7">
            <w:pPr>
              <w:widowControl/>
              <w:adjustRightInd/>
              <w:rPr>
                <w:rFonts w:ascii="宋体" w:hAnsi="宋体" w:cs="宋体"/>
                <w:kern w:val="0"/>
                <w:sz w:val="24"/>
                <w:highlight w:val="none"/>
              </w:rPr>
            </w:pPr>
            <w:r>
              <w:rPr>
                <w:rFonts w:hint="eastAsia" w:ascii="宋体" w:hAnsi="宋体" w:cs="宋体"/>
                <w:kern w:val="0"/>
                <w:sz w:val="24"/>
                <w:highlight w:val="none"/>
              </w:rPr>
              <w:t>供应商应在投标时给出主板支持的</w:t>
            </w:r>
            <w:r>
              <w:rPr>
                <w:rFonts w:ascii="宋体" w:hAnsi="宋体" w:cs="宋体"/>
                <w:kern w:val="0"/>
                <w:sz w:val="24"/>
                <w:highlight w:val="none"/>
              </w:rPr>
              <w:t>CPU型号；</w:t>
            </w:r>
          </w:p>
        </w:tc>
      </w:tr>
      <w:tr w14:paraId="09CA772E">
        <w:tblPrEx>
          <w:tblCellMar>
            <w:top w:w="0" w:type="dxa"/>
            <w:left w:w="108" w:type="dxa"/>
            <w:bottom w:w="0" w:type="dxa"/>
            <w:right w:w="108" w:type="dxa"/>
          </w:tblCellMar>
        </w:tblPrEx>
        <w:trPr>
          <w:trHeight w:val="936" w:hRule="atLeast"/>
        </w:trPr>
        <w:tc>
          <w:tcPr>
            <w:tcW w:w="980" w:type="dxa"/>
            <w:tcBorders>
              <w:top w:val="nil"/>
              <w:left w:val="single" w:color="auto" w:sz="8" w:space="0"/>
              <w:bottom w:val="single" w:color="auto" w:sz="8" w:space="0"/>
              <w:right w:val="single" w:color="auto" w:sz="8" w:space="0"/>
            </w:tcBorders>
            <w:vAlign w:val="center"/>
          </w:tcPr>
          <w:p w14:paraId="490B5B44">
            <w:pPr>
              <w:widowControl/>
              <w:adjustRightInd/>
              <w:jc w:val="center"/>
              <w:rPr>
                <w:rFonts w:ascii="宋体" w:hAnsi="宋体" w:cs="宋体"/>
                <w:kern w:val="0"/>
                <w:sz w:val="24"/>
                <w:highlight w:val="none"/>
              </w:rPr>
            </w:pPr>
            <w:r>
              <w:rPr>
                <w:rFonts w:ascii="宋体" w:hAnsi="宋体" w:cs="宋体"/>
                <w:kern w:val="0"/>
                <w:sz w:val="24"/>
                <w:highlight w:val="none"/>
              </w:rPr>
              <w:t>3</w:t>
            </w:r>
          </w:p>
        </w:tc>
        <w:tc>
          <w:tcPr>
            <w:tcW w:w="980" w:type="dxa"/>
            <w:vMerge w:val="continue"/>
            <w:tcBorders>
              <w:top w:val="nil"/>
              <w:left w:val="single" w:color="auto" w:sz="8" w:space="0"/>
              <w:bottom w:val="single" w:color="auto" w:sz="8" w:space="0"/>
              <w:right w:val="single" w:color="auto" w:sz="8" w:space="0"/>
            </w:tcBorders>
            <w:vAlign w:val="center"/>
          </w:tcPr>
          <w:p w14:paraId="62D4DD81">
            <w:pPr>
              <w:widowControl/>
              <w:adjustRightInd/>
              <w:jc w:val="left"/>
              <w:rPr>
                <w:rFonts w:ascii="宋体" w:hAnsi="宋体" w:cs="宋体"/>
                <w:kern w:val="0"/>
                <w:sz w:val="24"/>
                <w:highlight w:val="none"/>
              </w:rPr>
            </w:pPr>
          </w:p>
        </w:tc>
        <w:tc>
          <w:tcPr>
            <w:tcW w:w="1020" w:type="dxa"/>
            <w:tcBorders>
              <w:top w:val="nil"/>
              <w:left w:val="nil"/>
              <w:bottom w:val="single" w:color="auto" w:sz="8" w:space="0"/>
              <w:right w:val="single" w:color="auto" w:sz="8" w:space="0"/>
            </w:tcBorders>
            <w:vAlign w:val="center"/>
          </w:tcPr>
          <w:p w14:paraId="37390DD3">
            <w:pPr>
              <w:widowControl/>
              <w:adjustRightInd/>
              <w:jc w:val="center"/>
              <w:rPr>
                <w:rFonts w:ascii="宋体" w:hAnsi="宋体" w:cs="宋体"/>
                <w:kern w:val="0"/>
                <w:sz w:val="24"/>
                <w:highlight w:val="none"/>
              </w:rPr>
            </w:pPr>
            <w:r>
              <w:rPr>
                <w:rFonts w:hint="eastAsia" w:ascii="宋体" w:hAnsi="宋体" w:cs="宋体"/>
                <w:kern w:val="0"/>
                <w:sz w:val="24"/>
                <w:highlight w:val="none"/>
              </w:rPr>
              <w:t>▲主板内存槽数量</w:t>
            </w:r>
          </w:p>
        </w:tc>
        <w:tc>
          <w:tcPr>
            <w:tcW w:w="5120" w:type="dxa"/>
            <w:tcBorders>
              <w:top w:val="nil"/>
              <w:left w:val="nil"/>
              <w:bottom w:val="single" w:color="auto" w:sz="8" w:space="0"/>
              <w:right w:val="single" w:color="auto" w:sz="8" w:space="0"/>
            </w:tcBorders>
            <w:vAlign w:val="center"/>
          </w:tcPr>
          <w:p w14:paraId="764D7665">
            <w:pPr>
              <w:widowControl/>
              <w:adjustRightInd/>
              <w:rPr>
                <w:rFonts w:ascii="宋体" w:hAnsi="宋体" w:cs="宋体"/>
                <w:kern w:val="0"/>
                <w:sz w:val="24"/>
                <w:highlight w:val="none"/>
              </w:rPr>
            </w:pPr>
            <w:r>
              <w:rPr>
                <w:rFonts w:hint="eastAsia" w:ascii="宋体" w:hAnsi="宋体" w:cs="宋体"/>
                <w:kern w:val="0"/>
                <w:sz w:val="24"/>
                <w:highlight w:val="none"/>
              </w:rPr>
              <w:t>主板内存槽数量≥</w:t>
            </w:r>
            <w:r>
              <w:rPr>
                <w:rFonts w:ascii="宋体" w:hAnsi="宋体" w:cs="宋体"/>
                <w:kern w:val="0"/>
                <w:sz w:val="24"/>
                <w:highlight w:val="none"/>
              </w:rPr>
              <w:t>16个</w:t>
            </w:r>
          </w:p>
        </w:tc>
      </w:tr>
      <w:tr w14:paraId="2D85C08C">
        <w:tblPrEx>
          <w:tblCellMar>
            <w:top w:w="0" w:type="dxa"/>
            <w:left w:w="108" w:type="dxa"/>
            <w:bottom w:w="0" w:type="dxa"/>
            <w:right w:w="108" w:type="dxa"/>
          </w:tblCellMar>
        </w:tblPrEx>
        <w:trPr>
          <w:trHeight w:val="312" w:hRule="atLeast"/>
        </w:trPr>
        <w:tc>
          <w:tcPr>
            <w:tcW w:w="980" w:type="dxa"/>
            <w:vMerge w:val="restart"/>
            <w:tcBorders>
              <w:top w:val="single" w:color="auto" w:sz="8" w:space="0"/>
              <w:left w:val="single" w:color="auto" w:sz="8" w:space="0"/>
              <w:bottom w:val="single" w:color="auto" w:sz="8" w:space="0"/>
              <w:right w:val="single" w:color="auto" w:sz="8" w:space="0"/>
            </w:tcBorders>
            <w:vAlign w:val="center"/>
          </w:tcPr>
          <w:p w14:paraId="669B9415">
            <w:pPr>
              <w:widowControl/>
              <w:adjustRightInd/>
              <w:jc w:val="center"/>
              <w:rPr>
                <w:rFonts w:ascii="宋体" w:hAnsi="宋体" w:cs="宋体"/>
                <w:kern w:val="0"/>
                <w:sz w:val="24"/>
                <w:highlight w:val="none"/>
              </w:rPr>
            </w:pPr>
            <w:r>
              <w:rPr>
                <w:rFonts w:ascii="宋体" w:hAnsi="宋体" w:cs="宋体"/>
                <w:kern w:val="0"/>
                <w:sz w:val="24"/>
                <w:highlight w:val="none"/>
              </w:rPr>
              <w:t>4</w:t>
            </w:r>
          </w:p>
        </w:tc>
        <w:tc>
          <w:tcPr>
            <w:tcW w:w="980" w:type="dxa"/>
            <w:vMerge w:val="continue"/>
            <w:tcBorders>
              <w:top w:val="single" w:color="auto" w:sz="8" w:space="0"/>
              <w:left w:val="single" w:color="auto" w:sz="8" w:space="0"/>
              <w:bottom w:val="single" w:color="auto" w:sz="8" w:space="0"/>
              <w:right w:val="single" w:color="auto" w:sz="8" w:space="0"/>
            </w:tcBorders>
            <w:vAlign w:val="center"/>
          </w:tcPr>
          <w:p w14:paraId="09D25F63">
            <w:pPr>
              <w:widowControl/>
              <w:adjustRightInd/>
              <w:jc w:val="left"/>
              <w:rPr>
                <w:rFonts w:ascii="宋体" w:hAnsi="宋体" w:cs="宋体"/>
                <w:kern w:val="0"/>
                <w:sz w:val="24"/>
                <w:highlight w:val="none"/>
              </w:rPr>
            </w:pPr>
          </w:p>
        </w:tc>
        <w:tc>
          <w:tcPr>
            <w:tcW w:w="1020" w:type="dxa"/>
            <w:vMerge w:val="restart"/>
            <w:tcBorders>
              <w:top w:val="single" w:color="auto" w:sz="8" w:space="0"/>
              <w:left w:val="single" w:color="auto" w:sz="8" w:space="0"/>
              <w:bottom w:val="single" w:color="auto" w:sz="8" w:space="0"/>
              <w:right w:val="single" w:color="auto" w:sz="8" w:space="0"/>
            </w:tcBorders>
            <w:vAlign w:val="center"/>
          </w:tcPr>
          <w:p w14:paraId="0B803955">
            <w:pPr>
              <w:widowControl/>
              <w:adjustRightInd/>
              <w:jc w:val="center"/>
              <w:rPr>
                <w:rFonts w:ascii="宋体" w:hAnsi="宋体" w:cs="宋体"/>
                <w:kern w:val="0"/>
                <w:sz w:val="24"/>
                <w:highlight w:val="none"/>
              </w:rPr>
            </w:pPr>
            <w:r>
              <w:rPr>
                <w:rFonts w:hint="eastAsia" w:ascii="宋体" w:hAnsi="宋体" w:cs="宋体"/>
                <w:kern w:val="0"/>
                <w:sz w:val="24"/>
                <w:highlight w:val="none"/>
              </w:rPr>
              <w:t>▲主板存储接口</w:t>
            </w:r>
          </w:p>
        </w:tc>
        <w:tc>
          <w:tcPr>
            <w:tcW w:w="5120" w:type="dxa"/>
            <w:tcBorders>
              <w:top w:val="nil"/>
              <w:left w:val="nil"/>
              <w:bottom w:val="single" w:color="auto" w:sz="8" w:space="0"/>
              <w:right w:val="single" w:color="auto" w:sz="8" w:space="0"/>
            </w:tcBorders>
            <w:vAlign w:val="center"/>
          </w:tcPr>
          <w:p w14:paraId="063AA7B7">
            <w:pPr>
              <w:widowControl/>
              <w:adjustRightInd/>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1）前置可支持≥12个SATA/SAS/NVME盘；后置可支持 2 SATA/SAS</w:t>
            </w:r>
          </w:p>
        </w:tc>
      </w:tr>
      <w:tr w14:paraId="2E388997">
        <w:tblPrEx>
          <w:tblCellMar>
            <w:top w:w="0" w:type="dxa"/>
            <w:left w:w="108" w:type="dxa"/>
            <w:bottom w:w="0" w:type="dxa"/>
            <w:right w:w="108" w:type="dxa"/>
          </w:tblCellMar>
        </w:tblPrEx>
        <w:trPr>
          <w:trHeight w:val="312" w:hRule="atLeast"/>
        </w:trPr>
        <w:tc>
          <w:tcPr>
            <w:tcW w:w="980" w:type="dxa"/>
            <w:vMerge w:val="continue"/>
            <w:tcBorders>
              <w:top w:val="single" w:color="auto" w:sz="8" w:space="0"/>
              <w:left w:val="single" w:color="auto" w:sz="8" w:space="0"/>
              <w:bottom w:val="single" w:color="auto" w:sz="8" w:space="0"/>
              <w:right w:val="single" w:color="auto" w:sz="8" w:space="0"/>
            </w:tcBorders>
            <w:vAlign w:val="center"/>
          </w:tcPr>
          <w:p w14:paraId="1E51EE45">
            <w:pPr>
              <w:widowControl/>
              <w:adjustRightInd/>
              <w:jc w:val="left"/>
              <w:rPr>
                <w:rFonts w:ascii="宋体" w:hAnsi="宋体" w:cs="宋体"/>
                <w:kern w:val="0"/>
                <w:sz w:val="24"/>
                <w:highlight w:val="none"/>
              </w:rPr>
            </w:pPr>
          </w:p>
        </w:tc>
        <w:tc>
          <w:tcPr>
            <w:tcW w:w="980" w:type="dxa"/>
            <w:vMerge w:val="continue"/>
            <w:tcBorders>
              <w:top w:val="single" w:color="auto" w:sz="8" w:space="0"/>
              <w:left w:val="single" w:color="auto" w:sz="8" w:space="0"/>
              <w:bottom w:val="single" w:color="auto" w:sz="8" w:space="0"/>
              <w:right w:val="single" w:color="auto" w:sz="8" w:space="0"/>
            </w:tcBorders>
            <w:vAlign w:val="center"/>
          </w:tcPr>
          <w:p w14:paraId="7CCF006C">
            <w:pPr>
              <w:widowControl/>
              <w:adjustRightInd/>
              <w:jc w:val="left"/>
              <w:rPr>
                <w:rFonts w:ascii="宋体" w:hAnsi="宋体" w:cs="宋体"/>
                <w:kern w:val="0"/>
                <w:sz w:val="24"/>
                <w:highlight w:val="none"/>
              </w:rPr>
            </w:pPr>
          </w:p>
        </w:tc>
        <w:tc>
          <w:tcPr>
            <w:tcW w:w="1020" w:type="dxa"/>
            <w:vMerge w:val="continue"/>
            <w:tcBorders>
              <w:top w:val="single" w:color="auto" w:sz="8" w:space="0"/>
              <w:left w:val="single" w:color="auto" w:sz="8" w:space="0"/>
              <w:bottom w:val="single" w:color="auto" w:sz="8" w:space="0"/>
              <w:right w:val="single" w:color="auto" w:sz="8" w:space="0"/>
            </w:tcBorders>
            <w:vAlign w:val="center"/>
          </w:tcPr>
          <w:p w14:paraId="11D63B54">
            <w:pPr>
              <w:widowControl/>
              <w:adjustRightInd/>
              <w:jc w:val="left"/>
              <w:rPr>
                <w:rFonts w:ascii="宋体" w:hAnsi="宋体" w:cs="宋体"/>
                <w:kern w:val="0"/>
                <w:sz w:val="24"/>
                <w:highlight w:val="none"/>
              </w:rPr>
            </w:pPr>
          </w:p>
        </w:tc>
        <w:tc>
          <w:tcPr>
            <w:tcW w:w="5120" w:type="dxa"/>
            <w:tcBorders>
              <w:top w:val="nil"/>
              <w:left w:val="nil"/>
              <w:bottom w:val="single" w:color="auto" w:sz="8" w:space="0"/>
              <w:right w:val="single" w:color="auto" w:sz="8" w:space="0"/>
            </w:tcBorders>
            <w:vAlign w:val="center"/>
          </w:tcPr>
          <w:p w14:paraId="21F092FF">
            <w:pPr>
              <w:widowControl/>
              <w:adjustRightInd/>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2）板载内置</w:t>
            </w:r>
            <w:r>
              <w:rPr>
                <w:rFonts w:hint="eastAsia" w:ascii="宋体" w:hAnsi="宋体" w:cs="宋体"/>
                <w:kern w:val="0"/>
                <w:sz w:val="24"/>
                <w:highlight w:val="none"/>
              </w:rPr>
              <w:t>≥</w:t>
            </w:r>
            <w:r>
              <w:rPr>
                <w:rFonts w:ascii="宋体" w:hAnsi="宋体" w:cs="宋体"/>
                <w:kern w:val="0"/>
                <w:sz w:val="24"/>
                <w:highlight w:val="none"/>
              </w:rPr>
              <w:t>1个M.2 SATA插槽；</w:t>
            </w:r>
          </w:p>
        </w:tc>
      </w:tr>
      <w:tr w14:paraId="23AB2A70">
        <w:tblPrEx>
          <w:tblCellMar>
            <w:top w:w="0" w:type="dxa"/>
            <w:left w:w="108" w:type="dxa"/>
            <w:bottom w:w="0" w:type="dxa"/>
            <w:right w:w="108" w:type="dxa"/>
          </w:tblCellMar>
        </w:tblPrEx>
        <w:trPr>
          <w:trHeight w:val="1248" w:hRule="atLeast"/>
        </w:trPr>
        <w:tc>
          <w:tcPr>
            <w:tcW w:w="980" w:type="dxa"/>
            <w:tcBorders>
              <w:top w:val="single" w:color="auto" w:sz="8" w:space="0"/>
              <w:left w:val="single" w:color="auto" w:sz="8" w:space="0"/>
              <w:bottom w:val="single" w:color="auto" w:sz="8" w:space="0"/>
              <w:right w:val="single" w:color="auto" w:sz="8" w:space="0"/>
            </w:tcBorders>
            <w:vAlign w:val="center"/>
          </w:tcPr>
          <w:p w14:paraId="2A31D87B">
            <w:pPr>
              <w:widowControl/>
              <w:adjustRightInd/>
              <w:jc w:val="center"/>
              <w:rPr>
                <w:rFonts w:ascii="宋体" w:hAnsi="宋体" w:cs="宋体"/>
                <w:kern w:val="0"/>
                <w:sz w:val="24"/>
                <w:highlight w:val="none"/>
              </w:rPr>
            </w:pPr>
            <w:r>
              <w:rPr>
                <w:rFonts w:ascii="宋体" w:hAnsi="宋体" w:cs="宋体"/>
                <w:kern w:val="0"/>
                <w:sz w:val="24"/>
                <w:highlight w:val="none"/>
              </w:rPr>
              <w:t>5</w:t>
            </w:r>
          </w:p>
        </w:tc>
        <w:tc>
          <w:tcPr>
            <w:tcW w:w="980" w:type="dxa"/>
            <w:vMerge w:val="continue"/>
            <w:tcBorders>
              <w:top w:val="single" w:color="auto" w:sz="8" w:space="0"/>
              <w:left w:val="single" w:color="auto" w:sz="8" w:space="0"/>
              <w:bottom w:val="single" w:color="000000" w:sz="8" w:space="0"/>
              <w:right w:val="single" w:color="auto" w:sz="8" w:space="0"/>
            </w:tcBorders>
            <w:vAlign w:val="center"/>
          </w:tcPr>
          <w:p w14:paraId="16013CE0">
            <w:pPr>
              <w:widowControl/>
              <w:adjustRightInd/>
              <w:jc w:val="left"/>
              <w:rPr>
                <w:rFonts w:ascii="宋体" w:hAnsi="宋体" w:cs="宋体"/>
                <w:kern w:val="0"/>
                <w:sz w:val="24"/>
                <w:highlight w:val="none"/>
              </w:rPr>
            </w:pPr>
          </w:p>
        </w:tc>
        <w:tc>
          <w:tcPr>
            <w:tcW w:w="1020" w:type="dxa"/>
            <w:tcBorders>
              <w:top w:val="single" w:color="auto" w:sz="8" w:space="0"/>
              <w:left w:val="single" w:color="auto" w:sz="8" w:space="0"/>
              <w:bottom w:val="single" w:color="auto" w:sz="8" w:space="0"/>
              <w:right w:val="single" w:color="auto" w:sz="8" w:space="0"/>
            </w:tcBorders>
            <w:vAlign w:val="center"/>
          </w:tcPr>
          <w:p w14:paraId="52B32442">
            <w:pPr>
              <w:widowControl/>
              <w:adjustRightInd/>
              <w:jc w:val="center"/>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 xml:space="preserve">PCIe </w:t>
            </w:r>
            <w:r>
              <w:rPr>
                <w:rFonts w:hint="eastAsia" w:ascii="宋体" w:hAnsi="宋体" w:cs="宋体"/>
                <w:kern w:val="0"/>
                <w:sz w:val="24"/>
                <w:highlight w:val="none"/>
              </w:rPr>
              <w:t>插槽接口</w:t>
            </w:r>
          </w:p>
        </w:tc>
        <w:tc>
          <w:tcPr>
            <w:tcW w:w="5120" w:type="dxa"/>
            <w:tcBorders>
              <w:top w:val="single" w:color="auto" w:sz="8" w:space="0"/>
              <w:left w:val="single" w:color="auto" w:sz="8" w:space="0"/>
              <w:bottom w:val="single" w:color="auto" w:sz="8" w:space="0"/>
              <w:right w:val="single" w:color="auto" w:sz="8" w:space="0"/>
            </w:tcBorders>
            <w:vAlign w:val="center"/>
          </w:tcPr>
          <w:p w14:paraId="6106FFF3">
            <w:pPr>
              <w:widowControl/>
              <w:adjustRightInd/>
              <w:rPr>
                <w:rFonts w:ascii="宋体" w:hAnsi="宋体" w:cs="宋体"/>
                <w:kern w:val="0"/>
                <w:sz w:val="24"/>
                <w:highlight w:val="none"/>
              </w:rPr>
            </w:pPr>
            <w:r>
              <w:rPr>
                <w:rFonts w:hint="eastAsia" w:ascii="宋体" w:hAnsi="宋体" w:cs="宋体"/>
                <w:kern w:val="0"/>
                <w:sz w:val="24"/>
                <w:highlight w:val="none"/>
              </w:rPr>
              <w:t>符合 PCIe3.0 或以上的高速串行计</w:t>
            </w:r>
          </w:p>
          <w:p w14:paraId="74E16C78">
            <w:pPr>
              <w:widowControl/>
              <w:adjustRightInd/>
              <w:rPr>
                <w:rFonts w:ascii="宋体" w:hAnsi="宋体" w:cs="宋体"/>
                <w:kern w:val="0"/>
                <w:sz w:val="24"/>
                <w:highlight w:val="none"/>
              </w:rPr>
            </w:pPr>
            <w:r>
              <w:rPr>
                <w:rFonts w:hint="eastAsia" w:ascii="宋体" w:hAnsi="宋体" w:cs="宋体"/>
                <w:kern w:val="0"/>
                <w:sz w:val="24"/>
                <w:highlight w:val="none"/>
              </w:rPr>
              <w:t>算机扩展总线标准，PCIe 的接口速</w:t>
            </w:r>
          </w:p>
          <w:p w14:paraId="4CE83594">
            <w:pPr>
              <w:widowControl/>
              <w:adjustRightInd/>
              <w:rPr>
                <w:rFonts w:ascii="宋体" w:hAnsi="宋体" w:cs="宋体"/>
                <w:kern w:val="0"/>
                <w:sz w:val="24"/>
                <w:highlight w:val="none"/>
              </w:rPr>
            </w:pPr>
            <w:r>
              <w:rPr>
                <w:rFonts w:hint="eastAsia" w:ascii="宋体" w:hAnsi="宋体" w:cs="宋体"/>
                <w:kern w:val="0"/>
                <w:sz w:val="24"/>
                <w:highlight w:val="none"/>
              </w:rPr>
              <w:t>率与位宽需保证向下兼容</w:t>
            </w:r>
          </w:p>
        </w:tc>
      </w:tr>
      <w:tr w14:paraId="117BE8C8">
        <w:tblPrEx>
          <w:tblCellMar>
            <w:top w:w="0" w:type="dxa"/>
            <w:left w:w="108" w:type="dxa"/>
            <w:bottom w:w="0" w:type="dxa"/>
            <w:right w:w="108" w:type="dxa"/>
          </w:tblCellMar>
        </w:tblPrEx>
        <w:trPr>
          <w:trHeight w:val="1248" w:hRule="atLeast"/>
        </w:trPr>
        <w:tc>
          <w:tcPr>
            <w:tcW w:w="980" w:type="dxa"/>
            <w:tcBorders>
              <w:top w:val="nil"/>
              <w:left w:val="single" w:color="auto" w:sz="8" w:space="0"/>
              <w:bottom w:val="single" w:color="auto" w:sz="8" w:space="0"/>
              <w:right w:val="single" w:color="auto" w:sz="8" w:space="0"/>
            </w:tcBorders>
            <w:vAlign w:val="center"/>
          </w:tcPr>
          <w:p w14:paraId="4CFB186B">
            <w:pPr>
              <w:widowControl/>
              <w:adjustRightInd/>
              <w:jc w:val="center"/>
              <w:rPr>
                <w:rFonts w:ascii="宋体" w:hAnsi="宋体" w:cs="宋体"/>
                <w:kern w:val="0"/>
                <w:sz w:val="24"/>
                <w:highlight w:val="none"/>
              </w:rPr>
            </w:pPr>
            <w:r>
              <w:rPr>
                <w:rFonts w:ascii="宋体" w:hAnsi="宋体" w:cs="宋体"/>
                <w:kern w:val="0"/>
                <w:sz w:val="24"/>
                <w:highlight w:val="none"/>
              </w:rPr>
              <w:t>6</w:t>
            </w:r>
          </w:p>
        </w:tc>
        <w:tc>
          <w:tcPr>
            <w:tcW w:w="980" w:type="dxa"/>
            <w:vMerge w:val="continue"/>
            <w:tcBorders>
              <w:top w:val="nil"/>
              <w:left w:val="single" w:color="auto" w:sz="8" w:space="0"/>
              <w:bottom w:val="single" w:color="000000" w:sz="8" w:space="0"/>
              <w:right w:val="single" w:color="auto" w:sz="8" w:space="0"/>
            </w:tcBorders>
            <w:vAlign w:val="center"/>
          </w:tcPr>
          <w:p w14:paraId="5F237B87">
            <w:pPr>
              <w:widowControl/>
              <w:adjustRightInd/>
              <w:jc w:val="left"/>
              <w:rPr>
                <w:rFonts w:ascii="宋体" w:hAnsi="宋体" w:cs="宋体"/>
                <w:kern w:val="0"/>
                <w:sz w:val="24"/>
                <w:highlight w:val="none"/>
              </w:rPr>
            </w:pPr>
          </w:p>
        </w:tc>
        <w:tc>
          <w:tcPr>
            <w:tcW w:w="1020" w:type="dxa"/>
            <w:tcBorders>
              <w:top w:val="single" w:color="auto" w:sz="8" w:space="0"/>
              <w:left w:val="single" w:color="auto" w:sz="8" w:space="0"/>
              <w:bottom w:val="single" w:color="auto" w:sz="8" w:space="0"/>
              <w:right w:val="single" w:color="auto" w:sz="8" w:space="0"/>
            </w:tcBorders>
            <w:vAlign w:val="center"/>
          </w:tcPr>
          <w:p w14:paraId="1394137B">
            <w:pPr>
              <w:widowControl/>
              <w:adjustRightInd/>
              <w:jc w:val="center"/>
              <w:rPr>
                <w:rFonts w:ascii="宋体" w:hAnsi="宋体" w:cs="宋体"/>
                <w:kern w:val="0"/>
                <w:sz w:val="24"/>
                <w:highlight w:val="none"/>
              </w:rPr>
            </w:pPr>
            <w:r>
              <w:rPr>
                <w:rFonts w:hint="eastAsia" w:ascii="宋体" w:hAnsi="宋体" w:cs="宋体"/>
                <w:kern w:val="0"/>
                <w:sz w:val="24"/>
                <w:highlight w:val="none"/>
              </w:rPr>
              <w:t>▲主板</w:t>
            </w:r>
            <w:r>
              <w:rPr>
                <w:rFonts w:ascii="宋体" w:hAnsi="宋体" w:cs="宋体"/>
                <w:kern w:val="0"/>
                <w:sz w:val="24"/>
                <w:highlight w:val="none"/>
              </w:rPr>
              <w:t xml:space="preserve"> PCIe </w:t>
            </w:r>
            <w:r>
              <w:rPr>
                <w:rFonts w:hint="eastAsia" w:ascii="宋体" w:hAnsi="宋体" w:cs="宋体"/>
                <w:kern w:val="0"/>
                <w:sz w:val="24"/>
                <w:highlight w:val="none"/>
              </w:rPr>
              <w:t>插槽数量及规格</w:t>
            </w:r>
          </w:p>
        </w:tc>
        <w:tc>
          <w:tcPr>
            <w:tcW w:w="5120" w:type="dxa"/>
            <w:tcBorders>
              <w:top w:val="single" w:color="auto" w:sz="8" w:space="0"/>
              <w:left w:val="single" w:color="auto" w:sz="8" w:space="0"/>
              <w:bottom w:val="single" w:color="auto" w:sz="8" w:space="0"/>
              <w:right w:val="single" w:color="auto" w:sz="8" w:space="0"/>
            </w:tcBorders>
            <w:vAlign w:val="center"/>
          </w:tcPr>
          <w:p w14:paraId="4553EEF0">
            <w:pPr>
              <w:widowControl/>
              <w:adjustRightInd/>
              <w:rPr>
                <w:rFonts w:ascii="宋体" w:hAnsi="宋体" w:cs="宋体"/>
                <w:kern w:val="0"/>
                <w:sz w:val="24"/>
                <w:highlight w:val="none"/>
              </w:rPr>
            </w:pPr>
            <w:r>
              <w:rPr>
                <w:rFonts w:hint="eastAsia" w:ascii="宋体" w:hAnsi="宋体" w:cs="宋体"/>
                <w:kern w:val="0"/>
                <w:sz w:val="24"/>
                <w:highlight w:val="none"/>
              </w:rPr>
              <w:t>PCIe 插槽数量≥5个,</w:t>
            </w:r>
          </w:p>
          <w:p w14:paraId="3CAD9887">
            <w:pPr>
              <w:widowControl/>
              <w:adjustRightInd/>
              <w:rPr>
                <w:rFonts w:ascii="宋体" w:hAnsi="宋体" w:cs="宋体"/>
                <w:kern w:val="0"/>
                <w:sz w:val="24"/>
                <w:highlight w:val="none"/>
              </w:rPr>
            </w:pPr>
            <w:r>
              <w:rPr>
                <w:rFonts w:hint="eastAsia" w:ascii="宋体" w:hAnsi="宋体" w:cs="宋体"/>
                <w:kern w:val="0"/>
                <w:sz w:val="24"/>
                <w:highlight w:val="none"/>
              </w:rPr>
              <w:t>1个PCle4.0 x16插槽 (x16 Lane)</w:t>
            </w:r>
          </w:p>
          <w:p w14:paraId="2564C5DA">
            <w:pPr>
              <w:widowControl/>
              <w:adjustRightInd/>
              <w:rPr>
                <w:rFonts w:ascii="宋体" w:hAnsi="宋体" w:cs="宋体"/>
                <w:kern w:val="0"/>
                <w:sz w:val="24"/>
                <w:highlight w:val="none"/>
              </w:rPr>
            </w:pPr>
            <w:r>
              <w:rPr>
                <w:rFonts w:hint="eastAsia" w:ascii="宋体" w:hAnsi="宋体" w:cs="宋体"/>
                <w:kern w:val="0"/>
                <w:sz w:val="24"/>
                <w:highlight w:val="none"/>
              </w:rPr>
              <w:t>3个PCle4.0 x8插槽 (x8 Lane)</w:t>
            </w:r>
          </w:p>
          <w:p w14:paraId="2BAF43AD">
            <w:pPr>
              <w:widowControl/>
              <w:adjustRightInd/>
              <w:rPr>
                <w:rFonts w:ascii="宋体" w:hAnsi="宋体" w:cs="宋体"/>
                <w:kern w:val="0"/>
                <w:sz w:val="24"/>
                <w:highlight w:val="none"/>
              </w:rPr>
            </w:pPr>
            <w:r>
              <w:rPr>
                <w:rFonts w:hint="eastAsia" w:ascii="宋体" w:hAnsi="宋体" w:cs="宋体"/>
                <w:kern w:val="0"/>
                <w:sz w:val="24"/>
                <w:highlight w:val="none"/>
              </w:rPr>
              <w:t>1个PCle4.0 x4插槽 (x4 Lane)</w:t>
            </w:r>
          </w:p>
          <w:p w14:paraId="60400779">
            <w:pPr>
              <w:widowControl/>
              <w:adjustRightInd/>
              <w:rPr>
                <w:rFonts w:ascii="宋体" w:hAnsi="宋体" w:cs="宋体"/>
                <w:kern w:val="0"/>
                <w:sz w:val="24"/>
                <w:highlight w:val="none"/>
              </w:rPr>
            </w:pPr>
            <w:r>
              <w:rPr>
                <w:rFonts w:hint="eastAsia" w:ascii="宋体" w:hAnsi="宋体" w:cs="宋体"/>
                <w:kern w:val="0"/>
                <w:sz w:val="24"/>
                <w:highlight w:val="none"/>
              </w:rPr>
              <w:t>可通过扩展卡进行插槽扩展</w:t>
            </w:r>
          </w:p>
        </w:tc>
      </w:tr>
      <w:tr w14:paraId="6654D627">
        <w:tblPrEx>
          <w:tblCellMar>
            <w:top w:w="0" w:type="dxa"/>
            <w:left w:w="108" w:type="dxa"/>
            <w:bottom w:w="0" w:type="dxa"/>
            <w:right w:w="108" w:type="dxa"/>
          </w:tblCellMar>
        </w:tblPrEx>
        <w:trPr>
          <w:trHeight w:val="624" w:hRule="atLeast"/>
        </w:trPr>
        <w:tc>
          <w:tcPr>
            <w:tcW w:w="980" w:type="dxa"/>
            <w:tcBorders>
              <w:top w:val="nil"/>
              <w:left w:val="single" w:color="auto" w:sz="8" w:space="0"/>
              <w:bottom w:val="single" w:color="auto" w:sz="8" w:space="0"/>
              <w:right w:val="single" w:color="auto" w:sz="8" w:space="0"/>
            </w:tcBorders>
            <w:shd w:val="clear" w:color="000000" w:fill="FFFFFF"/>
            <w:vAlign w:val="center"/>
          </w:tcPr>
          <w:p w14:paraId="033F7CFA">
            <w:pPr>
              <w:widowControl/>
              <w:adjustRightInd/>
              <w:jc w:val="center"/>
              <w:rPr>
                <w:rFonts w:ascii="宋体" w:hAnsi="宋体" w:cs="宋体"/>
                <w:kern w:val="0"/>
                <w:sz w:val="24"/>
                <w:highlight w:val="none"/>
              </w:rPr>
            </w:pPr>
            <w:r>
              <w:rPr>
                <w:rFonts w:ascii="宋体" w:hAnsi="宋体" w:cs="宋体"/>
                <w:kern w:val="0"/>
                <w:sz w:val="24"/>
                <w:highlight w:val="none"/>
              </w:rPr>
              <w:t>7</w:t>
            </w:r>
          </w:p>
        </w:tc>
        <w:tc>
          <w:tcPr>
            <w:tcW w:w="980" w:type="dxa"/>
            <w:vMerge w:val="restart"/>
            <w:tcBorders>
              <w:top w:val="nil"/>
              <w:left w:val="single" w:color="auto" w:sz="8" w:space="0"/>
              <w:bottom w:val="single" w:color="000000" w:sz="8" w:space="0"/>
              <w:right w:val="single" w:color="auto" w:sz="8" w:space="0"/>
            </w:tcBorders>
            <w:shd w:val="clear" w:color="000000" w:fill="FFFFFF"/>
            <w:vAlign w:val="center"/>
          </w:tcPr>
          <w:p w14:paraId="6CA6BCCF">
            <w:pPr>
              <w:widowControl/>
              <w:adjustRightInd/>
              <w:jc w:val="center"/>
              <w:rPr>
                <w:rFonts w:ascii="宋体" w:hAnsi="宋体" w:cs="宋体"/>
                <w:kern w:val="0"/>
                <w:sz w:val="24"/>
                <w:highlight w:val="none"/>
              </w:rPr>
            </w:pPr>
            <w:r>
              <w:rPr>
                <w:rFonts w:hint="eastAsia" w:ascii="宋体" w:hAnsi="宋体" w:cs="宋体"/>
                <w:kern w:val="0"/>
                <w:sz w:val="24"/>
                <w:highlight w:val="none"/>
              </w:rPr>
              <w:t>▲内存规格</w:t>
            </w:r>
          </w:p>
        </w:tc>
        <w:tc>
          <w:tcPr>
            <w:tcW w:w="1020" w:type="dxa"/>
            <w:tcBorders>
              <w:top w:val="single" w:color="auto" w:sz="8" w:space="0"/>
              <w:left w:val="nil"/>
              <w:bottom w:val="single" w:color="auto" w:sz="8" w:space="0"/>
              <w:right w:val="single" w:color="auto" w:sz="8" w:space="0"/>
            </w:tcBorders>
            <w:shd w:val="clear" w:color="000000" w:fill="FFFFFF"/>
            <w:vAlign w:val="center"/>
          </w:tcPr>
          <w:p w14:paraId="4124B131">
            <w:pPr>
              <w:widowControl/>
              <w:adjustRightInd/>
              <w:jc w:val="center"/>
              <w:rPr>
                <w:rFonts w:ascii="宋体" w:hAnsi="宋体" w:cs="宋体"/>
                <w:kern w:val="0"/>
                <w:sz w:val="24"/>
                <w:highlight w:val="none"/>
              </w:rPr>
            </w:pPr>
            <w:r>
              <w:rPr>
                <w:rFonts w:hint="eastAsia" w:ascii="宋体" w:hAnsi="宋体" w:cs="宋体"/>
                <w:kern w:val="0"/>
                <w:sz w:val="24"/>
                <w:highlight w:val="none"/>
              </w:rPr>
              <w:t>▲内存数量</w:t>
            </w:r>
          </w:p>
        </w:tc>
        <w:tc>
          <w:tcPr>
            <w:tcW w:w="5120" w:type="dxa"/>
            <w:tcBorders>
              <w:top w:val="single" w:color="auto" w:sz="8" w:space="0"/>
              <w:left w:val="nil"/>
              <w:bottom w:val="single" w:color="auto" w:sz="8" w:space="0"/>
              <w:right w:val="single" w:color="auto" w:sz="8" w:space="0"/>
            </w:tcBorders>
            <w:shd w:val="clear" w:color="000000" w:fill="FFFFFF"/>
            <w:vAlign w:val="center"/>
          </w:tcPr>
          <w:p w14:paraId="6BCFAAE8">
            <w:pPr>
              <w:widowControl/>
              <w:adjustRightInd/>
              <w:rPr>
                <w:rFonts w:ascii="宋体" w:hAnsi="宋体" w:cs="宋体"/>
                <w:kern w:val="0"/>
                <w:sz w:val="24"/>
                <w:highlight w:val="none"/>
              </w:rPr>
            </w:pPr>
            <w:r>
              <w:rPr>
                <w:rFonts w:hint="eastAsia" w:ascii="宋体" w:hAnsi="宋体" w:cs="宋体"/>
                <w:kern w:val="0"/>
                <w:sz w:val="24"/>
                <w:highlight w:val="none"/>
              </w:rPr>
              <w:t>内存数量≥</w:t>
            </w:r>
            <w:r>
              <w:rPr>
                <w:rFonts w:ascii="宋体" w:hAnsi="宋体" w:cs="宋体"/>
                <w:kern w:val="0"/>
                <w:sz w:val="24"/>
                <w:highlight w:val="none"/>
              </w:rPr>
              <w:t>4</w:t>
            </w:r>
          </w:p>
        </w:tc>
      </w:tr>
      <w:tr w14:paraId="4DF5662A">
        <w:tblPrEx>
          <w:tblCellMar>
            <w:top w:w="0" w:type="dxa"/>
            <w:left w:w="108" w:type="dxa"/>
            <w:bottom w:w="0" w:type="dxa"/>
            <w:right w:w="108" w:type="dxa"/>
          </w:tblCellMar>
        </w:tblPrEx>
        <w:trPr>
          <w:trHeight w:val="624" w:hRule="atLeast"/>
        </w:trPr>
        <w:tc>
          <w:tcPr>
            <w:tcW w:w="980" w:type="dxa"/>
            <w:tcBorders>
              <w:top w:val="nil"/>
              <w:left w:val="single" w:color="auto" w:sz="8" w:space="0"/>
              <w:bottom w:val="single" w:color="auto" w:sz="8" w:space="0"/>
              <w:right w:val="single" w:color="auto" w:sz="8" w:space="0"/>
            </w:tcBorders>
            <w:vAlign w:val="center"/>
          </w:tcPr>
          <w:p w14:paraId="643B9AEC">
            <w:pPr>
              <w:widowControl/>
              <w:adjustRightInd/>
              <w:jc w:val="center"/>
              <w:rPr>
                <w:rFonts w:ascii="宋体" w:hAnsi="宋体" w:cs="宋体"/>
                <w:kern w:val="0"/>
                <w:sz w:val="24"/>
                <w:highlight w:val="none"/>
              </w:rPr>
            </w:pPr>
            <w:r>
              <w:rPr>
                <w:rFonts w:ascii="宋体" w:hAnsi="宋体" w:cs="宋体"/>
                <w:kern w:val="0"/>
                <w:sz w:val="24"/>
                <w:highlight w:val="none"/>
              </w:rPr>
              <w:t>8</w:t>
            </w:r>
          </w:p>
        </w:tc>
        <w:tc>
          <w:tcPr>
            <w:tcW w:w="980" w:type="dxa"/>
            <w:vMerge w:val="continue"/>
            <w:tcBorders>
              <w:top w:val="nil"/>
              <w:left w:val="single" w:color="auto" w:sz="8" w:space="0"/>
              <w:bottom w:val="single" w:color="000000" w:sz="8" w:space="0"/>
              <w:right w:val="single" w:color="auto" w:sz="8" w:space="0"/>
            </w:tcBorders>
            <w:vAlign w:val="center"/>
          </w:tcPr>
          <w:p w14:paraId="30CD3BB1">
            <w:pPr>
              <w:widowControl/>
              <w:adjustRightInd/>
              <w:jc w:val="left"/>
              <w:rPr>
                <w:rFonts w:ascii="宋体" w:hAnsi="宋体" w:cs="宋体"/>
                <w:kern w:val="0"/>
                <w:sz w:val="24"/>
                <w:highlight w:val="none"/>
              </w:rPr>
            </w:pPr>
          </w:p>
        </w:tc>
        <w:tc>
          <w:tcPr>
            <w:tcW w:w="1020" w:type="dxa"/>
            <w:tcBorders>
              <w:top w:val="nil"/>
              <w:left w:val="nil"/>
              <w:bottom w:val="single" w:color="auto" w:sz="8" w:space="0"/>
              <w:right w:val="single" w:color="auto" w:sz="8" w:space="0"/>
            </w:tcBorders>
            <w:vAlign w:val="center"/>
          </w:tcPr>
          <w:p w14:paraId="2B605C2A">
            <w:pPr>
              <w:widowControl/>
              <w:adjustRightInd/>
              <w:jc w:val="center"/>
              <w:rPr>
                <w:rFonts w:ascii="宋体" w:hAnsi="宋体" w:cs="宋体"/>
                <w:kern w:val="0"/>
                <w:sz w:val="24"/>
                <w:highlight w:val="none"/>
              </w:rPr>
            </w:pPr>
            <w:r>
              <w:rPr>
                <w:rFonts w:hint="eastAsia" w:ascii="宋体" w:hAnsi="宋体" w:cs="宋体"/>
                <w:kern w:val="0"/>
                <w:sz w:val="24"/>
                <w:highlight w:val="none"/>
              </w:rPr>
              <w:t>▲内存规格</w:t>
            </w:r>
          </w:p>
        </w:tc>
        <w:tc>
          <w:tcPr>
            <w:tcW w:w="5120" w:type="dxa"/>
            <w:tcBorders>
              <w:top w:val="nil"/>
              <w:left w:val="nil"/>
              <w:bottom w:val="single" w:color="auto" w:sz="8" w:space="0"/>
              <w:right w:val="single" w:color="auto" w:sz="8" w:space="0"/>
            </w:tcBorders>
            <w:vAlign w:val="center"/>
          </w:tcPr>
          <w:p w14:paraId="3D19ED33">
            <w:pPr>
              <w:widowControl/>
              <w:adjustRightInd/>
              <w:rPr>
                <w:rFonts w:ascii="宋体" w:hAnsi="宋体" w:cs="宋体"/>
                <w:kern w:val="0"/>
                <w:sz w:val="24"/>
                <w:highlight w:val="none"/>
              </w:rPr>
            </w:pPr>
            <w:r>
              <w:rPr>
                <w:rFonts w:hint="eastAsia" w:ascii="宋体" w:hAnsi="宋体" w:cs="宋体"/>
                <w:kern w:val="0"/>
                <w:sz w:val="24"/>
                <w:highlight w:val="none"/>
              </w:rPr>
              <w:t>实配≥</w:t>
            </w:r>
            <w:r>
              <w:rPr>
                <w:rFonts w:ascii="宋体" w:hAnsi="宋体" w:cs="宋体"/>
                <w:kern w:val="0"/>
                <w:sz w:val="24"/>
                <w:highlight w:val="none"/>
              </w:rPr>
              <w:t>64GB DDR4</w:t>
            </w:r>
          </w:p>
        </w:tc>
      </w:tr>
      <w:tr w14:paraId="2FC97E1A">
        <w:tblPrEx>
          <w:tblCellMar>
            <w:top w:w="0" w:type="dxa"/>
            <w:left w:w="108" w:type="dxa"/>
            <w:bottom w:w="0" w:type="dxa"/>
            <w:right w:w="108" w:type="dxa"/>
          </w:tblCellMar>
        </w:tblPrEx>
        <w:trPr>
          <w:trHeight w:val="624" w:hRule="atLeast"/>
        </w:trPr>
        <w:tc>
          <w:tcPr>
            <w:tcW w:w="980" w:type="dxa"/>
            <w:tcBorders>
              <w:top w:val="nil"/>
              <w:left w:val="single" w:color="auto" w:sz="8" w:space="0"/>
              <w:bottom w:val="single" w:color="auto" w:sz="8" w:space="0"/>
              <w:right w:val="single" w:color="auto" w:sz="8" w:space="0"/>
            </w:tcBorders>
            <w:vAlign w:val="center"/>
          </w:tcPr>
          <w:p w14:paraId="736A59F8">
            <w:pPr>
              <w:widowControl/>
              <w:adjustRightInd/>
              <w:jc w:val="center"/>
              <w:rPr>
                <w:rFonts w:ascii="宋体" w:hAnsi="宋体" w:cs="宋体"/>
                <w:kern w:val="0"/>
                <w:sz w:val="24"/>
                <w:highlight w:val="none"/>
              </w:rPr>
            </w:pPr>
            <w:r>
              <w:rPr>
                <w:rFonts w:ascii="宋体" w:hAnsi="宋体" w:cs="宋体"/>
                <w:kern w:val="0"/>
                <w:sz w:val="24"/>
                <w:highlight w:val="none"/>
              </w:rPr>
              <w:t>9</w:t>
            </w:r>
          </w:p>
        </w:tc>
        <w:tc>
          <w:tcPr>
            <w:tcW w:w="980" w:type="dxa"/>
            <w:vMerge w:val="continue"/>
            <w:tcBorders>
              <w:top w:val="nil"/>
              <w:left w:val="single" w:color="auto" w:sz="8" w:space="0"/>
              <w:bottom w:val="single" w:color="000000" w:sz="8" w:space="0"/>
              <w:right w:val="single" w:color="auto" w:sz="8" w:space="0"/>
            </w:tcBorders>
            <w:vAlign w:val="center"/>
          </w:tcPr>
          <w:p w14:paraId="584E90CC">
            <w:pPr>
              <w:widowControl/>
              <w:adjustRightInd/>
              <w:jc w:val="left"/>
              <w:rPr>
                <w:rFonts w:ascii="宋体" w:hAnsi="宋体" w:cs="宋体"/>
                <w:kern w:val="0"/>
                <w:sz w:val="24"/>
                <w:highlight w:val="none"/>
              </w:rPr>
            </w:pPr>
          </w:p>
        </w:tc>
        <w:tc>
          <w:tcPr>
            <w:tcW w:w="1020" w:type="dxa"/>
            <w:tcBorders>
              <w:top w:val="nil"/>
              <w:left w:val="nil"/>
              <w:bottom w:val="single" w:color="auto" w:sz="8" w:space="0"/>
              <w:right w:val="single" w:color="auto" w:sz="8" w:space="0"/>
            </w:tcBorders>
            <w:vAlign w:val="center"/>
          </w:tcPr>
          <w:p w14:paraId="15C65C9B">
            <w:pPr>
              <w:widowControl/>
              <w:adjustRightInd/>
              <w:jc w:val="center"/>
              <w:rPr>
                <w:rFonts w:ascii="宋体" w:hAnsi="宋体" w:cs="宋体"/>
                <w:kern w:val="0"/>
                <w:sz w:val="24"/>
                <w:highlight w:val="none"/>
              </w:rPr>
            </w:pPr>
            <w:r>
              <w:rPr>
                <w:rFonts w:hint="eastAsia" w:ascii="宋体" w:hAnsi="宋体" w:cs="宋体"/>
                <w:kern w:val="0"/>
                <w:sz w:val="24"/>
                <w:highlight w:val="none"/>
              </w:rPr>
              <w:t>▲内存通道</w:t>
            </w:r>
          </w:p>
        </w:tc>
        <w:tc>
          <w:tcPr>
            <w:tcW w:w="5120" w:type="dxa"/>
            <w:tcBorders>
              <w:top w:val="nil"/>
              <w:left w:val="nil"/>
              <w:bottom w:val="single" w:color="auto" w:sz="8" w:space="0"/>
              <w:right w:val="single" w:color="auto" w:sz="8" w:space="0"/>
            </w:tcBorders>
            <w:vAlign w:val="center"/>
          </w:tcPr>
          <w:p w14:paraId="0EF09466">
            <w:pPr>
              <w:widowControl/>
              <w:adjustRightInd/>
              <w:rPr>
                <w:rFonts w:ascii="宋体" w:hAnsi="宋体" w:cs="宋体"/>
                <w:kern w:val="0"/>
                <w:sz w:val="24"/>
                <w:highlight w:val="none"/>
              </w:rPr>
            </w:pPr>
            <w:r>
              <w:rPr>
                <w:rFonts w:hint="eastAsia" w:ascii="宋体" w:hAnsi="宋体" w:cs="宋体"/>
                <w:kern w:val="0"/>
                <w:sz w:val="24"/>
                <w:highlight w:val="none"/>
              </w:rPr>
              <w:t>支持≥</w:t>
            </w:r>
            <w:r>
              <w:rPr>
                <w:rFonts w:ascii="宋体" w:hAnsi="宋体" w:cs="宋体"/>
                <w:kern w:val="0"/>
                <w:sz w:val="24"/>
                <w:highlight w:val="none"/>
              </w:rPr>
              <w:t>4个内存接口通道</w:t>
            </w:r>
          </w:p>
        </w:tc>
      </w:tr>
      <w:tr w14:paraId="674E80DB">
        <w:tblPrEx>
          <w:tblCellMar>
            <w:top w:w="0" w:type="dxa"/>
            <w:left w:w="108" w:type="dxa"/>
            <w:bottom w:w="0" w:type="dxa"/>
            <w:right w:w="108" w:type="dxa"/>
          </w:tblCellMar>
        </w:tblPrEx>
        <w:trPr>
          <w:trHeight w:val="936" w:hRule="atLeast"/>
        </w:trPr>
        <w:tc>
          <w:tcPr>
            <w:tcW w:w="980" w:type="dxa"/>
            <w:tcBorders>
              <w:top w:val="nil"/>
              <w:left w:val="single" w:color="auto" w:sz="8" w:space="0"/>
              <w:bottom w:val="single" w:color="auto" w:sz="8" w:space="0"/>
              <w:right w:val="single" w:color="auto" w:sz="8" w:space="0"/>
            </w:tcBorders>
            <w:vAlign w:val="center"/>
          </w:tcPr>
          <w:p w14:paraId="2C766822">
            <w:pPr>
              <w:widowControl/>
              <w:adjustRightInd/>
              <w:jc w:val="center"/>
              <w:rPr>
                <w:rFonts w:ascii="宋体" w:hAnsi="宋体" w:cs="宋体"/>
                <w:kern w:val="0"/>
                <w:sz w:val="24"/>
                <w:highlight w:val="none"/>
              </w:rPr>
            </w:pPr>
            <w:r>
              <w:rPr>
                <w:rFonts w:ascii="宋体" w:hAnsi="宋体" w:cs="宋体"/>
                <w:kern w:val="0"/>
                <w:sz w:val="24"/>
                <w:highlight w:val="none"/>
              </w:rPr>
              <w:t>10</w:t>
            </w:r>
          </w:p>
        </w:tc>
        <w:tc>
          <w:tcPr>
            <w:tcW w:w="980" w:type="dxa"/>
            <w:vMerge w:val="restart"/>
            <w:tcBorders>
              <w:top w:val="nil"/>
              <w:left w:val="single" w:color="auto" w:sz="8" w:space="0"/>
              <w:bottom w:val="single" w:color="000000" w:sz="8" w:space="0"/>
              <w:right w:val="single" w:color="auto" w:sz="8" w:space="0"/>
            </w:tcBorders>
            <w:vAlign w:val="center"/>
          </w:tcPr>
          <w:p w14:paraId="3BE6A971">
            <w:pPr>
              <w:widowControl/>
              <w:adjustRightInd/>
              <w:jc w:val="center"/>
              <w:rPr>
                <w:rFonts w:ascii="宋体" w:hAnsi="宋体" w:cs="宋体"/>
                <w:kern w:val="0"/>
                <w:sz w:val="24"/>
                <w:highlight w:val="none"/>
              </w:rPr>
            </w:pPr>
            <w:r>
              <w:rPr>
                <w:rFonts w:hint="eastAsia" w:ascii="宋体" w:hAnsi="宋体" w:cs="宋体"/>
                <w:kern w:val="0"/>
                <w:sz w:val="24"/>
                <w:highlight w:val="none"/>
              </w:rPr>
              <w:t>▲存储规格</w:t>
            </w:r>
          </w:p>
        </w:tc>
        <w:tc>
          <w:tcPr>
            <w:tcW w:w="1020" w:type="dxa"/>
            <w:tcBorders>
              <w:top w:val="nil"/>
              <w:left w:val="nil"/>
              <w:bottom w:val="single" w:color="auto" w:sz="8" w:space="0"/>
              <w:right w:val="single" w:color="auto" w:sz="8" w:space="0"/>
            </w:tcBorders>
            <w:vAlign w:val="center"/>
          </w:tcPr>
          <w:p w14:paraId="0C513AE5">
            <w:pPr>
              <w:widowControl/>
              <w:adjustRightInd/>
              <w:jc w:val="center"/>
              <w:rPr>
                <w:rFonts w:ascii="宋体" w:hAnsi="宋体" w:cs="宋体"/>
                <w:kern w:val="0"/>
                <w:sz w:val="24"/>
                <w:highlight w:val="none"/>
              </w:rPr>
            </w:pPr>
            <w:r>
              <w:rPr>
                <w:rFonts w:hint="eastAsia" w:ascii="宋体" w:hAnsi="宋体" w:cs="宋体"/>
                <w:kern w:val="0"/>
                <w:sz w:val="24"/>
                <w:highlight w:val="none"/>
              </w:rPr>
              <w:t>▲硬磁盘实配容量</w:t>
            </w:r>
          </w:p>
        </w:tc>
        <w:tc>
          <w:tcPr>
            <w:tcW w:w="5120" w:type="dxa"/>
            <w:tcBorders>
              <w:top w:val="nil"/>
              <w:left w:val="nil"/>
              <w:bottom w:val="single" w:color="auto" w:sz="8" w:space="0"/>
              <w:right w:val="single" w:color="auto" w:sz="8" w:space="0"/>
            </w:tcBorders>
            <w:vAlign w:val="center"/>
          </w:tcPr>
          <w:p w14:paraId="0B4B7976">
            <w:pPr>
              <w:widowControl/>
              <w:adjustRightInd/>
              <w:rPr>
                <w:rFonts w:ascii="宋体" w:hAnsi="宋体" w:cs="宋体"/>
                <w:kern w:val="0"/>
                <w:sz w:val="24"/>
                <w:highlight w:val="none"/>
              </w:rPr>
            </w:pPr>
            <w:r>
              <w:rPr>
                <w:rFonts w:hint="eastAsia" w:ascii="宋体" w:hAnsi="宋体" w:cs="宋体"/>
                <w:kern w:val="0"/>
                <w:sz w:val="24"/>
                <w:highlight w:val="none"/>
              </w:rPr>
              <w:t>实配硬磁盘≥</w:t>
            </w:r>
            <w:r>
              <w:rPr>
                <w:rFonts w:ascii="宋体" w:hAnsi="宋体" w:cs="宋体"/>
                <w:kern w:val="0"/>
                <w:sz w:val="24"/>
                <w:highlight w:val="none"/>
              </w:rPr>
              <w:t>2.4T，实配固态盘≥1.92T；</w:t>
            </w:r>
          </w:p>
        </w:tc>
      </w:tr>
      <w:tr w14:paraId="1D86AABF">
        <w:tblPrEx>
          <w:tblCellMar>
            <w:top w:w="0" w:type="dxa"/>
            <w:left w:w="108" w:type="dxa"/>
            <w:bottom w:w="0" w:type="dxa"/>
            <w:right w:w="108" w:type="dxa"/>
          </w:tblCellMar>
        </w:tblPrEx>
        <w:trPr>
          <w:trHeight w:val="936" w:hRule="atLeast"/>
        </w:trPr>
        <w:tc>
          <w:tcPr>
            <w:tcW w:w="980" w:type="dxa"/>
            <w:tcBorders>
              <w:top w:val="nil"/>
              <w:left w:val="single" w:color="auto" w:sz="8" w:space="0"/>
              <w:bottom w:val="single" w:color="auto" w:sz="8" w:space="0"/>
              <w:right w:val="single" w:color="auto" w:sz="8" w:space="0"/>
            </w:tcBorders>
            <w:vAlign w:val="center"/>
          </w:tcPr>
          <w:p w14:paraId="6EF71B24">
            <w:pPr>
              <w:widowControl/>
              <w:adjustRightInd/>
              <w:jc w:val="center"/>
              <w:rPr>
                <w:rFonts w:ascii="宋体" w:hAnsi="宋体" w:cs="宋体"/>
                <w:kern w:val="0"/>
                <w:sz w:val="24"/>
                <w:highlight w:val="none"/>
              </w:rPr>
            </w:pPr>
            <w:r>
              <w:rPr>
                <w:rFonts w:ascii="宋体" w:hAnsi="宋体" w:cs="宋体"/>
                <w:kern w:val="0"/>
                <w:sz w:val="24"/>
                <w:highlight w:val="none"/>
              </w:rPr>
              <w:t>11</w:t>
            </w:r>
          </w:p>
        </w:tc>
        <w:tc>
          <w:tcPr>
            <w:tcW w:w="980" w:type="dxa"/>
            <w:vMerge w:val="continue"/>
            <w:tcBorders>
              <w:top w:val="nil"/>
              <w:left w:val="single" w:color="auto" w:sz="8" w:space="0"/>
              <w:bottom w:val="single" w:color="000000" w:sz="8" w:space="0"/>
              <w:right w:val="single" w:color="auto" w:sz="8" w:space="0"/>
            </w:tcBorders>
            <w:vAlign w:val="center"/>
          </w:tcPr>
          <w:p w14:paraId="6F149FF5">
            <w:pPr>
              <w:widowControl/>
              <w:adjustRightInd/>
              <w:jc w:val="left"/>
              <w:rPr>
                <w:rFonts w:ascii="宋体" w:hAnsi="宋体" w:cs="宋体"/>
                <w:kern w:val="0"/>
                <w:sz w:val="24"/>
                <w:highlight w:val="none"/>
              </w:rPr>
            </w:pPr>
          </w:p>
        </w:tc>
        <w:tc>
          <w:tcPr>
            <w:tcW w:w="1020" w:type="dxa"/>
            <w:tcBorders>
              <w:top w:val="nil"/>
              <w:left w:val="nil"/>
              <w:bottom w:val="single" w:color="auto" w:sz="8" w:space="0"/>
              <w:right w:val="single" w:color="auto" w:sz="8" w:space="0"/>
            </w:tcBorders>
            <w:vAlign w:val="center"/>
          </w:tcPr>
          <w:p w14:paraId="3C1E7CB7">
            <w:pPr>
              <w:widowControl/>
              <w:adjustRightInd/>
              <w:jc w:val="center"/>
              <w:rPr>
                <w:rFonts w:ascii="宋体" w:hAnsi="宋体" w:cs="宋体"/>
                <w:kern w:val="0"/>
                <w:sz w:val="24"/>
                <w:highlight w:val="none"/>
              </w:rPr>
            </w:pPr>
            <w:r>
              <w:rPr>
                <w:rFonts w:hint="eastAsia" w:ascii="宋体" w:hAnsi="宋体" w:cs="宋体"/>
                <w:kern w:val="0"/>
                <w:sz w:val="24"/>
                <w:highlight w:val="none"/>
              </w:rPr>
              <w:t>▲硬盘实配数量</w:t>
            </w:r>
          </w:p>
        </w:tc>
        <w:tc>
          <w:tcPr>
            <w:tcW w:w="5120" w:type="dxa"/>
            <w:tcBorders>
              <w:top w:val="nil"/>
              <w:left w:val="nil"/>
              <w:bottom w:val="single" w:color="auto" w:sz="8" w:space="0"/>
              <w:right w:val="single" w:color="auto" w:sz="8" w:space="0"/>
            </w:tcBorders>
            <w:vAlign w:val="center"/>
          </w:tcPr>
          <w:p w14:paraId="1C083F1D">
            <w:pPr>
              <w:widowControl/>
              <w:adjustRightInd/>
              <w:rPr>
                <w:rFonts w:ascii="宋体" w:hAnsi="宋体" w:cs="宋体"/>
                <w:kern w:val="0"/>
                <w:sz w:val="24"/>
                <w:highlight w:val="none"/>
              </w:rPr>
            </w:pPr>
            <w:r>
              <w:rPr>
                <w:rFonts w:hint="eastAsia" w:ascii="宋体" w:hAnsi="宋体" w:cs="宋体"/>
                <w:kern w:val="0"/>
                <w:sz w:val="24"/>
                <w:highlight w:val="none"/>
              </w:rPr>
              <w:t>实配硬磁盘≥</w:t>
            </w:r>
            <w:r>
              <w:rPr>
                <w:rFonts w:ascii="宋体" w:hAnsi="宋体" w:cs="宋体"/>
                <w:kern w:val="0"/>
                <w:sz w:val="24"/>
                <w:highlight w:val="none"/>
              </w:rPr>
              <w:t>4块600G 2.5寸 10K 12Gb SAS硬盘，实配固态盘≥2块960G 2.5寸 SATA 6Gb R SSD；</w:t>
            </w:r>
          </w:p>
        </w:tc>
      </w:tr>
      <w:tr w14:paraId="70FD7AE6">
        <w:tblPrEx>
          <w:tblCellMar>
            <w:top w:w="0" w:type="dxa"/>
            <w:left w:w="108" w:type="dxa"/>
            <w:bottom w:w="0" w:type="dxa"/>
            <w:right w:w="108" w:type="dxa"/>
          </w:tblCellMar>
        </w:tblPrEx>
        <w:trPr>
          <w:trHeight w:val="312" w:hRule="atLeast"/>
        </w:trPr>
        <w:tc>
          <w:tcPr>
            <w:tcW w:w="980" w:type="dxa"/>
            <w:vMerge w:val="restart"/>
            <w:tcBorders>
              <w:top w:val="nil"/>
              <w:left w:val="single" w:color="auto" w:sz="8" w:space="0"/>
              <w:bottom w:val="single" w:color="000000" w:sz="8" w:space="0"/>
              <w:right w:val="single" w:color="auto" w:sz="8" w:space="0"/>
            </w:tcBorders>
            <w:vAlign w:val="center"/>
          </w:tcPr>
          <w:p w14:paraId="5B73D619">
            <w:pPr>
              <w:widowControl/>
              <w:adjustRightInd/>
              <w:jc w:val="center"/>
              <w:rPr>
                <w:rFonts w:ascii="宋体" w:hAnsi="宋体" w:cs="宋体"/>
                <w:kern w:val="0"/>
                <w:sz w:val="24"/>
                <w:highlight w:val="none"/>
              </w:rPr>
            </w:pPr>
            <w:r>
              <w:rPr>
                <w:rFonts w:ascii="宋体" w:hAnsi="宋体" w:cs="宋体"/>
                <w:kern w:val="0"/>
                <w:sz w:val="24"/>
                <w:highlight w:val="none"/>
              </w:rPr>
              <w:t>12</w:t>
            </w:r>
          </w:p>
        </w:tc>
        <w:tc>
          <w:tcPr>
            <w:tcW w:w="980" w:type="dxa"/>
            <w:vMerge w:val="continue"/>
            <w:tcBorders>
              <w:top w:val="nil"/>
              <w:left w:val="single" w:color="auto" w:sz="8" w:space="0"/>
              <w:bottom w:val="single" w:color="000000" w:sz="8" w:space="0"/>
              <w:right w:val="single" w:color="auto" w:sz="8" w:space="0"/>
            </w:tcBorders>
            <w:vAlign w:val="center"/>
          </w:tcPr>
          <w:p w14:paraId="7B1B791A">
            <w:pPr>
              <w:widowControl/>
              <w:adjustRightInd/>
              <w:jc w:val="left"/>
              <w:rPr>
                <w:rFonts w:ascii="宋体" w:hAnsi="宋体" w:cs="宋体"/>
                <w:kern w:val="0"/>
                <w:sz w:val="24"/>
                <w:highlight w:val="none"/>
              </w:rPr>
            </w:pPr>
          </w:p>
        </w:tc>
        <w:tc>
          <w:tcPr>
            <w:tcW w:w="1020" w:type="dxa"/>
            <w:vMerge w:val="restart"/>
            <w:tcBorders>
              <w:top w:val="nil"/>
              <w:left w:val="single" w:color="auto" w:sz="8" w:space="0"/>
              <w:bottom w:val="single" w:color="000000" w:sz="8" w:space="0"/>
              <w:right w:val="single" w:color="auto" w:sz="8" w:space="0"/>
            </w:tcBorders>
            <w:vAlign w:val="center"/>
          </w:tcPr>
          <w:p w14:paraId="6DCB6B44">
            <w:pPr>
              <w:widowControl/>
              <w:adjustRightInd/>
              <w:jc w:val="center"/>
              <w:rPr>
                <w:rFonts w:ascii="宋体" w:hAnsi="宋体" w:cs="宋体"/>
                <w:kern w:val="0"/>
                <w:sz w:val="24"/>
                <w:highlight w:val="none"/>
              </w:rPr>
            </w:pPr>
            <w:r>
              <w:rPr>
                <w:rFonts w:hint="eastAsia" w:ascii="宋体" w:hAnsi="宋体" w:cs="宋体"/>
                <w:kern w:val="0"/>
                <w:sz w:val="24"/>
                <w:highlight w:val="none"/>
              </w:rPr>
              <w:t>▲硬盘插槽数量及规格</w:t>
            </w:r>
          </w:p>
        </w:tc>
        <w:tc>
          <w:tcPr>
            <w:tcW w:w="5120" w:type="dxa"/>
            <w:tcBorders>
              <w:top w:val="nil"/>
              <w:left w:val="nil"/>
              <w:bottom w:val="single" w:color="auto" w:sz="8" w:space="0"/>
              <w:right w:val="single" w:color="auto" w:sz="8" w:space="0"/>
            </w:tcBorders>
            <w:vAlign w:val="center"/>
          </w:tcPr>
          <w:p w14:paraId="46CB5CA4">
            <w:pPr>
              <w:widowControl/>
              <w:adjustRightInd/>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1）最高支持≥12个SATA/SAS/NVME 3.5寸/2.5寸硬盘</w:t>
            </w:r>
          </w:p>
        </w:tc>
      </w:tr>
      <w:tr w14:paraId="750FDDCB">
        <w:tblPrEx>
          <w:tblCellMar>
            <w:top w:w="0" w:type="dxa"/>
            <w:left w:w="108" w:type="dxa"/>
            <w:bottom w:w="0" w:type="dxa"/>
            <w:right w:w="108" w:type="dxa"/>
          </w:tblCellMar>
        </w:tblPrEx>
        <w:trPr>
          <w:trHeight w:val="312" w:hRule="atLeast"/>
        </w:trPr>
        <w:tc>
          <w:tcPr>
            <w:tcW w:w="980" w:type="dxa"/>
            <w:vMerge w:val="continue"/>
            <w:tcBorders>
              <w:top w:val="nil"/>
              <w:left w:val="single" w:color="auto" w:sz="8" w:space="0"/>
              <w:bottom w:val="single" w:color="000000" w:sz="8" w:space="0"/>
              <w:right w:val="single" w:color="auto" w:sz="8" w:space="0"/>
            </w:tcBorders>
            <w:vAlign w:val="center"/>
          </w:tcPr>
          <w:p w14:paraId="7F0AD392">
            <w:pPr>
              <w:widowControl/>
              <w:adjustRightInd/>
              <w:jc w:val="left"/>
              <w:rPr>
                <w:rFonts w:ascii="宋体" w:hAnsi="宋体" w:cs="宋体"/>
                <w:kern w:val="0"/>
                <w:sz w:val="24"/>
                <w:highlight w:val="none"/>
              </w:rPr>
            </w:pPr>
          </w:p>
        </w:tc>
        <w:tc>
          <w:tcPr>
            <w:tcW w:w="980" w:type="dxa"/>
            <w:vMerge w:val="continue"/>
            <w:tcBorders>
              <w:top w:val="nil"/>
              <w:left w:val="single" w:color="auto" w:sz="8" w:space="0"/>
              <w:bottom w:val="single" w:color="000000" w:sz="8" w:space="0"/>
              <w:right w:val="single" w:color="auto" w:sz="8" w:space="0"/>
            </w:tcBorders>
            <w:vAlign w:val="center"/>
          </w:tcPr>
          <w:p w14:paraId="242565E0">
            <w:pPr>
              <w:widowControl/>
              <w:adjustRightInd/>
              <w:jc w:val="left"/>
              <w:rPr>
                <w:rFonts w:ascii="宋体" w:hAnsi="宋体" w:cs="宋体"/>
                <w:kern w:val="0"/>
                <w:sz w:val="24"/>
                <w:highlight w:val="none"/>
              </w:rPr>
            </w:pPr>
          </w:p>
        </w:tc>
        <w:tc>
          <w:tcPr>
            <w:tcW w:w="1020" w:type="dxa"/>
            <w:vMerge w:val="continue"/>
            <w:tcBorders>
              <w:top w:val="nil"/>
              <w:left w:val="single" w:color="auto" w:sz="8" w:space="0"/>
              <w:bottom w:val="single" w:color="000000" w:sz="8" w:space="0"/>
              <w:right w:val="single" w:color="auto" w:sz="8" w:space="0"/>
            </w:tcBorders>
            <w:vAlign w:val="center"/>
          </w:tcPr>
          <w:p w14:paraId="63D3689C">
            <w:pPr>
              <w:widowControl/>
              <w:adjustRightInd/>
              <w:jc w:val="left"/>
              <w:rPr>
                <w:rFonts w:ascii="宋体" w:hAnsi="宋体" w:cs="宋体"/>
                <w:kern w:val="0"/>
                <w:sz w:val="24"/>
                <w:highlight w:val="none"/>
              </w:rPr>
            </w:pPr>
          </w:p>
        </w:tc>
        <w:tc>
          <w:tcPr>
            <w:tcW w:w="5120" w:type="dxa"/>
            <w:tcBorders>
              <w:top w:val="nil"/>
              <w:left w:val="nil"/>
              <w:bottom w:val="single" w:color="auto" w:sz="8" w:space="0"/>
              <w:right w:val="single" w:color="auto" w:sz="8" w:space="0"/>
            </w:tcBorders>
            <w:vAlign w:val="center"/>
          </w:tcPr>
          <w:p w14:paraId="79C25E5A">
            <w:pPr>
              <w:widowControl/>
              <w:adjustRightInd/>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2）后置可支持≥2个SATA/SAS 2.5寸硬盘/3.5寸硬盘；</w:t>
            </w:r>
          </w:p>
        </w:tc>
      </w:tr>
      <w:tr w14:paraId="477C99E9">
        <w:tblPrEx>
          <w:tblCellMar>
            <w:top w:w="0" w:type="dxa"/>
            <w:left w:w="108" w:type="dxa"/>
            <w:bottom w:w="0" w:type="dxa"/>
            <w:right w:w="108" w:type="dxa"/>
          </w:tblCellMar>
        </w:tblPrEx>
        <w:trPr>
          <w:trHeight w:val="936" w:hRule="atLeast"/>
        </w:trPr>
        <w:tc>
          <w:tcPr>
            <w:tcW w:w="980" w:type="dxa"/>
            <w:tcBorders>
              <w:top w:val="nil"/>
              <w:left w:val="single" w:color="auto" w:sz="8" w:space="0"/>
              <w:bottom w:val="single" w:color="auto" w:sz="8" w:space="0"/>
              <w:right w:val="single" w:color="auto" w:sz="8" w:space="0"/>
            </w:tcBorders>
            <w:vAlign w:val="center"/>
          </w:tcPr>
          <w:p w14:paraId="6241DBCC">
            <w:pPr>
              <w:widowControl/>
              <w:adjustRightInd/>
              <w:jc w:val="center"/>
              <w:rPr>
                <w:rFonts w:ascii="宋体" w:hAnsi="宋体" w:cs="宋体"/>
                <w:kern w:val="0"/>
                <w:sz w:val="24"/>
                <w:highlight w:val="none"/>
              </w:rPr>
            </w:pPr>
            <w:r>
              <w:rPr>
                <w:rFonts w:ascii="宋体" w:hAnsi="宋体" w:cs="宋体"/>
                <w:kern w:val="0"/>
                <w:sz w:val="24"/>
                <w:highlight w:val="none"/>
              </w:rPr>
              <w:t>13</w:t>
            </w:r>
          </w:p>
        </w:tc>
        <w:tc>
          <w:tcPr>
            <w:tcW w:w="980" w:type="dxa"/>
            <w:tcBorders>
              <w:top w:val="nil"/>
              <w:left w:val="nil"/>
              <w:bottom w:val="single" w:color="auto" w:sz="8" w:space="0"/>
              <w:right w:val="single" w:color="auto" w:sz="8" w:space="0"/>
            </w:tcBorders>
            <w:vAlign w:val="center"/>
          </w:tcPr>
          <w:p w14:paraId="62A4F2C4">
            <w:pPr>
              <w:widowControl/>
              <w:adjustRightInd/>
              <w:jc w:val="center"/>
              <w:rPr>
                <w:rFonts w:ascii="宋体" w:hAnsi="宋体" w:cs="宋体"/>
                <w:kern w:val="0"/>
                <w:sz w:val="24"/>
                <w:highlight w:val="none"/>
              </w:rPr>
            </w:pPr>
            <w:r>
              <w:rPr>
                <w:rFonts w:hint="eastAsia" w:ascii="宋体" w:hAnsi="宋体" w:cs="宋体"/>
                <w:kern w:val="0"/>
                <w:sz w:val="24"/>
                <w:highlight w:val="none"/>
              </w:rPr>
              <w:t>▲网络规格</w:t>
            </w:r>
          </w:p>
        </w:tc>
        <w:tc>
          <w:tcPr>
            <w:tcW w:w="1020" w:type="dxa"/>
            <w:tcBorders>
              <w:top w:val="nil"/>
              <w:left w:val="nil"/>
              <w:bottom w:val="single" w:color="auto" w:sz="8" w:space="0"/>
              <w:right w:val="single" w:color="auto" w:sz="8" w:space="0"/>
            </w:tcBorders>
            <w:vAlign w:val="center"/>
          </w:tcPr>
          <w:p w14:paraId="79DC5926">
            <w:pPr>
              <w:widowControl/>
              <w:adjustRightInd/>
              <w:jc w:val="center"/>
              <w:rPr>
                <w:rFonts w:ascii="宋体" w:hAnsi="宋体" w:cs="宋体"/>
                <w:kern w:val="0"/>
                <w:sz w:val="24"/>
                <w:highlight w:val="none"/>
              </w:rPr>
            </w:pPr>
            <w:r>
              <w:rPr>
                <w:rFonts w:hint="eastAsia" w:ascii="宋体" w:hAnsi="宋体" w:cs="宋体"/>
                <w:kern w:val="0"/>
                <w:sz w:val="24"/>
                <w:highlight w:val="none"/>
              </w:rPr>
              <w:t>▲网口速率和数量</w:t>
            </w:r>
          </w:p>
        </w:tc>
        <w:tc>
          <w:tcPr>
            <w:tcW w:w="5120" w:type="dxa"/>
            <w:tcBorders>
              <w:top w:val="nil"/>
              <w:left w:val="nil"/>
              <w:bottom w:val="single" w:color="auto" w:sz="8" w:space="0"/>
              <w:right w:val="single" w:color="auto" w:sz="8" w:space="0"/>
            </w:tcBorders>
            <w:vAlign w:val="center"/>
          </w:tcPr>
          <w:p w14:paraId="3D2368E1">
            <w:pPr>
              <w:widowControl/>
              <w:adjustRightInd/>
              <w:jc w:val="left"/>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1个双口</w:t>
            </w:r>
            <w:r>
              <w:rPr>
                <w:rFonts w:hint="eastAsia" w:ascii="宋体" w:hAnsi="宋体" w:cs="宋体"/>
                <w:kern w:val="0"/>
                <w:sz w:val="24"/>
                <w:highlight w:val="none"/>
              </w:rPr>
              <w:t>万兆网卡（含模块）</w:t>
            </w:r>
          </w:p>
        </w:tc>
      </w:tr>
      <w:tr w14:paraId="040ACF0C">
        <w:tblPrEx>
          <w:tblCellMar>
            <w:top w:w="0" w:type="dxa"/>
            <w:left w:w="108" w:type="dxa"/>
            <w:bottom w:w="0" w:type="dxa"/>
            <w:right w:w="108" w:type="dxa"/>
          </w:tblCellMar>
        </w:tblPrEx>
        <w:trPr>
          <w:trHeight w:val="624" w:hRule="atLeast"/>
        </w:trPr>
        <w:tc>
          <w:tcPr>
            <w:tcW w:w="980" w:type="dxa"/>
            <w:tcBorders>
              <w:top w:val="nil"/>
              <w:left w:val="single" w:color="auto" w:sz="8" w:space="0"/>
              <w:bottom w:val="single" w:color="auto" w:sz="8" w:space="0"/>
              <w:right w:val="single" w:color="auto" w:sz="8" w:space="0"/>
            </w:tcBorders>
            <w:vAlign w:val="center"/>
          </w:tcPr>
          <w:p w14:paraId="253ED8E9">
            <w:pPr>
              <w:widowControl/>
              <w:adjustRightInd/>
              <w:jc w:val="center"/>
              <w:rPr>
                <w:rFonts w:ascii="宋体" w:hAnsi="宋体" w:cs="宋体"/>
                <w:kern w:val="0"/>
                <w:sz w:val="24"/>
                <w:highlight w:val="none"/>
              </w:rPr>
            </w:pPr>
            <w:r>
              <w:rPr>
                <w:rFonts w:ascii="宋体" w:hAnsi="宋体" w:cs="宋体"/>
                <w:kern w:val="0"/>
                <w:sz w:val="24"/>
                <w:highlight w:val="none"/>
              </w:rPr>
              <w:t>14</w:t>
            </w:r>
          </w:p>
        </w:tc>
        <w:tc>
          <w:tcPr>
            <w:tcW w:w="980" w:type="dxa"/>
            <w:vMerge w:val="restart"/>
            <w:tcBorders>
              <w:top w:val="nil"/>
              <w:left w:val="single" w:color="auto" w:sz="8" w:space="0"/>
              <w:bottom w:val="single" w:color="000000" w:sz="8" w:space="0"/>
              <w:right w:val="single" w:color="auto" w:sz="8" w:space="0"/>
            </w:tcBorders>
            <w:vAlign w:val="center"/>
          </w:tcPr>
          <w:p w14:paraId="31B968AA">
            <w:pPr>
              <w:widowControl/>
              <w:adjustRightInd/>
              <w:jc w:val="center"/>
              <w:rPr>
                <w:rFonts w:ascii="宋体" w:hAnsi="宋体" w:cs="宋体"/>
                <w:kern w:val="0"/>
                <w:sz w:val="24"/>
                <w:highlight w:val="none"/>
              </w:rPr>
            </w:pPr>
            <w:r>
              <w:rPr>
                <w:rFonts w:hint="eastAsia" w:ascii="宋体" w:hAnsi="宋体" w:cs="宋体"/>
                <w:kern w:val="0"/>
                <w:sz w:val="24"/>
                <w:highlight w:val="none"/>
              </w:rPr>
              <w:t>▲外部接口规格</w:t>
            </w:r>
          </w:p>
        </w:tc>
        <w:tc>
          <w:tcPr>
            <w:tcW w:w="1020" w:type="dxa"/>
            <w:tcBorders>
              <w:top w:val="nil"/>
              <w:left w:val="nil"/>
              <w:bottom w:val="single" w:color="auto" w:sz="8" w:space="0"/>
              <w:right w:val="single" w:color="auto" w:sz="8" w:space="0"/>
            </w:tcBorders>
            <w:vAlign w:val="center"/>
          </w:tcPr>
          <w:p w14:paraId="5ABC8497">
            <w:pPr>
              <w:widowControl/>
              <w:adjustRightInd/>
              <w:jc w:val="center"/>
              <w:rPr>
                <w:rFonts w:ascii="宋体" w:hAnsi="宋体" w:cs="宋体"/>
                <w:kern w:val="0"/>
                <w:sz w:val="24"/>
                <w:highlight w:val="none"/>
              </w:rPr>
            </w:pPr>
            <w:r>
              <w:rPr>
                <w:rFonts w:hint="eastAsia" w:ascii="宋体" w:hAnsi="宋体" w:cs="宋体"/>
                <w:kern w:val="0"/>
                <w:sz w:val="24"/>
                <w:highlight w:val="none"/>
              </w:rPr>
              <w:t>▲显示接口</w:t>
            </w:r>
          </w:p>
        </w:tc>
        <w:tc>
          <w:tcPr>
            <w:tcW w:w="5120" w:type="dxa"/>
            <w:tcBorders>
              <w:top w:val="nil"/>
              <w:left w:val="nil"/>
              <w:bottom w:val="single" w:color="auto" w:sz="8" w:space="0"/>
              <w:right w:val="single" w:color="auto" w:sz="8" w:space="0"/>
            </w:tcBorders>
            <w:vAlign w:val="center"/>
          </w:tcPr>
          <w:p w14:paraId="51F951E3">
            <w:pPr>
              <w:widowControl/>
              <w:adjustRightInd/>
              <w:jc w:val="left"/>
              <w:rPr>
                <w:rFonts w:ascii="宋体" w:hAnsi="宋体" w:cs="宋体"/>
                <w:kern w:val="0"/>
                <w:sz w:val="24"/>
                <w:highlight w:val="none"/>
              </w:rPr>
            </w:pPr>
            <w:r>
              <w:rPr>
                <w:rFonts w:hint="eastAsia" w:ascii="宋体" w:hAnsi="宋体" w:cs="宋体"/>
                <w:kern w:val="0"/>
                <w:sz w:val="24"/>
                <w:highlight w:val="none"/>
              </w:rPr>
              <w:t>配置≥</w:t>
            </w:r>
            <w:r>
              <w:rPr>
                <w:rFonts w:ascii="宋体" w:hAnsi="宋体" w:cs="宋体"/>
                <w:kern w:val="0"/>
                <w:sz w:val="24"/>
                <w:highlight w:val="none"/>
              </w:rPr>
              <w:t>1个VGA接口</w:t>
            </w:r>
          </w:p>
        </w:tc>
      </w:tr>
      <w:tr w14:paraId="5192784F">
        <w:tblPrEx>
          <w:tblCellMar>
            <w:top w:w="0" w:type="dxa"/>
            <w:left w:w="108" w:type="dxa"/>
            <w:bottom w:w="0" w:type="dxa"/>
            <w:right w:w="108" w:type="dxa"/>
          </w:tblCellMar>
        </w:tblPrEx>
        <w:trPr>
          <w:trHeight w:val="624" w:hRule="atLeast"/>
        </w:trPr>
        <w:tc>
          <w:tcPr>
            <w:tcW w:w="980" w:type="dxa"/>
            <w:tcBorders>
              <w:top w:val="nil"/>
              <w:left w:val="single" w:color="auto" w:sz="8" w:space="0"/>
              <w:bottom w:val="single" w:color="auto" w:sz="8" w:space="0"/>
              <w:right w:val="single" w:color="auto" w:sz="8" w:space="0"/>
            </w:tcBorders>
            <w:vAlign w:val="center"/>
          </w:tcPr>
          <w:p w14:paraId="2862E46C">
            <w:pPr>
              <w:widowControl/>
              <w:adjustRightInd/>
              <w:jc w:val="center"/>
              <w:rPr>
                <w:rFonts w:ascii="宋体" w:hAnsi="宋体" w:cs="宋体"/>
                <w:kern w:val="0"/>
                <w:sz w:val="24"/>
                <w:highlight w:val="none"/>
              </w:rPr>
            </w:pPr>
            <w:r>
              <w:rPr>
                <w:rFonts w:ascii="宋体" w:hAnsi="宋体" w:cs="宋体"/>
                <w:kern w:val="0"/>
                <w:sz w:val="24"/>
                <w:highlight w:val="none"/>
              </w:rPr>
              <w:t>15</w:t>
            </w:r>
          </w:p>
        </w:tc>
        <w:tc>
          <w:tcPr>
            <w:tcW w:w="980" w:type="dxa"/>
            <w:vMerge w:val="continue"/>
            <w:tcBorders>
              <w:top w:val="nil"/>
              <w:left w:val="single" w:color="auto" w:sz="8" w:space="0"/>
              <w:bottom w:val="single" w:color="000000" w:sz="8" w:space="0"/>
              <w:right w:val="single" w:color="auto" w:sz="8" w:space="0"/>
            </w:tcBorders>
            <w:vAlign w:val="center"/>
          </w:tcPr>
          <w:p w14:paraId="762F47B3">
            <w:pPr>
              <w:widowControl/>
              <w:adjustRightInd/>
              <w:jc w:val="left"/>
              <w:rPr>
                <w:rFonts w:ascii="宋体" w:hAnsi="宋体" w:cs="宋体"/>
                <w:kern w:val="0"/>
                <w:sz w:val="24"/>
                <w:highlight w:val="none"/>
              </w:rPr>
            </w:pPr>
          </w:p>
        </w:tc>
        <w:tc>
          <w:tcPr>
            <w:tcW w:w="1020" w:type="dxa"/>
            <w:tcBorders>
              <w:top w:val="nil"/>
              <w:left w:val="nil"/>
              <w:bottom w:val="single" w:color="auto" w:sz="8" w:space="0"/>
              <w:right w:val="single" w:color="auto" w:sz="8" w:space="0"/>
            </w:tcBorders>
            <w:vAlign w:val="center"/>
          </w:tcPr>
          <w:p w14:paraId="2A293CC4">
            <w:pPr>
              <w:widowControl/>
              <w:adjustRightInd/>
              <w:jc w:val="center"/>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 xml:space="preserve">USB </w:t>
            </w:r>
            <w:r>
              <w:rPr>
                <w:rFonts w:hint="eastAsia" w:ascii="宋体" w:hAnsi="宋体" w:cs="宋体"/>
                <w:kern w:val="0"/>
                <w:sz w:val="24"/>
                <w:highlight w:val="none"/>
              </w:rPr>
              <w:t>接口</w:t>
            </w:r>
          </w:p>
        </w:tc>
        <w:tc>
          <w:tcPr>
            <w:tcW w:w="5120" w:type="dxa"/>
            <w:tcBorders>
              <w:top w:val="nil"/>
              <w:left w:val="nil"/>
              <w:bottom w:val="single" w:color="auto" w:sz="8" w:space="0"/>
              <w:right w:val="single" w:color="auto" w:sz="8" w:space="0"/>
            </w:tcBorders>
            <w:vAlign w:val="center"/>
          </w:tcPr>
          <w:p w14:paraId="0486AF8C">
            <w:pPr>
              <w:widowControl/>
              <w:adjustRightInd/>
              <w:rPr>
                <w:rFonts w:ascii="宋体" w:hAnsi="宋体" w:cs="宋体"/>
                <w:kern w:val="0"/>
                <w:sz w:val="24"/>
                <w:highlight w:val="none"/>
              </w:rPr>
            </w:pPr>
            <w:r>
              <w:rPr>
                <w:rFonts w:hint="eastAsia" w:ascii="宋体" w:hAnsi="宋体" w:cs="宋体"/>
                <w:kern w:val="0"/>
                <w:sz w:val="24"/>
                <w:highlight w:val="none"/>
              </w:rPr>
              <w:t>配置≥</w:t>
            </w:r>
            <w:r>
              <w:rPr>
                <w:rFonts w:ascii="宋体" w:hAnsi="宋体" w:cs="宋体"/>
                <w:kern w:val="0"/>
                <w:sz w:val="24"/>
                <w:highlight w:val="none"/>
              </w:rPr>
              <w:t>4个USB3.0接口，2个位于机箱后部，2哥位于机箱前部。</w:t>
            </w:r>
          </w:p>
        </w:tc>
      </w:tr>
      <w:tr w14:paraId="6E21A89B">
        <w:tblPrEx>
          <w:tblCellMar>
            <w:top w:w="0" w:type="dxa"/>
            <w:left w:w="108" w:type="dxa"/>
            <w:bottom w:w="0" w:type="dxa"/>
            <w:right w:w="108" w:type="dxa"/>
          </w:tblCellMar>
        </w:tblPrEx>
        <w:trPr>
          <w:trHeight w:val="936" w:hRule="atLeast"/>
        </w:trPr>
        <w:tc>
          <w:tcPr>
            <w:tcW w:w="980" w:type="dxa"/>
            <w:tcBorders>
              <w:top w:val="nil"/>
              <w:left w:val="single" w:color="auto" w:sz="8" w:space="0"/>
              <w:bottom w:val="single" w:color="auto" w:sz="8" w:space="0"/>
              <w:right w:val="single" w:color="auto" w:sz="8" w:space="0"/>
            </w:tcBorders>
            <w:vAlign w:val="center"/>
          </w:tcPr>
          <w:p w14:paraId="34CB0057">
            <w:pPr>
              <w:widowControl/>
              <w:adjustRightInd/>
              <w:jc w:val="center"/>
              <w:rPr>
                <w:rFonts w:ascii="宋体" w:hAnsi="宋体" w:cs="宋体"/>
                <w:kern w:val="0"/>
                <w:sz w:val="24"/>
                <w:highlight w:val="none"/>
              </w:rPr>
            </w:pPr>
            <w:r>
              <w:rPr>
                <w:rFonts w:ascii="宋体" w:hAnsi="宋体" w:cs="宋体"/>
                <w:kern w:val="0"/>
                <w:sz w:val="24"/>
                <w:highlight w:val="none"/>
              </w:rPr>
              <w:t>16</w:t>
            </w:r>
          </w:p>
        </w:tc>
        <w:tc>
          <w:tcPr>
            <w:tcW w:w="980" w:type="dxa"/>
            <w:vMerge w:val="restart"/>
            <w:tcBorders>
              <w:top w:val="nil"/>
              <w:left w:val="single" w:color="auto" w:sz="8" w:space="0"/>
              <w:bottom w:val="single" w:color="000000" w:sz="8" w:space="0"/>
              <w:right w:val="single" w:color="auto" w:sz="8" w:space="0"/>
            </w:tcBorders>
            <w:vAlign w:val="center"/>
          </w:tcPr>
          <w:p w14:paraId="4A945EDE">
            <w:pPr>
              <w:widowControl/>
              <w:adjustRightInd/>
              <w:jc w:val="center"/>
              <w:rPr>
                <w:rFonts w:ascii="宋体" w:hAnsi="宋体" w:cs="宋体"/>
                <w:kern w:val="0"/>
                <w:sz w:val="24"/>
                <w:highlight w:val="none"/>
              </w:rPr>
            </w:pPr>
            <w:r>
              <w:rPr>
                <w:rFonts w:hint="eastAsia" w:ascii="宋体" w:hAnsi="宋体" w:cs="宋体"/>
                <w:kern w:val="0"/>
                <w:sz w:val="24"/>
                <w:highlight w:val="none"/>
              </w:rPr>
              <w:t>▲电源规格</w:t>
            </w:r>
          </w:p>
        </w:tc>
        <w:tc>
          <w:tcPr>
            <w:tcW w:w="1020" w:type="dxa"/>
            <w:tcBorders>
              <w:top w:val="nil"/>
              <w:left w:val="nil"/>
              <w:bottom w:val="single" w:color="auto" w:sz="8" w:space="0"/>
              <w:right w:val="single" w:color="auto" w:sz="8" w:space="0"/>
            </w:tcBorders>
            <w:vAlign w:val="center"/>
          </w:tcPr>
          <w:p w14:paraId="79AC0890">
            <w:pPr>
              <w:widowControl/>
              <w:adjustRightInd/>
              <w:jc w:val="center"/>
              <w:rPr>
                <w:rFonts w:ascii="宋体" w:hAnsi="宋体" w:cs="宋体"/>
                <w:kern w:val="0"/>
                <w:sz w:val="24"/>
                <w:highlight w:val="none"/>
              </w:rPr>
            </w:pPr>
            <w:r>
              <w:rPr>
                <w:rFonts w:hint="eastAsia" w:ascii="宋体" w:hAnsi="宋体" w:cs="宋体"/>
                <w:kern w:val="0"/>
                <w:sz w:val="24"/>
                <w:highlight w:val="none"/>
              </w:rPr>
              <w:t>▲电源模块数量</w:t>
            </w:r>
          </w:p>
        </w:tc>
        <w:tc>
          <w:tcPr>
            <w:tcW w:w="5120" w:type="dxa"/>
            <w:tcBorders>
              <w:top w:val="nil"/>
              <w:left w:val="nil"/>
              <w:bottom w:val="single" w:color="auto" w:sz="8" w:space="0"/>
              <w:right w:val="single" w:color="auto" w:sz="8" w:space="0"/>
            </w:tcBorders>
            <w:vAlign w:val="center"/>
          </w:tcPr>
          <w:p w14:paraId="0B01342D">
            <w:pPr>
              <w:widowControl/>
              <w:adjustRightInd/>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2</w:t>
            </w:r>
          </w:p>
        </w:tc>
      </w:tr>
      <w:tr w14:paraId="321630DC">
        <w:tblPrEx>
          <w:tblCellMar>
            <w:top w:w="0" w:type="dxa"/>
            <w:left w:w="108" w:type="dxa"/>
            <w:bottom w:w="0" w:type="dxa"/>
            <w:right w:w="108" w:type="dxa"/>
          </w:tblCellMar>
        </w:tblPrEx>
        <w:trPr>
          <w:trHeight w:val="624" w:hRule="atLeast"/>
        </w:trPr>
        <w:tc>
          <w:tcPr>
            <w:tcW w:w="980" w:type="dxa"/>
            <w:tcBorders>
              <w:top w:val="nil"/>
              <w:left w:val="single" w:color="auto" w:sz="8" w:space="0"/>
              <w:bottom w:val="single" w:color="auto" w:sz="8" w:space="0"/>
              <w:right w:val="single" w:color="auto" w:sz="8" w:space="0"/>
            </w:tcBorders>
            <w:vAlign w:val="center"/>
          </w:tcPr>
          <w:p w14:paraId="1D96A758">
            <w:pPr>
              <w:widowControl/>
              <w:adjustRightInd/>
              <w:jc w:val="center"/>
              <w:rPr>
                <w:rFonts w:ascii="宋体" w:hAnsi="宋体" w:cs="宋体"/>
                <w:kern w:val="0"/>
                <w:sz w:val="24"/>
                <w:highlight w:val="none"/>
              </w:rPr>
            </w:pPr>
            <w:r>
              <w:rPr>
                <w:rFonts w:ascii="宋体" w:hAnsi="宋体" w:cs="宋体"/>
                <w:kern w:val="0"/>
                <w:sz w:val="24"/>
                <w:highlight w:val="none"/>
              </w:rPr>
              <w:t>17</w:t>
            </w:r>
          </w:p>
        </w:tc>
        <w:tc>
          <w:tcPr>
            <w:tcW w:w="980" w:type="dxa"/>
            <w:vMerge w:val="continue"/>
            <w:tcBorders>
              <w:top w:val="nil"/>
              <w:left w:val="single" w:color="auto" w:sz="8" w:space="0"/>
              <w:bottom w:val="single" w:color="000000" w:sz="8" w:space="0"/>
              <w:right w:val="single" w:color="auto" w:sz="8" w:space="0"/>
            </w:tcBorders>
            <w:vAlign w:val="center"/>
          </w:tcPr>
          <w:p w14:paraId="7097F7FC">
            <w:pPr>
              <w:widowControl/>
              <w:adjustRightInd/>
              <w:jc w:val="left"/>
              <w:rPr>
                <w:rFonts w:ascii="宋体" w:hAnsi="宋体" w:cs="宋体"/>
                <w:kern w:val="0"/>
                <w:sz w:val="24"/>
                <w:highlight w:val="none"/>
              </w:rPr>
            </w:pPr>
          </w:p>
        </w:tc>
        <w:tc>
          <w:tcPr>
            <w:tcW w:w="1020" w:type="dxa"/>
            <w:tcBorders>
              <w:top w:val="nil"/>
              <w:left w:val="nil"/>
              <w:bottom w:val="single" w:color="auto" w:sz="8" w:space="0"/>
              <w:right w:val="single" w:color="auto" w:sz="8" w:space="0"/>
            </w:tcBorders>
            <w:vAlign w:val="center"/>
          </w:tcPr>
          <w:p w14:paraId="66D79F92">
            <w:pPr>
              <w:widowControl/>
              <w:adjustRightInd/>
              <w:jc w:val="center"/>
              <w:rPr>
                <w:rFonts w:ascii="宋体" w:hAnsi="宋体" w:cs="宋体"/>
                <w:kern w:val="0"/>
                <w:sz w:val="24"/>
                <w:highlight w:val="none"/>
              </w:rPr>
            </w:pPr>
            <w:r>
              <w:rPr>
                <w:rFonts w:hint="eastAsia" w:ascii="宋体" w:hAnsi="宋体" w:cs="宋体"/>
                <w:kern w:val="0"/>
                <w:sz w:val="24"/>
                <w:highlight w:val="none"/>
              </w:rPr>
              <w:t>▲电源功率</w:t>
            </w:r>
          </w:p>
        </w:tc>
        <w:tc>
          <w:tcPr>
            <w:tcW w:w="5120" w:type="dxa"/>
            <w:tcBorders>
              <w:top w:val="nil"/>
              <w:left w:val="nil"/>
              <w:bottom w:val="single" w:color="auto" w:sz="8" w:space="0"/>
              <w:right w:val="single" w:color="auto" w:sz="8" w:space="0"/>
            </w:tcBorders>
            <w:vAlign w:val="center"/>
          </w:tcPr>
          <w:p w14:paraId="40DFAC25">
            <w:pPr>
              <w:widowControl/>
              <w:adjustRightInd/>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 xml:space="preserve">550W，电源模块功率应有一定冗余， </w:t>
            </w:r>
            <w:r>
              <w:rPr>
                <w:rFonts w:hint="eastAsia" w:ascii="宋体" w:hAnsi="宋体" w:cs="宋体"/>
                <w:kern w:val="0"/>
                <w:sz w:val="24"/>
                <w:highlight w:val="none"/>
              </w:rPr>
              <w:t>满足处理器满载时的需求</w:t>
            </w:r>
          </w:p>
        </w:tc>
      </w:tr>
      <w:tr w14:paraId="12EE8489">
        <w:tblPrEx>
          <w:tblCellMar>
            <w:top w:w="0" w:type="dxa"/>
            <w:left w:w="108" w:type="dxa"/>
            <w:bottom w:w="0" w:type="dxa"/>
            <w:right w:w="108" w:type="dxa"/>
          </w:tblCellMar>
        </w:tblPrEx>
        <w:trPr>
          <w:trHeight w:val="312" w:hRule="atLeast"/>
        </w:trPr>
        <w:tc>
          <w:tcPr>
            <w:tcW w:w="980" w:type="dxa"/>
            <w:vMerge w:val="restart"/>
            <w:tcBorders>
              <w:top w:val="nil"/>
              <w:left w:val="single" w:color="auto" w:sz="8" w:space="0"/>
              <w:bottom w:val="single" w:color="000000" w:sz="8" w:space="0"/>
              <w:right w:val="single" w:color="auto" w:sz="8" w:space="0"/>
            </w:tcBorders>
            <w:vAlign w:val="center"/>
          </w:tcPr>
          <w:p w14:paraId="395AB745">
            <w:pPr>
              <w:widowControl/>
              <w:adjustRightInd/>
              <w:jc w:val="center"/>
              <w:rPr>
                <w:rFonts w:ascii="宋体" w:hAnsi="宋体" w:cs="宋体"/>
                <w:kern w:val="0"/>
                <w:sz w:val="24"/>
                <w:highlight w:val="none"/>
              </w:rPr>
            </w:pPr>
            <w:r>
              <w:rPr>
                <w:rFonts w:ascii="宋体" w:hAnsi="宋体" w:cs="宋体"/>
                <w:kern w:val="0"/>
                <w:sz w:val="24"/>
                <w:highlight w:val="none"/>
              </w:rPr>
              <w:t>18</w:t>
            </w:r>
          </w:p>
        </w:tc>
        <w:tc>
          <w:tcPr>
            <w:tcW w:w="980" w:type="dxa"/>
            <w:vMerge w:val="restart"/>
            <w:tcBorders>
              <w:top w:val="nil"/>
              <w:left w:val="single" w:color="auto" w:sz="8" w:space="0"/>
              <w:bottom w:val="single" w:color="000000" w:sz="8" w:space="0"/>
              <w:right w:val="single" w:color="auto" w:sz="8" w:space="0"/>
            </w:tcBorders>
            <w:vAlign w:val="center"/>
          </w:tcPr>
          <w:p w14:paraId="6F2E97EA">
            <w:pPr>
              <w:widowControl/>
              <w:adjustRightInd/>
              <w:jc w:val="center"/>
              <w:rPr>
                <w:rFonts w:ascii="宋体" w:hAnsi="宋体" w:cs="宋体"/>
                <w:kern w:val="0"/>
                <w:sz w:val="24"/>
                <w:highlight w:val="none"/>
              </w:rPr>
            </w:pPr>
            <w:r>
              <w:rPr>
                <w:rFonts w:hint="eastAsia" w:ascii="宋体" w:hAnsi="宋体" w:cs="宋体"/>
                <w:kern w:val="0"/>
                <w:sz w:val="24"/>
                <w:highlight w:val="none"/>
              </w:rPr>
              <w:t>▲整机规格</w:t>
            </w:r>
          </w:p>
        </w:tc>
        <w:tc>
          <w:tcPr>
            <w:tcW w:w="1020" w:type="dxa"/>
            <w:vMerge w:val="restart"/>
            <w:tcBorders>
              <w:top w:val="nil"/>
              <w:left w:val="single" w:color="auto" w:sz="8" w:space="0"/>
              <w:bottom w:val="single" w:color="000000" w:sz="8" w:space="0"/>
              <w:right w:val="single" w:color="auto" w:sz="8" w:space="0"/>
            </w:tcBorders>
            <w:vAlign w:val="center"/>
          </w:tcPr>
          <w:p w14:paraId="31024EC1">
            <w:pPr>
              <w:widowControl/>
              <w:adjustRightInd/>
              <w:jc w:val="center"/>
              <w:rPr>
                <w:rFonts w:ascii="宋体" w:hAnsi="宋体" w:cs="宋体"/>
                <w:kern w:val="0"/>
                <w:sz w:val="24"/>
                <w:highlight w:val="none"/>
              </w:rPr>
            </w:pPr>
            <w:r>
              <w:rPr>
                <w:rFonts w:hint="eastAsia" w:ascii="宋体" w:hAnsi="宋体" w:cs="宋体"/>
                <w:kern w:val="0"/>
                <w:sz w:val="24"/>
                <w:highlight w:val="none"/>
              </w:rPr>
              <w:t>▲外观和结构</w:t>
            </w:r>
          </w:p>
        </w:tc>
        <w:tc>
          <w:tcPr>
            <w:tcW w:w="5120" w:type="dxa"/>
            <w:tcBorders>
              <w:top w:val="nil"/>
              <w:left w:val="nil"/>
              <w:bottom w:val="single" w:color="auto" w:sz="8" w:space="0"/>
              <w:right w:val="single" w:color="auto" w:sz="8" w:space="0"/>
            </w:tcBorders>
            <w:vAlign w:val="center"/>
          </w:tcPr>
          <w:p w14:paraId="43AF764C">
            <w:pPr>
              <w:widowControl/>
              <w:adjustRightInd/>
              <w:rPr>
                <w:rFonts w:ascii="宋体" w:hAnsi="宋体" w:cs="宋体"/>
                <w:kern w:val="0"/>
                <w:sz w:val="24"/>
                <w:highlight w:val="none"/>
              </w:rPr>
            </w:pPr>
            <w:r>
              <w:rPr>
                <w:rFonts w:ascii="宋体" w:hAnsi="宋体" w:cs="宋体"/>
                <w:kern w:val="0"/>
                <w:sz w:val="24"/>
                <w:highlight w:val="none"/>
              </w:rPr>
              <w:t>a)服务器的零部件应紧固无松动，可插拔部件应可靠连接，开关、按钮和其它控制部件应灵活可靠，布局应方便使用；</w:t>
            </w:r>
          </w:p>
        </w:tc>
      </w:tr>
      <w:tr w14:paraId="417C7D15">
        <w:tblPrEx>
          <w:tblCellMar>
            <w:top w:w="0" w:type="dxa"/>
            <w:left w:w="108" w:type="dxa"/>
            <w:bottom w:w="0" w:type="dxa"/>
            <w:right w:w="108" w:type="dxa"/>
          </w:tblCellMar>
        </w:tblPrEx>
        <w:trPr>
          <w:trHeight w:val="624" w:hRule="atLeast"/>
        </w:trPr>
        <w:tc>
          <w:tcPr>
            <w:tcW w:w="980" w:type="dxa"/>
            <w:vMerge w:val="continue"/>
            <w:tcBorders>
              <w:top w:val="nil"/>
              <w:left w:val="single" w:color="auto" w:sz="8" w:space="0"/>
              <w:bottom w:val="single" w:color="000000" w:sz="8" w:space="0"/>
              <w:right w:val="single" w:color="auto" w:sz="8" w:space="0"/>
            </w:tcBorders>
            <w:vAlign w:val="center"/>
          </w:tcPr>
          <w:p w14:paraId="10F46185">
            <w:pPr>
              <w:widowControl/>
              <w:adjustRightInd/>
              <w:jc w:val="left"/>
              <w:rPr>
                <w:rFonts w:ascii="宋体" w:hAnsi="宋体" w:cs="宋体"/>
                <w:kern w:val="0"/>
                <w:sz w:val="24"/>
                <w:highlight w:val="none"/>
              </w:rPr>
            </w:pPr>
          </w:p>
        </w:tc>
        <w:tc>
          <w:tcPr>
            <w:tcW w:w="980" w:type="dxa"/>
            <w:vMerge w:val="continue"/>
            <w:tcBorders>
              <w:top w:val="nil"/>
              <w:left w:val="single" w:color="auto" w:sz="8" w:space="0"/>
              <w:bottom w:val="single" w:color="000000" w:sz="8" w:space="0"/>
              <w:right w:val="single" w:color="auto" w:sz="8" w:space="0"/>
            </w:tcBorders>
            <w:vAlign w:val="center"/>
          </w:tcPr>
          <w:p w14:paraId="26930473">
            <w:pPr>
              <w:widowControl/>
              <w:adjustRightInd/>
              <w:jc w:val="left"/>
              <w:rPr>
                <w:rFonts w:ascii="宋体" w:hAnsi="宋体" w:cs="宋体"/>
                <w:kern w:val="0"/>
                <w:sz w:val="24"/>
                <w:highlight w:val="none"/>
              </w:rPr>
            </w:pPr>
          </w:p>
        </w:tc>
        <w:tc>
          <w:tcPr>
            <w:tcW w:w="1020" w:type="dxa"/>
            <w:vMerge w:val="continue"/>
            <w:tcBorders>
              <w:top w:val="nil"/>
              <w:left w:val="single" w:color="auto" w:sz="8" w:space="0"/>
              <w:bottom w:val="single" w:color="000000" w:sz="8" w:space="0"/>
              <w:right w:val="single" w:color="auto" w:sz="8" w:space="0"/>
            </w:tcBorders>
            <w:vAlign w:val="center"/>
          </w:tcPr>
          <w:p w14:paraId="0BC605D7">
            <w:pPr>
              <w:widowControl/>
              <w:adjustRightInd/>
              <w:jc w:val="left"/>
              <w:rPr>
                <w:rFonts w:ascii="宋体" w:hAnsi="宋体" w:cs="宋体"/>
                <w:kern w:val="0"/>
                <w:sz w:val="24"/>
                <w:highlight w:val="none"/>
              </w:rPr>
            </w:pPr>
          </w:p>
        </w:tc>
        <w:tc>
          <w:tcPr>
            <w:tcW w:w="5120" w:type="dxa"/>
            <w:tcBorders>
              <w:top w:val="single" w:color="auto" w:sz="8" w:space="0"/>
              <w:left w:val="single" w:color="auto" w:sz="8" w:space="0"/>
              <w:bottom w:val="single" w:color="auto" w:sz="8" w:space="0"/>
              <w:right w:val="single" w:color="auto" w:sz="8" w:space="0"/>
            </w:tcBorders>
            <w:vAlign w:val="center"/>
          </w:tcPr>
          <w:p w14:paraId="0C7642A0">
            <w:pPr>
              <w:widowControl/>
              <w:adjustRightInd/>
              <w:rPr>
                <w:rFonts w:ascii="宋体" w:hAns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产品表面不应有明显的凹痕、划伤、裂缝、变形和污染等。表面涂层均匀，不应起泡、龟裂、脱落和磨损，金属零部件无锈蚀及其它机械损伤；</w:t>
            </w:r>
          </w:p>
        </w:tc>
      </w:tr>
      <w:tr w14:paraId="6ADF9435">
        <w:tblPrEx>
          <w:tblCellMar>
            <w:top w:w="0" w:type="dxa"/>
            <w:left w:w="108" w:type="dxa"/>
            <w:bottom w:w="0" w:type="dxa"/>
            <w:right w:w="108" w:type="dxa"/>
          </w:tblCellMar>
        </w:tblPrEx>
        <w:trPr>
          <w:trHeight w:val="312" w:hRule="atLeast"/>
        </w:trPr>
        <w:tc>
          <w:tcPr>
            <w:tcW w:w="980" w:type="dxa"/>
            <w:vMerge w:val="continue"/>
            <w:tcBorders>
              <w:top w:val="nil"/>
              <w:left w:val="single" w:color="auto" w:sz="8" w:space="0"/>
              <w:bottom w:val="single" w:color="000000" w:sz="8" w:space="0"/>
              <w:right w:val="single" w:color="auto" w:sz="8" w:space="0"/>
            </w:tcBorders>
            <w:vAlign w:val="center"/>
          </w:tcPr>
          <w:p w14:paraId="54E79C58">
            <w:pPr>
              <w:widowControl/>
              <w:adjustRightInd/>
              <w:jc w:val="left"/>
              <w:rPr>
                <w:rFonts w:ascii="宋体" w:hAnsi="宋体" w:cs="宋体"/>
                <w:kern w:val="0"/>
                <w:sz w:val="24"/>
                <w:highlight w:val="none"/>
              </w:rPr>
            </w:pPr>
          </w:p>
        </w:tc>
        <w:tc>
          <w:tcPr>
            <w:tcW w:w="980" w:type="dxa"/>
            <w:vMerge w:val="continue"/>
            <w:tcBorders>
              <w:top w:val="nil"/>
              <w:left w:val="single" w:color="auto" w:sz="8" w:space="0"/>
              <w:bottom w:val="single" w:color="000000" w:sz="8" w:space="0"/>
              <w:right w:val="single" w:color="auto" w:sz="8" w:space="0"/>
            </w:tcBorders>
            <w:vAlign w:val="center"/>
          </w:tcPr>
          <w:p w14:paraId="1B4FE6A6">
            <w:pPr>
              <w:widowControl/>
              <w:adjustRightInd/>
              <w:jc w:val="left"/>
              <w:rPr>
                <w:rFonts w:ascii="宋体" w:hAnsi="宋体" w:cs="宋体"/>
                <w:kern w:val="0"/>
                <w:sz w:val="24"/>
                <w:highlight w:val="none"/>
              </w:rPr>
            </w:pPr>
          </w:p>
        </w:tc>
        <w:tc>
          <w:tcPr>
            <w:tcW w:w="1020" w:type="dxa"/>
            <w:vMerge w:val="continue"/>
            <w:tcBorders>
              <w:top w:val="nil"/>
              <w:left w:val="single" w:color="auto" w:sz="8" w:space="0"/>
              <w:bottom w:val="single" w:color="000000" w:sz="8" w:space="0"/>
              <w:right w:val="single" w:color="auto" w:sz="8" w:space="0"/>
            </w:tcBorders>
            <w:vAlign w:val="center"/>
          </w:tcPr>
          <w:p w14:paraId="73B55733">
            <w:pPr>
              <w:widowControl/>
              <w:adjustRightInd/>
              <w:jc w:val="left"/>
              <w:rPr>
                <w:rFonts w:ascii="宋体" w:hAnsi="宋体" w:cs="宋体"/>
                <w:kern w:val="0"/>
                <w:sz w:val="24"/>
                <w:highlight w:val="none"/>
              </w:rPr>
            </w:pPr>
          </w:p>
        </w:tc>
        <w:tc>
          <w:tcPr>
            <w:tcW w:w="5120" w:type="dxa"/>
            <w:tcBorders>
              <w:top w:val="single" w:color="auto" w:sz="8" w:space="0"/>
              <w:left w:val="single" w:color="auto" w:sz="8" w:space="0"/>
              <w:bottom w:val="single" w:color="auto" w:sz="8" w:space="0"/>
              <w:right w:val="single" w:color="auto" w:sz="8" w:space="0"/>
            </w:tcBorders>
            <w:vAlign w:val="center"/>
          </w:tcPr>
          <w:p w14:paraId="31349ACC">
            <w:pPr>
              <w:widowControl/>
              <w:adjustRightInd/>
              <w:rPr>
                <w:rFonts w:ascii="宋体" w:hAnsi="宋体" w:cs="宋体"/>
                <w:kern w:val="0"/>
                <w:sz w:val="24"/>
                <w:highlight w:val="none"/>
              </w:rPr>
            </w:pPr>
            <w:r>
              <w:rPr>
                <w:rFonts w:ascii="宋体" w:hAnsi="宋体" w:cs="宋体"/>
                <w:kern w:val="0"/>
                <w:sz w:val="24"/>
                <w:highlight w:val="none"/>
              </w:rPr>
              <w:t xml:space="preserve">c) </w:t>
            </w:r>
            <w:r>
              <w:rPr>
                <w:rFonts w:hint="eastAsia" w:ascii="宋体" w:hAnsi="宋体" w:cs="宋体"/>
                <w:kern w:val="0"/>
                <w:sz w:val="24"/>
                <w:highlight w:val="none"/>
              </w:rPr>
              <w:t>产品表面说明功能的文字、符号和标志应清晰、端正且牢固；</w:t>
            </w:r>
          </w:p>
        </w:tc>
      </w:tr>
      <w:tr w14:paraId="0F3559ED">
        <w:tblPrEx>
          <w:tblCellMar>
            <w:top w:w="0" w:type="dxa"/>
            <w:left w:w="108" w:type="dxa"/>
            <w:bottom w:w="0" w:type="dxa"/>
            <w:right w:w="108" w:type="dxa"/>
          </w:tblCellMar>
        </w:tblPrEx>
        <w:trPr>
          <w:trHeight w:val="312" w:hRule="atLeast"/>
        </w:trPr>
        <w:tc>
          <w:tcPr>
            <w:tcW w:w="980" w:type="dxa"/>
            <w:vMerge w:val="continue"/>
            <w:tcBorders>
              <w:top w:val="nil"/>
              <w:left w:val="single" w:color="auto" w:sz="8" w:space="0"/>
              <w:bottom w:val="single" w:color="000000" w:sz="8" w:space="0"/>
              <w:right w:val="single" w:color="auto" w:sz="8" w:space="0"/>
            </w:tcBorders>
            <w:vAlign w:val="center"/>
          </w:tcPr>
          <w:p w14:paraId="2C10C4C0">
            <w:pPr>
              <w:widowControl/>
              <w:adjustRightInd/>
              <w:jc w:val="left"/>
              <w:rPr>
                <w:rFonts w:ascii="宋体" w:hAnsi="宋体" w:cs="宋体"/>
                <w:kern w:val="0"/>
                <w:sz w:val="24"/>
                <w:highlight w:val="none"/>
              </w:rPr>
            </w:pPr>
          </w:p>
        </w:tc>
        <w:tc>
          <w:tcPr>
            <w:tcW w:w="980" w:type="dxa"/>
            <w:vMerge w:val="continue"/>
            <w:tcBorders>
              <w:top w:val="nil"/>
              <w:left w:val="single" w:color="auto" w:sz="8" w:space="0"/>
              <w:bottom w:val="single" w:color="000000" w:sz="8" w:space="0"/>
              <w:right w:val="single" w:color="auto" w:sz="8" w:space="0"/>
            </w:tcBorders>
            <w:vAlign w:val="center"/>
          </w:tcPr>
          <w:p w14:paraId="0C885925">
            <w:pPr>
              <w:widowControl/>
              <w:adjustRightInd/>
              <w:jc w:val="left"/>
              <w:rPr>
                <w:rFonts w:ascii="宋体" w:hAnsi="宋体" w:cs="宋体"/>
                <w:kern w:val="0"/>
                <w:sz w:val="24"/>
                <w:highlight w:val="none"/>
              </w:rPr>
            </w:pPr>
          </w:p>
        </w:tc>
        <w:tc>
          <w:tcPr>
            <w:tcW w:w="1020" w:type="dxa"/>
            <w:vMerge w:val="continue"/>
            <w:tcBorders>
              <w:top w:val="nil"/>
              <w:left w:val="single" w:color="auto" w:sz="8" w:space="0"/>
              <w:bottom w:val="single" w:color="000000" w:sz="8" w:space="0"/>
              <w:right w:val="single" w:color="auto" w:sz="8" w:space="0"/>
            </w:tcBorders>
            <w:vAlign w:val="center"/>
          </w:tcPr>
          <w:p w14:paraId="2D449529">
            <w:pPr>
              <w:widowControl/>
              <w:adjustRightInd/>
              <w:jc w:val="left"/>
              <w:rPr>
                <w:rFonts w:ascii="宋体" w:hAnsi="宋体" w:cs="宋体"/>
                <w:kern w:val="0"/>
                <w:sz w:val="24"/>
                <w:highlight w:val="none"/>
              </w:rPr>
            </w:pPr>
          </w:p>
        </w:tc>
        <w:tc>
          <w:tcPr>
            <w:tcW w:w="5120" w:type="dxa"/>
            <w:tcBorders>
              <w:top w:val="single" w:color="auto" w:sz="8" w:space="0"/>
              <w:left w:val="single" w:color="auto" w:sz="8" w:space="0"/>
              <w:bottom w:val="single" w:color="auto" w:sz="8" w:space="0"/>
              <w:right w:val="single" w:color="auto" w:sz="8" w:space="0"/>
            </w:tcBorders>
            <w:vAlign w:val="center"/>
          </w:tcPr>
          <w:p w14:paraId="63C989EC">
            <w:pPr>
              <w:widowControl/>
              <w:adjustRightInd/>
              <w:rPr>
                <w:rFonts w:ascii="宋体" w:hAnsi="宋体" w:cs="宋体"/>
                <w:kern w:val="0"/>
                <w:sz w:val="24"/>
                <w:highlight w:val="none"/>
              </w:rPr>
            </w:pPr>
            <w:r>
              <w:rPr>
                <w:rFonts w:ascii="宋体" w:hAnsi="宋体" w:cs="宋体"/>
                <w:kern w:val="0"/>
                <w:sz w:val="24"/>
                <w:highlight w:val="none"/>
              </w:rPr>
              <w:t xml:space="preserve">d) </w:t>
            </w:r>
            <w:r>
              <w:rPr>
                <w:rFonts w:hint="eastAsia" w:ascii="宋体" w:hAnsi="宋体" w:cs="宋体"/>
                <w:kern w:val="0"/>
                <w:sz w:val="24"/>
                <w:highlight w:val="none"/>
              </w:rPr>
              <w:t>应在服务器的显著位置提供运行状态的指示功能，并在随机文件中明确具体含义；</w:t>
            </w:r>
          </w:p>
        </w:tc>
      </w:tr>
      <w:tr w14:paraId="7AC04325">
        <w:tblPrEx>
          <w:tblCellMar>
            <w:top w:w="0" w:type="dxa"/>
            <w:left w:w="108" w:type="dxa"/>
            <w:bottom w:w="0" w:type="dxa"/>
            <w:right w:w="108" w:type="dxa"/>
          </w:tblCellMar>
        </w:tblPrEx>
        <w:trPr>
          <w:trHeight w:val="624" w:hRule="atLeast"/>
        </w:trPr>
        <w:tc>
          <w:tcPr>
            <w:tcW w:w="980" w:type="dxa"/>
            <w:vMerge w:val="continue"/>
            <w:tcBorders>
              <w:top w:val="nil"/>
              <w:left w:val="single" w:color="auto" w:sz="8" w:space="0"/>
              <w:bottom w:val="single" w:color="000000" w:sz="8" w:space="0"/>
              <w:right w:val="single" w:color="auto" w:sz="8" w:space="0"/>
            </w:tcBorders>
            <w:vAlign w:val="center"/>
          </w:tcPr>
          <w:p w14:paraId="718FEF58">
            <w:pPr>
              <w:widowControl/>
              <w:adjustRightInd/>
              <w:jc w:val="left"/>
              <w:rPr>
                <w:rFonts w:ascii="宋体" w:hAnsi="宋体" w:cs="宋体"/>
                <w:kern w:val="0"/>
                <w:sz w:val="24"/>
                <w:highlight w:val="none"/>
              </w:rPr>
            </w:pPr>
          </w:p>
        </w:tc>
        <w:tc>
          <w:tcPr>
            <w:tcW w:w="980" w:type="dxa"/>
            <w:vMerge w:val="continue"/>
            <w:tcBorders>
              <w:top w:val="nil"/>
              <w:left w:val="single" w:color="auto" w:sz="8" w:space="0"/>
              <w:bottom w:val="single" w:color="000000" w:sz="8" w:space="0"/>
              <w:right w:val="single" w:color="auto" w:sz="8" w:space="0"/>
            </w:tcBorders>
            <w:vAlign w:val="center"/>
          </w:tcPr>
          <w:p w14:paraId="387BEB58">
            <w:pPr>
              <w:widowControl/>
              <w:adjustRightInd/>
              <w:jc w:val="left"/>
              <w:rPr>
                <w:rFonts w:ascii="宋体" w:hAnsi="宋体" w:cs="宋体"/>
                <w:kern w:val="0"/>
                <w:sz w:val="24"/>
                <w:highlight w:val="none"/>
              </w:rPr>
            </w:pPr>
          </w:p>
        </w:tc>
        <w:tc>
          <w:tcPr>
            <w:tcW w:w="1020" w:type="dxa"/>
            <w:vMerge w:val="continue"/>
            <w:tcBorders>
              <w:top w:val="nil"/>
              <w:left w:val="single" w:color="auto" w:sz="8" w:space="0"/>
              <w:bottom w:val="single" w:color="000000" w:sz="8" w:space="0"/>
              <w:right w:val="single" w:color="auto" w:sz="8" w:space="0"/>
            </w:tcBorders>
            <w:vAlign w:val="center"/>
          </w:tcPr>
          <w:p w14:paraId="1D35A9FC">
            <w:pPr>
              <w:widowControl/>
              <w:adjustRightInd/>
              <w:jc w:val="left"/>
              <w:rPr>
                <w:rFonts w:ascii="宋体" w:hAnsi="宋体" w:cs="宋体"/>
                <w:kern w:val="0"/>
                <w:sz w:val="24"/>
                <w:highlight w:val="none"/>
              </w:rPr>
            </w:pPr>
          </w:p>
        </w:tc>
        <w:tc>
          <w:tcPr>
            <w:tcW w:w="5120" w:type="dxa"/>
            <w:tcBorders>
              <w:top w:val="single" w:color="auto" w:sz="8" w:space="0"/>
              <w:left w:val="single" w:color="auto" w:sz="8" w:space="0"/>
              <w:bottom w:val="single" w:color="auto" w:sz="8" w:space="0"/>
              <w:right w:val="single" w:color="auto" w:sz="8" w:space="0"/>
            </w:tcBorders>
            <w:vAlign w:val="center"/>
          </w:tcPr>
          <w:p w14:paraId="3DEBA92A">
            <w:pPr>
              <w:widowControl/>
              <w:adjustRightInd/>
              <w:rPr>
                <w:rFonts w:ascii="宋体" w:hAnsi="宋体" w:cs="宋体"/>
                <w:kern w:val="0"/>
                <w:sz w:val="24"/>
                <w:highlight w:val="none"/>
              </w:rPr>
            </w:pPr>
            <w:r>
              <w:rPr>
                <w:rFonts w:ascii="宋体" w:hAnsi="宋体" w:cs="宋体"/>
                <w:kern w:val="0"/>
                <w:sz w:val="24"/>
                <w:highlight w:val="none"/>
              </w:rPr>
              <w:t xml:space="preserve">e) </w:t>
            </w:r>
            <w:r>
              <w:rPr>
                <w:rFonts w:hint="eastAsia" w:ascii="宋体" w:hAnsi="宋体" w:cs="宋体"/>
                <w:kern w:val="0"/>
                <w:sz w:val="24"/>
                <w:highlight w:val="none"/>
              </w:rPr>
              <w:t>机架、机箱的尺寸应符合通用机柜的安装要求，插入总线插座的电路板接口外形尺寸应符合有关总线标准的规定，将机箱固定在机柜上，机箱底面最大下垂变形不得干涉相邻机体；</w:t>
            </w:r>
          </w:p>
        </w:tc>
      </w:tr>
      <w:tr w14:paraId="76183C8D">
        <w:tblPrEx>
          <w:tblCellMar>
            <w:top w:w="0" w:type="dxa"/>
            <w:left w:w="108" w:type="dxa"/>
            <w:bottom w:w="0" w:type="dxa"/>
            <w:right w:w="108" w:type="dxa"/>
          </w:tblCellMar>
        </w:tblPrEx>
        <w:trPr>
          <w:trHeight w:val="312" w:hRule="atLeast"/>
        </w:trPr>
        <w:tc>
          <w:tcPr>
            <w:tcW w:w="980" w:type="dxa"/>
            <w:vMerge w:val="continue"/>
            <w:tcBorders>
              <w:top w:val="nil"/>
              <w:left w:val="single" w:color="auto" w:sz="8" w:space="0"/>
              <w:bottom w:val="single" w:color="000000" w:sz="8" w:space="0"/>
              <w:right w:val="single" w:color="auto" w:sz="8" w:space="0"/>
            </w:tcBorders>
            <w:vAlign w:val="center"/>
          </w:tcPr>
          <w:p w14:paraId="45084DCF">
            <w:pPr>
              <w:widowControl/>
              <w:adjustRightInd/>
              <w:jc w:val="left"/>
              <w:rPr>
                <w:rFonts w:ascii="宋体" w:hAnsi="宋体" w:cs="宋体"/>
                <w:kern w:val="0"/>
                <w:sz w:val="24"/>
                <w:highlight w:val="none"/>
              </w:rPr>
            </w:pPr>
          </w:p>
        </w:tc>
        <w:tc>
          <w:tcPr>
            <w:tcW w:w="980" w:type="dxa"/>
            <w:vMerge w:val="continue"/>
            <w:tcBorders>
              <w:top w:val="nil"/>
              <w:left w:val="single" w:color="auto" w:sz="8" w:space="0"/>
              <w:bottom w:val="single" w:color="000000" w:sz="8" w:space="0"/>
              <w:right w:val="single" w:color="auto" w:sz="8" w:space="0"/>
            </w:tcBorders>
            <w:vAlign w:val="center"/>
          </w:tcPr>
          <w:p w14:paraId="0F0BBC32">
            <w:pPr>
              <w:widowControl/>
              <w:adjustRightInd/>
              <w:jc w:val="left"/>
              <w:rPr>
                <w:rFonts w:ascii="宋体" w:hAnsi="宋体" w:cs="宋体"/>
                <w:kern w:val="0"/>
                <w:sz w:val="24"/>
                <w:highlight w:val="none"/>
              </w:rPr>
            </w:pPr>
          </w:p>
        </w:tc>
        <w:tc>
          <w:tcPr>
            <w:tcW w:w="1020" w:type="dxa"/>
            <w:vMerge w:val="continue"/>
            <w:tcBorders>
              <w:top w:val="nil"/>
              <w:left w:val="single" w:color="auto" w:sz="8" w:space="0"/>
              <w:bottom w:val="single" w:color="000000" w:sz="8" w:space="0"/>
              <w:right w:val="single" w:color="auto" w:sz="8" w:space="0"/>
            </w:tcBorders>
            <w:vAlign w:val="center"/>
          </w:tcPr>
          <w:p w14:paraId="56DE4F2F">
            <w:pPr>
              <w:widowControl/>
              <w:adjustRightInd/>
              <w:jc w:val="left"/>
              <w:rPr>
                <w:rFonts w:ascii="宋体" w:hAnsi="宋体" w:cs="宋体"/>
                <w:kern w:val="0"/>
                <w:sz w:val="24"/>
                <w:highlight w:val="none"/>
              </w:rPr>
            </w:pPr>
          </w:p>
        </w:tc>
        <w:tc>
          <w:tcPr>
            <w:tcW w:w="5120" w:type="dxa"/>
            <w:tcBorders>
              <w:top w:val="single" w:color="auto" w:sz="8" w:space="0"/>
              <w:left w:val="single" w:color="auto" w:sz="8" w:space="0"/>
              <w:bottom w:val="single" w:color="auto" w:sz="8" w:space="0"/>
              <w:right w:val="single" w:color="auto" w:sz="8" w:space="0"/>
            </w:tcBorders>
            <w:vAlign w:val="center"/>
          </w:tcPr>
          <w:p w14:paraId="1D9C07C8">
            <w:pPr>
              <w:widowControl/>
              <w:adjustRightInd/>
              <w:rPr>
                <w:rFonts w:ascii="宋体" w:hAnsi="宋体" w:cs="宋体"/>
                <w:kern w:val="0"/>
                <w:sz w:val="24"/>
                <w:highlight w:val="none"/>
              </w:rPr>
            </w:pPr>
            <w:r>
              <w:rPr>
                <w:rFonts w:ascii="宋体" w:hAnsi="宋体" w:cs="宋体"/>
                <w:kern w:val="0"/>
                <w:sz w:val="24"/>
                <w:highlight w:val="none"/>
              </w:rPr>
              <w:t xml:space="preserve">f) </w:t>
            </w:r>
            <w:r>
              <w:rPr>
                <w:rFonts w:hint="eastAsia" w:ascii="宋体" w:hAnsi="宋体" w:cs="宋体"/>
                <w:kern w:val="0"/>
                <w:sz w:val="24"/>
                <w:highlight w:val="none"/>
              </w:rPr>
              <w:t>高密度服务器应给出</w:t>
            </w:r>
            <w:r>
              <w:rPr>
                <w:rFonts w:ascii="宋体" w:hAnsi="宋体" w:cs="宋体"/>
                <w:kern w:val="0"/>
                <w:sz w:val="24"/>
                <w:highlight w:val="none"/>
              </w:rPr>
              <w:t xml:space="preserve"> CPU </w:t>
            </w:r>
            <w:r>
              <w:rPr>
                <w:rFonts w:hint="eastAsia" w:ascii="宋体" w:hAnsi="宋体" w:cs="宋体"/>
                <w:kern w:val="0"/>
                <w:sz w:val="24"/>
                <w:highlight w:val="none"/>
              </w:rPr>
              <w:t>个数与机柜高度；</w:t>
            </w:r>
          </w:p>
        </w:tc>
      </w:tr>
      <w:tr w14:paraId="5068B75D">
        <w:tblPrEx>
          <w:tblCellMar>
            <w:top w:w="0" w:type="dxa"/>
            <w:left w:w="108" w:type="dxa"/>
            <w:bottom w:w="0" w:type="dxa"/>
            <w:right w:w="108" w:type="dxa"/>
          </w:tblCellMar>
        </w:tblPrEx>
        <w:trPr>
          <w:trHeight w:val="312" w:hRule="atLeast"/>
        </w:trPr>
        <w:tc>
          <w:tcPr>
            <w:tcW w:w="980" w:type="dxa"/>
            <w:vMerge w:val="continue"/>
            <w:tcBorders>
              <w:top w:val="nil"/>
              <w:left w:val="single" w:color="auto" w:sz="8" w:space="0"/>
              <w:bottom w:val="single" w:color="000000" w:sz="8" w:space="0"/>
              <w:right w:val="single" w:color="auto" w:sz="8" w:space="0"/>
            </w:tcBorders>
            <w:vAlign w:val="center"/>
          </w:tcPr>
          <w:p w14:paraId="600CB190">
            <w:pPr>
              <w:widowControl/>
              <w:adjustRightInd/>
              <w:jc w:val="left"/>
              <w:rPr>
                <w:rFonts w:ascii="宋体" w:hAnsi="宋体" w:cs="宋体"/>
                <w:kern w:val="0"/>
                <w:sz w:val="24"/>
                <w:highlight w:val="none"/>
              </w:rPr>
            </w:pPr>
          </w:p>
        </w:tc>
        <w:tc>
          <w:tcPr>
            <w:tcW w:w="980" w:type="dxa"/>
            <w:vMerge w:val="continue"/>
            <w:tcBorders>
              <w:top w:val="nil"/>
              <w:left w:val="single" w:color="auto" w:sz="8" w:space="0"/>
              <w:bottom w:val="single" w:color="000000" w:sz="8" w:space="0"/>
              <w:right w:val="single" w:color="auto" w:sz="8" w:space="0"/>
            </w:tcBorders>
            <w:vAlign w:val="center"/>
          </w:tcPr>
          <w:p w14:paraId="60E67749">
            <w:pPr>
              <w:widowControl/>
              <w:adjustRightInd/>
              <w:jc w:val="left"/>
              <w:rPr>
                <w:rFonts w:ascii="宋体" w:hAnsi="宋体" w:cs="宋体"/>
                <w:kern w:val="0"/>
                <w:sz w:val="24"/>
                <w:highlight w:val="none"/>
              </w:rPr>
            </w:pPr>
          </w:p>
        </w:tc>
        <w:tc>
          <w:tcPr>
            <w:tcW w:w="1020" w:type="dxa"/>
            <w:vMerge w:val="continue"/>
            <w:tcBorders>
              <w:top w:val="nil"/>
              <w:left w:val="single" w:color="auto" w:sz="8" w:space="0"/>
              <w:bottom w:val="single" w:color="000000" w:sz="8" w:space="0"/>
              <w:right w:val="single" w:color="auto" w:sz="8" w:space="0"/>
            </w:tcBorders>
            <w:vAlign w:val="center"/>
          </w:tcPr>
          <w:p w14:paraId="04BBE873">
            <w:pPr>
              <w:widowControl/>
              <w:adjustRightInd/>
              <w:jc w:val="left"/>
              <w:rPr>
                <w:rFonts w:ascii="宋体" w:hAnsi="宋体" w:cs="宋体"/>
                <w:kern w:val="0"/>
                <w:sz w:val="24"/>
                <w:highlight w:val="none"/>
              </w:rPr>
            </w:pPr>
          </w:p>
        </w:tc>
        <w:tc>
          <w:tcPr>
            <w:tcW w:w="5120" w:type="dxa"/>
            <w:tcBorders>
              <w:top w:val="single" w:color="auto" w:sz="8" w:space="0"/>
              <w:left w:val="single" w:color="auto" w:sz="8" w:space="0"/>
              <w:bottom w:val="single" w:color="auto" w:sz="8" w:space="0"/>
              <w:right w:val="single" w:color="auto" w:sz="8" w:space="0"/>
            </w:tcBorders>
            <w:vAlign w:val="center"/>
          </w:tcPr>
          <w:p w14:paraId="36A35612">
            <w:pPr>
              <w:widowControl/>
              <w:adjustRightInd/>
              <w:rPr>
                <w:rFonts w:ascii="宋体" w:hAnsi="宋体" w:cs="宋体"/>
                <w:kern w:val="0"/>
                <w:sz w:val="24"/>
                <w:highlight w:val="none"/>
              </w:rPr>
            </w:pPr>
            <w:r>
              <w:rPr>
                <w:rFonts w:ascii="宋体" w:hAnsi="宋体" w:cs="宋体"/>
                <w:kern w:val="0"/>
                <w:sz w:val="24"/>
                <w:highlight w:val="none"/>
              </w:rPr>
              <w:t xml:space="preserve">g) </w:t>
            </w:r>
            <w:r>
              <w:rPr>
                <w:rFonts w:hint="eastAsia" w:ascii="宋体" w:hAnsi="宋体" w:cs="宋体"/>
                <w:kern w:val="0"/>
                <w:sz w:val="24"/>
                <w:highlight w:val="none"/>
              </w:rPr>
              <w:t>服务器尺寸具体要求在随机文件中明确</w:t>
            </w:r>
          </w:p>
        </w:tc>
      </w:tr>
      <w:tr w14:paraId="2A94AC1C">
        <w:tblPrEx>
          <w:tblCellMar>
            <w:top w:w="0" w:type="dxa"/>
            <w:left w:w="108" w:type="dxa"/>
            <w:bottom w:w="0" w:type="dxa"/>
            <w:right w:w="108" w:type="dxa"/>
          </w:tblCellMar>
        </w:tblPrEx>
        <w:trPr>
          <w:trHeight w:val="1248" w:hRule="atLeast"/>
        </w:trPr>
        <w:tc>
          <w:tcPr>
            <w:tcW w:w="980" w:type="dxa"/>
            <w:tcBorders>
              <w:top w:val="nil"/>
              <w:left w:val="single" w:color="auto" w:sz="8" w:space="0"/>
              <w:bottom w:val="single" w:color="auto" w:sz="8" w:space="0"/>
              <w:right w:val="single" w:color="auto" w:sz="8" w:space="0"/>
            </w:tcBorders>
            <w:vAlign w:val="center"/>
          </w:tcPr>
          <w:p w14:paraId="6D63D910">
            <w:pPr>
              <w:widowControl/>
              <w:adjustRightInd/>
              <w:jc w:val="center"/>
              <w:rPr>
                <w:rFonts w:ascii="宋体" w:hAnsi="宋体" w:cs="宋体"/>
                <w:kern w:val="0"/>
                <w:sz w:val="24"/>
                <w:highlight w:val="none"/>
              </w:rPr>
            </w:pPr>
            <w:r>
              <w:rPr>
                <w:rFonts w:ascii="宋体" w:hAnsi="宋体" w:cs="宋体"/>
                <w:kern w:val="0"/>
                <w:sz w:val="24"/>
                <w:highlight w:val="none"/>
              </w:rPr>
              <w:t>19</w:t>
            </w:r>
          </w:p>
        </w:tc>
        <w:tc>
          <w:tcPr>
            <w:tcW w:w="980" w:type="dxa"/>
            <w:vMerge w:val="continue"/>
            <w:tcBorders>
              <w:top w:val="nil"/>
              <w:left w:val="single" w:color="auto" w:sz="8" w:space="0"/>
              <w:bottom w:val="single" w:color="000000" w:sz="8" w:space="0"/>
              <w:right w:val="single" w:color="auto" w:sz="8" w:space="0"/>
            </w:tcBorders>
            <w:vAlign w:val="center"/>
          </w:tcPr>
          <w:p w14:paraId="57076955">
            <w:pPr>
              <w:widowControl/>
              <w:adjustRightInd/>
              <w:jc w:val="left"/>
              <w:rPr>
                <w:rFonts w:ascii="宋体" w:hAnsi="宋体" w:cs="宋体"/>
                <w:kern w:val="0"/>
                <w:sz w:val="24"/>
                <w:highlight w:val="none"/>
              </w:rPr>
            </w:pPr>
          </w:p>
        </w:tc>
        <w:tc>
          <w:tcPr>
            <w:tcW w:w="1020" w:type="dxa"/>
            <w:tcBorders>
              <w:top w:val="nil"/>
              <w:left w:val="nil"/>
              <w:bottom w:val="single" w:color="auto" w:sz="8" w:space="0"/>
              <w:right w:val="single" w:color="auto" w:sz="8" w:space="0"/>
            </w:tcBorders>
            <w:vAlign w:val="center"/>
          </w:tcPr>
          <w:p w14:paraId="146E1474">
            <w:pPr>
              <w:widowControl/>
              <w:adjustRightInd/>
              <w:jc w:val="center"/>
              <w:rPr>
                <w:rFonts w:ascii="宋体" w:hAnsi="宋体" w:cs="宋体"/>
                <w:kern w:val="0"/>
                <w:sz w:val="24"/>
                <w:highlight w:val="none"/>
              </w:rPr>
            </w:pPr>
            <w:r>
              <w:rPr>
                <w:rFonts w:hint="eastAsia" w:ascii="宋体" w:hAnsi="宋体" w:cs="宋体"/>
                <w:kern w:val="0"/>
                <w:sz w:val="24"/>
                <w:highlight w:val="none"/>
              </w:rPr>
              <w:t>▲尺寸（高×宽×深）</w:t>
            </w:r>
          </w:p>
        </w:tc>
        <w:tc>
          <w:tcPr>
            <w:tcW w:w="5120" w:type="dxa"/>
            <w:tcBorders>
              <w:top w:val="single" w:color="auto" w:sz="8" w:space="0"/>
              <w:left w:val="nil"/>
              <w:bottom w:val="single" w:color="auto" w:sz="8" w:space="0"/>
              <w:right w:val="single" w:color="auto" w:sz="8" w:space="0"/>
            </w:tcBorders>
            <w:vAlign w:val="center"/>
          </w:tcPr>
          <w:p w14:paraId="3EC779F0">
            <w:pPr>
              <w:widowControl/>
              <w:adjustRightInd/>
              <w:rPr>
                <w:rFonts w:ascii="宋体" w:hAnsi="宋体" w:cs="宋体"/>
                <w:kern w:val="0"/>
                <w:sz w:val="24"/>
                <w:highlight w:val="none"/>
              </w:rPr>
            </w:pPr>
            <w:r>
              <w:rPr>
                <w:rFonts w:hint="eastAsia" w:ascii="宋体" w:hAnsi="宋体" w:cs="宋体"/>
                <w:kern w:val="0"/>
                <w:sz w:val="24"/>
                <w:highlight w:val="none"/>
              </w:rPr>
              <w:t>供应商应在投标时给出产品尺寸；</w:t>
            </w:r>
          </w:p>
        </w:tc>
      </w:tr>
      <w:tr w14:paraId="62854D1A">
        <w:tblPrEx>
          <w:tblCellMar>
            <w:top w:w="0" w:type="dxa"/>
            <w:left w:w="108" w:type="dxa"/>
            <w:bottom w:w="0" w:type="dxa"/>
            <w:right w:w="108" w:type="dxa"/>
          </w:tblCellMar>
        </w:tblPrEx>
        <w:trPr>
          <w:trHeight w:val="624" w:hRule="atLeast"/>
        </w:trPr>
        <w:tc>
          <w:tcPr>
            <w:tcW w:w="980" w:type="dxa"/>
            <w:tcBorders>
              <w:top w:val="nil"/>
              <w:left w:val="single" w:color="auto" w:sz="8" w:space="0"/>
              <w:bottom w:val="single" w:color="auto" w:sz="8" w:space="0"/>
              <w:right w:val="single" w:color="auto" w:sz="8" w:space="0"/>
            </w:tcBorders>
            <w:vAlign w:val="center"/>
          </w:tcPr>
          <w:p w14:paraId="730E8B99">
            <w:pPr>
              <w:widowControl/>
              <w:adjustRightInd/>
              <w:jc w:val="center"/>
              <w:rPr>
                <w:rFonts w:ascii="宋体" w:hAnsi="宋体" w:cs="宋体"/>
                <w:kern w:val="0"/>
                <w:sz w:val="24"/>
                <w:highlight w:val="none"/>
              </w:rPr>
            </w:pPr>
            <w:r>
              <w:rPr>
                <w:rFonts w:ascii="宋体" w:hAnsi="宋体" w:cs="宋体"/>
                <w:kern w:val="0"/>
                <w:sz w:val="24"/>
                <w:highlight w:val="none"/>
              </w:rPr>
              <w:t>20</w:t>
            </w:r>
          </w:p>
        </w:tc>
        <w:tc>
          <w:tcPr>
            <w:tcW w:w="980" w:type="dxa"/>
            <w:vMerge w:val="continue"/>
            <w:tcBorders>
              <w:top w:val="nil"/>
              <w:left w:val="single" w:color="auto" w:sz="8" w:space="0"/>
              <w:bottom w:val="single" w:color="000000" w:sz="8" w:space="0"/>
              <w:right w:val="single" w:color="auto" w:sz="8" w:space="0"/>
            </w:tcBorders>
            <w:vAlign w:val="center"/>
          </w:tcPr>
          <w:p w14:paraId="7C365880">
            <w:pPr>
              <w:widowControl/>
              <w:adjustRightInd/>
              <w:jc w:val="left"/>
              <w:rPr>
                <w:rFonts w:ascii="宋体" w:hAnsi="宋体" w:cs="宋体"/>
                <w:kern w:val="0"/>
                <w:sz w:val="24"/>
                <w:highlight w:val="none"/>
              </w:rPr>
            </w:pPr>
          </w:p>
        </w:tc>
        <w:tc>
          <w:tcPr>
            <w:tcW w:w="1020" w:type="dxa"/>
            <w:tcBorders>
              <w:top w:val="nil"/>
              <w:left w:val="nil"/>
              <w:bottom w:val="single" w:color="auto" w:sz="8" w:space="0"/>
              <w:right w:val="single" w:color="auto" w:sz="8" w:space="0"/>
            </w:tcBorders>
            <w:vAlign w:val="center"/>
          </w:tcPr>
          <w:p w14:paraId="506DF04B">
            <w:pPr>
              <w:widowControl/>
              <w:adjustRightInd/>
              <w:jc w:val="center"/>
              <w:rPr>
                <w:rFonts w:ascii="宋体" w:hAnsi="宋体" w:cs="宋体"/>
                <w:kern w:val="0"/>
                <w:sz w:val="24"/>
                <w:highlight w:val="none"/>
              </w:rPr>
            </w:pPr>
            <w:r>
              <w:rPr>
                <w:rFonts w:hint="eastAsia" w:ascii="宋体" w:hAnsi="宋体" w:cs="宋体"/>
                <w:kern w:val="0"/>
                <w:sz w:val="24"/>
                <w:highlight w:val="none"/>
              </w:rPr>
              <w:t>▲环境适应性</w:t>
            </w:r>
          </w:p>
        </w:tc>
        <w:tc>
          <w:tcPr>
            <w:tcW w:w="5120" w:type="dxa"/>
            <w:tcBorders>
              <w:top w:val="nil"/>
              <w:left w:val="nil"/>
              <w:bottom w:val="single" w:color="auto" w:sz="8" w:space="0"/>
              <w:right w:val="single" w:color="auto" w:sz="8" w:space="0"/>
            </w:tcBorders>
            <w:vAlign w:val="center"/>
          </w:tcPr>
          <w:p w14:paraId="0978C055">
            <w:pPr>
              <w:widowControl/>
              <w:adjustRightInd/>
              <w:rPr>
                <w:rFonts w:ascii="宋体" w:hAnsi="宋体" w:cs="宋体"/>
                <w:kern w:val="0"/>
                <w:sz w:val="24"/>
                <w:highlight w:val="none"/>
              </w:rPr>
            </w:pPr>
            <w:r>
              <w:rPr>
                <w:rFonts w:hint="eastAsia" w:ascii="宋体" w:hAnsi="宋体" w:cs="宋体"/>
                <w:kern w:val="0"/>
                <w:sz w:val="24"/>
                <w:highlight w:val="none"/>
              </w:rPr>
              <w:t>气候环境适应性应符合</w:t>
            </w:r>
            <w:r>
              <w:rPr>
                <w:rFonts w:ascii="宋体" w:hAnsi="宋体" w:cs="宋体"/>
                <w:kern w:val="0"/>
                <w:sz w:val="24"/>
                <w:highlight w:val="none"/>
              </w:rPr>
              <w:t xml:space="preserve"> GB/T9813.3 </w:t>
            </w:r>
            <w:r>
              <w:rPr>
                <w:rFonts w:hint="eastAsia" w:ascii="宋体" w:hAnsi="宋体" w:cs="宋体"/>
                <w:kern w:val="0"/>
                <w:sz w:val="24"/>
                <w:highlight w:val="none"/>
              </w:rPr>
              <w:t>的有关规定，工作温度</w:t>
            </w:r>
            <w:r>
              <w:rPr>
                <w:rFonts w:ascii="宋体" w:hAnsi="宋体" w:cs="宋体"/>
                <w:kern w:val="0"/>
                <w:sz w:val="24"/>
                <w:highlight w:val="none"/>
              </w:rPr>
              <w:t xml:space="preserve"> 10～35℃，贮存运输温度-40～55℃；工作相对湿度 35%～80%，贮存运输相对湿度 20％～93%（40℃）；大气压86～106kPa</w:t>
            </w:r>
          </w:p>
        </w:tc>
      </w:tr>
      <w:tr w14:paraId="3D46C0B8">
        <w:tblPrEx>
          <w:tblCellMar>
            <w:top w:w="0" w:type="dxa"/>
            <w:left w:w="108" w:type="dxa"/>
            <w:bottom w:w="0" w:type="dxa"/>
            <w:right w:w="108" w:type="dxa"/>
          </w:tblCellMar>
        </w:tblPrEx>
        <w:trPr>
          <w:trHeight w:val="936" w:hRule="atLeast"/>
        </w:trPr>
        <w:tc>
          <w:tcPr>
            <w:tcW w:w="980" w:type="dxa"/>
            <w:tcBorders>
              <w:top w:val="nil"/>
              <w:left w:val="single" w:color="auto" w:sz="8" w:space="0"/>
              <w:bottom w:val="single" w:color="auto" w:sz="8" w:space="0"/>
              <w:right w:val="single" w:color="auto" w:sz="8" w:space="0"/>
            </w:tcBorders>
            <w:vAlign w:val="center"/>
          </w:tcPr>
          <w:p w14:paraId="69D28E00">
            <w:pPr>
              <w:widowControl/>
              <w:adjustRightInd/>
              <w:jc w:val="center"/>
              <w:rPr>
                <w:rFonts w:ascii="宋体" w:hAnsi="宋体" w:cs="宋体"/>
                <w:kern w:val="0"/>
                <w:sz w:val="24"/>
                <w:highlight w:val="none"/>
              </w:rPr>
            </w:pPr>
            <w:r>
              <w:rPr>
                <w:rFonts w:ascii="宋体" w:hAnsi="宋体" w:cs="宋体"/>
                <w:kern w:val="0"/>
                <w:sz w:val="24"/>
                <w:highlight w:val="none"/>
              </w:rPr>
              <w:t>21</w:t>
            </w:r>
          </w:p>
        </w:tc>
        <w:tc>
          <w:tcPr>
            <w:tcW w:w="980" w:type="dxa"/>
            <w:vMerge w:val="continue"/>
            <w:tcBorders>
              <w:top w:val="nil"/>
              <w:left w:val="single" w:color="auto" w:sz="8" w:space="0"/>
              <w:bottom w:val="single" w:color="000000" w:sz="8" w:space="0"/>
              <w:right w:val="single" w:color="auto" w:sz="8" w:space="0"/>
            </w:tcBorders>
            <w:vAlign w:val="center"/>
          </w:tcPr>
          <w:p w14:paraId="6DF8AA70">
            <w:pPr>
              <w:widowControl/>
              <w:adjustRightInd/>
              <w:jc w:val="left"/>
              <w:rPr>
                <w:rFonts w:ascii="宋体" w:hAnsi="宋体" w:cs="宋体"/>
                <w:kern w:val="0"/>
                <w:sz w:val="24"/>
                <w:highlight w:val="none"/>
              </w:rPr>
            </w:pPr>
          </w:p>
        </w:tc>
        <w:tc>
          <w:tcPr>
            <w:tcW w:w="1020" w:type="dxa"/>
            <w:tcBorders>
              <w:top w:val="nil"/>
              <w:left w:val="nil"/>
              <w:bottom w:val="single" w:color="auto" w:sz="8" w:space="0"/>
              <w:right w:val="single" w:color="auto" w:sz="8" w:space="0"/>
            </w:tcBorders>
            <w:vAlign w:val="center"/>
          </w:tcPr>
          <w:p w14:paraId="3DEE7894">
            <w:pPr>
              <w:widowControl/>
              <w:adjustRightInd/>
              <w:jc w:val="center"/>
              <w:rPr>
                <w:rFonts w:ascii="宋体" w:hAnsi="宋体" w:cs="宋体"/>
                <w:kern w:val="0"/>
                <w:sz w:val="24"/>
                <w:highlight w:val="none"/>
              </w:rPr>
            </w:pPr>
            <w:r>
              <w:rPr>
                <w:rFonts w:hint="eastAsia" w:ascii="宋体" w:hAnsi="宋体" w:cs="宋体"/>
                <w:kern w:val="0"/>
                <w:sz w:val="24"/>
                <w:highlight w:val="none"/>
              </w:rPr>
              <w:t>▲机械环境适应性</w:t>
            </w:r>
          </w:p>
        </w:tc>
        <w:tc>
          <w:tcPr>
            <w:tcW w:w="5120" w:type="dxa"/>
            <w:tcBorders>
              <w:top w:val="nil"/>
              <w:left w:val="nil"/>
              <w:bottom w:val="single" w:color="auto" w:sz="8" w:space="0"/>
              <w:right w:val="single" w:color="auto" w:sz="8" w:space="0"/>
            </w:tcBorders>
            <w:vAlign w:val="center"/>
          </w:tcPr>
          <w:p w14:paraId="45519FD8">
            <w:pPr>
              <w:widowControl/>
              <w:adjustRightInd/>
              <w:rPr>
                <w:rFonts w:ascii="宋体" w:hAnsi="宋体" w:cs="宋体"/>
                <w:kern w:val="0"/>
                <w:sz w:val="24"/>
                <w:highlight w:val="none"/>
              </w:rPr>
            </w:pPr>
            <w:r>
              <w:rPr>
                <w:rFonts w:hint="eastAsia" w:ascii="宋体" w:hAnsi="宋体" w:cs="宋体"/>
                <w:kern w:val="0"/>
                <w:sz w:val="24"/>
                <w:highlight w:val="none"/>
              </w:rPr>
              <w:t>机械环境适应性应符合</w:t>
            </w:r>
            <w:r>
              <w:rPr>
                <w:rFonts w:ascii="宋体" w:hAnsi="宋体" w:cs="宋体"/>
                <w:kern w:val="0"/>
                <w:sz w:val="24"/>
                <w:highlight w:val="none"/>
              </w:rPr>
              <w:t xml:space="preserve"> GB/T9813.3 </w:t>
            </w:r>
            <w:r>
              <w:rPr>
                <w:rFonts w:hint="eastAsia" w:ascii="宋体" w:hAnsi="宋体" w:cs="宋体"/>
                <w:kern w:val="0"/>
                <w:sz w:val="24"/>
                <w:highlight w:val="none"/>
              </w:rPr>
              <w:t>的有关规定</w:t>
            </w:r>
          </w:p>
        </w:tc>
      </w:tr>
      <w:tr w14:paraId="27C027CF">
        <w:tblPrEx>
          <w:tblCellMar>
            <w:top w:w="0" w:type="dxa"/>
            <w:left w:w="108" w:type="dxa"/>
            <w:bottom w:w="0" w:type="dxa"/>
            <w:right w:w="108" w:type="dxa"/>
          </w:tblCellMar>
        </w:tblPrEx>
        <w:trPr>
          <w:trHeight w:val="312" w:hRule="atLeast"/>
        </w:trPr>
        <w:tc>
          <w:tcPr>
            <w:tcW w:w="980" w:type="dxa"/>
            <w:tcBorders>
              <w:top w:val="nil"/>
              <w:left w:val="single" w:color="auto" w:sz="8" w:space="0"/>
              <w:bottom w:val="single" w:color="auto" w:sz="8" w:space="0"/>
              <w:right w:val="single" w:color="auto" w:sz="8" w:space="0"/>
            </w:tcBorders>
            <w:vAlign w:val="center"/>
          </w:tcPr>
          <w:p w14:paraId="17E0F587">
            <w:pPr>
              <w:widowControl/>
              <w:adjustRightInd/>
              <w:jc w:val="center"/>
              <w:rPr>
                <w:rFonts w:ascii="宋体" w:hAnsi="宋体" w:cs="宋体"/>
                <w:kern w:val="0"/>
                <w:sz w:val="24"/>
                <w:highlight w:val="none"/>
              </w:rPr>
            </w:pPr>
            <w:r>
              <w:rPr>
                <w:rFonts w:ascii="宋体" w:hAnsi="宋体" w:cs="宋体"/>
                <w:kern w:val="0"/>
                <w:sz w:val="24"/>
                <w:highlight w:val="none"/>
              </w:rPr>
              <w:t>22</w:t>
            </w:r>
          </w:p>
        </w:tc>
        <w:tc>
          <w:tcPr>
            <w:tcW w:w="980" w:type="dxa"/>
            <w:vMerge w:val="continue"/>
            <w:tcBorders>
              <w:top w:val="nil"/>
              <w:left w:val="single" w:color="auto" w:sz="8" w:space="0"/>
              <w:bottom w:val="single" w:color="000000" w:sz="8" w:space="0"/>
              <w:right w:val="single" w:color="auto" w:sz="8" w:space="0"/>
            </w:tcBorders>
            <w:vAlign w:val="center"/>
          </w:tcPr>
          <w:p w14:paraId="098D282B">
            <w:pPr>
              <w:widowControl/>
              <w:adjustRightInd/>
              <w:jc w:val="left"/>
              <w:rPr>
                <w:rFonts w:ascii="宋体" w:hAnsi="宋体" w:cs="宋体"/>
                <w:kern w:val="0"/>
                <w:sz w:val="24"/>
                <w:highlight w:val="none"/>
              </w:rPr>
            </w:pPr>
          </w:p>
        </w:tc>
        <w:tc>
          <w:tcPr>
            <w:tcW w:w="1020" w:type="dxa"/>
            <w:tcBorders>
              <w:top w:val="nil"/>
              <w:left w:val="nil"/>
              <w:bottom w:val="single" w:color="auto" w:sz="8" w:space="0"/>
              <w:right w:val="single" w:color="auto" w:sz="8" w:space="0"/>
            </w:tcBorders>
            <w:vAlign w:val="center"/>
          </w:tcPr>
          <w:p w14:paraId="7C1225F6">
            <w:pPr>
              <w:widowControl/>
              <w:adjustRightInd/>
              <w:jc w:val="center"/>
              <w:rPr>
                <w:rFonts w:ascii="宋体" w:hAnsi="宋体" w:cs="宋体"/>
                <w:kern w:val="0"/>
                <w:sz w:val="24"/>
                <w:highlight w:val="none"/>
              </w:rPr>
            </w:pPr>
            <w:r>
              <w:rPr>
                <w:rFonts w:hint="eastAsia" w:ascii="宋体" w:hAnsi="宋体" w:cs="宋体"/>
                <w:kern w:val="0"/>
                <w:sz w:val="24"/>
                <w:highlight w:val="none"/>
              </w:rPr>
              <w:t>▲噪声</w:t>
            </w:r>
          </w:p>
        </w:tc>
        <w:tc>
          <w:tcPr>
            <w:tcW w:w="5120" w:type="dxa"/>
            <w:tcBorders>
              <w:top w:val="nil"/>
              <w:left w:val="nil"/>
              <w:bottom w:val="single" w:color="auto" w:sz="8" w:space="0"/>
              <w:right w:val="single" w:color="auto" w:sz="8" w:space="0"/>
            </w:tcBorders>
            <w:vAlign w:val="center"/>
          </w:tcPr>
          <w:p w14:paraId="137283F8">
            <w:pPr>
              <w:widowControl/>
              <w:adjustRightInd/>
              <w:rPr>
                <w:rFonts w:ascii="宋体" w:hAnsi="宋体" w:cs="宋体"/>
                <w:kern w:val="0"/>
                <w:sz w:val="24"/>
                <w:highlight w:val="none"/>
              </w:rPr>
            </w:pPr>
            <w:r>
              <w:rPr>
                <w:rFonts w:hint="eastAsia" w:ascii="宋体" w:hAnsi="宋体" w:cs="宋体"/>
                <w:kern w:val="0"/>
                <w:sz w:val="24"/>
                <w:highlight w:val="none"/>
              </w:rPr>
              <w:t>符合</w:t>
            </w:r>
            <w:r>
              <w:rPr>
                <w:rFonts w:ascii="宋体" w:hAnsi="宋体" w:cs="宋体"/>
                <w:kern w:val="0"/>
                <w:sz w:val="24"/>
                <w:highlight w:val="none"/>
              </w:rPr>
              <w:t xml:space="preserve"> GB/T 9813.3 </w:t>
            </w:r>
            <w:r>
              <w:rPr>
                <w:rFonts w:hint="eastAsia" w:ascii="宋体" w:hAnsi="宋体" w:cs="宋体"/>
                <w:kern w:val="0"/>
                <w:sz w:val="24"/>
                <w:highlight w:val="none"/>
              </w:rPr>
              <w:t>的有关规定，在产品说明中给出具体测试值塔式服务器噪声在空闲状态下不大于</w:t>
            </w:r>
            <w:r>
              <w:rPr>
                <w:rFonts w:ascii="宋体" w:hAnsi="宋体" w:cs="宋体"/>
                <w:kern w:val="0"/>
                <w:sz w:val="24"/>
                <w:highlight w:val="none"/>
              </w:rPr>
              <w:t xml:space="preserve"> 50dB</w:t>
            </w:r>
          </w:p>
        </w:tc>
      </w:tr>
      <w:tr w14:paraId="78A89777">
        <w:tblPrEx>
          <w:tblCellMar>
            <w:top w:w="0" w:type="dxa"/>
            <w:left w:w="108" w:type="dxa"/>
            <w:bottom w:w="0" w:type="dxa"/>
            <w:right w:w="108" w:type="dxa"/>
          </w:tblCellMar>
        </w:tblPrEx>
        <w:trPr>
          <w:trHeight w:val="624" w:hRule="atLeast"/>
        </w:trPr>
        <w:tc>
          <w:tcPr>
            <w:tcW w:w="980" w:type="dxa"/>
            <w:tcBorders>
              <w:top w:val="nil"/>
              <w:left w:val="single" w:color="auto" w:sz="8" w:space="0"/>
              <w:bottom w:val="single" w:color="auto" w:sz="8" w:space="0"/>
              <w:right w:val="single" w:color="auto" w:sz="8" w:space="0"/>
            </w:tcBorders>
            <w:vAlign w:val="center"/>
          </w:tcPr>
          <w:p w14:paraId="6EF40F31">
            <w:pPr>
              <w:widowControl/>
              <w:adjustRightInd/>
              <w:jc w:val="center"/>
              <w:rPr>
                <w:rFonts w:ascii="宋体" w:hAnsi="宋体" w:cs="宋体"/>
                <w:kern w:val="0"/>
                <w:sz w:val="24"/>
                <w:highlight w:val="none"/>
              </w:rPr>
            </w:pPr>
            <w:r>
              <w:rPr>
                <w:rFonts w:ascii="宋体" w:hAnsi="宋体" w:cs="宋体"/>
                <w:kern w:val="0"/>
                <w:sz w:val="24"/>
                <w:highlight w:val="none"/>
              </w:rPr>
              <w:t>23</w:t>
            </w:r>
          </w:p>
        </w:tc>
        <w:tc>
          <w:tcPr>
            <w:tcW w:w="980" w:type="dxa"/>
            <w:tcBorders>
              <w:top w:val="nil"/>
              <w:left w:val="nil"/>
              <w:bottom w:val="single" w:color="auto" w:sz="8" w:space="0"/>
              <w:right w:val="single" w:color="auto" w:sz="8" w:space="0"/>
            </w:tcBorders>
            <w:vAlign w:val="center"/>
          </w:tcPr>
          <w:p w14:paraId="52E84DA8">
            <w:pPr>
              <w:widowControl/>
              <w:adjustRightInd/>
              <w:jc w:val="center"/>
              <w:rPr>
                <w:rFonts w:ascii="宋体" w:hAnsi="宋体" w:cs="宋体"/>
                <w:kern w:val="0"/>
                <w:sz w:val="24"/>
                <w:highlight w:val="none"/>
              </w:rPr>
            </w:pPr>
            <w:r>
              <w:rPr>
                <w:rFonts w:hint="eastAsia" w:ascii="宋体" w:hAnsi="宋体" w:cs="宋体"/>
                <w:kern w:val="0"/>
                <w:sz w:val="24"/>
                <w:highlight w:val="none"/>
              </w:rPr>
              <w:t>机柜规格</w:t>
            </w:r>
          </w:p>
        </w:tc>
        <w:tc>
          <w:tcPr>
            <w:tcW w:w="1020" w:type="dxa"/>
            <w:tcBorders>
              <w:top w:val="nil"/>
              <w:left w:val="nil"/>
              <w:bottom w:val="single" w:color="auto" w:sz="8" w:space="0"/>
              <w:right w:val="single" w:color="auto" w:sz="8" w:space="0"/>
            </w:tcBorders>
            <w:vAlign w:val="center"/>
          </w:tcPr>
          <w:p w14:paraId="6F4E8B79">
            <w:pPr>
              <w:widowControl/>
              <w:adjustRightInd/>
              <w:jc w:val="center"/>
              <w:rPr>
                <w:rFonts w:ascii="宋体" w:hAnsi="宋体" w:cs="宋体"/>
                <w:kern w:val="0"/>
                <w:sz w:val="24"/>
                <w:highlight w:val="none"/>
              </w:rPr>
            </w:pPr>
            <w:r>
              <w:rPr>
                <w:rFonts w:hint="eastAsia" w:ascii="宋体" w:hAnsi="宋体" w:cs="宋体"/>
                <w:kern w:val="0"/>
                <w:sz w:val="24"/>
                <w:highlight w:val="none"/>
              </w:rPr>
              <w:t>▲机柜尺寸</w:t>
            </w:r>
          </w:p>
        </w:tc>
        <w:tc>
          <w:tcPr>
            <w:tcW w:w="5120" w:type="dxa"/>
            <w:tcBorders>
              <w:top w:val="nil"/>
              <w:left w:val="nil"/>
              <w:bottom w:val="single" w:color="auto" w:sz="8" w:space="0"/>
              <w:right w:val="single" w:color="auto" w:sz="8" w:space="0"/>
            </w:tcBorders>
            <w:vAlign w:val="center"/>
          </w:tcPr>
          <w:p w14:paraId="7E6B89A4">
            <w:pPr>
              <w:widowControl/>
              <w:adjustRightInd/>
              <w:rPr>
                <w:rFonts w:ascii="宋体" w:hAnsi="宋体" w:cs="宋体"/>
                <w:kern w:val="0"/>
                <w:sz w:val="24"/>
                <w:highlight w:val="none"/>
              </w:rPr>
            </w:pPr>
            <w:r>
              <w:rPr>
                <w:rFonts w:hint="eastAsia" w:ascii="宋体" w:hAnsi="宋体" w:cs="宋体"/>
                <w:kern w:val="0"/>
                <w:sz w:val="24"/>
                <w:highlight w:val="none"/>
              </w:rPr>
              <w:t>供应商在投标时给出长度、高度和深度；</w:t>
            </w:r>
          </w:p>
        </w:tc>
      </w:tr>
      <w:tr w14:paraId="346BA547">
        <w:tblPrEx>
          <w:tblCellMar>
            <w:top w:w="0" w:type="dxa"/>
            <w:left w:w="108" w:type="dxa"/>
            <w:bottom w:w="0" w:type="dxa"/>
            <w:right w:w="108" w:type="dxa"/>
          </w:tblCellMar>
        </w:tblPrEx>
        <w:trPr>
          <w:trHeight w:val="936" w:hRule="atLeast"/>
        </w:trPr>
        <w:tc>
          <w:tcPr>
            <w:tcW w:w="980" w:type="dxa"/>
            <w:tcBorders>
              <w:top w:val="nil"/>
              <w:left w:val="single" w:color="auto" w:sz="8" w:space="0"/>
              <w:bottom w:val="single" w:color="auto" w:sz="8" w:space="0"/>
              <w:right w:val="single" w:color="auto" w:sz="8" w:space="0"/>
            </w:tcBorders>
            <w:vAlign w:val="center"/>
          </w:tcPr>
          <w:p w14:paraId="7027D84B">
            <w:pPr>
              <w:widowControl/>
              <w:adjustRightInd/>
              <w:jc w:val="center"/>
              <w:rPr>
                <w:rFonts w:ascii="宋体" w:hAnsi="宋体" w:cs="宋体"/>
                <w:kern w:val="0"/>
                <w:sz w:val="24"/>
                <w:highlight w:val="none"/>
              </w:rPr>
            </w:pPr>
            <w:r>
              <w:rPr>
                <w:rFonts w:ascii="宋体" w:hAnsi="宋体" w:cs="宋体"/>
                <w:kern w:val="0"/>
                <w:sz w:val="24"/>
                <w:highlight w:val="none"/>
              </w:rPr>
              <w:t>24</w:t>
            </w:r>
          </w:p>
        </w:tc>
        <w:tc>
          <w:tcPr>
            <w:tcW w:w="980" w:type="dxa"/>
            <w:tcBorders>
              <w:top w:val="nil"/>
              <w:left w:val="nil"/>
              <w:bottom w:val="single" w:color="auto" w:sz="8" w:space="0"/>
              <w:right w:val="single" w:color="auto" w:sz="8" w:space="0"/>
            </w:tcBorders>
            <w:vAlign w:val="center"/>
          </w:tcPr>
          <w:p w14:paraId="61BF1565">
            <w:pPr>
              <w:widowControl/>
              <w:adjustRightInd/>
              <w:jc w:val="center"/>
              <w:rPr>
                <w:rFonts w:ascii="宋体" w:hAnsi="宋体" w:cs="宋体"/>
                <w:kern w:val="0"/>
                <w:sz w:val="24"/>
                <w:highlight w:val="none"/>
              </w:rPr>
            </w:pPr>
            <w:r>
              <w:rPr>
                <w:rFonts w:hint="eastAsia" w:ascii="宋体" w:hAnsi="宋体" w:cs="宋体"/>
                <w:kern w:val="0"/>
                <w:sz w:val="24"/>
                <w:highlight w:val="none"/>
              </w:rPr>
              <w:t>▲主板</w:t>
            </w:r>
          </w:p>
        </w:tc>
        <w:tc>
          <w:tcPr>
            <w:tcW w:w="1020" w:type="dxa"/>
            <w:tcBorders>
              <w:top w:val="nil"/>
              <w:left w:val="nil"/>
              <w:bottom w:val="single" w:color="auto" w:sz="8" w:space="0"/>
              <w:right w:val="single" w:color="auto" w:sz="8" w:space="0"/>
            </w:tcBorders>
            <w:vAlign w:val="center"/>
          </w:tcPr>
          <w:p w14:paraId="41630F99">
            <w:pPr>
              <w:widowControl/>
              <w:adjustRightInd/>
              <w:jc w:val="center"/>
              <w:rPr>
                <w:rFonts w:ascii="宋体" w:hAnsi="宋体" w:cs="宋体"/>
                <w:kern w:val="0"/>
                <w:sz w:val="24"/>
                <w:highlight w:val="none"/>
              </w:rPr>
            </w:pPr>
            <w:r>
              <w:rPr>
                <w:rFonts w:hint="eastAsia" w:ascii="宋体" w:hAnsi="宋体" w:cs="宋体"/>
                <w:kern w:val="0"/>
                <w:sz w:val="24"/>
                <w:highlight w:val="none"/>
              </w:rPr>
              <w:t>▲主板外部接口种类</w:t>
            </w:r>
          </w:p>
        </w:tc>
        <w:tc>
          <w:tcPr>
            <w:tcW w:w="5120" w:type="dxa"/>
            <w:tcBorders>
              <w:top w:val="nil"/>
              <w:left w:val="nil"/>
              <w:bottom w:val="single" w:color="auto" w:sz="8" w:space="0"/>
              <w:right w:val="single" w:color="auto" w:sz="8" w:space="0"/>
            </w:tcBorders>
            <w:vAlign w:val="center"/>
          </w:tcPr>
          <w:p w14:paraId="298A48C1">
            <w:pPr>
              <w:widowControl/>
              <w:adjustRightInd/>
              <w:rPr>
                <w:rFonts w:ascii="宋体" w:hAnsi="宋体" w:cs="宋体"/>
                <w:kern w:val="0"/>
                <w:sz w:val="24"/>
                <w:highlight w:val="none"/>
              </w:rPr>
            </w:pPr>
            <w:r>
              <w:rPr>
                <w:rFonts w:hint="eastAsia" w:ascii="宋体" w:hAnsi="宋体" w:cs="宋体"/>
                <w:kern w:val="0"/>
                <w:sz w:val="24"/>
                <w:highlight w:val="none"/>
              </w:rPr>
              <w:t>支持</w:t>
            </w:r>
            <w:r>
              <w:rPr>
                <w:rFonts w:ascii="宋体" w:hAnsi="宋体" w:cs="宋体"/>
                <w:kern w:val="0"/>
                <w:sz w:val="24"/>
                <w:highlight w:val="none"/>
              </w:rPr>
              <w:t xml:space="preserve"> USB、显示、管理等接口,如VGA、USB3.0接口、BMC </w:t>
            </w:r>
            <w:r>
              <w:rPr>
                <w:rFonts w:hint="eastAsia" w:ascii="宋体" w:hAnsi="宋体" w:cs="宋体"/>
                <w:kern w:val="0"/>
                <w:sz w:val="24"/>
                <w:highlight w:val="none"/>
              </w:rPr>
              <w:t>管理端口</w:t>
            </w:r>
          </w:p>
        </w:tc>
      </w:tr>
      <w:tr w14:paraId="78D8CA86">
        <w:tblPrEx>
          <w:tblCellMar>
            <w:top w:w="0" w:type="dxa"/>
            <w:left w:w="108" w:type="dxa"/>
            <w:bottom w:w="0" w:type="dxa"/>
            <w:right w:w="108" w:type="dxa"/>
          </w:tblCellMar>
        </w:tblPrEx>
        <w:trPr>
          <w:trHeight w:val="624" w:hRule="atLeast"/>
        </w:trPr>
        <w:tc>
          <w:tcPr>
            <w:tcW w:w="980" w:type="dxa"/>
            <w:tcBorders>
              <w:top w:val="nil"/>
              <w:left w:val="single" w:color="auto" w:sz="8" w:space="0"/>
              <w:bottom w:val="single" w:color="auto" w:sz="8" w:space="0"/>
              <w:right w:val="single" w:color="auto" w:sz="8" w:space="0"/>
            </w:tcBorders>
            <w:vAlign w:val="center"/>
          </w:tcPr>
          <w:p w14:paraId="2F13275A">
            <w:pPr>
              <w:widowControl/>
              <w:adjustRightInd/>
              <w:jc w:val="center"/>
              <w:rPr>
                <w:rFonts w:ascii="宋体" w:hAnsi="宋体" w:cs="宋体"/>
                <w:kern w:val="0"/>
                <w:sz w:val="24"/>
                <w:highlight w:val="none"/>
              </w:rPr>
            </w:pPr>
            <w:r>
              <w:rPr>
                <w:rFonts w:ascii="宋体" w:hAnsi="宋体" w:cs="宋体"/>
                <w:kern w:val="0"/>
                <w:sz w:val="24"/>
                <w:highlight w:val="none"/>
              </w:rPr>
              <w:t>25</w:t>
            </w:r>
          </w:p>
        </w:tc>
        <w:tc>
          <w:tcPr>
            <w:tcW w:w="980" w:type="dxa"/>
            <w:tcBorders>
              <w:top w:val="nil"/>
              <w:left w:val="nil"/>
              <w:bottom w:val="single" w:color="auto" w:sz="8" w:space="0"/>
              <w:right w:val="single" w:color="auto" w:sz="8" w:space="0"/>
            </w:tcBorders>
            <w:vAlign w:val="center"/>
          </w:tcPr>
          <w:p w14:paraId="78279AB6">
            <w:pPr>
              <w:widowControl/>
              <w:adjustRightInd/>
              <w:jc w:val="center"/>
              <w:rPr>
                <w:rFonts w:ascii="宋体" w:hAnsi="宋体" w:cs="宋体"/>
                <w:kern w:val="0"/>
                <w:sz w:val="24"/>
                <w:highlight w:val="none"/>
              </w:rPr>
            </w:pPr>
            <w:r>
              <w:rPr>
                <w:rFonts w:hint="eastAsia" w:ascii="宋体" w:hAnsi="宋体" w:cs="宋体"/>
                <w:kern w:val="0"/>
                <w:sz w:val="24"/>
                <w:highlight w:val="none"/>
              </w:rPr>
              <w:t>▲网络功能</w:t>
            </w:r>
          </w:p>
        </w:tc>
        <w:tc>
          <w:tcPr>
            <w:tcW w:w="1020" w:type="dxa"/>
            <w:tcBorders>
              <w:top w:val="nil"/>
              <w:left w:val="nil"/>
              <w:bottom w:val="single" w:color="auto" w:sz="8" w:space="0"/>
              <w:right w:val="single" w:color="auto" w:sz="8" w:space="0"/>
            </w:tcBorders>
            <w:vAlign w:val="center"/>
          </w:tcPr>
          <w:p w14:paraId="01273800">
            <w:pPr>
              <w:widowControl/>
              <w:adjustRightInd/>
              <w:jc w:val="center"/>
              <w:rPr>
                <w:rFonts w:ascii="宋体" w:hAnsi="宋体" w:cs="宋体"/>
                <w:kern w:val="0"/>
                <w:sz w:val="24"/>
                <w:highlight w:val="none"/>
              </w:rPr>
            </w:pPr>
            <w:r>
              <w:rPr>
                <w:rFonts w:hint="eastAsia" w:ascii="宋体" w:hAnsi="宋体" w:cs="宋体"/>
                <w:kern w:val="0"/>
                <w:sz w:val="24"/>
                <w:highlight w:val="none"/>
              </w:rPr>
              <w:t>▲网络功能</w:t>
            </w:r>
          </w:p>
        </w:tc>
        <w:tc>
          <w:tcPr>
            <w:tcW w:w="5120" w:type="dxa"/>
            <w:tcBorders>
              <w:top w:val="nil"/>
              <w:left w:val="nil"/>
              <w:bottom w:val="single" w:color="auto" w:sz="8" w:space="0"/>
              <w:right w:val="single" w:color="auto" w:sz="8" w:space="0"/>
            </w:tcBorders>
            <w:vAlign w:val="center"/>
          </w:tcPr>
          <w:p w14:paraId="71638147">
            <w:pPr>
              <w:widowControl/>
              <w:adjustRightInd/>
              <w:rPr>
                <w:rFonts w:ascii="宋体" w:hAnsi="宋体" w:cs="宋体"/>
                <w:kern w:val="0"/>
                <w:sz w:val="24"/>
                <w:highlight w:val="none"/>
              </w:rPr>
            </w:pPr>
            <w:r>
              <w:rPr>
                <w:rFonts w:hint="eastAsia" w:ascii="宋体" w:hAnsi="宋体" w:cs="宋体"/>
                <w:kern w:val="0"/>
                <w:sz w:val="24"/>
                <w:highlight w:val="none"/>
              </w:rPr>
              <w:t>支持网络连接、网络访问、数据交换和网络管控功能</w:t>
            </w:r>
          </w:p>
        </w:tc>
      </w:tr>
      <w:tr w14:paraId="53F82BC8">
        <w:tblPrEx>
          <w:tblCellMar>
            <w:top w:w="0" w:type="dxa"/>
            <w:left w:w="108" w:type="dxa"/>
            <w:bottom w:w="0" w:type="dxa"/>
            <w:right w:w="108" w:type="dxa"/>
          </w:tblCellMar>
        </w:tblPrEx>
        <w:trPr>
          <w:trHeight w:val="624" w:hRule="atLeast"/>
        </w:trPr>
        <w:tc>
          <w:tcPr>
            <w:tcW w:w="980" w:type="dxa"/>
            <w:tcBorders>
              <w:top w:val="nil"/>
              <w:left w:val="single" w:color="auto" w:sz="8" w:space="0"/>
              <w:bottom w:val="single" w:color="auto" w:sz="8" w:space="0"/>
              <w:right w:val="single" w:color="auto" w:sz="8" w:space="0"/>
            </w:tcBorders>
            <w:vAlign w:val="center"/>
          </w:tcPr>
          <w:p w14:paraId="4A77AEEB">
            <w:pPr>
              <w:widowControl/>
              <w:adjustRightInd/>
              <w:jc w:val="center"/>
              <w:rPr>
                <w:rFonts w:ascii="宋体" w:hAnsi="宋体" w:cs="宋体"/>
                <w:kern w:val="0"/>
                <w:sz w:val="24"/>
                <w:highlight w:val="none"/>
              </w:rPr>
            </w:pPr>
            <w:r>
              <w:rPr>
                <w:rFonts w:ascii="宋体" w:hAnsi="宋体" w:cs="宋体"/>
                <w:kern w:val="0"/>
                <w:sz w:val="24"/>
                <w:highlight w:val="none"/>
              </w:rPr>
              <w:t>26</w:t>
            </w:r>
          </w:p>
        </w:tc>
        <w:tc>
          <w:tcPr>
            <w:tcW w:w="980" w:type="dxa"/>
            <w:vMerge w:val="restart"/>
            <w:tcBorders>
              <w:top w:val="nil"/>
              <w:left w:val="single" w:color="auto" w:sz="8" w:space="0"/>
              <w:bottom w:val="single" w:color="000000" w:sz="8" w:space="0"/>
              <w:right w:val="single" w:color="auto" w:sz="8" w:space="0"/>
            </w:tcBorders>
            <w:vAlign w:val="center"/>
          </w:tcPr>
          <w:p w14:paraId="777823CB">
            <w:pPr>
              <w:widowControl/>
              <w:adjustRightInd/>
              <w:jc w:val="center"/>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CPU功能</w:t>
            </w:r>
          </w:p>
        </w:tc>
        <w:tc>
          <w:tcPr>
            <w:tcW w:w="1020" w:type="dxa"/>
            <w:tcBorders>
              <w:top w:val="nil"/>
              <w:left w:val="nil"/>
              <w:bottom w:val="single" w:color="auto" w:sz="8" w:space="0"/>
              <w:right w:val="single" w:color="auto" w:sz="8" w:space="0"/>
            </w:tcBorders>
            <w:vAlign w:val="center"/>
          </w:tcPr>
          <w:p w14:paraId="36238BC7">
            <w:pPr>
              <w:widowControl/>
              <w:adjustRightInd/>
              <w:jc w:val="center"/>
              <w:rPr>
                <w:rFonts w:ascii="宋体" w:hAnsi="宋体" w:cs="宋体"/>
                <w:kern w:val="0"/>
                <w:sz w:val="24"/>
                <w:highlight w:val="none"/>
              </w:rPr>
            </w:pPr>
            <w:r>
              <w:rPr>
                <w:rFonts w:hint="eastAsia" w:ascii="宋体" w:hAnsi="宋体" w:cs="宋体"/>
                <w:kern w:val="0"/>
                <w:sz w:val="24"/>
                <w:highlight w:val="none"/>
              </w:rPr>
              <w:t>▲计算处理</w:t>
            </w:r>
          </w:p>
        </w:tc>
        <w:tc>
          <w:tcPr>
            <w:tcW w:w="5120" w:type="dxa"/>
            <w:tcBorders>
              <w:top w:val="nil"/>
              <w:left w:val="nil"/>
              <w:bottom w:val="single" w:color="auto" w:sz="8" w:space="0"/>
              <w:right w:val="single" w:color="auto" w:sz="8" w:space="0"/>
            </w:tcBorders>
            <w:vAlign w:val="center"/>
          </w:tcPr>
          <w:p w14:paraId="4F307C73">
            <w:pPr>
              <w:widowControl/>
              <w:adjustRightInd/>
              <w:rPr>
                <w:rFonts w:ascii="宋体" w:hAnsi="宋体" w:cs="宋体"/>
                <w:kern w:val="0"/>
                <w:sz w:val="24"/>
                <w:highlight w:val="none"/>
              </w:rPr>
            </w:pPr>
            <w:r>
              <w:rPr>
                <w:rFonts w:hint="eastAsia" w:ascii="宋体" w:hAnsi="宋体" w:cs="宋体"/>
                <w:kern w:val="0"/>
                <w:sz w:val="24"/>
                <w:highlight w:val="none"/>
              </w:rPr>
              <w:t>支持通用计算及虚拟化功能。处理器需集成整型计算单元、浮点计算单元、内存控制器、</w:t>
            </w:r>
            <w:r>
              <w:rPr>
                <w:rFonts w:ascii="宋体" w:hAnsi="宋体" w:cs="宋体"/>
                <w:kern w:val="0"/>
                <w:sz w:val="24"/>
                <w:highlight w:val="none"/>
              </w:rPr>
              <w:t xml:space="preserve">I/O </w:t>
            </w:r>
            <w:r>
              <w:rPr>
                <w:rFonts w:hint="eastAsia" w:ascii="宋体" w:hAnsi="宋体" w:cs="宋体"/>
                <w:kern w:val="0"/>
                <w:sz w:val="24"/>
                <w:highlight w:val="none"/>
              </w:rPr>
              <w:t>模块等，处理器与存储部件、网络部件、</w:t>
            </w:r>
            <w:r>
              <w:rPr>
                <w:rFonts w:ascii="宋体" w:hAnsi="宋体" w:cs="宋体"/>
                <w:kern w:val="0"/>
                <w:sz w:val="24"/>
                <w:highlight w:val="none"/>
              </w:rPr>
              <w:t>I/O部件等组成计算系统，提供数据处理、网络接入等计算相关功能</w:t>
            </w:r>
          </w:p>
        </w:tc>
      </w:tr>
      <w:tr w14:paraId="086BB959">
        <w:tblPrEx>
          <w:tblCellMar>
            <w:top w:w="0" w:type="dxa"/>
            <w:left w:w="108" w:type="dxa"/>
            <w:bottom w:w="0" w:type="dxa"/>
            <w:right w:w="108" w:type="dxa"/>
          </w:tblCellMar>
        </w:tblPrEx>
        <w:trPr>
          <w:trHeight w:val="936" w:hRule="atLeast"/>
        </w:trPr>
        <w:tc>
          <w:tcPr>
            <w:tcW w:w="980" w:type="dxa"/>
            <w:tcBorders>
              <w:top w:val="nil"/>
              <w:left w:val="single" w:color="auto" w:sz="8" w:space="0"/>
              <w:bottom w:val="single" w:color="auto" w:sz="8" w:space="0"/>
              <w:right w:val="single" w:color="auto" w:sz="8" w:space="0"/>
            </w:tcBorders>
            <w:vAlign w:val="center"/>
          </w:tcPr>
          <w:p w14:paraId="2812ECED">
            <w:pPr>
              <w:widowControl/>
              <w:adjustRightInd/>
              <w:jc w:val="center"/>
              <w:rPr>
                <w:rFonts w:ascii="宋体" w:hAnsi="宋体" w:cs="宋体"/>
                <w:kern w:val="0"/>
                <w:sz w:val="24"/>
                <w:highlight w:val="none"/>
              </w:rPr>
            </w:pPr>
            <w:r>
              <w:rPr>
                <w:rFonts w:ascii="宋体" w:hAnsi="宋体" w:cs="宋体"/>
                <w:kern w:val="0"/>
                <w:sz w:val="24"/>
                <w:highlight w:val="none"/>
              </w:rPr>
              <w:t>27</w:t>
            </w:r>
          </w:p>
        </w:tc>
        <w:tc>
          <w:tcPr>
            <w:tcW w:w="980" w:type="dxa"/>
            <w:vMerge w:val="continue"/>
            <w:tcBorders>
              <w:top w:val="nil"/>
              <w:left w:val="single" w:color="auto" w:sz="8" w:space="0"/>
              <w:bottom w:val="single" w:color="auto" w:sz="8" w:space="0"/>
              <w:right w:val="single" w:color="auto" w:sz="8" w:space="0"/>
            </w:tcBorders>
            <w:vAlign w:val="center"/>
          </w:tcPr>
          <w:p w14:paraId="34ECE49F">
            <w:pPr>
              <w:widowControl/>
              <w:adjustRightInd/>
              <w:jc w:val="left"/>
              <w:rPr>
                <w:rFonts w:ascii="宋体" w:hAnsi="宋体" w:cs="宋体"/>
                <w:kern w:val="0"/>
                <w:sz w:val="24"/>
                <w:highlight w:val="none"/>
              </w:rPr>
            </w:pPr>
          </w:p>
        </w:tc>
        <w:tc>
          <w:tcPr>
            <w:tcW w:w="1020" w:type="dxa"/>
            <w:tcBorders>
              <w:top w:val="nil"/>
              <w:left w:val="nil"/>
              <w:bottom w:val="single" w:color="auto" w:sz="8" w:space="0"/>
              <w:right w:val="single" w:color="auto" w:sz="8" w:space="0"/>
            </w:tcBorders>
            <w:vAlign w:val="center"/>
          </w:tcPr>
          <w:p w14:paraId="169A75BA">
            <w:pPr>
              <w:widowControl/>
              <w:adjustRightInd/>
              <w:jc w:val="center"/>
              <w:rPr>
                <w:rFonts w:ascii="宋体" w:hAnsi="宋体" w:cs="宋体"/>
                <w:kern w:val="0"/>
                <w:sz w:val="24"/>
                <w:highlight w:val="none"/>
              </w:rPr>
            </w:pPr>
            <w:r>
              <w:rPr>
                <w:rFonts w:hint="eastAsia" w:ascii="宋体" w:hAnsi="宋体" w:cs="宋体"/>
                <w:kern w:val="0"/>
                <w:sz w:val="24"/>
                <w:highlight w:val="none"/>
              </w:rPr>
              <w:t>▲密码算法实现</w:t>
            </w:r>
          </w:p>
        </w:tc>
        <w:tc>
          <w:tcPr>
            <w:tcW w:w="5120" w:type="dxa"/>
            <w:tcBorders>
              <w:top w:val="nil"/>
              <w:left w:val="nil"/>
              <w:bottom w:val="single" w:color="auto" w:sz="8" w:space="0"/>
              <w:right w:val="single" w:color="auto" w:sz="8" w:space="0"/>
            </w:tcBorders>
            <w:vAlign w:val="center"/>
          </w:tcPr>
          <w:p w14:paraId="08129BAD">
            <w:pPr>
              <w:widowControl/>
              <w:adjustRightInd/>
              <w:rPr>
                <w:rFonts w:ascii="宋体" w:hAnsi="宋体" w:cs="宋体"/>
                <w:kern w:val="0"/>
                <w:sz w:val="24"/>
                <w:highlight w:val="none"/>
              </w:rPr>
            </w:pPr>
            <w:r>
              <w:rPr>
                <w:rFonts w:ascii="宋体" w:hAnsi="宋体" w:cs="宋体"/>
                <w:kern w:val="0"/>
                <w:sz w:val="24"/>
                <w:highlight w:val="none"/>
              </w:rPr>
              <w:t xml:space="preserve">CPU </w:t>
            </w:r>
            <w:r>
              <w:rPr>
                <w:rFonts w:hint="eastAsia" w:ascii="宋体" w:hAnsi="宋体" w:cs="宋体"/>
                <w:kern w:val="0"/>
                <w:sz w:val="24"/>
                <w:highlight w:val="none"/>
              </w:rPr>
              <w:t>芯片应符合</w:t>
            </w:r>
            <w:r>
              <w:rPr>
                <w:rFonts w:ascii="宋体" w:hAnsi="宋体" w:cs="宋体"/>
                <w:kern w:val="0"/>
                <w:sz w:val="24"/>
                <w:highlight w:val="none"/>
              </w:rPr>
              <w:t xml:space="preserve"> GM/T 0008 </w:t>
            </w:r>
            <w:r>
              <w:rPr>
                <w:rFonts w:hint="eastAsia" w:ascii="宋体" w:hAnsi="宋体" w:cs="宋体"/>
                <w:kern w:val="0"/>
                <w:sz w:val="24"/>
                <w:highlight w:val="none"/>
              </w:rPr>
              <w:t>的相关规定，或芯片密码模块应符合</w:t>
            </w:r>
            <w:r>
              <w:rPr>
                <w:rFonts w:ascii="宋体" w:hAnsi="宋体" w:cs="宋体"/>
                <w:kern w:val="0"/>
                <w:sz w:val="24"/>
                <w:highlight w:val="none"/>
              </w:rPr>
              <w:t xml:space="preserve"> GB/T37092 </w:t>
            </w:r>
            <w:r>
              <w:rPr>
                <w:rFonts w:hint="eastAsia" w:ascii="宋体" w:hAnsi="宋体" w:cs="宋体"/>
                <w:kern w:val="0"/>
                <w:sz w:val="24"/>
                <w:highlight w:val="none"/>
              </w:rPr>
              <w:t>或</w:t>
            </w:r>
            <w:r>
              <w:rPr>
                <w:rFonts w:ascii="宋体" w:hAnsi="宋体" w:cs="宋体"/>
                <w:kern w:val="0"/>
                <w:sz w:val="24"/>
                <w:highlight w:val="none"/>
              </w:rPr>
              <w:t xml:space="preserve"> GM/T 0028 </w:t>
            </w:r>
            <w:r>
              <w:rPr>
                <w:rFonts w:hint="eastAsia" w:ascii="宋体" w:hAnsi="宋体" w:cs="宋体"/>
                <w:kern w:val="0"/>
                <w:sz w:val="24"/>
                <w:highlight w:val="none"/>
              </w:rPr>
              <w:t>的相关规定</w:t>
            </w:r>
          </w:p>
        </w:tc>
      </w:tr>
      <w:tr w14:paraId="263D06B1">
        <w:tblPrEx>
          <w:tblCellMar>
            <w:top w:w="0" w:type="dxa"/>
            <w:left w:w="108" w:type="dxa"/>
            <w:bottom w:w="0" w:type="dxa"/>
            <w:right w:w="108" w:type="dxa"/>
          </w:tblCellMar>
        </w:tblPrEx>
        <w:trPr>
          <w:trHeight w:val="624" w:hRule="atLeast"/>
        </w:trPr>
        <w:tc>
          <w:tcPr>
            <w:tcW w:w="980" w:type="dxa"/>
            <w:tcBorders>
              <w:top w:val="single" w:color="auto" w:sz="8" w:space="0"/>
              <w:left w:val="single" w:color="auto" w:sz="8" w:space="0"/>
              <w:bottom w:val="single" w:color="auto" w:sz="8" w:space="0"/>
              <w:right w:val="single" w:color="auto" w:sz="8" w:space="0"/>
            </w:tcBorders>
            <w:vAlign w:val="center"/>
          </w:tcPr>
          <w:p w14:paraId="7585BA27">
            <w:pPr>
              <w:widowControl/>
              <w:adjustRightInd/>
              <w:jc w:val="center"/>
              <w:rPr>
                <w:rFonts w:ascii="宋体" w:hAnsi="宋体" w:cs="宋体"/>
                <w:kern w:val="0"/>
                <w:sz w:val="24"/>
                <w:highlight w:val="none"/>
              </w:rPr>
            </w:pPr>
            <w:r>
              <w:rPr>
                <w:rFonts w:ascii="宋体" w:hAnsi="宋体" w:cs="宋体"/>
                <w:kern w:val="0"/>
                <w:sz w:val="24"/>
                <w:highlight w:val="none"/>
              </w:rPr>
              <w:t>28</w:t>
            </w:r>
          </w:p>
        </w:tc>
        <w:tc>
          <w:tcPr>
            <w:tcW w:w="980" w:type="dxa"/>
            <w:vMerge w:val="restart"/>
            <w:tcBorders>
              <w:top w:val="single" w:color="auto" w:sz="8" w:space="0"/>
              <w:left w:val="single" w:color="auto" w:sz="8" w:space="0"/>
              <w:bottom w:val="single" w:color="auto" w:sz="8" w:space="0"/>
              <w:right w:val="single" w:color="auto" w:sz="8" w:space="0"/>
            </w:tcBorders>
            <w:vAlign w:val="center"/>
          </w:tcPr>
          <w:p w14:paraId="3FEC6874">
            <w:pPr>
              <w:widowControl/>
              <w:adjustRightInd/>
              <w:jc w:val="center"/>
              <w:rPr>
                <w:rFonts w:ascii="宋体" w:hAnsi="宋体" w:cs="宋体"/>
                <w:kern w:val="0"/>
                <w:sz w:val="24"/>
                <w:highlight w:val="none"/>
              </w:rPr>
            </w:pPr>
            <w:r>
              <w:rPr>
                <w:rFonts w:hint="eastAsia" w:ascii="宋体" w:hAnsi="宋体" w:cs="宋体"/>
                <w:kern w:val="0"/>
                <w:sz w:val="24"/>
                <w:highlight w:val="none"/>
              </w:rPr>
              <w:t>▲电源功能</w:t>
            </w:r>
          </w:p>
        </w:tc>
        <w:tc>
          <w:tcPr>
            <w:tcW w:w="1020" w:type="dxa"/>
            <w:tcBorders>
              <w:top w:val="single" w:color="auto" w:sz="8" w:space="0"/>
              <w:left w:val="single" w:color="auto" w:sz="8" w:space="0"/>
              <w:bottom w:val="single" w:color="auto" w:sz="8" w:space="0"/>
              <w:right w:val="single" w:color="auto" w:sz="8" w:space="0"/>
            </w:tcBorders>
            <w:vAlign w:val="center"/>
          </w:tcPr>
          <w:p w14:paraId="6FC2FE1F">
            <w:pPr>
              <w:widowControl/>
              <w:adjustRightInd/>
              <w:jc w:val="center"/>
              <w:rPr>
                <w:rFonts w:ascii="宋体" w:hAnsi="宋体" w:cs="宋体"/>
                <w:kern w:val="0"/>
                <w:sz w:val="24"/>
                <w:highlight w:val="none"/>
              </w:rPr>
            </w:pPr>
            <w:r>
              <w:rPr>
                <w:rFonts w:hint="eastAsia" w:ascii="宋体" w:hAnsi="宋体" w:cs="宋体"/>
                <w:kern w:val="0"/>
                <w:sz w:val="24"/>
                <w:highlight w:val="none"/>
              </w:rPr>
              <w:t>▲电源热插拔</w:t>
            </w:r>
          </w:p>
        </w:tc>
        <w:tc>
          <w:tcPr>
            <w:tcW w:w="5120" w:type="dxa"/>
            <w:tcBorders>
              <w:top w:val="single" w:color="auto" w:sz="8" w:space="0"/>
              <w:left w:val="single" w:color="auto" w:sz="8" w:space="0"/>
              <w:bottom w:val="single" w:color="auto" w:sz="8" w:space="0"/>
              <w:right w:val="single" w:color="auto" w:sz="8" w:space="0"/>
            </w:tcBorders>
            <w:vAlign w:val="center"/>
          </w:tcPr>
          <w:p w14:paraId="73EB3F19">
            <w:pPr>
              <w:widowControl/>
              <w:adjustRightInd/>
              <w:rPr>
                <w:rFonts w:ascii="宋体" w:hAnsi="宋体" w:cs="宋体"/>
                <w:kern w:val="0"/>
                <w:sz w:val="24"/>
                <w:highlight w:val="none"/>
              </w:rPr>
            </w:pPr>
            <w:r>
              <w:rPr>
                <w:rFonts w:hint="eastAsia" w:ascii="宋体" w:hAnsi="宋体" w:cs="宋体"/>
                <w:kern w:val="0"/>
                <w:sz w:val="24"/>
                <w:highlight w:val="none"/>
              </w:rPr>
              <w:t>整机电源模块应具备热插拔功能</w:t>
            </w:r>
          </w:p>
        </w:tc>
      </w:tr>
      <w:tr w14:paraId="36B3EA42">
        <w:tblPrEx>
          <w:tblCellMar>
            <w:top w:w="0" w:type="dxa"/>
            <w:left w:w="108" w:type="dxa"/>
            <w:bottom w:w="0" w:type="dxa"/>
            <w:right w:w="108" w:type="dxa"/>
          </w:tblCellMar>
        </w:tblPrEx>
        <w:trPr>
          <w:trHeight w:val="936" w:hRule="atLeast"/>
        </w:trPr>
        <w:tc>
          <w:tcPr>
            <w:tcW w:w="980" w:type="dxa"/>
            <w:tcBorders>
              <w:top w:val="single" w:color="auto" w:sz="8" w:space="0"/>
              <w:left w:val="single" w:color="auto" w:sz="8" w:space="0"/>
              <w:bottom w:val="single" w:color="auto" w:sz="8" w:space="0"/>
              <w:right w:val="single" w:color="auto" w:sz="8" w:space="0"/>
            </w:tcBorders>
            <w:vAlign w:val="center"/>
          </w:tcPr>
          <w:p w14:paraId="3C647080">
            <w:pPr>
              <w:widowControl/>
              <w:adjustRightInd/>
              <w:jc w:val="center"/>
              <w:rPr>
                <w:rFonts w:ascii="宋体" w:hAnsi="宋体" w:cs="宋体"/>
                <w:kern w:val="0"/>
                <w:sz w:val="24"/>
                <w:highlight w:val="none"/>
              </w:rPr>
            </w:pPr>
            <w:r>
              <w:rPr>
                <w:rFonts w:ascii="宋体" w:hAnsi="宋体" w:cs="宋体"/>
                <w:kern w:val="0"/>
                <w:sz w:val="24"/>
                <w:highlight w:val="none"/>
              </w:rPr>
              <w:t>29</w:t>
            </w:r>
          </w:p>
        </w:tc>
        <w:tc>
          <w:tcPr>
            <w:tcW w:w="980" w:type="dxa"/>
            <w:vMerge w:val="continue"/>
            <w:tcBorders>
              <w:top w:val="single" w:color="auto" w:sz="8" w:space="0"/>
              <w:left w:val="single" w:color="auto" w:sz="8" w:space="0"/>
              <w:bottom w:val="single" w:color="auto" w:sz="8" w:space="0"/>
              <w:right w:val="single" w:color="auto" w:sz="8" w:space="0"/>
            </w:tcBorders>
            <w:vAlign w:val="center"/>
          </w:tcPr>
          <w:p w14:paraId="3980916E">
            <w:pPr>
              <w:widowControl/>
              <w:adjustRightInd/>
              <w:jc w:val="left"/>
              <w:rPr>
                <w:rFonts w:ascii="宋体" w:hAnsi="宋体" w:cs="宋体"/>
                <w:kern w:val="0"/>
                <w:sz w:val="24"/>
                <w:highlight w:val="none"/>
              </w:rPr>
            </w:pPr>
          </w:p>
        </w:tc>
        <w:tc>
          <w:tcPr>
            <w:tcW w:w="1020" w:type="dxa"/>
            <w:tcBorders>
              <w:top w:val="single" w:color="auto" w:sz="8" w:space="0"/>
              <w:left w:val="single" w:color="auto" w:sz="8" w:space="0"/>
              <w:bottom w:val="single" w:color="auto" w:sz="8" w:space="0"/>
              <w:right w:val="single" w:color="auto" w:sz="8" w:space="0"/>
            </w:tcBorders>
            <w:vAlign w:val="center"/>
          </w:tcPr>
          <w:p w14:paraId="1ECFD6FC">
            <w:pPr>
              <w:widowControl/>
              <w:adjustRightInd/>
              <w:jc w:val="center"/>
              <w:rPr>
                <w:rFonts w:ascii="宋体" w:hAnsi="宋体" w:cs="宋体"/>
                <w:kern w:val="0"/>
                <w:sz w:val="24"/>
                <w:highlight w:val="none"/>
              </w:rPr>
            </w:pPr>
            <w:r>
              <w:rPr>
                <w:rFonts w:hint="eastAsia" w:ascii="宋体" w:hAnsi="宋体" w:cs="宋体"/>
                <w:kern w:val="0"/>
                <w:sz w:val="24"/>
                <w:highlight w:val="none"/>
              </w:rPr>
              <w:t>▲电源过流保护</w:t>
            </w:r>
          </w:p>
        </w:tc>
        <w:tc>
          <w:tcPr>
            <w:tcW w:w="5120" w:type="dxa"/>
            <w:tcBorders>
              <w:top w:val="single" w:color="auto" w:sz="8" w:space="0"/>
              <w:left w:val="single" w:color="auto" w:sz="8" w:space="0"/>
              <w:bottom w:val="single" w:color="auto" w:sz="8" w:space="0"/>
              <w:right w:val="single" w:color="auto" w:sz="8" w:space="0"/>
            </w:tcBorders>
            <w:vAlign w:val="center"/>
          </w:tcPr>
          <w:p w14:paraId="774D6AC4">
            <w:pPr>
              <w:widowControl/>
              <w:adjustRightInd/>
              <w:rPr>
                <w:rFonts w:ascii="宋体" w:hAnsi="宋体" w:cs="宋体"/>
                <w:kern w:val="0"/>
                <w:sz w:val="24"/>
                <w:highlight w:val="none"/>
              </w:rPr>
            </w:pPr>
            <w:r>
              <w:rPr>
                <w:rFonts w:hint="eastAsia" w:ascii="宋体" w:hAnsi="宋体" w:cs="宋体"/>
                <w:kern w:val="0"/>
                <w:sz w:val="24"/>
                <w:highlight w:val="none"/>
              </w:rPr>
              <w:t>支持过流及短路保护的功能</w:t>
            </w:r>
          </w:p>
        </w:tc>
      </w:tr>
      <w:tr w14:paraId="68B55C6D">
        <w:tblPrEx>
          <w:tblCellMar>
            <w:top w:w="0" w:type="dxa"/>
            <w:left w:w="108" w:type="dxa"/>
            <w:bottom w:w="0" w:type="dxa"/>
            <w:right w:w="108" w:type="dxa"/>
          </w:tblCellMar>
        </w:tblPrEx>
        <w:trPr>
          <w:trHeight w:val="624" w:hRule="atLeast"/>
        </w:trPr>
        <w:tc>
          <w:tcPr>
            <w:tcW w:w="980" w:type="dxa"/>
            <w:tcBorders>
              <w:top w:val="single" w:color="auto" w:sz="8" w:space="0"/>
              <w:left w:val="single" w:color="auto" w:sz="8" w:space="0"/>
              <w:bottom w:val="single" w:color="auto" w:sz="8" w:space="0"/>
              <w:right w:val="single" w:color="auto" w:sz="8" w:space="0"/>
            </w:tcBorders>
            <w:vAlign w:val="center"/>
          </w:tcPr>
          <w:p w14:paraId="6E84F778">
            <w:pPr>
              <w:widowControl/>
              <w:adjustRightInd/>
              <w:jc w:val="center"/>
              <w:rPr>
                <w:rFonts w:ascii="宋体" w:hAnsi="宋体" w:cs="宋体"/>
                <w:kern w:val="0"/>
                <w:sz w:val="24"/>
                <w:highlight w:val="none"/>
              </w:rPr>
            </w:pPr>
            <w:r>
              <w:rPr>
                <w:rFonts w:ascii="宋体" w:hAnsi="宋体" w:cs="宋体"/>
                <w:kern w:val="0"/>
                <w:sz w:val="24"/>
                <w:highlight w:val="none"/>
              </w:rPr>
              <w:t>30</w:t>
            </w:r>
          </w:p>
        </w:tc>
        <w:tc>
          <w:tcPr>
            <w:tcW w:w="980" w:type="dxa"/>
            <w:tcBorders>
              <w:top w:val="single" w:color="auto" w:sz="8" w:space="0"/>
              <w:left w:val="nil"/>
              <w:bottom w:val="single" w:color="auto" w:sz="8" w:space="0"/>
              <w:right w:val="single" w:color="auto" w:sz="8" w:space="0"/>
            </w:tcBorders>
            <w:vAlign w:val="center"/>
          </w:tcPr>
          <w:p w14:paraId="58175949">
            <w:pPr>
              <w:widowControl/>
              <w:adjustRightInd/>
              <w:jc w:val="center"/>
              <w:rPr>
                <w:rFonts w:ascii="宋体" w:hAnsi="宋体" w:cs="宋体"/>
                <w:kern w:val="0"/>
                <w:sz w:val="24"/>
                <w:highlight w:val="none"/>
              </w:rPr>
            </w:pPr>
            <w:r>
              <w:rPr>
                <w:rFonts w:hint="eastAsia" w:ascii="宋体" w:hAnsi="宋体" w:cs="宋体"/>
                <w:kern w:val="0"/>
                <w:sz w:val="24"/>
                <w:highlight w:val="none"/>
              </w:rPr>
              <w:t>▲整机功能</w:t>
            </w:r>
          </w:p>
        </w:tc>
        <w:tc>
          <w:tcPr>
            <w:tcW w:w="1020" w:type="dxa"/>
            <w:tcBorders>
              <w:top w:val="single" w:color="auto" w:sz="8" w:space="0"/>
              <w:left w:val="nil"/>
              <w:bottom w:val="single" w:color="auto" w:sz="8" w:space="0"/>
              <w:right w:val="single" w:color="auto" w:sz="8" w:space="0"/>
            </w:tcBorders>
            <w:vAlign w:val="center"/>
          </w:tcPr>
          <w:p w14:paraId="5DDA6FB3">
            <w:pPr>
              <w:widowControl/>
              <w:adjustRightInd/>
              <w:jc w:val="center"/>
              <w:rPr>
                <w:rFonts w:ascii="宋体" w:hAnsi="宋体" w:cs="宋体"/>
                <w:kern w:val="0"/>
                <w:sz w:val="24"/>
                <w:highlight w:val="none"/>
              </w:rPr>
            </w:pPr>
            <w:r>
              <w:rPr>
                <w:rFonts w:hint="eastAsia" w:ascii="宋体" w:hAnsi="宋体" w:cs="宋体"/>
                <w:kern w:val="0"/>
                <w:sz w:val="24"/>
                <w:highlight w:val="none"/>
              </w:rPr>
              <w:t>▲散热方式</w:t>
            </w:r>
          </w:p>
        </w:tc>
        <w:tc>
          <w:tcPr>
            <w:tcW w:w="5120" w:type="dxa"/>
            <w:tcBorders>
              <w:top w:val="single" w:color="auto" w:sz="8" w:space="0"/>
              <w:left w:val="nil"/>
              <w:bottom w:val="single" w:color="auto" w:sz="8" w:space="0"/>
              <w:right w:val="single" w:color="auto" w:sz="8" w:space="0"/>
            </w:tcBorders>
            <w:vAlign w:val="center"/>
          </w:tcPr>
          <w:p w14:paraId="45DDF102">
            <w:pPr>
              <w:widowControl/>
              <w:adjustRightInd/>
              <w:rPr>
                <w:rFonts w:ascii="宋体" w:hAnsi="宋体" w:cs="宋体"/>
                <w:kern w:val="0"/>
                <w:sz w:val="24"/>
                <w:highlight w:val="none"/>
              </w:rPr>
            </w:pPr>
            <w:r>
              <w:rPr>
                <w:rFonts w:hint="eastAsia" w:ascii="宋体" w:hAnsi="宋体" w:cs="宋体"/>
                <w:kern w:val="0"/>
                <w:sz w:val="24"/>
                <w:highlight w:val="none"/>
              </w:rPr>
              <w:t>支持风冷散热方式</w:t>
            </w:r>
          </w:p>
        </w:tc>
      </w:tr>
      <w:tr w14:paraId="1F3FE4F1">
        <w:tblPrEx>
          <w:tblCellMar>
            <w:top w:w="0" w:type="dxa"/>
            <w:left w:w="108" w:type="dxa"/>
            <w:bottom w:w="0" w:type="dxa"/>
            <w:right w:w="108" w:type="dxa"/>
          </w:tblCellMar>
        </w:tblPrEx>
        <w:trPr>
          <w:trHeight w:val="1251" w:hRule="atLeast"/>
        </w:trPr>
        <w:tc>
          <w:tcPr>
            <w:tcW w:w="980" w:type="dxa"/>
            <w:tcBorders>
              <w:top w:val="nil"/>
              <w:left w:val="single" w:color="auto" w:sz="8" w:space="0"/>
              <w:bottom w:val="single" w:color="auto" w:sz="8" w:space="0"/>
              <w:right w:val="single" w:color="auto" w:sz="8" w:space="0"/>
            </w:tcBorders>
            <w:vAlign w:val="center"/>
          </w:tcPr>
          <w:p w14:paraId="1525E21F">
            <w:pPr>
              <w:widowControl/>
              <w:adjustRightInd/>
              <w:jc w:val="center"/>
              <w:rPr>
                <w:rFonts w:ascii="宋体" w:hAnsi="宋体" w:cs="宋体"/>
                <w:kern w:val="0"/>
                <w:sz w:val="24"/>
                <w:highlight w:val="none"/>
              </w:rPr>
            </w:pPr>
            <w:r>
              <w:rPr>
                <w:rFonts w:ascii="宋体" w:hAnsi="宋体" w:cs="宋体"/>
                <w:kern w:val="0"/>
                <w:sz w:val="24"/>
                <w:highlight w:val="none"/>
              </w:rPr>
              <w:t>31</w:t>
            </w:r>
          </w:p>
        </w:tc>
        <w:tc>
          <w:tcPr>
            <w:tcW w:w="980" w:type="dxa"/>
            <w:vMerge w:val="restart"/>
            <w:tcBorders>
              <w:top w:val="nil"/>
              <w:left w:val="single" w:color="auto" w:sz="8" w:space="0"/>
              <w:bottom w:val="single" w:color="000000" w:sz="8" w:space="0"/>
              <w:right w:val="single" w:color="auto" w:sz="8" w:space="0"/>
            </w:tcBorders>
            <w:vAlign w:val="center"/>
          </w:tcPr>
          <w:p w14:paraId="20D081CC">
            <w:pPr>
              <w:widowControl/>
              <w:adjustRightInd/>
              <w:jc w:val="center"/>
              <w:rPr>
                <w:rFonts w:ascii="宋体" w:hAnsi="宋体" w:cs="宋体"/>
                <w:kern w:val="0"/>
                <w:sz w:val="24"/>
                <w:highlight w:val="none"/>
              </w:rPr>
            </w:pPr>
            <w:r>
              <w:rPr>
                <w:rFonts w:hint="eastAsia" w:ascii="宋体" w:hAnsi="宋体" w:cs="宋体"/>
                <w:kern w:val="0"/>
                <w:sz w:val="24"/>
                <w:highlight w:val="none"/>
              </w:rPr>
              <w:t>▲管理系统功能</w:t>
            </w:r>
          </w:p>
        </w:tc>
        <w:tc>
          <w:tcPr>
            <w:tcW w:w="1020" w:type="dxa"/>
            <w:tcBorders>
              <w:top w:val="nil"/>
              <w:left w:val="nil"/>
              <w:bottom w:val="single" w:color="auto" w:sz="8" w:space="0"/>
              <w:right w:val="single" w:color="auto" w:sz="8" w:space="0"/>
            </w:tcBorders>
            <w:vAlign w:val="center"/>
          </w:tcPr>
          <w:p w14:paraId="5FBA9E15">
            <w:pPr>
              <w:widowControl/>
              <w:adjustRightInd/>
              <w:jc w:val="center"/>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 xml:space="preserve">BMC </w:t>
            </w:r>
            <w:r>
              <w:rPr>
                <w:rFonts w:hint="eastAsia" w:ascii="宋体" w:hAnsi="宋体" w:cs="宋体"/>
                <w:kern w:val="0"/>
                <w:sz w:val="24"/>
                <w:highlight w:val="none"/>
              </w:rPr>
              <w:t>固件基础功能</w:t>
            </w:r>
          </w:p>
        </w:tc>
        <w:tc>
          <w:tcPr>
            <w:tcW w:w="5120" w:type="dxa"/>
            <w:tcBorders>
              <w:top w:val="nil"/>
              <w:left w:val="nil"/>
              <w:bottom w:val="single" w:color="auto" w:sz="8" w:space="0"/>
              <w:right w:val="single" w:color="auto" w:sz="8" w:space="0"/>
            </w:tcBorders>
            <w:vAlign w:val="center"/>
          </w:tcPr>
          <w:p w14:paraId="2730575D">
            <w:pPr>
              <w:widowControl/>
              <w:adjustRightInd/>
              <w:rPr>
                <w:rFonts w:ascii="宋体" w:hAnsi="宋体" w:cs="宋体"/>
                <w:kern w:val="0"/>
                <w:sz w:val="24"/>
                <w:highlight w:val="none"/>
              </w:rPr>
            </w:pPr>
            <w:r>
              <w:rPr>
                <w:rFonts w:ascii="宋体" w:hAnsi="宋体" w:cs="宋体"/>
                <w:kern w:val="0"/>
                <w:sz w:val="24"/>
                <w:highlight w:val="none"/>
              </w:rPr>
              <w:t xml:space="preserve">1) </w:t>
            </w:r>
            <w:r>
              <w:rPr>
                <w:rFonts w:hint="eastAsia" w:ascii="宋体" w:hAnsi="宋体" w:cs="宋体"/>
                <w:kern w:val="0"/>
                <w:sz w:val="24"/>
                <w:highlight w:val="none"/>
              </w:rPr>
              <w:t>支持</w:t>
            </w:r>
            <w:r>
              <w:rPr>
                <w:rFonts w:ascii="宋体" w:hAnsi="宋体" w:cs="宋体"/>
                <w:kern w:val="0"/>
                <w:sz w:val="24"/>
                <w:highlight w:val="none"/>
              </w:rPr>
              <w:t xml:space="preserve"> DHCP </w:t>
            </w:r>
            <w:r>
              <w:rPr>
                <w:rFonts w:hint="eastAsia" w:ascii="宋体" w:hAnsi="宋体" w:cs="宋体"/>
                <w:kern w:val="0"/>
                <w:sz w:val="24"/>
                <w:highlight w:val="none"/>
              </w:rPr>
              <w:t>设置网络功能；</w:t>
            </w:r>
          </w:p>
          <w:p w14:paraId="2D434A67">
            <w:pPr>
              <w:widowControl/>
              <w:adjustRightInd/>
              <w:rPr>
                <w:rFonts w:ascii="宋体" w:hAnsi="宋体" w:cs="宋体"/>
                <w:kern w:val="0"/>
                <w:sz w:val="24"/>
                <w:highlight w:val="none"/>
              </w:rPr>
            </w:pPr>
            <w:r>
              <w:rPr>
                <w:rFonts w:ascii="宋体" w:hAnsi="宋体" w:cs="宋体"/>
                <w:kern w:val="0"/>
                <w:sz w:val="24"/>
                <w:highlight w:val="none"/>
              </w:rPr>
              <w:t xml:space="preserve">2)支持静态 IP </w:t>
            </w:r>
            <w:r>
              <w:rPr>
                <w:rFonts w:hint="eastAsia" w:ascii="宋体" w:hAnsi="宋体" w:cs="宋体"/>
                <w:kern w:val="0"/>
                <w:sz w:val="24"/>
                <w:highlight w:val="none"/>
              </w:rPr>
              <w:t>设置网络功能；</w:t>
            </w:r>
          </w:p>
          <w:p w14:paraId="37A14732">
            <w:pPr>
              <w:widowControl/>
              <w:adjustRightInd/>
              <w:rPr>
                <w:rFonts w:ascii="宋体" w:hAnsi="宋体" w:cs="宋体"/>
                <w:kern w:val="0"/>
                <w:sz w:val="24"/>
                <w:highlight w:val="none"/>
              </w:rPr>
            </w:pPr>
            <w:r>
              <w:rPr>
                <w:rFonts w:ascii="宋体" w:hAnsi="宋体" w:cs="宋体"/>
                <w:kern w:val="0"/>
                <w:sz w:val="24"/>
                <w:highlight w:val="none"/>
              </w:rPr>
              <w:t>3)支持设备日志记录，包括但不限于登录日志、操作日志和报警日志等功能；</w:t>
            </w:r>
          </w:p>
          <w:p w14:paraId="075F6338">
            <w:pPr>
              <w:widowControl/>
              <w:adjustRightInd/>
              <w:rPr>
                <w:rFonts w:ascii="宋体" w:hAnsi="宋体" w:cs="宋体"/>
                <w:kern w:val="0"/>
                <w:sz w:val="24"/>
                <w:highlight w:val="none"/>
              </w:rPr>
            </w:pPr>
            <w:r>
              <w:rPr>
                <w:rFonts w:ascii="宋体" w:hAnsi="宋体" w:cs="宋体"/>
                <w:kern w:val="0"/>
                <w:sz w:val="24"/>
                <w:highlight w:val="none"/>
              </w:rPr>
              <w:t>4)支持日志信息导出和记录删除功能；</w:t>
            </w:r>
          </w:p>
          <w:p w14:paraId="4D3F971C">
            <w:pPr>
              <w:widowControl/>
              <w:adjustRightInd/>
              <w:rPr>
                <w:rFonts w:ascii="宋体" w:hAnsi="宋体" w:cs="宋体"/>
                <w:kern w:val="0"/>
                <w:sz w:val="24"/>
                <w:highlight w:val="none"/>
              </w:rPr>
            </w:pPr>
            <w:r>
              <w:rPr>
                <w:rFonts w:ascii="宋体" w:hAnsi="宋体" w:cs="宋体"/>
                <w:kern w:val="0"/>
                <w:sz w:val="24"/>
                <w:highlight w:val="none"/>
              </w:rPr>
              <w:t>5)支持通过管理接口向外输出准确的报警信息功能；</w:t>
            </w:r>
          </w:p>
          <w:p w14:paraId="36AB3F6D">
            <w:pPr>
              <w:widowControl/>
              <w:adjustRightInd/>
              <w:rPr>
                <w:rFonts w:ascii="宋体" w:hAnsi="宋体" w:cs="宋体"/>
                <w:kern w:val="0"/>
                <w:sz w:val="24"/>
                <w:highlight w:val="none"/>
              </w:rPr>
            </w:pPr>
            <w:r>
              <w:rPr>
                <w:rFonts w:ascii="宋体" w:hAnsi="宋体" w:cs="宋体"/>
                <w:kern w:val="0"/>
                <w:sz w:val="24"/>
                <w:highlight w:val="none"/>
              </w:rPr>
              <w:t xml:space="preserve">6)设备的 BMC </w:t>
            </w:r>
            <w:r>
              <w:rPr>
                <w:rFonts w:hint="eastAsia" w:ascii="宋体" w:hAnsi="宋体" w:cs="宋体"/>
                <w:kern w:val="0"/>
                <w:sz w:val="24"/>
                <w:highlight w:val="none"/>
              </w:rPr>
              <w:t>管理软件应能够按报警的严重程度进行区分；</w:t>
            </w:r>
          </w:p>
          <w:p w14:paraId="625E76C0">
            <w:pPr>
              <w:widowControl/>
              <w:adjustRightInd/>
              <w:rPr>
                <w:rFonts w:ascii="宋体" w:hAnsi="宋体" w:cs="宋体"/>
                <w:kern w:val="0"/>
                <w:sz w:val="24"/>
                <w:highlight w:val="none"/>
              </w:rPr>
            </w:pPr>
            <w:r>
              <w:rPr>
                <w:rFonts w:ascii="宋体" w:hAnsi="宋体" w:cs="宋体"/>
                <w:kern w:val="0"/>
                <w:sz w:val="24"/>
                <w:highlight w:val="none"/>
              </w:rPr>
              <w:t xml:space="preserve">7)支持 IPMI2.0、SNMP </w:t>
            </w:r>
            <w:r>
              <w:rPr>
                <w:rFonts w:hint="eastAsia" w:ascii="宋体" w:hAnsi="宋体" w:cs="宋体"/>
                <w:kern w:val="0"/>
                <w:sz w:val="24"/>
                <w:highlight w:val="none"/>
              </w:rPr>
              <w:t>或</w:t>
            </w:r>
            <w:r>
              <w:rPr>
                <w:rFonts w:ascii="宋体" w:hAnsi="宋体" w:cs="宋体"/>
                <w:kern w:val="0"/>
                <w:sz w:val="24"/>
                <w:highlight w:val="none"/>
              </w:rPr>
              <w:t xml:space="preserve"> Redfish</w:t>
            </w:r>
            <w:r>
              <w:rPr>
                <w:rFonts w:hint="eastAsia" w:ascii="宋体" w:hAnsi="宋体" w:cs="宋体"/>
                <w:kern w:val="0"/>
                <w:sz w:val="24"/>
                <w:highlight w:val="none"/>
              </w:rPr>
              <w:t>等接口功能；</w:t>
            </w:r>
          </w:p>
          <w:p w14:paraId="1C35DE41">
            <w:pPr>
              <w:widowControl/>
              <w:numPr>
                <w:ilvl w:val="0"/>
                <w:numId w:val="3"/>
              </w:numPr>
              <w:adjustRightInd/>
              <w:rPr>
                <w:rFonts w:ascii="宋体" w:hAnsi="宋体" w:cs="宋体"/>
                <w:kern w:val="0"/>
                <w:sz w:val="24"/>
                <w:highlight w:val="none"/>
              </w:rPr>
            </w:pPr>
            <w:r>
              <w:rPr>
                <w:rFonts w:hint="eastAsia" w:ascii="宋体" w:hAnsi="宋体" w:cs="宋体"/>
                <w:kern w:val="0"/>
                <w:sz w:val="24"/>
                <w:highlight w:val="none"/>
              </w:rPr>
              <w:t>支持键盘、鼠标和视频的重定向、文本控制台的重定向、远程虚拟媒体、高可靠的硬件监控和管理功能；</w:t>
            </w:r>
          </w:p>
          <w:p w14:paraId="1490A177">
            <w:pPr>
              <w:widowControl/>
              <w:adjustRightInd/>
              <w:rPr>
                <w:rFonts w:ascii="宋体" w:hAnsi="宋体" w:cs="宋体"/>
                <w:kern w:val="0"/>
                <w:sz w:val="24"/>
                <w:highlight w:val="none"/>
              </w:rPr>
            </w:pPr>
            <w:r>
              <w:rPr>
                <w:rFonts w:ascii="宋体" w:hAnsi="宋体" w:cs="宋体"/>
                <w:kern w:val="0"/>
                <w:sz w:val="24"/>
                <w:highlight w:val="none"/>
              </w:rPr>
              <w:t>9)支持基于网络开启、关闭和重启设备的功能，并查询当前设备开机运行状态；</w:t>
            </w:r>
          </w:p>
          <w:p w14:paraId="3520AEA9">
            <w:pPr>
              <w:widowControl/>
              <w:adjustRightInd/>
              <w:rPr>
                <w:rFonts w:ascii="宋体" w:hAnsi="宋体" w:cs="宋体"/>
                <w:kern w:val="0"/>
                <w:sz w:val="24"/>
                <w:highlight w:val="none"/>
              </w:rPr>
            </w:pPr>
          </w:p>
          <w:p w14:paraId="7A183325">
            <w:pPr>
              <w:widowControl/>
              <w:adjustRightInd/>
              <w:rPr>
                <w:rFonts w:ascii="宋体" w:hAnsi="宋体" w:cs="宋体"/>
                <w:kern w:val="0"/>
                <w:sz w:val="24"/>
                <w:highlight w:val="none"/>
              </w:rPr>
            </w:pPr>
            <w:r>
              <w:rPr>
                <w:rFonts w:ascii="宋体" w:hAnsi="宋体" w:cs="宋体"/>
                <w:kern w:val="0"/>
                <w:sz w:val="24"/>
                <w:highlight w:val="none"/>
              </w:rPr>
              <w:t>10)支持故障提示功能，并可通过接口读取服务器故障信息；</w:t>
            </w:r>
          </w:p>
          <w:p w14:paraId="186BE6A7">
            <w:pPr>
              <w:widowControl/>
              <w:adjustRightInd/>
              <w:rPr>
                <w:rFonts w:ascii="宋体" w:hAnsi="宋体" w:cs="宋体"/>
                <w:kern w:val="0"/>
                <w:sz w:val="24"/>
                <w:highlight w:val="none"/>
              </w:rPr>
            </w:pPr>
            <w:r>
              <w:rPr>
                <w:rFonts w:ascii="宋体" w:hAnsi="宋体" w:cs="宋体"/>
                <w:kern w:val="0"/>
                <w:sz w:val="24"/>
                <w:highlight w:val="none"/>
              </w:rPr>
              <w:t xml:space="preserve">11)支持基于网络的固件更新功能，包括 BMC </w:t>
            </w:r>
            <w:r>
              <w:rPr>
                <w:rFonts w:hint="eastAsia" w:ascii="宋体" w:hAnsi="宋体" w:cs="宋体"/>
                <w:kern w:val="0"/>
                <w:sz w:val="24"/>
                <w:highlight w:val="none"/>
              </w:rPr>
              <w:t>和</w:t>
            </w:r>
            <w:r>
              <w:rPr>
                <w:rFonts w:ascii="宋体" w:hAnsi="宋体" w:cs="宋体"/>
                <w:kern w:val="0"/>
                <w:sz w:val="24"/>
                <w:highlight w:val="none"/>
              </w:rPr>
              <w:t xml:space="preserve"> BIOS </w:t>
            </w:r>
            <w:r>
              <w:rPr>
                <w:rFonts w:hint="eastAsia" w:ascii="宋体" w:hAnsi="宋体" w:cs="宋体"/>
                <w:kern w:val="0"/>
                <w:sz w:val="24"/>
                <w:highlight w:val="none"/>
              </w:rPr>
              <w:t>等；</w:t>
            </w:r>
          </w:p>
          <w:p w14:paraId="543DF09B">
            <w:pPr>
              <w:widowControl/>
              <w:adjustRightInd/>
              <w:rPr>
                <w:rFonts w:ascii="宋体" w:hAnsi="宋体" w:cs="宋体"/>
                <w:kern w:val="0"/>
                <w:sz w:val="24"/>
                <w:highlight w:val="none"/>
              </w:rPr>
            </w:pPr>
            <w:r>
              <w:rPr>
                <w:rFonts w:ascii="宋体" w:hAnsi="宋体" w:cs="宋体"/>
                <w:kern w:val="0"/>
                <w:sz w:val="24"/>
                <w:highlight w:val="none"/>
              </w:rPr>
              <w:t>12)支持基于网络安装操作系统的功能，并可通过网络控制台访问设备；</w:t>
            </w:r>
          </w:p>
          <w:p w14:paraId="193633B5">
            <w:pPr>
              <w:widowControl/>
              <w:adjustRightInd/>
              <w:rPr>
                <w:rFonts w:ascii="宋体" w:hAnsi="宋体" w:cs="宋体"/>
                <w:kern w:val="0"/>
                <w:sz w:val="24"/>
                <w:highlight w:val="none"/>
              </w:rPr>
            </w:pPr>
            <w:r>
              <w:rPr>
                <w:rFonts w:ascii="宋体" w:hAnsi="宋体" w:cs="宋体"/>
                <w:kern w:val="0"/>
                <w:sz w:val="24"/>
                <w:highlight w:val="none"/>
              </w:rPr>
              <w:t>13)支持通过本地的硬盘或光驱等存储设备，基于网络完成设备的操作系统安装功能；</w:t>
            </w:r>
          </w:p>
          <w:p w14:paraId="4B18116A">
            <w:pPr>
              <w:widowControl/>
              <w:adjustRightInd/>
              <w:rPr>
                <w:rFonts w:ascii="宋体" w:hAnsi="宋体" w:cs="宋体"/>
                <w:kern w:val="0"/>
                <w:sz w:val="24"/>
                <w:highlight w:val="none"/>
              </w:rPr>
            </w:pPr>
            <w:r>
              <w:rPr>
                <w:rFonts w:ascii="宋体" w:hAnsi="宋体" w:cs="宋体"/>
                <w:kern w:val="0"/>
                <w:sz w:val="24"/>
                <w:highlight w:val="none"/>
              </w:rPr>
              <w:t>14)支持通过浏览器打开管理界面并登录功能；</w:t>
            </w:r>
          </w:p>
          <w:p w14:paraId="591D16DB">
            <w:pPr>
              <w:widowControl/>
              <w:adjustRightInd/>
              <w:rPr>
                <w:rFonts w:ascii="宋体" w:hAnsi="宋体" w:cs="宋体"/>
                <w:kern w:val="0"/>
                <w:sz w:val="24"/>
                <w:highlight w:val="none"/>
              </w:rPr>
            </w:pPr>
            <w:r>
              <w:rPr>
                <w:rFonts w:ascii="宋体" w:hAnsi="宋体" w:cs="宋体"/>
                <w:kern w:val="0"/>
                <w:sz w:val="24"/>
                <w:highlight w:val="none"/>
              </w:rPr>
              <w:t>15)支持设置口令策略功能；</w:t>
            </w:r>
          </w:p>
          <w:p w14:paraId="517B201A">
            <w:pPr>
              <w:widowControl/>
              <w:adjustRightInd/>
              <w:rPr>
                <w:rFonts w:ascii="宋体" w:hAnsi="宋体" w:cs="宋体"/>
                <w:kern w:val="0"/>
                <w:sz w:val="24"/>
                <w:highlight w:val="none"/>
              </w:rPr>
            </w:pPr>
            <w:r>
              <w:rPr>
                <w:rFonts w:ascii="宋体" w:hAnsi="宋体" w:cs="宋体"/>
                <w:kern w:val="0"/>
                <w:sz w:val="24"/>
                <w:highlight w:val="none"/>
              </w:rPr>
              <w:t>16)支持访问权限设置功能，并通过日志记录访问事件；</w:t>
            </w:r>
          </w:p>
          <w:p w14:paraId="251CF932">
            <w:pPr>
              <w:widowControl/>
              <w:adjustRightInd/>
              <w:rPr>
                <w:rFonts w:ascii="宋体" w:hAnsi="宋体" w:cs="宋体"/>
                <w:kern w:val="0"/>
                <w:sz w:val="24"/>
                <w:highlight w:val="none"/>
              </w:rPr>
            </w:pPr>
            <w:r>
              <w:rPr>
                <w:rFonts w:ascii="宋体" w:hAnsi="宋体" w:cs="宋体"/>
                <w:kern w:val="0"/>
                <w:sz w:val="24"/>
                <w:highlight w:val="none"/>
              </w:rPr>
              <w:t>17)支持对出厂默认的用户名及口令进行安全保护功能，并提供默认口令修改提示；</w:t>
            </w:r>
          </w:p>
          <w:p w14:paraId="7EBD00A2">
            <w:pPr>
              <w:widowControl/>
              <w:adjustRightInd/>
              <w:rPr>
                <w:rFonts w:ascii="宋体" w:hAnsi="宋体" w:cs="宋体"/>
                <w:kern w:val="0"/>
                <w:sz w:val="24"/>
                <w:highlight w:val="none"/>
              </w:rPr>
            </w:pPr>
            <w:r>
              <w:rPr>
                <w:rFonts w:ascii="宋体" w:hAnsi="宋体" w:cs="宋体"/>
                <w:kern w:val="0"/>
                <w:sz w:val="24"/>
                <w:highlight w:val="none"/>
              </w:rPr>
              <w:t>18)支持读取设备主板的工作环境温度功能；</w:t>
            </w:r>
          </w:p>
          <w:p w14:paraId="629F6D5C">
            <w:pPr>
              <w:widowControl/>
              <w:adjustRightInd/>
              <w:rPr>
                <w:rFonts w:ascii="宋体" w:hAnsi="宋体" w:cs="宋体"/>
                <w:kern w:val="0"/>
                <w:sz w:val="24"/>
                <w:highlight w:val="none"/>
              </w:rPr>
            </w:pPr>
            <w:r>
              <w:rPr>
                <w:rFonts w:ascii="宋体" w:hAnsi="宋体" w:cs="宋体"/>
                <w:kern w:val="0"/>
                <w:sz w:val="24"/>
                <w:highlight w:val="none"/>
              </w:rPr>
              <w:t xml:space="preserve">19)支持读取服务器 CPU </w:t>
            </w:r>
            <w:r>
              <w:rPr>
                <w:rFonts w:hint="eastAsia" w:ascii="宋体" w:hAnsi="宋体" w:cs="宋体"/>
                <w:kern w:val="0"/>
                <w:sz w:val="24"/>
                <w:highlight w:val="none"/>
              </w:rPr>
              <w:t>等核心器件的温度功能；</w:t>
            </w:r>
          </w:p>
          <w:p w14:paraId="47A7043B">
            <w:pPr>
              <w:widowControl/>
              <w:numPr>
                <w:ilvl w:val="0"/>
                <w:numId w:val="4"/>
              </w:numPr>
              <w:adjustRightInd/>
              <w:rPr>
                <w:rFonts w:ascii="宋体" w:hAnsi="宋体" w:cs="宋体"/>
                <w:kern w:val="0"/>
                <w:sz w:val="24"/>
                <w:highlight w:val="none"/>
              </w:rPr>
            </w:pPr>
            <w:r>
              <w:rPr>
                <w:rFonts w:hint="eastAsia" w:ascii="宋体" w:hAnsi="宋体" w:cs="宋体"/>
                <w:kern w:val="0"/>
                <w:sz w:val="24"/>
                <w:highlight w:val="none"/>
              </w:rPr>
              <w:t>支持通过外部管理工具进行</w:t>
            </w:r>
            <w:r>
              <w:rPr>
                <w:rFonts w:ascii="宋体" w:hAnsi="宋体" w:cs="宋体"/>
                <w:kern w:val="0"/>
                <w:sz w:val="24"/>
                <w:highlight w:val="none"/>
              </w:rPr>
              <w:t xml:space="preserve"> BMC参数设置的功能，并可基于网络通过外部管理工具对 BMC </w:t>
            </w:r>
            <w:r>
              <w:rPr>
                <w:rFonts w:hint="eastAsia" w:ascii="宋体" w:hAnsi="宋体" w:cs="宋体"/>
                <w:kern w:val="0"/>
                <w:sz w:val="24"/>
                <w:highlight w:val="none"/>
              </w:rPr>
              <w:t>进行管理；</w:t>
            </w:r>
          </w:p>
          <w:p w14:paraId="138EE8E9">
            <w:pPr>
              <w:widowControl/>
              <w:numPr>
                <w:ilvl w:val="0"/>
                <w:numId w:val="4"/>
              </w:numPr>
              <w:adjustRightInd/>
              <w:rPr>
                <w:rFonts w:ascii="宋体" w:hAnsi="宋体" w:cs="宋体"/>
                <w:kern w:val="0"/>
                <w:sz w:val="24"/>
                <w:highlight w:val="none"/>
              </w:rPr>
            </w:pPr>
            <w:r>
              <w:rPr>
                <w:rFonts w:hint="eastAsia" w:ascii="宋体" w:hAnsi="宋体" w:cs="宋体"/>
                <w:kern w:val="0"/>
                <w:sz w:val="24"/>
                <w:highlight w:val="none"/>
              </w:rPr>
              <w:t>应支持固件版本查询、固件升级</w:t>
            </w:r>
          </w:p>
          <w:p w14:paraId="1D7D6BBA">
            <w:pPr>
              <w:widowControl/>
              <w:adjustRightInd/>
              <w:rPr>
                <w:rFonts w:ascii="宋体" w:hAnsi="宋体" w:cs="宋体"/>
                <w:kern w:val="0"/>
                <w:sz w:val="24"/>
                <w:highlight w:val="none"/>
              </w:rPr>
            </w:pPr>
            <w:r>
              <w:rPr>
                <w:rFonts w:ascii="宋体" w:hAnsi="宋体" w:cs="宋体"/>
                <w:kern w:val="0"/>
                <w:sz w:val="24"/>
                <w:highlight w:val="none"/>
              </w:rPr>
              <w:t>22)支持基于网络实现开关机和复位控制的功能；</w:t>
            </w:r>
          </w:p>
          <w:p w14:paraId="1F76226B">
            <w:pPr>
              <w:widowControl/>
              <w:adjustRightInd/>
              <w:rPr>
                <w:rFonts w:ascii="宋体" w:hAnsi="宋体" w:cs="宋体"/>
                <w:kern w:val="0"/>
                <w:sz w:val="24"/>
                <w:highlight w:val="none"/>
              </w:rPr>
            </w:pPr>
            <w:r>
              <w:rPr>
                <w:rFonts w:ascii="宋体" w:hAnsi="宋体" w:cs="宋体"/>
                <w:kern w:val="0"/>
                <w:sz w:val="24"/>
                <w:highlight w:val="none"/>
              </w:rPr>
              <w:t xml:space="preserve">23)BMC </w:t>
            </w:r>
            <w:r>
              <w:rPr>
                <w:rFonts w:hint="eastAsia" w:ascii="宋体" w:hAnsi="宋体" w:cs="宋体"/>
                <w:kern w:val="0"/>
                <w:sz w:val="24"/>
                <w:highlight w:val="none"/>
              </w:rPr>
              <w:t>启动时间应不超过</w:t>
            </w:r>
            <w:r>
              <w:rPr>
                <w:rFonts w:ascii="宋体" w:hAnsi="宋体" w:cs="宋体"/>
                <w:kern w:val="0"/>
                <w:sz w:val="24"/>
                <w:highlight w:val="none"/>
              </w:rPr>
              <w:t xml:space="preserve"> 180s，实现功能包括网络、IPMI、散热、传感器服务可用；</w:t>
            </w:r>
          </w:p>
          <w:p w14:paraId="2C4F0EA6">
            <w:pPr>
              <w:widowControl/>
              <w:adjustRightInd/>
              <w:rPr>
                <w:rFonts w:ascii="宋体" w:hAnsi="宋体" w:cs="宋体"/>
                <w:kern w:val="0"/>
                <w:sz w:val="24"/>
                <w:highlight w:val="none"/>
              </w:rPr>
            </w:pPr>
            <w:r>
              <w:rPr>
                <w:rFonts w:ascii="宋体" w:hAnsi="宋体" w:cs="宋体"/>
                <w:kern w:val="0"/>
                <w:sz w:val="24"/>
                <w:highlight w:val="none"/>
              </w:rPr>
              <w:t xml:space="preserve">24)支持 BMC </w:t>
            </w:r>
            <w:r>
              <w:rPr>
                <w:rFonts w:hint="eastAsia" w:ascii="宋体" w:hAnsi="宋体" w:cs="宋体"/>
                <w:kern w:val="0"/>
                <w:sz w:val="24"/>
                <w:highlight w:val="none"/>
              </w:rPr>
              <w:t>固件设置的恢复出厂功能</w:t>
            </w:r>
          </w:p>
        </w:tc>
      </w:tr>
      <w:tr w14:paraId="29042AC3">
        <w:tblPrEx>
          <w:tblCellMar>
            <w:top w:w="0" w:type="dxa"/>
            <w:left w:w="108" w:type="dxa"/>
            <w:bottom w:w="0" w:type="dxa"/>
            <w:right w:w="108" w:type="dxa"/>
          </w:tblCellMar>
        </w:tblPrEx>
        <w:trPr>
          <w:trHeight w:val="4368" w:hRule="atLeast"/>
        </w:trPr>
        <w:tc>
          <w:tcPr>
            <w:tcW w:w="980" w:type="dxa"/>
            <w:tcBorders>
              <w:top w:val="nil"/>
              <w:left w:val="single" w:color="auto" w:sz="8" w:space="0"/>
              <w:bottom w:val="single" w:color="auto" w:sz="8" w:space="0"/>
              <w:right w:val="single" w:color="auto" w:sz="8" w:space="0"/>
            </w:tcBorders>
            <w:vAlign w:val="center"/>
          </w:tcPr>
          <w:p w14:paraId="0E1A7D79">
            <w:pPr>
              <w:widowControl/>
              <w:adjustRightInd/>
              <w:jc w:val="center"/>
              <w:rPr>
                <w:rFonts w:ascii="宋体" w:hAnsi="宋体" w:cs="宋体"/>
                <w:kern w:val="0"/>
                <w:sz w:val="24"/>
                <w:highlight w:val="none"/>
              </w:rPr>
            </w:pPr>
            <w:r>
              <w:rPr>
                <w:rFonts w:ascii="宋体" w:hAnsi="宋体" w:cs="宋体"/>
                <w:kern w:val="0"/>
                <w:sz w:val="24"/>
                <w:highlight w:val="none"/>
              </w:rPr>
              <w:t>32</w:t>
            </w:r>
          </w:p>
        </w:tc>
        <w:tc>
          <w:tcPr>
            <w:tcW w:w="980" w:type="dxa"/>
            <w:vMerge w:val="continue"/>
            <w:tcBorders>
              <w:top w:val="nil"/>
              <w:left w:val="single" w:color="auto" w:sz="8" w:space="0"/>
              <w:bottom w:val="single" w:color="000000" w:sz="8" w:space="0"/>
              <w:right w:val="single" w:color="auto" w:sz="8" w:space="0"/>
            </w:tcBorders>
            <w:vAlign w:val="center"/>
          </w:tcPr>
          <w:p w14:paraId="4F73F19B">
            <w:pPr>
              <w:widowControl/>
              <w:adjustRightInd/>
              <w:jc w:val="left"/>
              <w:rPr>
                <w:rFonts w:ascii="宋体" w:hAnsi="宋体" w:cs="宋体"/>
                <w:kern w:val="0"/>
                <w:sz w:val="24"/>
                <w:highlight w:val="none"/>
              </w:rPr>
            </w:pPr>
          </w:p>
        </w:tc>
        <w:tc>
          <w:tcPr>
            <w:tcW w:w="1020" w:type="dxa"/>
            <w:tcBorders>
              <w:top w:val="nil"/>
              <w:left w:val="nil"/>
              <w:bottom w:val="single" w:color="auto" w:sz="8" w:space="0"/>
              <w:right w:val="single" w:color="auto" w:sz="8" w:space="0"/>
            </w:tcBorders>
            <w:vAlign w:val="center"/>
          </w:tcPr>
          <w:p w14:paraId="59F28CDF">
            <w:pPr>
              <w:widowControl/>
              <w:adjustRightInd/>
              <w:jc w:val="center"/>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 xml:space="preserve">BIOS </w:t>
            </w:r>
            <w:r>
              <w:rPr>
                <w:rFonts w:hint="eastAsia" w:ascii="宋体" w:hAnsi="宋体" w:cs="宋体"/>
                <w:kern w:val="0"/>
                <w:sz w:val="24"/>
                <w:highlight w:val="none"/>
              </w:rPr>
              <w:t>固件基础功能</w:t>
            </w:r>
          </w:p>
        </w:tc>
        <w:tc>
          <w:tcPr>
            <w:tcW w:w="5120" w:type="dxa"/>
            <w:tcBorders>
              <w:top w:val="nil"/>
              <w:left w:val="nil"/>
              <w:bottom w:val="single" w:color="auto" w:sz="8" w:space="0"/>
              <w:right w:val="single" w:color="auto" w:sz="8" w:space="0"/>
            </w:tcBorders>
            <w:vAlign w:val="center"/>
          </w:tcPr>
          <w:p w14:paraId="1030DB29">
            <w:pPr>
              <w:widowControl/>
              <w:adjustRightInd/>
              <w:rPr>
                <w:rFonts w:ascii="宋体" w:hAnsi="宋体" w:cs="宋体"/>
                <w:kern w:val="0"/>
                <w:sz w:val="24"/>
                <w:highlight w:val="none"/>
              </w:rPr>
            </w:pPr>
            <w:r>
              <w:rPr>
                <w:rFonts w:ascii="宋体" w:hAnsi="宋体" w:cs="宋体"/>
                <w:kern w:val="0"/>
                <w:sz w:val="24"/>
                <w:highlight w:val="none"/>
              </w:rPr>
              <w:t>a）支持查看固件版本、内存信息、主板信息、处理器信息和系统时间信息功能；</w:t>
            </w:r>
          </w:p>
          <w:p w14:paraId="45ABCD89">
            <w:pPr>
              <w:widowControl/>
              <w:adjustRightInd/>
              <w:rPr>
                <w:rFonts w:ascii="宋体" w:hAnsi="宋体" w:cs="宋体"/>
                <w:kern w:val="0"/>
                <w:sz w:val="24"/>
                <w:highlight w:val="none"/>
              </w:rPr>
            </w:pPr>
            <w:r>
              <w:rPr>
                <w:rFonts w:ascii="宋体" w:hAnsi="宋体" w:cs="宋体"/>
                <w:kern w:val="0"/>
                <w:sz w:val="24"/>
                <w:highlight w:val="none"/>
              </w:rPr>
              <w:t xml:space="preserve">b）支持上电初始化界面显示 CPU </w:t>
            </w:r>
            <w:r>
              <w:rPr>
                <w:rFonts w:hint="eastAsia" w:ascii="宋体" w:hAnsi="宋体" w:cs="宋体"/>
                <w:kern w:val="0"/>
                <w:sz w:val="24"/>
                <w:highlight w:val="none"/>
              </w:rPr>
              <w:t>信息、内存信息、固件版本和部分快捷键信息功能；</w:t>
            </w:r>
          </w:p>
          <w:p w14:paraId="00008FFE">
            <w:pPr>
              <w:widowControl/>
              <w:adjustRightInd/>
              <w:rPr>
                <w:rFonts w:ascii="宋体" w:hAnsi="宋体" w:cs="宋体"/>
                <w:kern w:val="0"/>
                <w:sz w:val="24"/>
                <w:highlight w:val="none"/>
              </w:rPr>
            </w:pPr>
            <w:r>
              <w:rPr>
                <w:rFonts w:ascii="宋体" w:hAnsi="宋体" w:cs="宋体"/>
                <w:kern w:val="0"/>
                <w:sz w:val="24"/>
                <w:highlight w:val="none"/>
              </w:rPr>
              <w:t>c）支持设置界面中英文显示切换功能；</w:t>
            </w:r>
          </w:p>
          <w:p w14:paraId="44F86585">
            <w:pPr>
              <w:widowControl/>
              <w:adjustRightInd/>
              <w:rPr>
                <w:rFonts w:ascii="宋体" w:hAnsi="宋体" w:cs="宋体"/>
                <w:kern w:val="0"/>
                <w:sz w:val="24"/>
                <w:highlight w:val="none"/>
              </w:rPr>
            </w:pPr>
            <w:r>
              <w:rPr>
                <w:rFonts w:ascii="宋体" w:hAnsi="宋体" w:cs="宋体"/>
                <w:kern w:val="0"/>
                <w:sz w:val="24"/>
                <w:highlight w:val="none"/>
              </w:rPr>
              <w:t xml:space="preserve">d）支持查看 PCIe </w:t>
            </w:r>
            <w:r>
              <w:rPr>
                <w:rFonts w:hint="eastAsia" w:ascii="宋体" w:hAnsi="宋体" w:cs="宋体"/>
                <w:kern w:val="0"/>
                <w:sz w:val="24"/>
                <w:highlight w:val="none"/>
              </w:rPr>
              <w:t>设备信息，</w:t>
            </w:r>
            <w:r>
              <w:rPr>
                <w:rFonts w:ascii="宋体" w:hAnsi="宋体" w:cs="宋体"/>
                <w:kern w:val="0"/>
                <w:sz w:val="24"/>
                <w:highlight w:val="none"/>
              </w:rPr>
              <w:t>SATA</w:t>
            </w:r>
            <w:r>
              <w:rPr>
                <w:rFonts w:hint="eastAsia" w:ascii="宋体" w:hAnsi="宋体" w:cs="宋体"/>
                <w:kern w:val="0"/>
                <w:sz w:val="24"/>
                <w:highlight w:val="none"/>
              </w:rPr>
              <w:t>设备信息功能；</w:t>
            </w:r>
          </w:p>
          <w:p w14:paraId="0BF909D3">
            <w:pPr>
              <w:widowControl/>
              <w:adjustRightInd/>
              <w:rPr>
                <w:rFonts w:ascii="宋体" w:hAnsi="宋体" w:cs="宋体"/>
                <w:kern w:val="0"/>
                <w:sz w:val="24"/>
                <w:highlight w:val="none"/>
              </w:rPr>
            </w:pPr>
            <w:r>
              <w:rPr>
                <w:rFonts w:ascii="宋体" w:hAnsi="宋体" w:cs="宋体"/>
                <w:kern w:val="0"/>
                <w:sz w:val="24"/>
                <w:highlight w:val="none"/>
              </w:rPr>
              <w:t>e）支持操作系统安装和引导功能，应并向操作系统提供计算机主板信息和服务接口；</w:t>
            </w:r>
          </w:p>
          <w:p w14:paraId="3D4C79E8">
            <w:pPr>
              <w:widowControl/>
              <w:adjustRightInd/>
              <w:rPr>
                <w:rFonts w:ascii="宋体" w:hAnsi="宋体" w:cs="宋体"/>
                <w:kern w:val="0"/>
                <w:sz w:val="24"/>
                <w:highlight w:val="none"/>
              </w:rPr>
            </w:pPr>
            <w:r>
              <w:rPr>
                <w:rFonts w:ascii="宋体" w:hAnsi="宋体" w:cs="宋体"/>
                <w:kern w:val="0"/>
                <w:sz w:val="24"/>
                <w:highlight w:val="none"/>
              </w:rPr>
              <w:t>f）支持设置启动顺序，并按照设置的启动顺序启动功能；</w:t>
            </w:r>
          </w:p>
          <w:p w14:paraId="2DAD9E5E">
            <w:pPr>
              <w:widowControl/>
              <w:adjustRightInd/>
              <w:rPr>
                <w:rFonts w:ascii="宋体" w:hAnsi="宋体" w:cs="宋体"/>
                <w:kern w:val="0"/>
                <w:sz w:val="24"/>
                <w:highlight w:val="none"/>
              </w:rPr>
            </w:pPr>
            <w:r>
              <w:rPr>
                <w:rFonts w:ascii="宋体" w:hAnsi="宋体" w:cs="宋体"/>
                <w:kern w:val="0"/>
                <w:sz w:val="24"/>
                <w:highlight w:val="none"/>
              </w:rPr>
              <w:t>g）支持安全启动功能；</w:t>
            </w:r>
          </w:p>
          <w:p w14:paraId="722A0E20">
            <w:pPr>
              <w:widowControl/>
              <w:adjustRightInd/>
              <w:rPr>
                <w:rFonts w:ascii="宋体" w:hAnsi="宋体" w:cs="宋体"/>
                <w:kern w:val="0"/>
                <w:sz w:val="24"/>
                <w:highlight w:val="none"/>
              </w:rPr>
            </w:pPr>
            <w:r>
              <w:rPr>
                <w:rFonts w:ascii="宋体" w:hAnsi="宋体" w:cs="宋体"/>
                <w:kern w:val="0"/>
                <w:sz w:val="24"/>
                <w:highlight w:val="none"/>
              </w:rPr>
              <w:t>h）支持设置口令、修改口令、验证口令功能；</w:t>
            </w:r>
          </w:p>
          <w:p w14:paraId="10A71134">
            <w:pPr>
              <w:widowControl/>
              <w:adjustRightInd/>
              <w:rPr>
                <w:rFonts w:ascii="宋体" w:hAnsi="宋体" w:cs="宋体"/>
                <w:kern w:val="0"/>
                <w:sz w:val="24"/>
                <w:highlight w:val="none"/>
              </w:rPr>
            </w:pPr>
            <w:r>
              <w:rPr>
                <w:rFonts w:ascii="宋体" w:hAnsi="宋体" w:cs="宋体"/>
                <w:kern w:val="0"/>
                <w:sz w:val="24"/>
                <w:highlight w:val="none"/>
              </w:rPr>
              <w:t>i）支持板载显示控制或独立显卡的显示控制功能；</w:t>
            </w:r>
          </w:p>
          <w:p w14:paraId="67037080">
            <w:pPr>
              <w:widowControl/>
              <w:adjustRightInd/>
              <w:rPr>
                <w:rFonts w:ascii="宋体" w:hAnsi="宋体" w:cs="宋体"/>
                <w:kern w:val="0"/>
                <w:sz w:val="24"/>
                <w:highlight w:val="none"/>
              </w:rPr>
            </w:pPr>
            <w:r>
              <w:rPr>
                <w:rFonts w:ascii="宋体" w:hAnsi="宋体" w:cs="宋体"/>
                <w:kern w:val="0"/>
                <w:sz w:val="24"/>
                <w:highlight w:val="none"/>
              </w:rPr>
              <w:t xml:space="preserve">j）支持 RAID </w:t>
            </w:r>
            <w:r>
              <w:rPr>
                <w:rFonts w:hint="eastAsia" w:ascii="宋体" w:hAnsi="宋体" w:cs="宋体"/>
                <w:kern w:val="0"/>
                <w:sz w:val="24"/>
                <w:highlight w:val="none"/>
              </w:rPr>
              <w:t>识别和启动功能；</w:t>
            </w:r>
            <w:r>
              <w:rPr>
                <w:rFonts w:ascii="宋体" w:hAnsi="宋体" w:cs="宋体"/>
                <w:kern w:val="0"/>
                <w:sz w:val="24"/>
                <w:highlight w:val="none"/>
              </w:rPr>
              <w:t>k）支持串口重定向功能；</w:t>
            </w:r>
          </w:p>
          <w:p w14:paraId="2E9823C8">
            <w:pPr>
              <w:widowControl/>
              <w:adjustRightInd/>
              <w:rPr>
                <w:rFonts w:ascii="宋体" w:hAnsi="宋体" w:cs="宋体"/>
                <w:kern w:val="0"/>
                <w:sz w:val="24"/>
                <w:highlight w:val="none"/>
              </w:rPr>
            </w:pPr>
            <w:r>
              <w:rPr>
                <w:rFonts w:ascii="宋体" w:hAnsi="宋体" w:cs="宋体"/>
                <w:kern w:val="0"/>
                <w:sz w:val="24"/>
                <w:highlight w:val="none"/>
              </w:rPr>
              <w:t>l）支持固件更新功能；</w:t>
            </w:r>
          </w:p>
          <w:p w14:paraId="3BEC2FC1">
            <w:pPr>
              <w:widowControl/>
              <w:adjustRightInd/>
              <w:rPr>
                <w:rFonts w:ascii="宋体" w:hAnsi="宋体" w:cs="宋体"/>
                <w:kern w:val="0"/>
                <w:sz w:val="24"/>
                <w:highlight w:val="none"/>
              </w:rPr>
            </w:pPr>
            <w:r>
              <w:rPr>
                <w:rFonts w:ascii="宋体" w:hAnsi="宋体" w:cs="宋体"/>
                <w:kern w:val="0"/>
                <w:sz w:val="24"/>
                <w:highlight w:val="none"/>
              </w:rPr>
              <w:t xml:space="preserve">m）支持 BIOS </w:t>
            </w:r>
            <w:r>
              <w:rPr>
                <w:rFonts w:hint="eastAsia" w:ascii="宋体" w:hAnsi="宋体" w:cs="宋体"/>
                <w:kern w:val="0"/>
                <w:sz w:val="24"/>
                <w:highlight w:val="none"/>
              </w:rPr>
              <w:t>固件设置的恢复出厂功能；</w:t>
            </w:r>
          </w:p>
          <w:p w14:paraId="14C86F00">
            <w:pPr>
              <w:widowControl/>
              <w:adjustRightInd/>
              <w:rPr>
                <w:rFonts w:ascii="宋体" w:hAnsi="宋体" w:cs="宋体"/>
                <w:kern w:val="0"/>
                <w:sz w:val="24"/>
                <w:highlight w:val="none"/>
              </w:rPr>
            </w:pPr>
            <w:r>
              <w:rPr>
                <w:rFonts w:ascii="宋体" w:hAnsi="宋体" w:cs="宋体"/>
                <w:kern w:val="0"/>
                <w:sz w:val="24"/>
                <w:highlight w:val="none"/>
              </w:rPr>
              <w:t>n）支持网络引导启用和关闭功能</w:t>
            </w:r>
          </w:p>
        </w:tc>
      </w:tr>
      <w:tr w14:paraId="7B9B43F2">
        <w:tblPrEx>
          <w:tblCellMar>
            <w:top w:w="0" w:type="dxa"/>
            <w:left w:w="108" w:type="dxa"/>
            <w:bottom w:w="0" w:type="dxa"/>
            <w:right w:w="108" w:type="dxa"/>
          </w:tblCellMar>
        </w:tblPrEx>
        <w:trPr>
          <w:trHeight w:val="624" w:hRule="atLeast"/>
        </w:trPr>
        <w:tc>
          <w:tcPr>
            <w:tcW w:w="980" w:type="dxa"/>
            <w:tcBorders>
              <w:top w:val="nil"/>
              <w:left w:val="single" w:color="auto" w:sz="8" w:space="0"/>
              <w:bottom w:val="single" w:color="auto" w:sz="8" w:space="0"/>
              <w:right w:val="single" w:color="auto" w:sz="8" w:space="0"/>
            </w:tcBorders>
            <w:vAlign w:val="center"/>
          </w:tcPr>
          <w:p w14:paraId="6FC08ABD">
            <w:pPr>
              <w:widowControl/>
              <w:adjustRightInd/>
              <w:jc w:val="center"/>
              <w:rPr>
                <w:rFonts w:ascii="宋体" w:hAnsi="宋体" w:cs="宋体"/>
                <w:kern w:val="0"/>
                <w:sz w:val="24"/>
                <w:highlight w:val="none"/>
              </w:rPr>
            </w:pPr>
            <w:r>
              <w:rPr>
                <w:rFonts w:ascii="宋体" w:hAnsi="宋体" w:cs="宋体"/>
                <w:kern w:val="0"/>
                <w:sz w:val="24"/>
                <w:highlight w:val="none"/>
              </w:rPr>
              <w:t>33</w:t>
            </w:r>
          </w:p>
        </w:tc>
        <w:tc>
          <w:tcPr>
            <w:tcW w:w="980" w:type="dxa"/>
            <w:vMerge w:val="continue"/>
            <w:tcBorders>
              <w:top w:val="nil"/>
              <w:left w:val="single" w:color="auto" w:sz="8" w:space="0"/>
              <w:bottom w:val="single" w:color="000000" w:sz="8" w:space="0"/>
              <w:right w:val="single" w:color="auto" w:sz="8" w:space="0"/>
            </w:tcBorders>
            <w:vAlign w:val="center"/>
          </w:tcPr>
          <w:p w14:paraId="6527D570">
            <w:pPr>
              <w:widowControl/>
              <w:adjustRightInd/>
              <w:jc w:val="left"/>
              <w:rPr>
                <w:rFonts w:ascii="宋体" w:hAnsi="宋体" w:cs="宋体"/>
                <w:kern w:val="0"/>
                <w:sz w:val="24"/>
                <w:highlight w:val="none"/>
              </w:rPr>
            </w:pPr>
          </w:p>
        </w:tc>
        <w:tc>
          <w:tcPr>
            <w:tcW w:w="1020" w:type="dxa"/>
            <w:tcBorders>
              <w:top w:val="nil"/>
              <w:left w:val="nil"/>
              <w:bottom w:val="single" w:color="auto" w:sz="8" w:space="0"/>
              <w:right w:val="single" w:color="auto" w:sz="8" w:space="0"/>
            </w:tcBorders>
            <w:vAlign w:val="center"/>
          </w:tcPr>
          <w:p w14:paraId="3D30295A">
            <w:pPr>
              <w:widowControl/>
              <w:adjustRightInd/>
              <w:jc w:val="center"/>
              <w:rPr>
                <w:rFonts w:ascii="宋体" w:hAnsi="宋体" w:cs="宋体"/>
                <w:kern w:val="0"/>
                <w:sz w:val="24"/>
                <w:highlight w:val="none"/>
              </w:rPr>
            </w:pPr>
            <w:r>
              <w:rPr>
                <w:rFonts w:hint="eastAsia" w:ascii="宋体" w:hAnsi="宋体" w:cs="宋体"/>
                <w:kern w:val="0"/>
                <w:sz w:val="24"/>
                <w:highlight w:val="none"/>
              </w:rPr>
              <w:t>▲远程控制</w:t>
            </w:r>
          </w:p>
        </w:tc>
        <w:tc>
          <w:tcPr>
            <w:tcW w:w="5120" w:type="dxa"/>
            <w:tcBorders>
              <w:top w:val="nil"/>
              <w:left w:val="nil"/>
              <w:bottom w:val="single" w:color="auto" w:sz="8" w:space="0"/>
              <w:right w:val="single" w:color="auto" w:sz="8" w:space="0"/>
            </w:tcBorders>
            <w:vAlign w:val="center"/>
          </w:tcPr>
          <w:p w14:paraId="392254A1">
            <w:pPr>
              <w:widowControl/>
              <w:adjustRightInd/>
              <w:rPr>
                <w:rFonts w:ascii="宋体" w:hAnsi="宋体" w:cs="宋体"/>
                <w:kern w:val="0"/>
                <w:sz w:val="24"/>
                <w:highlight w:val="none"/>
              </w:rPr>
            </w:pPr>
            <w:r>
              <w:rPr>
                <w:rFonts w:hint="eastAsia" w:ascii="宋体" w:hAnsi="宋体" w:cs="宋体"/>
                <w:kern w:val="0"/>
                <w:sz w:val="24"/>
                <w:highlight w:val="none"/>
              </w:rPr>
              <w:t>支持远程关机和重新启动功能</w:t>
            </w:r>
          </w:p>
        </w:tc>
      </w:tr>
      <w:tr w14:paraId="6B5F70EE">
        <w:tblPrEx>
          <w:tblCellMar>
            <w:top w:w="0" w:type="dxa"/>
            <w:left w:w="108" w:type="dxa"/>
            <w:bottom w:w="0" w:type="dxa"/>
            <w:right w:w="108" w:type="dxa"/>
          </w:tblCellMar>
        </w:tblPrEx>
        <w:trPr>
          <w:trHeight w:val="1248" w:hRule="atLeast"/>
        </w:trPr>
        <w:tc>
          <w:tcPr>
            <w:tcW w:w="980" w:type="dxa"/>
            <w:tcBorders>
              <w:top w:val="nil"/>
              <w:left w:val="single" w:color="auto" w:sz="8" w:space="0"/>
              <w:bottom w:val="single" w:color="auto" w:sz="8" w:space="0"/>
              <w:right w:val="single" w:color="auto" w:sz="8" w:space="0"/>
            </w:tcBorders>
            <w:vAlign w:val="center"/>
          </w:tcPr>
          <w:p w14:paraId="40F2C3FE">
            <w:pPr>
              <w:widowControl/>
              <w:adjustRightInd/>
              <w:jc w:val="center"/>
              <w:rPr>
                <w:rFonts w:ascii="宋体" w:hAnsi="宋体" w:cs="宋体"/>
                <w:kern w:val="0"/>
                <w:sz w:val="24"/>
                <w:highlight w:val="none"/>
              </w:rPr>
            </w:pPr>
            <w:r>
              <w:rPr>
                <w:rFonts w:ascii="宋体" w:hAnsi="宋体" w:cs="宋体"/>
                <w:kern w:val="0"/>
                <w:sz w:val="24"/>
                <w:highlight w:val="none"/>
              </w:rPr>
              <w:t>34</w:t>
            </w:r>
          </w:p>
        </w:tc>
        <w:tc>
          <w:tcPr>
            <w:tcW w:w="980" w:type="dxa"/>
            <w:vMerge w:val="restart"/>
            <w:tcBorders>
              <w:top w:val="nil"/>
              <w:left w:val="single" w:color="auto" w:sz="8" w:space="0"/>
              <w:bottom w:val="single" w:color="000000" w:sz="8" w:space="0"/>
              <w:right w:val="single" w:color="auto" w:sz="8" w:space="0"/>
            </w:tcBorders>
            <w:vAlign w:val="center"/>
          </w:tcPr>
          <w:p w14:paraId="284674CF">
            <w:pPr>
              <w:widowControl/>
              <w:adjustRightInd/>
              <w:jc w:val="center"/>
              <w:rPr>
                <w:rFonts w:ascii="宋体" w:hAnsi="宋体" w:cs="宋体"/>
                <w:kern w:val="0"/>
                <w:sz w:val="24"/>
                <w:highlight w:val="none"/>
              </w:rPr>
            </w:pPr>
            <w:r>
              <w:rPr>
                <w:rFonts w:hint="eastAsia" w:ascii="宋体" w:hAnsi="宋体" w:cs="宋体"/>
                <w:kern w:val="0"/>
                <w:sz w:val="24"/>
                <w:highlight w:val="none"/>
              </w:rPr>
              <w:t>▲操作系统及驱动功能</w:t>
            </w:r>
          </w:p>
        </w:tc>
        <w:tc>
          <w:tcPr>
            <w:tcW w:w="1020" w:type="dxa"/>
            <w:tcBorders>
              <w:top w:val="nil"/>
              <w:left w:val="nil"/>
              <w:bottom w:val="single" w:color="auto" w:sz="8" w:space="0"/>
              <w:right w:val="single" w:color="auto" w:sz="8" w:space="0"/>
            </w:tcBorders>
            <w:vAlign w:val="center"/>
          </w:tcPr>
          <w:p w14:paraId="5867305E">
            <w:pPr>
              <w:widowControl/>
              <w:adjustRightInd/>
              <w:jc w:val="center"/>
              <w:rPr>
                <w:rFonts w:ascii="宋体" w:hAnsi="宋体" w:cs="宋体"/>
                <w:kern w:val="0"/>
                <w:sz w:val="24"/>
                <w:highlight w:val="none"/>
              </w:rPr>
            </w:pPr>
            <w:r>
              <w:rPr>
                <w:rFonts w:hint="eastAsia" w:ascii="宋体" w:hAnsi="宋体" w:cs="宋体"/>
                <w:kern w:val="0"/>
                <w:sz w:val="24"/>
                <w:highlight w:val="none"/>
              </w:rPr>
              <w:t>▲操作系统及驱动的升级</w:t>
            </w:r>
          </w:p>
        </w:tc>
        <w:tc>
          <w:tcPr>
            <w:tcW w:w="5120" w:type="dxa"/>
            <w:tcBorders>
              <w:top w:val="nil"/>
              <w:left w:val="nil"/>
              <w:bottom w:val="single" w:color="auto" w:sz="8" w:space="0"/>
              <w:right w:val="single" w:color="auto" w:sz="8" w:space="0"/>
            </w:tcBorders>
            <w:vAlign w:val="center"/>
          </w:tcPr>
          <w:p w14:paraId="6BB501B5">
            <w:pPr>
              <w:widowControl/>
              <w:adjustRightInd/>
              <w:rPr>
                <w:rFonts w:ascii="宋体" w:hAnsi="宋体" w:cs="宋体"/>
                <w:kern w:val="0"/>
                <w:sz w:val="24"/>
                <w:highlight w:val="none"/>
              </w:rPr>
            </w:pPr>
            <w:r>
              <w:rPr>
                <w:rFonts w:hint="eastAsia" w:ascii="宋体" w:hAnsi="宋体" w:cs="宋体"/>
                <w:kern w:val="0"/>
                <w:sz w:val="24"/>
                <w:highlight w:val="none"/>
              </w:rPr>
              <w:t>支持通过网络、闪存盘对操作系统、驱动进行升级</w:t>
            </w:r>
          </w:p>
        </w:tc>
      </w:tr>
      <w:tr w14:paraId="726D01BC">
        <w:tblPrEx>
          <w:tblCellMar>
            <w:top w:w="0" w:type="dxa"/>
            <w:left w:w="108" w:type="dxa"/>
            <w:bottom w:w="0" w:type="dxa"/>
            <w:right w:w="108" w:type="dxa"/>
          </w:tblCellMar>
        </w:tblPrEx>
        <w:trPr>
          <w:trHeight w:val="936" w:hRule="atLeast"/>
        </w:trPr>
        <w:tc>
          <w:tcPr>
            <w:tcW w:w="980" w:type="dxa"/>
            <w:tcBorders>
              <w:top w:val="nil"/>
              <w:left w:val="single" w:color="auto" w:sz="8" w:space="0"/>
              <w:bottom w:val="single" w:color="auto" w:sz="8" w:space="0"/>
              <w:right w:val="single" w:color="auto" w:sz="8" w:space="0"/>
            </w:tcBorders>
            <w:vAlign w:val="center"/>
          </w:tcPr>
          <w:p w14:paraId="0D36EDF2">
            <w:pPr>
              <w:widowControl/>
              <w:adjustRightInd/>
              <w:jc w:val="center"/>
              <w:rPr>
                <w:rFonts w:ascii="宋体" w:hAnsi="宋体" w:cs="宋体"/>
                <w:kern w:val="0"/>
                <w:sz w:val="24"/>
                <w:highlight w:val="none"/>
              </w:rPr>
            </w:pPr>
            <w:r>
              <w:rPr>
                <w:rFonts w:ascii="宋体" w:hAnsi="宋体" w:cs="宋体"/>
                <w:kern w:val="0"/>
                <w:sz w:val="24"/>
                <w:highlight w:val="none"/>
              </w:rPr>
              <w:t>35</w:t>
            </w:r>
          </w:p>
        </w:tc>
        <w:tc>
          <w:tcPr>
            <w:tcW w:w="980" w:type="dxa"/>
            <w:vMerge w:val="continue"/>
            <w:tcBorders>
              <w:top w:val="nil"/>
              <w:left w:val="single" w:color="auto" w:sz="8" w:space="0"/>
              <w:bottom w:val="single" w:color="000000" w:sz="8" w:space="0"/>
              <w:right w:val="single" w:color="auto" w:sz="8" w:space="0"/>
            </w:tcBorders>
            <w:vAlign w:val="center"/>
          </w:tcPr>
          <w:p w14:paraId="5C3F7F1A">
            <w:pPr>
              <w:widowControl/>
              <w:adjustRightInd/>
              <w:jc w:val="left"/>
              <w:rPr>
                <w:rFonts w:ascii="宋体" w:hAnsi="宋体" w:cs="宋体"/>
                <w:kern w:val="0"/>
                <w:sz w:val="24"/>
                <w:highlight w:val="none"/>
              </w:rPr>
            </w:pPr>
          </w:p>
        </w:tc>
        <w:tc>
          <w:tcPr>
            <w:tcW w:w="1020" w:type="dxa"/>
            <w:tcBorders>
              <w:top w:val="nil"/>
              <w:left w:val="nil"/>
              <w:bottom w:val="single" w:color="auto" w:sz="8" w:space="0"/>
              <w:right w:val="single" w:color="auto" w:sz="8" w:space="0"/>
            </w:tcBorders>
            <w:vAlign w:val="center"/>
          </w:tcPr>
          <w:p w14:paraId="2FFBCF78">
            <w:pPr>
              <w:widowControl/>
              <w:adjustRightInd/>
              <w:jc w:val="center"/>
              <w:rPr>
                <w:rFonts w:ascii="宋体" w:hAnsi="宋体" w:cs="宋体"/>
                <w:kern w:val="0"/>
                <w:sz w:val="24"/>
                <w:highlight w:val="none"/>
              </w:rPr>
            </w:pPr>
            <w:r>
              <w:rPr>
                <w:rFonts w:hint="eastAsia" w:ascii="宋体" w:hAnsi="宋体" w:cs="宋体"/>
                <w:kern w:val="0"/>
                <w:sz w:val="24"/>
                <w:highlight w:val="none"/>
              </w:rPr>
              <w:t>▲操作系统功能</w:t>
            </w:r>
          </w:p>
        </w:tc>
        <w:tc>
          <w:tcPr>
            <w:tcW w:w="5120" w:type="dxa"/>
            <w:tcBorders>
              <w:top w:val="nil"/>
              <w:left w:val="nil"/>
              <w:bottom w:val="single" w:color="auto" w:sz="8" w:space="0"/>
              <w:right w:val="single" w:color="auto" w:sz="8" w:space="0"/>
            </w:tcBorders>
            <w:vAlign w:val="center"/>
          </w:tcPr>
          <w:p w14:paraId="09D4BF2A">
            <w:pPr>
              <w:widowControl/>
              <w:adjustRightInd/>
              <w:rPr>
                <w:rFonts w:ascii="宋体" w:hAnsi="宋体" w:cs="宋体"/>
                <w:kern w:val="0"/>
                <w:sz w:val="24"/>
                <w:highlight w:val="none"/>
              </w:rPr>
            </w:pPr>
            <w:r>
              <w:rPr>
                <w:rFonts w:hint="eastAsia" w:ascii="宋体" w:hAnsi="宋体" w:cs="宋体"/>
                <w:kern w:val="0"/>
                <w:sz w:val="24"/>
                <w:highlight w:val="none"/>
              </w:rPr>
              <w:t>支持访问控制、安全审计、网络接入鉴别等功能；</w:t>
            </w:r>
          </w:p>
          <w:p w14:paraId="1A70724B">
            <w:pPr>
              <w:widowControl/>
              <w:adjustRightInd/>
              <w:rPr>
                <w:rFonts w:ascii="宋体" w:hAnsi="宋体" w:cs="宋体"/>
                <w:kern w:val="0"/>
                <w:sz w:val="24"/>
                <w:highlight w:val="none"/>
              </w:rPr>
            </w:pPr>
            <w:r>
              <w:rPr>
                <w:rFonts w:hint="eastAsia" w:ascii="宋体" w:hAnsi="宋体" w:cs="宋体"/>
                <w:kern w:val="0"/>
                <w:sz w:val="24"/>
                <w:highlight w:val="none"/>
              </w:rPr>
              <w:t>操作系统其他功能满足操作系统政府采购需求标准中加</w:t>
            </w:r>
            <w:r>
              <w:rPr>
                <w:rFonts w:ascii="宋体" w:hAnsi="宋体" w:cs="宋体"/>
                <w:kern w:val="0"/>
                <w:sz w:val="24"/>
                <w:highlight w:val="none"/>
              </w:rPr>
              <w:t>*的指标要求</w:t>
            </w:r>
          </w:p>
        </w:tc>
      </w:tr>
      <w:tr w14:paraId="57284594">
        <w:tblPrEx>
          <w:tblCellMar>
            <w:top w:w="0" w:type="dxa"/>
            <w:left w:w="108" w:type="dxa"/>
            <w:bottom w:w="0" w:type="dxa"/>
            <w:right w:w="108" w:type="dxa"/>
          </w:tblCellMar>
        </w:tblPrEx>
        <w:trPr>
          <w:trHeight w:val="936" w:hRule="atLeast"/>
        </w:trPr>
        <w:tc>
          <w:tcPr>
            <w:tcW w:w="980" w:type="dxa"/>
            <w:tcBorders>
              <w:top w:val="nil"/>
              <w:left w:val="single" w:color="auto" w:sz="8" w:space="0"/>
              <w:bottom w:val="single" w:color="auto" w:sz="8" w:space="0"/>
              <w:right w:val="single" w:color="auto" w:sz="8" w:space="0"/>
            </w:tcBorders>
            <w:vAlign w:val="center"/>
          </w:tcPr>
          <w:p w14:paraId="08227498">
            <w:pPr>
              <w:widowControl/>
              <w:adjustRightInd/>
              <w:jc w:val="center"/>
              <w:rPr>
                <w:rFonts w:ascii="宋体" w:hAnsi="宋体" w:cs="宋体"/>
                <w:kern w:val="0"/>
                <w:sz w:val="24"/>
                <w:highlight w:val="none"/>
              </w:rPr>
            </w:pPr>
            <w:r>
              <w:rPr>
                <w:rFonts w:ascii="宋体" w:hAnsi="宋体" w:cs="宋体"/>
                <w:kern w:val="0"/>
                <w:sz w:val="24"/>
                <w:highlight w:val="none"/>
              </w:rPr>
              <w:t>36</w:t>
            </w:r>
          </w:p>
        </w:tc>
        <w:tc>
          <w:tcPr>
            <w:tcW w:w="980" w:type="dxa"/>
            <w:tcBorders>
              <w:top w:val="nil"/>
              <w:left w:val="nil"/>
              <w:bottom w:val="single" w:color="auto" w:sz="8" w:space="0"/>
              <w:right w:val="single" w:color="auto" w:sz="8" w:space="0"/>
            </w:tcBorders>
            <w:vAlign w:val="center"/>
          </w:tcPr>
          <w:p w14:paraId="209C0D51">
            <w:pPr>
              <w:widowControl/>
              <w:adjustRightInd/>
              <w:jc w:val="center"/>
              <w:rPr>
                <w:rFonts w:ascii="宋体" w:hAnsi="宋体" w:cs="宋体"/>
                <w:kern w:val="0"/>
                <w:sz w:val="24"/>
                <w:highlight w:val="none"/>
              </w:rPr>
            </w:pPr>
            <w:r>
              <w:rPr>
                <w:rFonts w:hint="eastAsia" w:ascii="宋体" w:hAnsi="宋体" w:cs="宋体"/>
                <w:kern w:val="0"/>
                <w:sz w:val="24"/>
                <w:highlight w:val="none"/>
              </w:rPr>
              <w:t>▲中文信息处理功能</w:t>
            </w:r>
          </w:p>
        </w:tc>
        <w:tc>
          <w:tcPr>
            <w:tcW w:w="1020" w:type="dxa"/>
            <w:tcBorders>
              <w:top w:val="nil"/>
              <w:left w:val="nil"/>
              <w:bottom w:val="single" w:color="auto" w:sz="8" w:space="0"/>
              <w:right w:val="single" w:color="auto" w:sz="8" w:space="0"/>
            </w:tcBorders>
            <w:vAlign w:val="center"/>
          </w:tcPr>
          <w:p w14:paraId="2EC8069F">
            <w:pPr>
              <w:widowControl/>
              <w:adjustRightInd/>
              <w:jc w:val="center"/>
              <w:rPr>
                <w:rFonts w:ascii="宋体" w:hAnsi="宋体" w:cs="宋体"/>
                <w:kern w:val="0"/>
                <w:sz w:val="24"/>
                <w:highlight w:val="none"/>
              </w:rPr>
            </w:pPr>
            <w:r>
              <w:rPr>
                <w:rFonts w:hint="eastAsia" w:ascii="宋体" w:hAnsi="宋体" w:cs="宋体"/>
                <w:kern w:val="0"/>
                <w:sz w:val="24"/>
                <w:highlight w:val="none"/>
              </w:rPr>
              <w:t>▲中文信息处理</w:t>
            </w:r>
          </w:p>
        </w:tc>
        <w:tc>
          <w:tcPr>
            <w:tcW w:w="5120" w:type="dxa"/>
            <w:tcBorders>
              <w:top w:val="nil"/>
              <w:left w:val="nil"/>
              <w:bottom w:val="single" w:color="auto" w:sz="8" w:space="0"/>
              <w:right w:val="single" w:color="auto" w:sz="8" w:space="0"/>
            </w:tcBorders>
            <w:vAlign w:val="center"/>
          </w:tcPr>
          <w:p w14:paraId="3EC3B54C">
            <w:pPr>
              <w:widowControl/>
              <w:adjustRightInd/>
              <w:rPr>
                <w:rFonts w:ascii="宋体" w:hAnsi="宋体" w:cs="宋体"/>
                <w:kern w:val="0"/>
                <w:sz w:val="24"/>
                <w:highlight w:val="none"/>
              </w:rPr>
            </w:pPr>
            <w:r>
              <w:rPr>
                <w:rFonts w:hint="eastAsia" w:ascii="宋体" w:hAnsi="宋体" w:cs="宋体"/>
                <w:kern w:val="0"/>
                <w:sz w:val="24"/>
                <w:highlight w:val="none"/>
              </w:rPr>
              <w:t>符合</w:t>
            </w:r>
            <w:r>
              <w:rPr>
                <w:rFonts w:ascii="宋体" w:hAnsi="宋体" w:cs="宋体"/>
                <w:kern w:val="0"/>
                <w:sz w:val="24"/>
                <w:highlight w:val="none"/>
              </w:rPr>
              <w:t xml:space="preserve"> GB 18030 </w:t>
            </w:r>
            <w:r>
              <w:rPr>
                <w:rFonts w:hint="eastAsia" w:ascii="宋体" w:hAnsi="宋体" w:cs="宋体"/>
                <w:kern w:val="0"/>
                <w:sz w:val="24"/>
                <w:highlight w:val="none"/>
              </w:rPr>
              <w:t>的有关规定</w:t>
            </w:r>
          </w:p>
        </w:tc>
      </w:tr>
      <w:tr w14:paraId="152BC8CF">
        <w:tblPrEx>
          <w:tblCellMar>
            <w:top w:w="0" w:type="dxa"/>
            <w:left w:w="108" w:type="dxa"/>
            <w:bottom w:w="0" w:type="dxa"/>
            <w:right w:w="108" w:type="dxa"/>
          </w:tblCellMar>
        </w:tblPrEx>
        <w:trPr>
          <w:trHeight w:val="936" w:hRule="atLeast"/>
        </w:trPr>
        <w:tc>
          <w:tcPr>
            <w:tcW w:w="980" w:type="dxa"/>
            <w:tcBorders>
              <w:top w:val="nil"/>
              <w:left w:val="single" w:color="auto" w:sz="8" w:space="0"/>
              <w:bottom w:val="single" w:color="auto" w:sz="8" w:space="0"/>
              <w:right w:val="single" w:color="auto" w:sz="8" w:space="0"/>
            </w:tcBorders>
            <w:vAlign w:val="center"/>
          </w:tcPr>
          <w:p w14:paraId="4D95BC2D">
            <w:pPr>
              <w:widowControl/>
              <w:adjustRightInd/>
              <w:jc w:val="center"/>
              <w:rPr>
                <w:rFonts w:ascii="宋体" w:hAnsi="宋体" w:cs="宋体"/>
                <w:kern w:val="0"/>
                <w:sz w:val="24"/>
                <w:highlight w:val="none"/>
              </w:rPr>
            </w:pPr>
            <w:r>
              <w:rPr>
                <w:rFonts w:ascii="宋体" w:hAnsi="宋体" w:cs="宋体"/>
                <w:kern w:val="0"/>
                <w:sz w:val="24"/>
                <w:highlight w:val="none"/>
              </w:rPr>
              <w:t>37</w:t>
            </w:r>
          </w:p>
        </w:tc>
        <w:tc>
          <w:tcPr>
            <w:tcW w:w="980" w:type="dxa"/>
            <w:tcBorders>
              <w:top w:val="nil"/>
              <w:left w:val="nil"/>
              <w:bottom w:val="single" w:color="auto" w:sz="8" w:space="0"/>
              <w:right w:val="single" w:color="auto" w:sz="8" w:space="0"/>
            </w:tcBorders>
            <w:vAlign w:val="center"/>
          </w:tcPr>
          <w:p w14:paraId="511D96DB">
            <w:pPr>
              <w:widowControl/>
              <w:adjustRightInd/>
              <w:jc w:val="center"/>
              <w:rPr>
                <w:rFonts w:ascii="宋体" w:hAnsi="宋体" w:cs="宋体"/>
                <w:kern w:val="0"/>
                <w:sz w:val="24"/>
                <w:highlight w:val="none"/>
              </w:rPr>
            </w:pPr>
            <w:r>
              <w:rPr>
                <w:rFonts w:hint="eastAsia" w:ascii="宋体" w:hAnsi="宋体" w:cs="宋体"/>
                <w:kern w:val="0"/>
                <w:sz w:val="24"/>
                <w:highlight w:val="none"/>
              </w:rPr>
              <w:t>▲关键部件安全要求</w:t>
            </w:r>
          </w:p>
        </w:tc>
        <w:tc>
          <w:tcPr>
            <w:tcW w:w="1020" w:type="dxa"/>
            <w:tcBorders>
              <w:top w:val="nil"/>
              <w:left w:val="nil"/>
              <w:bottom w:val="single" w:color="auto" w:sz="8" w:space="0"/>
              <w:right w:val="single" w:color="auto" w:sz="8" w:space="0"/>
            </w:tcBorders>
            <w:vAlign w:val="center"/>
          </w:tcPr>
          <w:p w14:paraId="300B8896">
            <w:pPr>
              <w:widowControl/>
              <w:adjustRightInd/>
              <w:jc w:val="center"/>
              <w:rPr>
                <w:rFonts w:ascii="宋体" w:hAnsi="宋体" w:cs="宋体"/>
                <w:kern w:val="0"/>
                <w:sz w:val="24"/>
                <w:highlight w:val="none"/>
              </w:rPr>
            </w:pPr>
            <w:r>
              <w:rPr>
                <w:rFonts w:hint="eastAsia" w:ascii="宋体" w:hAnsi="宋体" w:cs="宋体"/>
                <w:kern w:val="0"/>
                <w:sz w:val="24"/>
                <w:highlight w:val="none"/>
              </w:rPr>
              <w:t>▲关键部件安全要求</w:t>
            </w:r>
          </w:p>
        </w:tc>
        <w:tc>
          <w:tcPr>
            <w:tcW w:w="5120" w:type="dxa"/>
            <w:tcBorders>
              <w:top w:val="nil"/>
              <w:left w:val="nil"/>
              <w:bottom w:val="single" w:color="auto" w:sz="8" w:space="0"/>
              <w:right w:val="single" w:color="auto" w:sz="8" w:space="0"/>
            </w:tcBorders>
            <w:vAlign w:val="center"/>
          </w:tcPr>
          <w:p w14:paraId="5CBD29D7">
            <w:pPr>
              <w:widowControl/>
              <w:adjustRightInd/>
              <w:rPr>
                <w:rFonts w:ascii="宋体" w:hAnsi="宋体" w:cs="宋体"/>
                <w:kern w:val="0"/>
                <w:sz w:val="24"/>
                <w:highlight w:val="none"/>
              </w:rPr>
            </w:pPr>
            <w:r>
              <w:rPr>
                <w:rFonts w:ascii="宋体" w:hAnsi="宋体" w:cs="宋体"/>
                <w:kern w:val="0"/>
                <w:sz w:val="24"/>
                <w:highlight w:val="none"/>
              </w:rPr>
              <w:t xml:space="preserve">CPU </w:t>
            </w:r>
            <w:r>
              <w:rPr>
                <w:rFonts w:hint="eastAsia" w:ascii="宋体" w:hAnsi="宋体" w:cs="宋体"/>
                <w:kern w:val="0"/>
                <w:sz w:val="24"/>
                <w:highlight w:val="none"/>
              </w:rPr>
              <w:t>和操作系统等关键部件应当符合安全可靠测评要求</w:t>
            </w:r>
          </w:p>
        </w:tc>
      </w:tr>
      <w:tr w14:paraId="6C3F8EC4">
        <w:tblPrEx>
          <w:tblCellMar>
            <w:top w:w="0" w:type="dxa"/>
            <w:left w:w="108" w:type="dxa"/>
            <w:bottom w:w="0" w:type="dxa"/>
            <w:right w:w="108" w:type="dxa"/>
          </w:tblCellMar>
        </w:tblPrEx>
        <w:trPr>
          <w:trHeight w:val="936" w:hRule="atLeast"/>
        </w:trPr>
        <w:tc>
          <w:tcPr>
            <w:tcW w:w="980" w:type="dxa"/>
            <w:tcBorders>
              <w:top w:val="nil"/>
              <w:left w:val="single" w:color="auto" w:sz="8" w:space="0"/>
              <w:bottom w:val="single" w:color="auto" w:sz="8" w:space="0"/>
              <w:right w:val="single" w:color="auto" w:sz="8" w:space="0"/>
            </w:tcBorders>
            <w:vAlign w:val="center"/>
          </w:tcPr>
          <w:p w14:paraId="76D50E3F">
            <w:pPr>
              <w:widowControl/>
              <w:adjustRightInd/>
              <w:jc w:val="center"/>
              <w:rPr>
                <w:rFonts w:ascii="宋体" w:hAnsi="宋体" w:cs="宋体"/>
                <w:kern w:val="0"/>
                <w:sz w:val="24"/>
                <w:highlight w:val="none"/>
              </w:rPr>
            </w:pPr>
            <w:r>
              <w:rPr>
                <w:rFonts w:ascii="宋体" w:hAnsi="宋体" w:cs="宋体"/>
                <w:kern w:val="0"/>
                <w:sz w:val="24"/>
                <w:highlight w:val="none"/>
              </w:rPr>
              <w:t>38</w:t>
            </w:r>
          </w:p>
        </w:tc>
        <w:tc>
          <w:tcPr>
            <w:tcW w:w="980" w:type="dxa"/>
            <w:tcBorders>
              <w:top w:val="nil"/>
              <w:left w:val="nil"/>
              <w:bottom w:val="single" w:color="auto" w:sz="8" w:space="0"/>
              <w:right w:val="single" w:color="auto" w:sz="8" w:space="0"/>
            </w:tcBorders>
            <w:vAlign w:val="center"/>
          </w:tcPr>
          <w:p w14:paraId="04BE2134">
            <w:pPr>
              <w:widowControl/>
              <w:adjustRightInd/>
              <w:jc w:val="center"/>
              <w:rPr>
                <w:rFonts w:ascii="宋体" w:hAnsi="宋体" w:cs="宋体"/>
                <w:kern w:val="0"/>
                <w:sz w:val="24"/>
                <w:highlight w:val="none"/>
              </w:rPr>
            </w:pPr>
            <w:r>
              <w:rPr>
                <w:rFonts w:hint="eastAsia" w:ascii="宋体" w:hAnsi="宋体" w:cs="宋体"/>
                <w:kern w:val="0"/>
                <w:sz w:val="24"/>
                <w:highlight w:val="none"/>
              </w:rPr>
              <w:t>▲固件安全要求</w:t>
            </w:r>
          </w:p>
        </w:tc>
        <w:tc>
          <w:tcPr>
            <w:tcW w:w="1020" w:type="dxa"/>
            <w:tcBorders>
              <w:top w:val="nil"/>
              <w:left w:val="nil"/>
              <w:bottom w:val="single" w:color="auto" w:sz="8" w:space="0"/>
              <w:right w:val="single" w:color="auto" w:sz="8" w:space="0"/>
            </w:tcBorders>
            <w:vAlign w:val="center"/>
          </w:tcPr>
          <w:p w14:paraId="18294EC3">
            <w:pPr>
              <w:widowControl/>
              <w:adjustRightInd/>
              <w:jc w:val="center"/>
              <w:rPr>
                <w:rFonts w:ascii="宋体" w:hAnsi="宋体" w:cs="宋体"/>
                <w:kern w:val="0"/>
                <w:sz w:val="24"/>
                <w:highlight w:val="none"/>
              </w:rPr>
            </w:pPr>
            <w:r>
              <w:rPr>
                <w:rFonts w:hint="eastAsia" w:ascii="宋体" w:hAnsi="宋体" w:cs="宋体"/>
                <w:kern w:val="0"/>
                <w:sz w:val="24"/>
                <w:highlight w:val="none"/>
              </w:rPr>
              <w:t>▲故障检测</w:t>
            </w:r>
          </w:p>
        </w:tc>
        <w:tc>
          <w:tcPr>
            <w:tcW w:w="5120" w:type="dxa"/>
            <w:tcBorders>
              <w:top w:val="nil"/>
              <w:left w:val="nil"/>
              <w:bottom w:val="single" w:color="auto" w:sz="8" w:space="0"/>
              <w:right w:val="single" w:color="auto" w:sz="8" w:space="0"/>
            </w:tcBorders>
            <w:vAlign w:val="center"/>
          </w:tcPr>
          <w:p w14:paraId="6695E0A6">
            <w:pPr>
              <w:widowControl/>
              <w:adjustRightInd/>
              <w:rPr>
                <w:rFonts w:ascii="宋体" w:hAnsi="宋体" w:cs="宋体"/>
                <w:kern w:val="0"/>
                <w:sz w:val="24"/>
                <w:highlight w:val="none"/>
              </w:rPr>
            </w:pPr>
            <w:r>
              <w:rPr>
                <w:rFonts w:hint="eastAsia" w:ascii="宋体" w:hAnsi="宋体" w:cs="宋体"/>
                <w:kern w:val="0"/>
                <w:sz w:val="24"/>
                <w:highlight w:val="none"/>
              </w:rPr>
              <w:t>支持故障检测功能，可以检测到具体的</w:t>
            </w:r>
            <w:r>
              <w:rPr>
                <w:rFonts w:ascii="宋体" w:hAnsi="宋体" w:cs="宋体"/>
                <w:kern w:val="0"/>
                <w:sz w:val="24"/>
                <w:highlight w:val="none"/>
              </w:rPr>
              <w:t xml:space="preserve"> FRU（内存、硬盘等）的故障并发出告警</w:t>
            </w:r>
          </w:p>
        </w:tc>
      </w:tr>
      <w:tr w14:paraId="691C45B7">
        <w:tblPrEx>
          <w:tblCellMar>
            <w:top w:w="0" w:type="dxa"/>
            <w:left w:w="108" w:type="dxa"/>
            <w:bottom w:w="0" w:type="dxa"/>
            <w:right w:w="108" w:type="dxa"/>
          </w:tblCellMar>
        </w:tblPrEx>
        <w:trPr>
          <w:trHeight w:val="936" w:hRule="atLeast"/>
        </w:trPr>
        <w:tc>
          <w:tcPr>
            <w:tcW w:w="980" w:type="dxa"/>
            <w:tcBorders>
              <w:top w:val="single" w:color="auto" w:sz="8" w:space="0"/>
              <w:left w:val="single" w:color="auto" w:sz="8" w:space="0"/>
              <w:bottom w:val="single" w:color="auto" w:sz="8" w:space="0"/>
              <w:right w:val="single" w:color="auto" w:sz="8" w:space="0"/>
            </w:tcBorders>
            <w:vAlign w:val="center"/>
          </w:tcPr>
          <w:p w14:paraId="4EDE8C3C">
            <w:pPr>
              <w:widowControl/>
              <w:adjustRightInd/>
              <w:jc w:val="center"/>
              <w:rPr>
                <w:rFonts w:ascii="宋体" w:hAnsi="宋体" w:cs="宋体"/>
                <w:kern w:val="0"/>
                <w:sz w:val="24"/>
                <w:highlight w:val="none"/>
              </w:rPr>
            </w:pPr>
            <w:r>
              <w:rPr>
                <w:rFonts w:ascii="宋体" w:hAnsi="宋体" w:cs="宋体"/>
                <w:kern w:val="0"/>
                <w:sz w:val="24"/>
                <w:highlight w:val="none"/>
              </w:rPr>
              <w:t>39</w:t>
            </w:r>
          </w:p>
        </w:tc>
        <w:tc>
          <w:tcPr>
            <w:tcW w:w="980" w:type="dxa"/>
            <w:vMerge w:val="restart"/>
            <w:tcBorders>
              <w:top w:val="single" w:color="auto" w:sz="8" w:space="0"/>
              <w:left w:val="single" w:color="auto" w:sz="8" w:space="0"/>
              <w:bottom w:val="single" w:color="auto" w:sz="8" w:space="0"/>
              <w:right w:val="single" w:color="auto" w:sz="8" w:space="0"/>
            </w:tcBorders>
            <w:vAlign w:val="center"/>
          </w:tcPr>
          <w:p w14:paraId="16E3845E">
            <w:pPr>
              <w:widowControl/>
              <w:adjustRightInd/>
              <w:jc w:val="center"/>
              <w:rPr>
                <w:rFonts w:ascii="宋体" w:hAnsi="宋体" w:cs="宋体"/>
                <w:kern w:val="0"/>
                <w:sz w:val="24"/>
                <w:highlight w:val="none"/>
              </w:rPr>
            </w:pPr>
            <w:r>
              <w:rPr>
                <w:rFonts w:hint="eastAsia" w:ascii="宋体" w:hAnsi="宋体" w:cs="宋体"/>
                <w:kern w:val="0"/>
                <w:sz w:val="24"/>
                <w:highlight w:val="none"/>
              </w:rPr>
              <w:t>▲系统安全要求</w:t>
            </w:r>
          </w:p>
        </w:tc>
        <w:tc>
          <w:tcPr>
            <w:tcW w:w="1020" w:type="dxa"/>
            <w:tcBorders>
              <w:top w:val="single" w:color="auto" w:sz="8" w:space="0"/>
              <w:left w:val="single" w:color="auto" w:sz="8" w:space="0"/>
              <w:bottom w:val="single" w:color="auto" w:sz="8" w:space="0"/>
              <w:right w:val="single" w:color="auto" w:sz="8" w:space="0"/>
            </w:tcBorders>
            <w:vAlign w:val="center"/>
          </w:tcPr>
          <w:p w14:paraId="1CA86D3F">
            <w:pPr>
              <w:widowControl/>
              <w:adjustRightInd/>
              <w:jc w:val="center"/>
              <w:rPr>
                <w:rFonts w:ascii="宋体" w:hAnsi="宋体" w:cs="宋体"/>
                <w:kern w:val="0"/>
                <w:sz w:val="24"/>
                <w:highlight w:val="none"/>
              </w:rPr>
            </w:pPr>
            <w:r>
              <w:rPr>
                <w:rFonts w:hint="eastAsia" w:ascii="宋体" w:hAnsi="宋体" w:cs="宋体"/>
                <w:kern w:val="0"/>
                <w:sz w:val="24"/>
                <w:highlight w:val="none"/>
              </w:rPr>
              <w:t>▲弱口令字典检查</w:t>
            </w:r>
          </w:p>
        </w:tc>
        <w:tc>
          <w:tcPr>
            <w:tcW w:w="5120" w:type="dxa"/>
            <w:tcBorders>
              <w:top w:val="single" w:color="auto" w:sz="8" w:space="0"/>
              <w:left w:val="single" w:color="auto" w:sz="8" w:space="0"/>
              <w:bottom w:val="single" w:color="auto" w:sz="8" w:space="0"/>
              <w:right w:val="single" w:color="auto" w:sz="8" w:space="0"/>
            </w:tcBorders>
            <w:vAlign w:val="center"/>
          </w:tcPr>
          <w:p w14:paraId="1F4C13C3">
            <w:pPr>
              <w:widowControl/>
              <w:adjustRightInd/>
              <w:rPr>
                <w:rFonts w:ascii="宋体" w:hAnsi="宋体" w:cs="宋体"/>
                <w:kern w:val="0"/>
                <w:sz w:val="24"/>
                <w:highlight w:val="none"/>
              </w:rPr>
            </w:pPr>
            <w:r>
              <w:rPr>
                <w:rFonts w:hint="eastAsia" w:ascii="宋体" w:hAnsi="宋体" w:cs="宋体"/>
                <w:kern w:val="0"/>
                <w:sz w:val="24"/>
                <w:highlight w:val="none"/>
              </w:rPr>
              <w:t>支持弱口令字典检查功能，出现在弱口令字典中的字符串不能被设置为用户口令</w:t>
            </w:r>
          </w:p>
        </w:tc>
      </w:tr>
      <w:tr w14:paraId="245F8419">
        <w:tblPrEx>
          <w:tblCellMar>
            <w:top w:w="0" w:type="dxa"/>
            <w:left w:w="108" w:type="dxa"/>
            <w:bottom w:w="0" w:type="dxa"/>
            <w:right w:w="108" w:type="dxa"/>
          </w:tblCellMar>
        </w:tblPrEx>
        <w:trPr>
          <w:trHeight w:val="936" w:hRule="atLeast"/>
        </w:trPr>
        <w:tc>
          <w:tcPr>
            <w:tcW w:w="980" w:type="dxa"/>
            <w:tcBorders>
              <w:top w:val="single" w:color="auto" w:sz="8" w:space="0"/>
              <w:left w:val="single" w:color="auto" w:sz="8" w:space="0"/>
              <w:bottom w:val="single" w:color="auto" w:sz="8" w:space="0"/>
              <w:right w:val="single" w:color="auto" w:sz="8" w:space="0"/>
            </w:tcBorders>
            <w:vAlign w:val="center"/>
          </w:tcPr>
          <w:p w14:paraId="7BD38C47">
            <w:pPr>
              <w:widowControl/>
              <w:adjustRightInd/>
              <w:jc w:val="center"/>
              <w:rPr>
                <w:rFonts w:ascii="宋体" w:hAnsi="宋体" w:cs="宋体"/>
                <w:kern w:val="0"/>
                <w:sz w:val="24"/>
                <w:highlight w:val="none"/>
              </w:rPr>
            </w:pPr>
            <w:r>
              <w:rPr>
                <w:rFonts w:ascii="宋体" w:hAnsi="宋体" w:cs="宋体"/>
                <w:kern w:val="0"/>
                <w:sz w:val="24"/>
                <w:highlight w:val="none"/>
              </w:rPr>
              <w:t>40</w:t>
            </w:r>
          </w:p>
        </w:tc>
        <w:tc>
          <w:tcPr>
            <w:tcW w:w="980" w:type="dxa"/>
            <w:vMerge w:val="continue"/>
            <w:tcBorders>
              <w:top w:val="single" w:color="auto" w:sz="8" w:space="0"/>
              <w:left w:val="single" w:color="auto" w:sz="8" w:space="0"/>
              <w:bottom w:val="single" w:color="000000" w:sz="8" w:space="0"/>
              <w:right w:val="single" w:color="auto" w:sz="8" w:space="0"/>
            </w:tcBorders>
            <w:vAlign w:val="center"/>
          </w:tcPr>
          <w:p w14:paraId="00901B86">
            <w:pPr>
              <w:widowControl/>
              <w:adjustRightInd/>
              <w:jc w:val="left"/>
              <w:rPr>
                <w:rFonts w:ascii="宋体" w:hAnsi="宋体" w:cs="宋体"/>
                <w:kern w:val="0"/>
                <w:sz w:val="24"/>
                <w:highlight w:val="none"/>
              </w:rPr>
            </w:pPr>
          </w:p>
        </w:tc>
        <w:tc>
          <w:tcPr>
            <w:tcW w:w="1020" w:type="dxa"/>
            <w:tcBorders>
              <w:top w:val="single" w:color="auto" w:sz="8" w:space="0"/>
              <w:left w:val="nil"/>
              <w:bottom w:val="single" w:color="auto" w:sz="8" w:space="0"/>
              <w:right w:val="single" w:color="auto" w:sz="8" w:space="0"/>
            </w:tcBorders>
            <w:vAlign w:val="center"/>
          </w:tcPr>
          <w:p w14:paraId="6E549C60">
            <w:pPr>
              <w:widowControl/>
              <w:adjustRightInd/>
              <w:jc w:val="center"/>
              <w:rPr>
                <w:rFonts w:ascii="宋体" w:hAnsi="宋体" w:cs="宋体"/>
                <w:kern w:val="0"/>
                <w:sz w:val="24"/>
                <w:highlight w:val="none"/>
              </w:rPr>
            </w:pPr>
            <w:r>
              <w:rPr>
                <w:rFonts w:hint="eastAsia" w:ascii="宋体" w:hAnsi="宋体" w:cs="宋体"/>
                <w:kern w:val="0"/>
                <w:sz w:val="24"/>
                <w:highlight w:val="none"/>
              </w:rPr>
              <w:t>▲白名单访问控制</w:t>
            </w:r>
          </w:p>
        </w:tc>
        <w:tc>
          <w:tcPr>
            <w:tcW w:w="5120" w:type="dxa"/>
            <w:tcBorders>
              <w:top w:val="single" w:color="auto" w:sz="8" w:space="0"/>
              <w:left w:val="nil"/>
              <w:bottom w:val="single" w:color="auto" w:sz="8" w:space="0"/>
              <w:right w:val="single" w:color="auto" w:sz="8" w:space="0"/>
            </w:tcBorders>
            <w:vAlign w:val="center"/>
          </w:tcPr>
          <w:p w14:paraId="4871A34F">
            <w:pPr>
              <w:widowControl/>
              <w:adjustRightInd/>
              <w:rPr>
                <w:rFonts w:ascii="宋体" w:hAnsi="宋体" w:cs="宋体"/>
                <w:kern w:val="0"/>
                <w:sz w:val="24"/>
                <w:highlight w:val="none"/>
              </w:rPr>
            </w:pPr>
            <w:r>
              <w:rPr>
                <w:rFonts w:hint="eastAsia" w:ascii="宋体" w:hAnsi="宋体" w:cs="宋体"/>
                <w:kern w:val="0"/>
                <w:sz w:val="24"/>
                <w:highlight w:val="none"/>
              </w:rPr>
              <w:t>支持基于时间、</w:t>
            </w:r>
            <w:r>
              <w:rPr>
                <w:rFonts w:ascii="宋体" w:hAnsi="宋体" w:cs="宋体"/>
                <w:kern w:val="0"/>
                <w:sz w:val="24"/>
                <w:highlight w:val="none"/>
              </w:rPr>
              <w:t xml:space="preserve">IP </w:t>
            </w:r>
            <w:r>
              <w:rPr>
                <w:rFonts w:hint="eastAsia" w:ascii="宋体" w:hAnsi="宋体" w:cs="宋体"/>
                <w:kern w:val="0"/>
                <w:sz w:val="24"/>
                <w:highlight w:val="none"/>
              </w:rPr>
              <w:t>或</w:t>
            </w:r>
            <w:r>
              <w:rPr>
                <w:rFonts w:ascii="宋体" w:hAnsi="宋体" w:cs="宋体"/>
                <w:kern w:val="0"/>
                <w:sz w:val="24"/>
                <w:highlight w:val="none"/>
              </w:rPr>
              <w:t xml:space="preserve"> MAC </w:t>
            </w:r>
            <w:r>
              <w:rPr>
                <w:rFonts w:hint="eastAsia" w:ascii="宋体" w:hAnsi="宋体" w:cs="宋体"/>
                <w:kern w:val="0"/>
                <w:sz w:val="24"/>
                <w:highlight w:val="none"/>
              </w:rPr>
              <w:t>白名单访问控制</w:t>
            </w:r>
          </w:p>
        </w:tc>
      </w:tr>
      <w:tr w14:paraId="33AE7CA6">
        <w:tblPrEx>
          <w:tblCellMar>
            <w:top w:w="0" w:type="dxa"/>
            <w:left w:w="108" w:type="dxa"/>
            <w:bottom w:w="0" w:type="dxa"/>
            <w:right w:w="108" w:type="dxa"/>
          </w:tblCellMar>
        </w:tblPrEx>
        <w:trPr>
          <w:trHeight w:val="624" w:hRule="atLeast"/>
        </w:trPr>
        <w:tc>
          <w:tcPr>
            <w:tcW w:w="980" w:type="dxa"/>
            <w:tcBorders>
              <w:top w:val="nil"/>
              <w:left w:val="single" w:color="auto" w:sz="8" w:space="0"/>
              <w:bottom w:val="single" w:color="auto" w:sz="8" w:space="0"/>
              <w:right w:val="single" w:color="auto" w:sz="8" w:space="0"/>
            </w:tcBorders>
            <w:vAlign w:val="center"/>
          </w:tcPr>
          <w:p w14:paraId="12C82A8D">
            <w:pPr>
              <w:widowControl/>
              <w:adjustRightInd/>
              <w:jc w:val="center"/>
              <w:rPr>
                <w:rFonts w:ascii="宋体" w:hAnsi="宋体" w:cs="宋体"/>
                <w:kern w:val="0"/>
                <w:sz w:val="24"/>
                <w:highlight w:val="none"/>
              </w:rPr>
            </w:pPr>
            <w:r>
              <w:rPr>
                <w:rFonts w:ascii="宋体" w:hAnsi="宋体" w:cs="宋体"/>
                <w:kern w:val="0"/>
                <w:sz w:val="24"/>
                <w:highlight w:val="none"/>
              </w:rPr>
              <w:t>41</w:t>
            </w:r>
          </w:p>
        </w:tc>
        <w:tc>
          <w:tcPr>
            <w:tcW w:w="980" w:type="dxa"/>
            <w:vMerge w:val="continue"/>
            <w:tcBorders>
              <w:top w:val="nil"/>
              <w:left w:val="single" w:color="auto" w:sz="8" w:space="0"/>
              <w:bottom w:val="single" w:color="000000" w:sz="8" w:space="0"/>
              <w:right w:val="single" w:color="auto" w:sz="8" w:space="0"/>
            </w:tcBorders>
            <w:vAlign w:val="center"/>
          </w:tcPr>
          <w:p w14:paraId="421D2DA0">
            <w:pPr>
              <w:widowControl/>
              <w:adjustRightInd/>
              <w:jc w:val="left"/>
              <w:rPr>
                <w:rFonts w:ascii="宋体" w:hAnsi="宋体" w:cs="宋体"/>
                <w:kern w:val="0"/>
                <w:sz w:val="24"/>
                <w:highlight w:val="none"/>
              </w:rPr>
            </w:pPr>
          </w:p>
        </w:tc>
        <w:tc>
          <w:tcPr>
            <w:tcW w:w="1020" w:type="dxa"/>
            <w:tcBorders>
              <w:top w:val="nil"/>
              <w:left w:val="nil"/>
              <w:bottom w:val="single" w:color="auto" w:sz="8" w:space="0"/>
              <w:right w:val="single" w:color="auto" w:sz="8" w:space="0"/>
            </w:tcBorders>
            <w:vAlign w:val="center"/>
          </w:tcPr>
          <w:p w14:paraId="6CD041CC">
            <w:pPr>
              <w:widowControl/>
              <w:adjustRightInd/>
              <w:jc w:val="center"/>
              <w:rPr>
                <w:rFonts w:ascii="宋体" w:hAnsi="宋体" w:cs="宋体"/>
                <w:kern w:val="0"/>
                <w:sz w:val="24"/>
                <w:highlight w:val="none"/>
              </w:rPr>
            </w:pPr>
            <w:r>
              <w:rPr>
                <w:rFonts w:hint="eastAsia" w:ascii="宋体" w:hAnsi="宋体" w:cs="宋体"/>
                <w:kern w:val="0"/>
                <w:sz w:val="24"/>
                <w:highlight w:val="none"/>
              </w:rPr>
              <w:t>▲二次鉴别</w:t>
            </w:r>
          </w:p>
        </w:tc>
        <w:tc>
          <w:tcPr>
            <w:tcW w:w="5120" w:type="dxa"/>
            <w:tcBorders>
              <w:top w:val="nil"/>
              <w:left w:val="nil"/>
              <w:bottom w:val="single" w:color="auto" w:sz="8" w:space="0"/>
              <w:right w:val="single" w:color="auto" w:sz="8" w:space="0"/>
            </w:tcBorders>
            <w:vAlign w:val="center"/>
          </w:tcPr>
          <w:p w14:paraId="2CF82DE1">
            <w:pPr>
              <w:widowControl/>
              <w:adjustRightInd/>
              <w:rPr>
                <w:rFonts w:ascii="宋体" w:hAnsi="宋体" w:cs="宋体"/>
                <w:kern w:val="0"/>
                <w:sz w:val="24"/>
                <w:highlight w:val="none"/>
              </w:rPr>
            </w:pPr>
            <w:r>
              <w:rPr>
                <w:rFonts w:hint="eastAsia" w:ascii="宋体" w:hAnsi="宋体" w:cs="宋体"/>
                <w:kern w:val="0"/>
                <w:sz w:val="24"/>
                <w:highlight w:val="none"/>
              </w:rPr>
              <w:t>支持二次鉴别功能。对于用户配置、权限配置、公钥导入等重要的管理操作，已登录用户应通过二次鉴别后，才能执行操作</w:t>
            </w:r>
          </w:p>
        </w:tc>
      </w:tr>
      <w:tr w14:paraId="2B1D26E8">
        <w:tblPrEx>
          <w:tblCellMar>
            <w:top w:w="0" w:type="dxa"/>
            <w:left w:w="108" w:type="dxa"/>
            <w:bottom w:w="0" w:type="dxa"/>
            <w:right w:w="108" w:type="dxa"/>
          </w:tblCellMar>
        </w:tblPrEx>
        <w:trPr>
          <w:trHeight w:val="1248" w:hRule="atLeast"/>
        </w:trPr>
        <w:tc>
          <w:tcPr>
            <w:tcW w:w="980" w:type="dxa"/>
            <w:tcBorders>
              <w:top w:val="nil"/>
              <w:left w:val="single" w:color="auto" w:sz="8" w:space="0"/>
              <w:bottom w:val="single" w:color="auto" w:sz="8" w:space="0"/>
              <w:right w:val="single" w:color="auto" w:sz="8" w:space="0"/>
            </w:tcBorders>
            <w:vAlign w:val="center"/>
          </w:tcPr>
          <w:p w14:paraId="537B9A7C">
            <w:pPr>
              <w:widowControl/>
              <w:adjustRightInd/>
              <w:jc w:val="center"/>
              <w:rPr>
                <w:rFonts w:ascii="宋体" w:hAnsi="宋体" w:cs="宋体"/>
                <w:kern w:val="0"/>
                <w:sz w:val="24"/>
                <w:highlight w:val="none"/>
              </w:rPr>
            </w:pPr>
            <w:r>
              <w:rPr>
                <w:rFonts w:ascii="宋体" w:hAnsi="宋体" w:cs="宋体"/>
                <w:kern w:val="0"/>
                <w:sz w:val="24"/>
                <w:highlight w:val="none"/>
              </w:rPr>
              <w:t>42</w:t>
            </w:r>
          </w:p>
        </w:tc>
        <w:tc>
          <w:tcPr>
            <w:tcW w:w="980" w:type="dxa"/>
            <w:vMerge w:val="continue"/>
            <w:tcBorders>
              <w:top w:val="nil"/>
              <w:left w:val="single" w:color="auto" w:sz="8" w:space="0"/>
              <w:bottom w:val="single" w:color="000000" w:sz="8" w:space="0"/>
              <w:right w:val="single" w:color="auto" w:sz="8" w:space="0"/>
            </w:tcBorders>
            <w:vAlign w:val="center"/>
          </w:tcPr>
          <w:p w14:paraId="22582069">
            <w:pPr>
              <w:widowControl/>
              <w:adjustRightInd/>
              <w:jc w:val="left"/>
              <w:rPr>
                <w:rFonts w:ascii="宋体" w:hAnsi="宋体" w:cs="宋体"/>
                <w:kern w:val="0"/>
                <w:sz w:val="24"/>
                <w:highlight w:val="none"/>
              </w:rPr>
            </w:pPr>
          </w:p>
        </w:tc>
        <w:tc>
          <w:tcPr>
            <w:tcW w:w="1020" w:type="dxa"/>
            <w:tcBorders>
              <w:top w:val="nil"/>
              <w:left w:val="nil"/>
              <w:bottom w:val="single" w:color="auto" w:sz="8" w:space="0"/>
              <w:right w:val="single" w:color="auto" w:sz="8" w:space="0"/>
            </w:tcBorders>
            <w:vAlign w:val="center"/>
          </w:tcPr>
          <w:p w14:paraId="494F9C54">
            <w:pPr>
              <w:widowControl/>
              <w:adjustRightInd/>
              <w:jc w:val="center"/>
              <w:rPr>
                <w:rFonts w:ascii="宋体" w:hAnsi="宋体" w:cs="宋体"/>
                <w:kern w:val="0"/>
                <w:sz w:val="24"/>
                <w:highlight w:val="none"/>
              </w:rPr>
            </w:pPr>
            <w:r>
              <w:rPr>
                <w:rFonts w:hint="eastAsia" w:ascii="宋体" w:hAnsi="宋体" w:cs="宋体"/>
                <w:kern w:val="0"/>
                <w:sz w:val="24"/>
                <w:highlight w:val="none"/>
              </w:rPr>
              <w:t>▲密码证书安全加密存储</w:t>
            </w:r>
          </w:p>
        </w:tc>
        <w:tc>
          <w:tcPr>
            <w:tcW w:w="5120" w:type="dxa"/>
            <w:tcBorders>
              <w:top w:val="nil"/>
              <w:left w:val="nil"/>
              <w:bottom w:val="single" w:color="auto" w:sz="8" w:space="0"/>
              <w:right w:val="single" w:color="auto" w:sz="8" w:space="0"/>
            </w:tcBorders>
            <w:vAlign w:val="center"/>
          </w:tcPr>
          <w:p w14:paraId="6B1629B1">
            <w:pPr>
              <w:widowControl/>
              <w:adjustRightInd/>
              <w:rPr>
                <w:rFonts w:ascii="宋体" w:hAnsi="宋体" w:cs="宋体"/>
                <w:kern w:val="0"/>
                <w:sz w:val="24"/>
                <w:highlight w:val="none"/>
              </w:rPr>
            </w:pPr>
            <w:r>
              <w:rPr>
                <w:rFonts w:hint="eastAsia" w:ascii="宋体" w:hAnsi="宋体" w:cs="宋体"/>
                <w:kern w:val="0"/>
                <w:sz w:val="24"/>
                <w:highlight w:val="none"/>
              </w:rPr>
              <w:t>支持对带外管理系统中的用户口令和证书等敏感信息进行加密存储，禁止使用私有的和业界已知不安全的密码算法</w:t>
            </w:r>
          </w:p>
        </w:tc>
      </w:tr>
      <w:tr w14:paraId="2C314F9E">
        <w:tblPrEx>
          <w:tblCellMar>
            <w:top w:w="0" w:type="dxa"/>
            <w:left w:w="108" w:type="dxa"/>
            <w:bottom w:w="0" w:type="dxa"/>
            <w:right w:w="108" w:type="dxa"/>
          </w:tblCellMar>
        </w:tblPrEx>
        <w:trPr>
          <w:trHeight w:val="1248" w:hRule="atLeast"/>
        </w:trPr>
        <w:tc>
          <w:tcPr>
            <w:tcW w:w="980" w:type="dxa"/>
            <w:tcBorders>
              <w:top w:val="nil"/>
              <w:left w:val="single" w:color="auto" w:sz="8" w:space="0"/>
              <w:bottom w:val="single" w:color="auto" w:sz="8" w:space="0"/>
              <w:right w:val="single" w:color="auto" w:sz="8" w:space="0"/>
            </w:tcBorders>
            <w:vAlign w:val="center"/>
          </w:tcPr>
          <w:p w14:paraId="090626C8">
            <w:pPr>
              <w:widowControl/>
              <w:adjustRightInd/>
              <w:jc w:val="center"/>
              <w:rPr>
                <w:rFonts w:ascii="宋体" w:hAnsi="宋体" w:cs="宋体"/>
                <w:kern w:val="0"/>
                <w:sz w:val="24"/>
                <w:highlight w:val="none"/>
              </w:rPr>
            </w:pPr>
            <w:r>
              <w:rPr>
                <w:rFonts w:ascii="宋体" w:hAnsi="宋体" w:cs="宋体"/>
                <w:kern w:val="0"/>
                <w:sz w:val="24"/>
                <w:highlight w:val="none"/>
              </w:rPr>
              <w:t>43</w:t>
            </w:r>
          </w:p>
        </w:tc>
        <w:tc>
          <w:tcPr>
            <w:tcW w:w="980" w:type="dxa"/>
            <w:vMerge w:val="continue"/>
            <w:tcBorders>
              <w:top w:val="nil"/>
              <w:left w:val="single" w:color="auto" w:sz="8" w:space="0"/>
              <w:bottom w:val="single" w:color="000000" w:sz="8" w:space="0"/>
              <w:right w:val="single" w:color="auto" w:sz="8" w:space="0"/>
            </w:tcBorders>
            <w:vAlign w:val="center"/>
          </w:tcPr>
          <w:p w14:paraId="0E8053CA">
            <w:pPr>
              <w:widowControl/>
              <w:adjustRightInd/>
              <w:jc w:val="left"/>
              <w:rPr>
                <w:rFonts w:ascii="宋体" w:hAnsi="宋体" w:cs="宋体"/>
                <w:kern w:val="0"/>
                <w:sz w:val="24"/>
                <w:highlight w:val="none"/>
              </w:rPr>
            </w:pPr>
          </w:p>
        </w:tc>
        <w:tc>
          <w:tcPr>
            <w:tcW w:w="1020" w:type="dxa"/>
            <w:tcBorders>
              <w:top w:val="nil"/>
              <w:left w:val="nil"/>
              <w:bottom w:val="single" w:color="auto" w:sz="8" w:space="0"/>
              <w:right w:val="single" w:color="auto" w:sz="8" w:space="0"/>
            </w:tcBorders>
            <w:vAlign w:val="center"/>
          </w:tcPr>
          <w:p w14:paraId="4BCFF687">
            <w:pPr>
              <w:widowControl/>
              <w:adjustRightInd/>
              <w:jc w:val="center"/>
              <w:rPr>
                <w:rFonts w:ascii="宋体" w:hAnsi="宋体" w:cs="宋体"/>
                <w:kern w:val="0"/>
                <w:sz w:val="24"/>
                <w:highlight w:val="none"/>
              </w:rPr>
            </w:pPr>
            <w:r>
              <w:rPr>
                <w:rFonts w:hint="eastAsia" w:ascii="宋体" w:hAnsi="宋体" w:cs="宋体"/>
                <w:kern w:val="0"/>
                <w:sz w:val="24"/>
                <w:highlight w:val="none"/>
              </w:rPr>
              <w:t>▲敏感信息安全加密传输</w:t>
            </w:r>
          </w:p>
        </w:tc>
        <w:tc>
          <w:tcPr>
            <w:tcW w:w="5120" w:type="dxa"/>
            <w:tcBorders>
              <w:top w:val="nil"/>
              <w:left w:val="nil"/>
              <w:bottom w:val="single" w:color="auto" w:sz="8" w:space="0"/>
              <w:right w:val="single" w:color="auto" w:sz="8" w:space="0"/>
            </w:tcBorders>
            <w:vAlign w:val="center"/>
          </w:tcPr>
          <w:p w14:paraId="387BA0F7">
            <w:pPr>
              <w:widowControl/>
              <w:adjustRightInd/>
              <w:rPr>
                <w:rFonts w:ascii="宋体" w:hAnsi="宋体" w:cs="宋体"/>
                <w:kern w:val="0"/>
                <w:sz w:val="24"/>
                <w:highlight w:val="none"/>
              </w:rPr>
            </w:pPr>
            <w:r>
              <w:rPr>
                <w:rFonts w:hint="eastAsia" w:ascii="宋体" w:hAnsi="宋体" w:cs="宋体"/>
                <w:kern w:val="0"/>
                <w:sz w:val="24"/>
                <w:highlight w:val="none"/>
              </w:rPr>
              <w:t>支持使用安全的传输加密协议（如</w:t>
            </w:r>
            <w:r>
              <w:rPr>
                <w:rFonts w:ascii="宋体" w:hAnsi="宋体" w:cs="宋体"/>
                <w:kern w:val="0"/>
                <w:sz w:val="24"/>
                <w:highlight w:val="none"/>
              </w:rPr>
              <w:t xml:space="preserve">SSH </w:t>
            </w:r>
            <w:r>
              <w:rPr>
                <w:rFonts w:hint="eastAsia" w:ascii="宋体" w:hAnsi="宋体" w:cs="宋体"/>
                <w:kern w:val="0"/>
                <w:sz w:val="24"/>
                <w:highlight w:val="none"/>
              </w:rPr>
              <w:t>或</w:t>
            </w:r>
            <w:r>
              <w:rPr>
                <w:rFonts w:ascii="宋体" w:hAnsi="宋体" w:cs="宋体"/>
                <w:kern w:val="0"/>
                <w:sz w:val="24"/>
                <w:highlight w:val="none"/>
              </w:rPr>
              <w:t xml:space="preserve"> HTTPS </w:t>
            </w:r>
            <w:r>
              <w:rPr>
                <w:rFonts w:hint="eastAsia" w:ascii="宋体" w:hAnsi="宋体" w:cs="宋体"/>
                <w:kern w:val="0"/>
                <w:sz w:val="24"/>
                <w:highlight w:val="none"/>
              </w:rPr>
              <w:t>等）传输用户的敏感信息</w:t>
            </w:r>
          </w:p>
        </w:tc>
      </w:tr>
      <w:tr w14:paraId="7C69426D">
        <w:tblPrEx>
          <w:tblCellMar>
            <w:top w:w="0" w:type="dxa"/>
            <w:left w:w="108" w:type="dxa"/>
            <w:bottom w:w="0" w:type="dxa"/>
            <w:right w:w="108" w:type="dxa"/>
          </w:tblCellMar>
        </w:tblPrEx>
        <w:trPr>
          <w:trHeight w:val="1680" w:hRule="atLeast"/>
        </w:trPr>
        <w:tc>
          <w:tcPr>
            <w:tcW w:w="980" w:type="dxa"/>
            <w:tcBorders>
              <w:top w:val="nil"/>
              <w:left w:val="single" w:color="auto" w:sz="8" w:space="0"/>
              <w:bottom w:val="single" w:color="000000" w:sz="8" w:space="0"/>
              <w:right w:val="single" w:color="auto" w:sz="8" w:space="0"/>
            </w:tcBorders>
            <w:vAlign w:val="center"/>
          </w:tcPr>
          <w:p w14:paraId="30C3D37A">
            <w:pPr>
              <w:widowControl/>
              <w:adjustRightInd/>
              <w:jc w:val="center"/>
              <w:rPr>
                <w:rFonts w:ascii="宋体" w:hAnsi="宋体" w:cs="宋体"/>
                <w:kern w:val="0"/>
                <w:sz w:val="24"/>
                <w:highlight w:val="none"/>
              </w:rPr>
            </w:pPr>
            <w:r>
              <w:rPr>
                <w:rFonts w:ascii="宋体" w:hAnsi="宋体" w:cs="宋体"/>
                <w:kern w:val="0"/>
                <w:sz w:val="24"/>
                <w:highlight w:val="none"/>
              </w:rPr>
              <w:t>44</w:t>
            </w:r>
          </w:p>
        </w:tc>
        <w:tc>
          <w:tcPr>
            <w:tcW w:w="980" w:type="dxa"/>
            <w:tcBorders>
              <w:top w:val="nil"/>
              <w:left w:val="single" w:color="auto" w:sz="8" w:space="0"/>
              <w:bottom w:val="single" w:color="000000" w:sz="8" w:space="0"/>
              <w:right w:val="single" w:color="auto" w:sz="8" w:space="0"/>
            </w:tcBorders>
            <w:vAlign w:val="center"/>
          </w:tcPr>
          <w:p w14:paraId="22211224">
            <w:pPr>
              <w:widowControl/>
              <w:adjustRightInd/>
              <w:jc w:val="center"/>
              <w:rPr>
                <w:rFonts w:ascii="宋体" w:hAnsi="宋体" w:cs="宋体"/>
                <w:kern w:val="0"/>
                <w:sz w:val="24"/>
                <w:highlight w:val="none"/>
              </w:rPr>
            </w:pPr>
            <w:r>
              <w:rPr>
                <w:rFonts w:hint="eastAsia" w:ascii="宋体" w:hAnsi="宋体" w:cs="宋体"/>
                <w:kern w:val="0"/>
                <w:sz w:val="24"/>
                <w:highlight w:val="none"/>
              </w:rPr>
              <w:t>▲信息安全要求</w:t>
            </w:r>
          </w:p>
        </w:tc>
        <w:tc>
          <w:tcPr>
            <w:tcW w:w="1020" w:type="dxa"/>
            <w:tcBorders>
              <w:top w:val="nil"/>
              <w:left w:val="single" w:color="auto" w:sz="8" w:space="0"/>
              <w:bottom w:val="single" w:color="000000" w:sz="8" w:space="0"/>
              <w:right w:val="single" w:color="auto" w:sz="8" w:space="0"/>
            </w:tcBorders>
            <w:vAlign w:val="center"/>
          </w:tcPr>
          <w:p w14:paraId="34AAF8D5">
            <w:pPr>
              <w:widowControl/>
              <w:adjustRightInd/>
              <w:jc w:val="center"/>
              <w:rPr>
                <w:rFonts w:ascii="宋体" w:hAnsi="宋体" w:cs="宋体"/>
                <w:kern w:val="0"/>
                <w:sz w:val="24"/>
                <w:highlight w:val="none"/>
              </w:rPr>
            </w:pPr>
            <w:r>
              <w:rPr>
                <w:rFonts w:hint="eastAsia" w:ascii="宋体" w:hAnsi="宋体" w:cs="宋体"/>
                <w:kern w:val="0"/>
                <w:sz w:val="24"/>
                <w:highlight w:val="none"/>
              </w:rPr>
              <w:t>▲研发过程安全</w:t>
            </w:r>
          </w:p>
        </w:tc>
        <w:tc>
          <w:tcPr>
            <w:tcW w:w="5120" w:type="dxa"/>
            <w:tcBorders>
              <w:top w:val="nil"/>
              <w:left w:val="nil"/>
              <w:bottom w:val="single" w:color="auto" w:sz="8" w:space="0"/>
              <w:right w:val="single" w:color="auto" w:sz="8" w:space="0"/>
            </w:tcBorders>
            <w:vAlign w:val="center"/>
          </w:tcPr>
          <w:p w14:paraId="05C16DF3">
            <w:pPr>
              <w:widowControl/>
              <w:adjustRightInd/>
              <w:rPr>
                <w:rFonts w:ascii="宋体" w:hAnsi="宋体" w:cs="宋体"/>
                <w:kern w:val="0"/>
                <w:sz w:val="24"/>
                <w:highlight w:val="none"/>
              </w:rPr>
            </w:pPr>
            <w:r>
              <w:rPr>
                <w:rFonts w:hint="eastAsia" w:ascii="宋体" w:hAnsi="宋体" w:cs="宋体"/>
                <w:kern w:val="0"/>
                <w:sz w:val="24"/>
                <w:highlight w:val="none"/>
              </w:rPr>
              <w:t>供应商承诺，生产商已建立从需求、设计、开发、测试、维护端到端的开发流程管理机制，输出和保存开发流程中每个阶段的产品需求清单、设计文档、开发文档、测试记录等材料，保证各个流程可追溯；</w:t>
            </w:r>
          </w:p>
        </w:tc>
      </w:tr>
      <w:tr w14:paraId="20C995D0">
        <w:tblPrEx>
          <w:tblCellMar>
            <w:top w:w="0" w:type="dxa"/>
            <w:left w:w="108" w:type="dxa"/>
            <w:bottom w:w="0" w:type="dxa"/>
            <w:right w:w="108" w:type="dxa"/>
          </w:tblCellMar>
        </w:tblPrEx>
        <w:trPr>
          <w:trHeight w:val="624" w:hRule="atLeast"/>
        </w:trPr>
        <w:tc>
          <w:tcPr>
            <w:tcW w:w="980" w:type="dxa"/>
            <w:tcBorders>
              <w:top w:val="nil"/>
              <w:left w:val="single" w:color="auto" w:sz="8" w:space="0"/>
              <w:bottom w:val="single" w:color="auto" w:sz="8" w:space="0"/>
              <w:right w:val="single" w:color="auto" w:sz="8" w:space="0"/>
            </w:tcBorders>
            <w:vAlign w:val="center"/>
          </w:tcPr>
          <w:p w14:paraId="728F71EA">
            <w:pPr>
              <w:widowControl/>
              <w:adjustRightInd/>
              <w:jc w:val="center"/>
              <w:rPr>
                <w:rFonts w:ascii="宋体" w:hAnsi="宋体" w:cs="宋体"/>
                <w:kern w:val="0"/>
                <w:sz w:val="24"/>
                <w:highlight w:val="none"/>
              </w:rPr>
            </w:pPr>
            <w:r>
              <w:rPr>
                <w:rFonts w:ascii="宋体" w:hAnsi="宋体" w:cs="宋体"/>
                <w:kern w:val="0"/>
                <w:sz w:val="24"/>
                <w:highlight w:val="none"/>
              </w:rPr>
              <w:t>45</w:t>
            </w:r>
          </w:p>
        </w:tc>
        <w:tc>
          <w:tcPr>
            <w:tcW w:w="980" w:type="dxa"/>
            <w:tcBorders>
              <w:top w:val="nil"/>
              <w:left w:val="nil"/>
              <w:bottom w:val="single" w:color="auto" w:sz="8" w:space="0"/>
              <w:right w:val="single" w:color="auto" w:sz="8" w:space="0"/>
            </w:tcBorders>
            <w:vAlign w:val="center"/>
          </w:tcPr>
          <w:p w14:paraId="316A2EC3">
            <w:pPr>
              <w:widowControl/>
              <w:adjustRightInd/>
              <w:jc w:val="center"/>
              <w:rPr>
                <w:rFonts w:ascii="宋体" w:hAnsi="宋体" w:cs="宋体"/>
                <w:kern w:val="0"/>
                <w:sz w:val="24"/>
                <w:highlight w:val="none"/>
              </w:rPr>
            </w:pPr>
            <w:r>
              <w:rPr>
                <w:rFonts w:hint="eastAsia" w:ascii="宋体" w:hAnsi="宋体" w:cs="宋体"/>
                <w:kern w:val="0"/>
                <w:sz w:val="24"/>
                <w:highlight w:val="none"/>
              </w:rPr>
              <w:t>▲物理安全</w:t>
            </w:r>
          </w:p>
        </w:tc>
        <w:tc>
          <w:tcPr>
            <w:tcW w:w="1020" w:type="dxa"/>
            <w:tcBorders>
              <w:top w:val="nil"/>
              <w:left w:val="nil"/>
              <w:bottom w:val="single" w:color="auto" w:sz="8" w:space="0"/>
              <w:right w:val="single" w:color="auto" w:sz="8" w:space="0"/>
            </w:tcBorders>
            <w:vAlign w:val="center"/>
          </w:tcPr>
          <w:p w14:paraId="5786BE95">
            <w:pPr>
              <w:widowControl/>
              <w:adjustRightInd/>
              <w:jc w:val="center"/>
              <w:rPr>
                <w:rFonts w:ascii="宋体" w:hAnsi="宋体" w:cs="宋体"/>
                <w:kern w:val="0"/>
                <w:sz w:val="24"/>
                <w:highlight w:val="none"/>
              </w:rPr>
            </w:pPr>
            <w:r>
              <w:rPr>
                <w:rFonts w:hint="eastAsia" w:ascii="宋体" w:hAnsi="宋体" w:cs="宋体"/>
                <w:kern w:val="0"/>
                <w:sz w:val="24"/>
                <w:highlight w:val="none"/>
              </w:rPr>
              <w:t>▲物理安全</w:t>
            </w:r>
          </w:p>
        </w:tc>
        <w:tc>
          <w:tcPr>
            <w:tcW w:w="5120" w:type="dxa"/>
            <w:tcBorders>
              <w:top w:val="nil"/>
              <w:left w:val="nil"/>
              <w:bottom w:val="single" w:color="auto" w:sz="8" w:space="0"/>
              <w:right w:val="single" w:color="auto" w:sz="8" w:space="0"/>
            </w:tcBorders>
            <w:vAlign w:val="center"/>
          </w:tcPr>
          <w:p w14:paraId="4E260C20">
            <w:pPr>
              <w:widowControl/>
              <w:adjustRightInd/>
              <w:rPr>
                <w:rFonts w:ascii="宋体" w:hAnsi="宋体" w:cs="宋体"/>
                <w:kern w:val="0"/>
                <w:sz w:val="24"/>
                <w:highlight w:val="none"/>
              </w:rPr>
            </w:pPr>
            <w:r>
              <w:rPr>
                <w:rFonts w:hint="eastAsia" w:ascii="宋体" w:hAnsi="宋体" w:cs="宋体"/>
                <w:kern w:val="0"/>
                <w:sz w:val="24"/>
                <w:highlight w:val="none"/>
              </w:rPr>
              <w:t>安全要求应符合</w:t>
            </w:r>
            <w:r>
              <w:rPr>
                <w:rFonts w:ascii="宋体" w:hAnsi="宋体" w:cs="宋体"/>
                <w:kern w:val="0"/>
                <w:sz w:val="24"/>
                <w:highlight w:val="none"/>
              </w:rPr>
              <w:t xml:space="preserve"> GB 4943.1 </w:t>
            </w:r>
            <w:r>
              <w:rPr>
                <w:rFonts w:hint="eastAsia" w:ascii="宋体" w:hAnsi="宋体" w:cs="宋体"/>
                <w:kern w:val="0"/>
                <w:sz w:val="24"/>
                <w:highlight w:val="none"/>
              </w:rPr>
              <w:t>的规定</w:t>
            </w:r>
          </w:p>
        </w:tc>
      </w:tr>
      <w:tr w14:paraId="6E02662D">
        <w:tblPrEx>
          <w:tblCellMar>
            <w:top w:w="0" w:type="dxa"/>
            <w:left w:w="108" w:type="dxa"/>
            <w:bottom w:w="0" w:type="dxa"/>
            <w:right w:w="108" w:type="dxa"/>
          </w:tblCellMar>
        </w:tblPrEx>
        <w:trPr>
          <w:trHeight w:val="1248" w:hRule="atLeast"/>
        </w:trPr>
        <w:tc>
          <w:tcPr>
            <w:tcW w:w="980" w:type="dxa"/>
            <w:tcBorders>
              <w:top w:val="nil"/>
              <w:left w:val="single" w:color="auto" w:sz="8" w:space="0"/>
              <w:bottom w:val="single" w:color="auto" w:sz="8" w:space="0"/>
              <w:right w:val="single" w:color="auto" w:sz="8" w:space="0"/>
            </w:tcBorders>
            <w:vAlign w:val="center"/>
          </w:tcPr>
          <w:p w14:paraId="52F85EC5">
            <w:pPr>
              <w:widowControl/>
              <w:adjustRightInd/>
              <w:jc w:val="center"/>
              <w:rPr>
                <w:rFonts w:ascii="宋体" w:hAnsi="宋体" w:cs="宋体"/>
                <w:kern w:val="0"/>
                <w:sz w:val="24"/>
                <w:highlight w:val="none"/>
              </w:rPr>
            </w:pPr>
            <w:r>
              <w:rPr>
                <w:rFonts w:ascii="宋体" w:hAnsi="宋体" w:cs="宋体"/>
                <w:kern w:val="0"/>
                <w:sz w:val="24"/>
                <w:highlight w:val="none"/>
              </w:rPr>
              <w:t>46</w:t>
            </w:r>
          </w:p>
        </w:tc>
        <w:tc>
          <w:tcPr>
            <w:tcW w:w="980" w:type="dxa"/>
            <w:tcBorders>
              <w:top w:val="nil"/>
              <w:left w:val="nil"/>
              <w:bottom w:val="single" w:color="auto" w:sz="8" w:space="0"/>
              <w:right w:val="single" w:color="auto" w:sz="8" w:space="0"/>
            </w:tcBorders>
            <w:vAlign w:val="center"/>
          </w:tcPr>
          <w:p w14:paraId="2A3382C4">
            <w:pPr>
              <w:widowControl/>
              <w:adjustRightInd/>
              <w:jc w:val="center"/>
              <w:rPr>
                <w:rFonts w:ascii="宋体" w:hAnsi="宋体" w:cs="宋体"/>
                <w:kern w:val="0"/>
                <w:sz w:val="24"/>
                <w:highlight w:val="none"/>
              </w:rPr>
            </w:pPr>
            <w:r>
              <w:rPr>
                <w:rFonts w:hint="eastAsia" w:ascii="宋体" w:hAnsi="宋体" w:cs="宋体"/>
                <w:kern w:val="0"/>
                <w:sz w:val="24"/>
                <w:highlight w:val="none"/>
              </w:rPr>
              <w:t>▲限用物质的限量要求</w:t>
            </w:r>
          </w:p>
        </w:tc>
        <w:tc>
          <w:tcPr>
            <w:tcW w:w="1020" w:type="dxa"/>
            <w:tcBorders>
              <w:top w:val="nil"/>
              <w:left w:val="nil"/>
              <w:bottom w:val="single" w:color="auto" w:sz="8" w:space="0"/>
              <w:right w:val="single" w:color="auto" w:sz="8" w:space="0"/>
            </w:tcBorders>
            <w:vAlign w:val="center"/>
          </w:tcPr>
          <w:p w14:paraId="36D42834">
            <w:pPr>
              <w:widowControl/>
              <w:adjustRightInd/>
              <w:jc w:val="center"/>
              <w:rPr>
                <w:rFonts w:ascii="宋体" w:hAnsi="宋体" w:cs="宋体"/>
                <w:kern w:val="0"/>
                <w:sz w:val="24"/>
                <w:highlight w:val="none"/>
              </w:rPr>
            </w:pPr>
            <w:r>
              <w:rPr>
                <w:rFonts w:hint="eastAsia" w:ascii="宋体" w:hAnsi="宋体" w:cs="宋体"/>
                <w:kern w:val="0"/>
                <w:sz w:val="24"/>
                <w:highlight w:val="none"/>
              </w:rPr>
              <w:t>▲限用物质的限量要求</w:t>
            </w:r>
          </w:p>
        </w:tc>
        <w:tc>
          <w:tcPr>
            <w:tcW w:w="5120" w:type="dxa"/>
            <w:tcBorders>
              <w:top w:val="nil"/>
              <w:left w:val="nil"/>
              <w:bottom w:val="single" w:color="auto" w:sz="8" w:space="0"/>
              <w:right w:val="single" w:color="auto" w:sz="8" w:space="0"/>
            </w:tcBorders>
            <w:vAlign w:val="center"/>
          </w:tcPr>
          <w:p w14:paraId="0C393C31">
            <w:pPr>
              <w:widowControl/>
              <w:adjustRightInd/>
              <w:rPr>
                <w:rFonts w:ascii="宋体" w:hAnsi="宋体" w:cs="宋体"/>
                <w:kern w:val="0"/>
                <w:sz w:val="24"/>
                <w:highlight w:val="none"/>
              </w:rPr>
            </w:pPr>
            <w:r>
              <w:rPr>
                <w:rFonts w:hint="eastAsia" w:ascii="宋体" w:hAnsi="宋体" w:cs="宋体"/>
                <w:kern w:val="0"/>
                <w:sz w:val="24"/>
                <w:highlight w:val="none"/>
              </w:rPr>
              <w:t>限用物质的限量应符合</w:t>
            </w:r>
            <w:r>
              <w:rPr>
                <w:rFonts w:ascii="宋体" w:hAnsi="宋体" w:cs="宋体"/>
                <w:kern w:val="0"/>
                <w:sz w:val="24"/>
                <w:highlight w:val="none"/>
              </w:rPr>
              <w:t xml:space="preserve"> GB/T 26572的要求</w:t>
            </w:r>
          </w:p>
        </w:tc>
      </w:tr>
      <w:tr w14:paraId="5426D7A1">
        <w:tblPrEx>
          <w:tblCellMar>
            <w:top w:w="0" w:type="dxa"/>
            <w:left w:w="108" w:type="dxa"/>
            <w:bottom w:w="0" w:type="dxa"/>
            <w:right w:w="108" w:type="dxa"/>
          </w:tblCellMar>
        </w:tblPrEx>
        <w:trPr>
          <w:trHeight w:val="624" w:hRule="atLeast"/>
        </w:trPr>
        <w:tc>
          <w:tcPr>
            <w:tcW w:w="980" w:type="dxa"/>
            <w:tcBorders>
              <w:top w:val="nil"/>
              <w:left w:val="single" w:color="auto" w:sz="8" w:space="0"/>
              <w:bottom w:val="single" w:color="auto" w:sz="8" w:space="0"/>
              <w:right w:val="single" w:color="auto" w:sz="8" w:space="0"/>
            </w:tcBorders>
            <w:vAlign w:val="center"/>
          </w:tcPr>
          <w:p w14:paraId="76D29D7C">
            <w:pPr>
              <w:widowControl/>
              <w:adjustRightInd/>
              <w:jc w:val="center"/>
              <w:rPr>
                <w:rFonts w:ascii="宋体" w:hAnsi="宋体" w:cs="宋体"/>
                <w:kern w:val="0"/>
                <w:sz w:val="24"/>
                <w:highlight w:val="none"/>
              </w:rPr>
            </w:pPr>
            <w:r>
              <w:rPr>
                <w:rFonts w:ascii="宋体" w:hAnsi="宋体" w:cs="宋体"/>
                <w:kern w:val="0"/>
                <w:sz w:val="24"/>
                <w:highlight w:val="none"/>
              </w:rPr>
              <w:t>47</w:t>
            </w:r>
          </w:p>
        </w:tc>
        <w:tc>
          <w:tcPr>
            <w:tcW w:w="980" w:type="dxa"/>
            <w:vMerge w:val="restart"/>
            <w:tcBorders>
              <w:top w:val="nil"/>
              <w:left w:val="single" w:color="auto" w:sz="8" w:space="0"/>
              <w:bottom w:val="single" w:color="000000" w:sz="8" w:space="0"/>
              <w:right w:val="single" w:color="auto" w:sz="8" w:space="0"/>
            </w:tcBorders>
            <w:vAlign w:val="center"/>
          </w:tcPr>
          <w:p w14:paraId="68513621">
            <w:pPr>
              <w:widowControl/>
              <w:adjustRightInd/>
              <w:jc w:val="center"/>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CPU性能</w:t>
            </w:r>
          </w:p>
        </w:tc>
        <w:tc>
          <w:tcPr>
            <w:tcW w:w="1020" w:type="dxa"/>
            <w:tcBorders>
              <w:top w:val="nil"/>
              <w:left w:val="nil"/>
              <w:bottom w:val="single" w:color="auto" w:sz="8" w:space="0"/>
              <w:right w:val="single" w:color="auto" w:sz="8" w:space="0"/>
            </w:tcBorders>
            <w:vAlign w:val="center"/>
          </w:tcPr>
          <w:p w14:paraId="49BA0FCE">
            <w:pPr>
              <w:widowControl/>
              <w:adjustRightInd/>
              <w:jc w:val="center"/>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 xml:space="preserve">CPU </w:t>
            </w:r>
            <w:r>
              <w:rPr>
                <w:rFonts w:hint="eastAsia" w:ascii="宋体" w:hAnsi="宋体" w:cs="宋体"/>
                <w:kern w:val="0"/>
                <w:sz w:val="24"/>
                <w:highlight w:val="none"/>
              </w:rPr>
              <w:t>主频</w:t>
            </w:r>
          </w:p>
        </w:tc>
        <w:tc>
          <w:tcPr>
            <w:tcW w:w="5120" w:type="dxa"/>
            <w:tcBorders>
              <w:top w:val="nil"/>
              <w:left w:val="nil"/>
              <w:bottom w:val="single" w:color="auto" w:sz="8" w:space="0"/>
              <w:right w:val="single" w:color="auto" w:sz="8" w:space="0"/>
            </w:tcBorders>
            <w:vAlign w:val="center"/>
          </w:tcPr>
          <w:p w14:paraId="3E5BBF07">
            <w:pPr>
              <w:widowControl/>
              <w:adjustRightInd/>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2.5GHz</w:t>
            </w:r>
          </w:p>
        </w:tc>
      </w:tr>
      <w:tr w14:paraId="004610DA">
        <w:tblPrEx>
          <w:tblCellMar>
            <w:top w:w="0" w:type="dxa"/>
            <w:left w:w="108" w:type="dxa"/>
            <w:bottom w:w="0" w:type="dxa"/>
            <w:right w:w="108" w:type="dxa"/>
          </w:tblCellMar>
        </w:tblPrEx>
        <w:trPr>
          <w:trHeight w:val="936" w:hRule="atLeast"/>
        </w:trPr>
        <w:tc>
          <w:tcPr>
            <w:tcW w:w="980" w:type="dxa"/>
            <w:tcBorders>
              <w:top w:val="nil"/>
              <w:left w:val="single" w:color="auto" w:sz="8" w:space="0"/>
              <w:bottom w:val="single" w:color="auto" w:sz="8" w:space="0"/>
              <w:right w:val="single" w:color="auto" w:sz="8" w:space="0"/>
            </w:tcBorders>
            <w:vAlign w:val="center"/>
          </w:tcPr>
          <w:p w14:paraId="1A944CBA">
            <w:pPr>
              <w:widowControl/>
              <w:adjustRightInd/>
              <w:jc w:val="center"/>
              <w:rPr>
                <w:rFonts w:ascii="宋体" w:hAnsi="宋体" w:cs="宋体"/>
                <w:kern w:val="0"/>
                <w:sz w:val="24"/>
                <w:highlight w:val="none"/>
              </w:rPr>
            </w:pPr>
            <w:r>
              <w:rPr>
                <w:rFonts w:ascii="宋体" w:hAnsi="宋体" w:cs="宋体"/>
                <w:kern w:val="0"/>
                <w:sz w:val="24"/>
                <w:highlight w:val="none"/>
              </w:rPr>
              <w:t>48</w:t>
            </w:r>
          </w:p>
        </w:tc>
        <w:tc>
          <w:tcPr>
            <w:tcW w:w="980" w:type="dxa"/>
            <w:vMerge w:val="continue"/>
            <w:tcBorders>
              <w:top w:val="nil"/>
              <w:left w:val="single" w:color="auto" w:sz="8" w:space="0"/>
              <w:bottom w:val="single" w:color="000000" w:sz="8" w:space="0"/>
              <w:right w:val="single" w:color="auto" w:sz="8" w:space="0"/>
            </w:tcBorders>
            <w:vAlign w:val="center"/>
          </w:tcPr>
          <w:p w14:paraId="1001719F">
            <w:pPr>
              <w:widowControl/>
              <w:adjustRightInd/>
              <w:jc w:val="left"/>
              <w:rPr>
                <w:rFonts w:ascii="宋体" w:hAnsi="宋体" w:cs="宋体"/>
                <w:kern w:val="0"/>
                <w:sz w:val="24"/>
                <w:highlight w:val="none"/>
              </w:rPr>
            </w:pPr>
          </w:p>
        </w:tc>
        <w:tc>
          <w:tcPr>
            <w:tcW w:w="1020" w:type="dxa"/>
            <w:tcBorders>
              <w:top w:val="nil"/>
              <w:left w:val="nil"/>
              <w:bottom w:val="single" w:color="auto" w:sz="8" w:space="0"/>
              <w:right w:val="single" w:color="auto" w:sz="8" w:space="0"/>
            </w:tcBorders>
            <w:vAlign w:val="center"/>
          </w:tcPr>
          <w:p w14:paraId="53412AA2">
            <w:pPr>
              <w:widowControl/>
              <w:adjustRightInd/>
              <w:jc w:val="center"/>
              <w:rPr>
                <w:rFonts w:ascii="宋体" w:hAnsi="宋体" w:cs="宋体"/>
                <w:kern w:val="0"/>
                <w:sz w:val="24"/>
                <w:highlight w:val="none"/>
              </w:rPr>
            </w:pPr>
            <w:r>
              <w:rPr>
                <w:rFonts w:hint="eastAsia" w:ascii="宋体" w:hAnsi="宋体" w:cs="宋体"/>
                <w:kern w:val="0"/>
                <w:sz w:val="24"/>
                <w:highlight w:val="none"/>
              </w:rPr>
              <w:t>▲单</w:t>
            </w:r>
            <w:r>
              <w:rPr>
                <w:rFonts w:ascii="宋体" w:hAnsi="宋体" w:cs="宋体"/>
                <w:kern w:val="0"/>
                <w:sz w:val="24"/>
                <w:highlight w:val="none"/>
              </w:rPr>
              <w:t xml:space="preserve"> CPU </w:t>
            </w:r>
            <w:r>
              <w:rPr>
                <w:rFonts w:hint="eastAsia" w:ascii="宋体" w:hAnsi="宋体" w:cs="宋体"/>
                <w:kern w:val="0"/>
                <w:sz w:val="24"/>
                <w:highlight w:val="none"/>
              </w:rPr>
              <w:t>核数</w:t>
            </w:r>
          </w:p>
        </w:tc>
        <w:tc>
          <w:tcPr>
            <w:tcW w:w="5120" w:type="dxa"/>
            <w:tcBorders>
              <w:top w:val="nil"/>
              <w:left w:val="nil"/>
              <w:bottom w:val="single" w:color="auto" w:sz="8" w:space="0"/>
              <w:right w:val="single" w:color="auto" w:sz="8" w:space="0"/>
            </w:tcBorders>
            <w:vAlign w:val="center"/>
          </w:tcPr>
          <w:p w14:paraId="14969812">
            <w:pPr>
              <w:widowControl/>
              <w:adjustRightInd/>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16</w:t>
            </w:r>
          </w:p>
        </w:tc>
      </w:tr>
      <w:tr w14:paraId="196FED6B">
        <w:tblPrEx>
          <w:tblCellMar>
            <w:top w:w="0" w:type="dxa"/>
            <w:left w:w="108" w:type="dxa"/>
            <w:bottom w:w="0" w:type="dxa"/>
            <w:right w:w="108" w:type="dxa"/>
          </w:tblCellMar>
        </w:tblPrEx>
        <w:trPr>
          <w:trHeight w:val="1248" w:hRule="atLeast"/>
        </w:trPr>
        <w:tc>
          <w:tcPr>
            <w:tcW w:w="980" w:type="dxa"/>
            <w:tcBorders>
              <w:top w:val="nil"/>
              <w:left w:val="single" w:color="auto" w:sz="8" w:space="0"/>
              <w:bottom w:val="single" w:color="auto" w:sz="8" w:space="0"/>
              <w:right w:val="single" w:color="auto" w:sz="8" w:space="0"/>
            </w:tcBorders>
            <w:vAlign w:val="center"/>
          </w:tcPr>
          <w:p w14:paraId="1A6BE900">
            <w:pPr>
              <w:widowControl/>
              <w:adjustRightInd/>
              <w:jc w:val="center"/>
              <w:rPr>
                <w:rFonts w:ascii="宋体" w:hAnsi="宋体" w:cs="宋体"/>
                <w:kern w:val="0"/>
                <w:sz w:val="24"/>
                <w:highlight w:val="none"/>
              </w:rPr>
            </w:pPr>
            <w:r>
              <w:rPr>
                <w:rFonts w:ascii="宋体" w:hAnsi="宋体" w:cs="宋体"/>
                <w:kern w:val="0"/>
                <w:sz w:val="24"/>
                <w:highlight w:val="none"/>
              </w:rPr>
              <w:t>49</w:t>
            </w:r>
          </w:p>
        </w:tc>
        <w:tc>
          <w:tcPr>
            <w:tcW w:w="980" w:type="dxa"/>
            <w:vMerge w:val="continue"/>
            <w:tcBorders>
              <w:top w:val="nil"/>
              <w:left w:val="single" w:color="auto" w:sz="8" w:space="0"/>
              <w:bottom w:val="single" w:color="000000" w:sz="8" w:space="0"/>
              <w:right w:val="single" w:color="auto" w:sz="8" w:space="0"/>
            </w:tcBorders>
            <w:vAlign w:val="center"/>
          </w:tcPr>
          <w:p w14:paraId="3D7818CD">
            <w:pPr>
              <w:widowControl/>
              <w:adjustRightInd/>
              <w:jc w:val="left"/>
              <w:rPr>
                <w:rFonts w:ascii="宋体" w:hAnsi="宋体" w:cs="宋体"/>
                <w:kern w:val="0"/>
                <w:sz w:val="24"/>
                <w:highlight w:val="none"/>
              </w:rPr>
            </w:pPr>
          </w:p>
        </w:tc>
        <w:tc>
          <w:tcPr>
            <w:tcW w:w="1020" w:type="dxa"/>
            <w:tcBorders>
              <w:top w:val="nil"/>
              <w:left w:val="nil"/>
              <w:bottom w:val="single" w:color="auto" w:sz="8" w:space="0"/>
              <w:right w:val="single" w:color="auto" w:sz="8" w:space="0"/>
            </w:tcBorders>
            <w:vAlign w:val="center"/>
          </w:tcPr>
          <w:p w14:paraId="5FF6C93C">
            <w:pPr>
              <w:widowControl/>
              <w:adjustRightInd/>
              <w:jc w:val="center"/>
              <w:rPr>
                <w:rFonts w:ascii="宋体" w:hAnsi="宋体" w:cs="宋体"/>
                <w:kern w:val="0"/>
                <w:sz w:val="24"/>
                <w:highlight w:val="none"/>
              </w:rPr>
            </w:pPr>
            <w:r>
              <w:rPr>
                <w:rFonts w:hint="eastAsia" w:ascii="宋体" w:hAnsi="宋体" w:cs="宋体"/>
                <w:kern w:val="0"/>
                <w:sz w:val="24"/>
                <w:highlight w:val="none"/>
              </w:rPr>
              <w:t>▲单</w:t>
            </w:r>
            <w:r>
              <w:rPr>
                <w:rFonts w:ascii="宋体" w:hAnsi="宋体" w:cs="宋体"/>
                <w:kern w:val="0"/>
                <w:sz w:val="24"/>
                <w:highlight w:val="none"/>
              </w:rPr>
              <w:t xml:space="preserve"> CPU </w:t>
            </w:r>
            <w:r>
              <w:rPr>
                <w:rFonts w:hint="eastAsia" w:ascii="宋体" w:hAnsi="宋体" w:cs="宋体"/>
                <w:kern w:val="0"/>
                <w:sz w:val="24"/>
                <w:highlight w:val="none"/>
              </w:rPr>
              <w:t>末级缓存容量</w:t>
            </w:r>
          </w:p>
        </w:tc>
        <w:tc>
          <w:tcPr>
            <w:tcW w:w="5120" w:type="dxa"/>
            <w:tcBorders>
              <w:top w:val="nil"/>
              <w:left w:val="nil"/>
              <w:bottom w:val="single" w:color="auto" w:sz="8" w:space="0"/>
              <w:right w:val="single" w:color="auto" w:sz="8" w:space="0"/>
            </w:tcBorders>
            <w:vAlign w:val="center"/>
          </w:tcPr>
          <w:p w14:paraId="23FC2B99">
            <w:pPr>
              <w:widowControl/>
              <w:adjustRightInd/>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32MB</w:t>
            </w:r>
          </w:p>
        </w:tc>
      </w:tr>
      <w:tr w14:paraId="4124698A">
        <w:tblPrEx>
          <w:tblCellMar>
            <w:top w:w="0" w:type="dxa"/>
            <w:left w:w="108" w:type="dxa"/>
            <w:bottom w:w="0" w:type="dxa"/>
            <w:right w:w="108" w:type="dxa"/>
          </w:tblCellMar>
        </w:tblPrEx>
        <w:trPr>
          <w:trHeight w:val="624" w:hRule="atLeast"/>
        </w:trPr>
        <w:tc>
          <w:tcPr>
            <w:tcW w:w="980" w:type="dxa"/>
            <w:tcBorders>
              <w:top w:val="nil"/>
              <w:left w:val="single" w:color="auto" w:sz="8" w:space="0"/>
              <w:bottom w:val="single" w:color="auto" w:sz="8" w:space="0"/>
              <w:right w:val="single" w:color="auto" w:sz="8" w:space="0"/>
            </w:tcBorders>
            <w:vAlign w:val="center"/>
          </w:tcPr>
          <w:p w14:paraId="63D97869">
            <w:pPr>
              <w:widowControl/>
              <w:adjustRightInd/>
              <w:jc w:val="center"/>
              <w:rPr>
                <w:rFonts w:ascii="宋体" w:hAnsi="宋体" w:cs="宋体"/>
                <w:kern w:val="0"/>
                <w:sz w:val="24"/>
                <w:highlight w:val="none"/>
              </w:rPr>
            </w:pPr>
            <w:r>
              <w:rPr>
                <w:rFonts w:ascii="宋体" w:hAnsi="宋体" w:cs="宋体"/>
                <w:kern w:val="0"/>
                <w:sz w:val="24"/>
                <w:highlight w:val="none"/>
              </w:rPr>
              <w:t>50</w:t>
            </w:r>
          </w:p>
        </w:tc>
        <w:tc>
          <w:tcPr>
            <w:tcW w:w="980" w:type="dxa"/>
            <w:tcBorders>
              <w:top w:val="nil"/>
              <w:left w:val="nil"/>
              <w:bottom w:val="single" w:color="auto" w:sz="8" w:space="0"/>
              <w:right w:val="single" w:color="auto" w:sz="8" w:space="0"/>
            </w:tcBorders>
            <w:vAlign w:val="center"/>
          </w:tcPr>
          <w:p w14:paraId="4626BD84">
            <w:pPr>
              <w:widowControl/>
              <w:adjustRightInd/>
              <w:jc w:val="center"/>
              <w:rPr>
                <w:rFonts w:ascii="宋体" w:hAnsi="宋体" w:cs="宋体"/>
                <w:kern w:val="0"/>
                <w:sz w:val="24"/>
                <w:highlight w:val="none"/>
              </w:rPr>
            </w:pPr>
            <w:r>
              <w:rPr>
                <w:rFonts w:hint="eastAsia" w:ascii="宋体" w:hAnsi="宋体" w:cs="宋体"/>
                <w:kern w:val="0"/>
                <w:sz w:val="24"/>
                <w:highlight w:val="none"/>
              </w:rPr>
              <w:t>▲内存性能</w:t>
            </w:r>
          </w:p>
        </w:tc>
        <w:tc>
          <w:tcPr>
            <w:tcW w:w="1020" w:type="dxa"/>
            <w:tcBorders>
              <w:top w:val="nil"/>
              <w:left w:val="nil"/>
              <w:bottom w:val="single" w:color="auto" w:sz="8" w:space="0"/>
              <w:right w:val="single" w:color="auto" w:sz="8" w:space="0"/>
            </w:tcBorders>
            <w:vAlign w:val="center"/>
          </w:tcPr>
          <w:p w14:paraId="05B1A0C1">
            <w:pPr>
              <w:widowControl/>
              <w:adjustRightInd/>
              <w:jc w:val="center"/>
              <w:rPr>
                <w:rFonts w:ascii="宋体" w:hAnsi="宋体" w:cs="宋体"/>
                <w:kern w:val="0"/>
                <w:sz w:val="24"/>
                <w:highlight w:val="none"/>
              </w:rPr>
            </w:pPr>
            <w:r>
              <w:rPr>
                <w:rFonts w:hint="eastAsia" w:ascii="宋体" w:hAnsi="宋体" w:cs="宋体"/>
                <w:kern w:val="0"/>
                <w:sz w:val="24"/>
                <w:highlight w:val="none"/>
              </w:rPr>
              <w:t>▲内存速率</w:t>
            </w:r>
          </w:p>
        </w:tc>
        <w:tc>
          <w:tcPr>
            <w:tcW w:w="5120" w:type="dxa"/>
            <w:tcBorders>
              <w:top w:val="nil"/>
              <w:left w:val="nil"/>
              <w:bottom w:val="single" w:color="auto" w:sz="8" w:space="0"/>
              <w:right w:val="single" w:color="auto" w:sz="8" w:space="0"/>
            </w:tcBorders>
            <w:vAlign w:val="center"/>
          </w:tcPr>
          <w:p w14:paraId="0B6AF906">
            <w:pPr>
              <w:widowControl/>
              <w:adjustRightInd/>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3200MT/s</w:t>
            </w:r>
          </w:p>
        </w:tc>
      </w:tr>
      <w:tr w14:paraId="0F97F54B">
        <w:tblPrEx>
          <w:tblCellMar>
            <w:top w:w="0" w:type="dxa"/>
            <w:left w:w="108" w:type="dxa"/>
            <w:bottom w:w="0" w:type="dxa"/>
            <w:right w:w="108" w:type="dxa"/>
          </w:tblCellMar>
        </w:tblPrEx>
        <w:trPr>
          <w:trHeight w:val="624" w:hRule="atLeast"/>
        </w:trPr>
        <w:tc>
          <w:tcPr>
            <w:tcW w:w="980" w:type="dxa"/>
            <w:tcBorders>
              <w:top w:val="single" w:color="auto" w:sz="8" w:space="0"/>
              <w:left w:val="single" w:color="auto" w:sz="8" w:space="0"/>
              <w:bottom w:val="single" w:color="auto" w:sz="8" w:space="0"/>
              <w:right w:val="single" w:color="auto" w:sz="8" w:space="0"/>
            </w:tcBorders>
            <w:vAlign w:val="center"/>
          </w:tcPr>
          <w:p w14:paraId="5203842C">
            <w:pPr>
              <w:widowControl/>
              <w:adjustRightInd/>
              <w:jc w:val="center"/>
              <w:rPr>
                <w:rFonts w:ascii="宋体" w:hAnsi="宋体" w:cs="宋体"/>
                <w:kern w:val="0"/>
                <w:sz w:val="24"/>
                <w:highlight w:val="none"/>
              </w:rPr>
            </w:pPr>
            <w:r>
              <w:rPr>
                <w:rFonts w:ascii="宋体" w:hAnsi="宋体" w:cs="宋体"/>
                <w:kern w:val="0"/>
                <w:sz w:val="24"/>
                <w:highlight w:val="none"/>
              </w:rPr>
              <w:t>51</w:t>
            </w:r>
          </w:p>
        </w:tc>
        <w:tc>
          <w:tcPr>
            <w:tcW w:w="980" w:type="dxa"/>
            <w:tcBorders>
              <w:top w:val="single" w:color="auto" w:sz="8" w:space="0"/>
              <w:left w:val="single" w:color="auto" w:sz="8" w:space="0"/>
              <w:bottom w:val="single" w:color="auto" w:sz="8" w:space="0"/>
              <w:right w:val="single" w:color="auto" w:sz="8" w:space="0"/>
            </w:tcBorders>
            <w:vAlign w:val="center"/>
          </w:tcPr>
          <w:p w14:paraId="44B8E15F">
            <w:pPr>
              <w:widowControl/>
              <w:adjustRightInd/>
              <w:jc w:val="center"/>
              <w:rPr>
                <w:rFonts w:ascii="宋体" w:hAnsi="宋体" w:cs="宋体"/>
                <w:kern w:val="0"/>
                <w:sz w:val="24"/>
                <w:highlight w:val="none"/>
              </w:rPr>
            </w:pPr>
            <w:r>
              <w:rPr>
                <w:rFonts w:hint="eastAsia" w:ascii="宋体" w:hAnsi="宋体" w:cs="宋体"/>
                <w:kern w:val="0"/>
                <w:sz w:val="24"/>
                <w:highlight w:val="none"/>
              </w:rPr>
              <w:t>▲电源能耗</w:t>
            </w:r>
          </w:p>
        </w:tc>
        <w:tc>
          <w:tcPr>
            <w:tcW w:w="1020" w:type="dxa"/>
            <w:tcBorders>
              <w:top w:val="single" w:color="auto" w:sz="8" w:space="0"/>
              <w:left w:val="single" w:color="auto" w:sz="8" w:space="0"/>
              <w:bottom w:val="single" w:color="auto" w:sz="8" w:space="0"/>
              <w:right w:val="single" w:color="auto" w:sz="8" w:space="0"/>
            </w:tcBorders>
            <w:vAlign w:val="center"/>
          </w:tcPr>
          <w:p w14:paraId="48E995D2">
            <w:pPr>
              <w:widowControl/>
              <w:adjustRightInd/>
              <w:jc w:val="center"/>
              <w:rPr>
                <w:rFonts w:ascii="宋体" w:hAnsi="宋体" w:cs="宋体"/>
                <w:kern w:val="0"/>
                <w:sz w:val="24"/>
                <w:highlight w:val="none"/>
              </w:rPr>
            </w:pPr>
            <w:r>
              <w:rPr>
                <w:rFonts w:hint="eastAsia" w:ascii="宋体" w:hAnsi="宋体" w:cs="宋体"/>
                <w:kern w:val="0"/>
                <w:sz w:val="24"/>
                <w:highlight w:val="none"/>
              </w:rPr>
              <w:t>▲电源能耗</w:t>
            </w:r>
          </w:p>
        </w:tc>
        <w:tc>
          <w:tcPr>
            <w:tcW w:w="5120" w:type="dxa"/>
            <w:tcBorders>
              <w:top w:val="single" w:color="auto" w:sz="8" w:space="0"/>
              <w:left w:val="single" w:color="auto" w:sz="8" w:space="0"/>
              <w:bottom w:val="single" w:color="auto" w:sz="8" w:space="0"/>
              <w:right w:val="single" w:color="auto" w:sz="8" w:space="0"/>
            </w:tcBorders>
            <w:vAlign w:val="center"/>
          </w:tcPr>
          <w:p w14:paraId="2083F3E6">
            <w:pPr>
              <w:widowControl/>
              <w:adjustRightInd/>
              <w:rPr>
                <w:rFonts w:ascii="宋体" w:hAnsi="宋体" w:cs="宋体"/>
                <w:kern w:val="0"/>
                <w:sz w:val="24"/>
                <w:highlight w:val="none"/>
              </w:rPr>
            </w:pPr>
            <w:r>
              <w:rPr>
                <w:rFonts w:hint="eastAsia" w:ascii="宋体" w:hAnsi="宋体" w:cs="宋体"/>
                <w:kern w:val="0"/>
                <w:sz w:val="24"/>
                <w:highlight w:val="none"/>
              </w:rPr>
              <w:t>符合</w:t>
            </w:r>
            <w:r>
              <w:rPr>
                <w:rFonts w:ascii="宋体" w:hAnsi="宋体" w:cs="宋体"/>
                <w:kern w:val="0"/>
                <w:sz w:val="24"/>
                <w:highlight w:val="none"/>
              </w:rPr>
              <w:t xml:space="preserve"> GB/T 9813.3 </w:t>
            </w:r>
            <w:r>
              <w:rPr>
                <w:rFonts w:hint="eastAsia" w:ascii="宋体" w:hAnsi="宋体" w:cs="宋体"/>
                <w:kern w:val="0"/>
                <w:sz w:val="24"/>
                <w:highlight w:val="none"/>
              </w:rPr>
              <w:t>的有关规定</w:t>
            </w:r>
          </w:p>
        </w:tc>
      </w:tr>
      <w:tr w14:paraId="552ADB39">
        <w:tblPrEx>
          <w:tblCellMar>
            <w:top w:w="0" w:type="dxa"/>
            <w:left w:w="108" w:type="dxa"/>
            <w:bottom w:w="0" w:type="dxa"/>
            <w:right w:w="108" w:type="dxa"/>
          </w:tblCellMar>
        </w:tblPrEx>
        <w:trPr>
          <w:trHeight w:val="624" w:hRule="atLeast"/>
        </w:trPr>
        <w:tc>
          <w:tcPr>
            <w:tcW w:w="980" w:type="dxa"/>
            <w:tcBorders>
              <w:top w:val="single" w:color="auto" w:sz="8" w:space="0"/>
              <w:left w:val="single" w:color="auto" w:sz="8" w:space="0"/>
              <w:bottom w:val="single" w:color="auto" w:sz="8" w:space="0"/>
              <w:right w:val="single" w:color="auto" w:sz="8" w:space="0"/>
            </w:tcBorders>
            <w:vAlign w:val="center"/>
          </w:tcPr>
          <w:p w14:paraId="618590D2">
            <w:pPr>
              <w:widowControl/>
              <w:adjustRightInd/>
              <w:jc w:val="center"/>
              <w:rPr>
                <w:rFonts w:ascii="宋体" w:hAnsi="宋体" w:cs="宋体"/>
                <w:kern w:val="0"/>
                <w:sz w:val="24"/>
                <w:highlight w:val="none"/>
              </w:rPr>
            </w:pPr>
            <w:r>
              <w:rPr>
                <w:rFonts w:ascii="宋体" w:hAnsi="宋体" w:cs="宋体"/>
                <w:kern w:val="0"/>
                <w:sz w:val="24"/>
                <w:highlight w:val="none"/>
              </w:rPr>
              <w:t>52</w:t>
            </w:r>
          </w:p>
        </w:tc>
        <w:tc>
          <w:tcPr>
            <w:tcW w:w="980" w:type="dxa"/>
            <w:vMerge w:val="restart"/>
            <w:tcBorders>
              <w:top w:val="single" w:color="auto" w:sz="8" w:space="0"/>
              <w:left w:val="single" w:color="auto" w:sz="8" w:space="0"/>
              <w:bottom w:val="single" w:color="000000" w:sz="8" w:space="0"/>
              <w:right w:val="single" w:color="auto" w:sz="8" w:space="0"/>
            </w:tcBorders>
            <w:vAlign w:val="center"/>
          </w:tcPr>
          <w:p w14:paraId="27C7F8A3">
            <w:pPr>
              <w:widowControl/>
              <w:adjustRightInd/>
              <w:jc w:val="center"/>
              <w:rPr>
                <w:rFonts w:ascii="宋体" w:hAnsi="宋体" w:cs="宋体"/>
                <w:kern w:val="0"/>
                <w:sz w:val="24"/>
                <w:highlight w:val="none"/>
              </w:rPr>
            </w:pPr>
            <w:r>
              <w:rPr>
                <w:rFonts w:hint="eastAsia" w:ascii="宋体" w:hAnsi="宋体" w:cs="宋体"/>
                <w:kern w:val="0"/>
                <w:sz w:val="24"/>
                <w:highlight w:val="none"/>
              </w:rPr>
              <w:t>▲部件兼容性要求</w:t>
            </w:r>
          </w:p>
        </w:tc>
        <w:tc>
          <w:tcPr>
            <w:tcW w:w="1020" w:type="dxa"/>
            <w:tcBorders>
              <w:top w:val="single" w:color="auto" w:sz="8" w:space="0"/>
              <w:left w:val="nil"/>
              <w:bottom w:val="single" w:color="auto" w:sz="8" w:space="0"/>
              <w:right w:val="single" w:color="auto" w:sz="8" w:space="0"/>
            </w:tcBorders>
            <w:vAlign w:val="center"/>
          </w:tcPr>
          <w:p w14:paraId="1D669950">
            <w:pPr>
              <w:widowControl/>
              <w:adjustRightInd/>
              <w:jc w:val="center"/>
              <w:rPr>
                <w:rFonts w:ascii="宋体" w:hAnsi="宋体" w:cs="宋体"/>
                <w:kern w:val="0"/>
                <w:sz w:val="24"/>
                <w:highlight w:val="none"/>
              </w:rPr>
            </w:pPr>
            <w:r>
              <w:rPr>
                <w:rFonts w:hint="eastAsia" w:ascii="宋体" w:hAnsi="宋体" w:cs="宋体"/>
                <w:kern w:val="0"/>
                <w:sz w:val="24"/>
                <w:highlight w:val="none"/>
              </w:rPr>
              <w:t>▲内存兼容性</w:t>
            </w:r>
          </w:p>
        </w:tc>
        <w:tc>
          <w:tcPr>
            <w:tcW w:w="5120" w:type="dxa"/>
            <w:tcBorders>
              <w:top w:val="single" w:color="auto" w:sz="8" w:space="0"/>
              <w:left w:val="nil"/>
              <w:bottom w:val="single" w:color="auto" w:sz="8" w:space="0"/>
              <w:right w:val="single" w:color="auto" w:sz="8" w:space="0"/>
            </w:tcBorders>
            <w:vAlign w:val="center"/>
          </w:tcPr>
          <w:p w14:paraId="293DBE39">
            <w:pPr>
              <w:widowControl/>
              <w:adjustRightInd/>
              <w:rPr>
                <w:rFonts w:ascii="宋体" w:hAnsi="宋体" w:cs="宋体"/>
                <w:kern w:val="0"/>
                <w:sz w:val="24"/>
                <w:highlight w:val="none"/>
              </w:rPr>
            </w:pPr>
            <w:r>
              <w:rPr>
                <w:rFonts w:hint="eastAsia" w:ascii="宋体" w:hAnsi="宋体" w:cs="宋体"/>
                <w:kern w:val="0"/>
                <w:sz w:val="24"/>
                <w:highlight w:val="none"/>
              </w:rPr>
              <w:t>适配</w:t>
            </w:r>
            <w:r>
              <w:rPr>
                <w:rFonts w:ascii="宋体" w:hAnsi="宋体" w:cs="宋体"/>
                <w:kern w:val="0"/>
                <w:sz w:val="24"/>
                <w:highlight w:val="none"/>
              </w:rPr>
              <w:t xml:space="preserve"> 3 </w:t>
            </w:r>
            <w:r>
              <w:rPr>
                <w:rFonts w:hint="eastAsia" w:ascii="宋体" w:hAnsi="宋体" w:cs="宋体"/>
                <w:kern w:val="0"/>
                <w:sz w:val="24"/>
                <w:highlight w:val="none"/>
              </w:rPr>
              <w:t>种及以上厂商的内存产品，且均不低于产品支持的内存规格</w:t>
            </w:r>
          </w:p>
        </w:tc>
      </w:tr>
      <w:tr w14:paraId="16833EFF">
        <w:tblPrEx>
          <w:tblCellMar>
            <w:top w:w="0" w:type="dxa"/>
            <w:left w:w="108" w:type="dxa"/>
            <w:bottom w:w="0" w:type="dxa"/>
            <w:right w:w="108" w:type="dxa"/>
          </w:tblCellMar>
        </w:tblPrEx>
        <w:trPr>
          <w:trHeight w:val="936" w:hRule="atLeast"/>
        </w:trPr>
        <w:tc>
          <w:tcPr>
            <w:tcW w:w="980" w:type="dxa"/>
            <w:tcBorders>
              <w:top w:val="nil"/>
              <w:left w:val="single" w:color="auto" w:sz="8" w:space="0"/>
              <w:bottom w:val="single" w:color="auto" w:sz="8" w:space="0"/>
              <w:right w:val="single" w:color="auto" w:sz="8" w:space="0"/>
            </w:tcBorders>
            <w:vAlign w:val="center"/>
          </w:tcPr>
          <w:p w14:paraId="0CDF7349">
            <w:pPr>
              <w:widowControl/>
              <w:adjustRightInd/>
              <w:jc w:val="center"/>
              <w:rPr>
                <w:rFonts w:ascii="宋体" w:hAnsi="宋体" w:cs="宋体"/>
                <w:kern w:val="0"/>
                <w:sz w:val="24"/>
                <w:highlight w:val="none"/>
              </w:rPr>
            </w:pPr>
            <w:r>
              <w:rPr>
                <w:rFonts w:ascii="宋体" w:hAnsi="宋体" w:cs="宋体"/>
                <w:kern w:val="0"/>
                <w:sz w:val="24"/>
                <w:highlight w:val="none"/>
              </w:rPr>
              <w:t>53</w:t>
            </w:r>
          </w:p>
        </w:tc>
        <w:tc>
          <w:tcPr>
            <w:tcW w:w="980" w:type="dxa"/>
            <w:vMerge w:val="continue"/>
            <w:tcBorders>
              <w:top w:val="nil"/>
              <w:left w:val="single" w:color="auto" w:sz="8" w:space="0"/>
              <w:bottom w:val="single" w:color="000000" w:sz="8" w:space="0"/>
              <w:right w:val="single" w:color="auto" w:sz="8" w:space="0"/>
            </w:tcBorders>
            <w:vAlign w:val="center"/>
          </w:tcPr>
          <w:p w14:paraId="1E8F2737">
            <w:pPr>
              <w:widowControl/>
              <w:adjustRightInd/>
              <w:jc w:val="left"/>
              <w:rPr>
                <w:rFonts w:ascii="宋体" w:hAnsi="宋体" w:cs="宋体"/>
                <w:kern w:val="0"/>
                <w:sz w:val="24"/>
                <w:highlight w:val="none"/>
              </w:rPr>
            </w:pPr>
          </w:p>
        </w:tc>
        <w:tc>
          <w:tcPr>
            <w:tcW w:w="1020" w:type="dxa"/>
            <w:tcBorders>
              <w:top w:val="nil"/>
              <w:left w:val="nil"/>
              <w:bottom w:val="single" w:color="auto" w:sz="8" w:space="0"/>
              <w:right w:val="single" w:color="auto" w:sz="8" w:space="0"/>
            </w:tcBorders>
            <w:vAlign w:val="center"/>
          </w:tcPr>
          <w:p w14:paraId="660B6C69">
            <w:pPr>
              <w:widowControl/>
              <w:adjustRightInd/>
              <w:jc w:val="center"/>
              <w:rPr>
                <w:rFonts w:ascii="宋体" w:hAnsi="宋体" w:cs="宋体"/>
                <w:kern w:val="0"/>
                <w:sz w:val="24"/>
                <w:highlight w:val="none"/>
              </w:rPr>
            </w:pPr>
            <w:r>
              <w:rPr>
                <w:rFonts w:hint="eastAsia" w:ascii="宋体" w:hAnsi="宋体" w:cs="宋体"/>
                <w:kern w:val="0"/>
                <w:sz w:val="24"/>
                <w:highlight w:val="none"/>
              </w:rPr>
              <w:t>▲固态存储兼容性</w:t>
            </w:r>
          </w:p>
        </w:tc>
        <w:tc>
          <w:tcPr>
            <w:tcW w:w="5120" w:type="dxa"/>
            <w:tcBorders>
              <w:top w:val="nil"/>
              <w:left w:val="nil"/>
              <w:bottom w:val="single" w:color="auto" w:sz="8" w:space="0"/>
              <w:right w:val="single" w:color="auto" w:sz="8" w:space="0"/>
            </w:tcBorders>
            <w:vAlign w:val="center"/>
          </w:tcPr>
          <w:p w14:paraId="6FCC9E68">
            <w:pPr>
              <w:widowControl/>
              <w:adjustRightInd/>
              <w:rPr>
                <w:rFonts w:ascii="宋体" w:hAnsi="宋体" w:cs="宋体"/>
                <w:kern w:val="0"/>
                <w:sz w:val="24"/>
                <w:highlight w:val="none"/>
              </w:rPr>
            </w:pPr>
            <w:r>
              <w:rPr>
                <w:rFonts w:hint="eastAsia" w:ascii="宋体" w:hAnsi="宋体" w:cs="宋体"/>
                <w:kern w:val="0"/>
                <w:sz w:val="24"/>
                <w:highlight w:val="none"/>
              </w:rPr>
              <w:t>适配</w:t>
            </w:r>
            <w:r>
              <w:rPr>
                <w:rFonts w:ascii="宋体" w:hAnsi="宋体" w:cs="宋体"/>
                <w:kern w:val="0"/>
                <w:sz w:val="24"/>
                <w:highlight w:val="none"/>
              </w:rPr>
              <w:t xml:space="preserve"> 3 </w:t>
            </w:r>
            <w:r>
              <w:rPr>
                <w:rFonts w:hint="eastAsia" w:ascii="宋体" w:hAnsi="宋体" w:cs="宋体"/>
                <w:kern w:val="0"/>
                <w:sz w:val="24"/>
                <w:highlight w:val="none"/>
              </w:rPr>
              <w:t>种或以上厂商的固态存储产品，且均不低于产品支持的固态存储设备规格</w:t>
            </w:r>
          </w:p>
        </w:tc>
      </w:tr>
      <w:tr w14:paraId="6B0263D7">
        <w:tblPrEx>
          <w:tblCellMar>
            <w:top w:w="0" w:type="dxa"/>
            <w:left w:w="108" w:type="dxa"/>
            <w:bottom w:w="0" w:type="dxa"/>
            <w:right w:w="108" w:type="dxa"/>
          </w:tblCellMar>
        </w:tblPrEx>
        <w:trPr>
          <w:trHeight w:val="624" w:hRule="atLeast"/>
        </w:trPr>
        <w:tc>
          <w:tcPr>
            <w:tcW w:w="980" w:type="dxa"/>
            <w:tcBorders>
              <w:top w:val="nil"/>
              <w:left w:val="single" w:color="auto" w:sz="8" w:space="0"/>
              <w:bottom w:val="single" w:color="auto" w:sz="8" w:space="0"/>
              <w:right w:val="single" w:color="auto" w:sz="8" w:space="0"/>
            </w:tcBorders>
            <w:vAlign w:val="center"/>
          </w:tcPr>
          <w:p w14:paraId="33AE5CDE">
            <w:pPr>
              <w:widowControl/>
              <w:adjustRightInd/>
              <w:jc w:val="center"/>
              <w:rPr>
                <w:rFonts w:ascii="宋体" w:hAnsi="宋体" w:cs="宋体"/>
                <w:kern w:val="0"/>
                <w:sz w:val="24"/>
                <w:highlight w:val="none"/>
              </w:rPr>
            </w:pPr>
            <w:r>
              <w:rPr>
                <w:rFonts w:ascii="宋体" w:hAnsi="宋体" w:cs="宋体"/>
                <w:kern w:val="0"/>
                <w:sz w:val="24"/>
                <w:highlight w:val="none"/>
              </w:rPr>
              <w:t>54</w:t>
            </w:r>
          </w:p>
        </w:tc>
        <w:tc>
          <w:tcPr>
            <w:tcW w:w="980" w:type="dxa"/>
            <w:vMerge w:val="continue"/>
            <w:tcBorders>
              <w:top w:val="nil"/>
              <w:left w:val="single" w:color="auto" w:sz="8" w:space="0"/>
              <w:bottom w:val="single" w:color="000000" w:sz="8" w:space="0"/>
              <w:right w:val="single" w:color="auto" w:sz="8" w:space="0"/>
            </w:tcBorders>
            <w:vAlign w:val="center"/>
          </w:tcPr>
          <w:p w14:paraId="07F1F954">
            <w:pPr>
              <w:widowControl/>
              <w:adjustRightInd/>
              <w:jc w:val="left"/>
              <w:rPr>
                <w:rFonts w:ascii="宋体" w:hAnsi="宋体" w:cs="宋体"/>
                <w:kern w:val="0"/>
                <w:sz w:val="24"/>
                <w:highlight w:val="none"/>
              </w:rPr>
            </w:pPr>
          </w:p>
        </w:tc>
        <w:tc>
          <w:tcPr>
            <w:tcW w:w="1020" w:type="dxa"/>
            <w:tcBorders>
              <w:top w:val="nil"/>
              <w:left w:val="nil"/>
              <w:bottom w:val="single" w:color="auto" w:sz="8" w:space="0"/>
              <w:right w:val="single" w:color="auto" w:sz="8" w:space="0"/>
            </w:tcBorders>
            <w:vAlign w:val="center"/>
          </w:tcPr>
          <w:p w14:paraId="187F8423">
            <w:pPr>
              <w:widowControl/>
              <w:adjustRightInd/>
              <w:jc w:val="center"/>
              <w:rPr>
                <w:rFonts w:ascii="宋体" w:hAnsi="宋体" w:cs="宋体"/>
                <w:kern w:val="0"/>
                <w:sz w:val="24"/>
                <w:highlight w:val="none"/>
              </w:rPr>
            </w:pPr>
            <w:r>
              <w:rPr>
                <w:rFonts w:hint="eastAsia" w:ascii="宋体" w:hAnsi="宋体" w:cs="宋体"/>
                <w:kern w:val="0"/>
                <w:sz w:val="24"/>
                <w:highlight w:val="none"/>
              </w:rPr>
              <w:t>▲网卡兼容性</w:t>
            </w:r>
          </w:p>
        </w:tc>
        <w:tc>
          <w:tcPr>
            <w:tcW w:w="5120" w:type="dxa"/>
            <w:tcBorders>
              <w:top w:val="nil"/>
              <w:left w:val="nil"/>
              <w:bottom w:val="single" w:color="auto" w:sz="8" w:space="0"/>
              <w:right w:val="single" w:color="auto" w:sz="8" w:space="0"/>
            </w:tcBorders>
            <w:vAlign w:val="center"/>
          </w:tcPr>
          <w:p w14:paraId="540AE452">
            <w:pPr>
              <w:widowControl/>
              <w:adjustRightInd/>
              <w:rPr>
                <w:rFonts w:ascii="宋体" w:hAnsi="宋体" w:cs="宋体"/>
                <w:kern w:val="0"/>
                <w:sz w:val="24"/>
                <w:highlight w:val="none"/>
              </w:rPr>
            </w:pPr>
            <w:r>
              <w:rPr>
                <w:rFonts w:hint="eastAsia" w:ascii="宋体" w:hAnsi="宋体" w:cs="宋体"/>
                <w:kern w:val="0"/>
                <w:sz w:val="24"/>
                <w:highlight w:val="none"/>
              </w:rPr>
              <w:t>网卡应适配两种或以上厂商产品</w:t>
            </w:r>
          </w:p>
        </w:tc>
      </w:tr>
      <w:tr w14:paraId="16026338">
        <w:tblPrEx>
          <w:tblCellMar>
            <w:top w:w="0" w:type="dxa"/>
            <w:left w:w="108" w:type="dxa"/>
            <w:bottom w:w="0" w:type="dxa"/>
            <w:right w:w="108" w:type="dxa"/>
          </w:tblCellMar>
        </w:tblPrEx>
        <w:trPr>
          <w:trHeight w:val="936" w:hRule="atLeast"/>
        </w:trPr>
        <w:tc>
          <w:tcPr>
            <w:tcW w:w="980" w:type="dxa"/>
            <w:tcBorders>
              <w:top w:val="nil"/>
              <w:left w:val="single" w:color="auto" w:sz="8" w:space="0"/>
              <w:bottom w:val="single" w:color="auto" w:sz="8" w:space="0"/>
              <w:right w:val="single" w:color="auto" w:sz="8" w:space="0"/>
            </w:tcBorders>
            <w:vAlign w:val="center"/>
          </w:tcPr>
          <w:p w14:paraId="4B018FA8">
            <w:pPr>
              <w:widowControl/>
              <w:adjustRightInd/>
              <w:jc w:val="center"/>
              <w:rPr>
                <w:rFonts w:ascii="宋体" w:hAnsi="宋体" w:cs="宋体"/>
                <w:kern w:val="0"/>
                <w:sz w:val="24"/>
                <w:highlight w:val="none"/>
              </w:rPr>
            </w:pPr>
            <w:r>
              <w:rPr>
                <w:rFonts w:ascii="宋体" w:hAnsi="宋体" w:cs="宋体"/>
                <w:kern w:val="0"/>
                <w:sz w:val="24"/>
                <w:highlight w:val="none"/>
              </w:rPr>
              <w:t>55</w:t>
            </w:r>
          </w:p>
        </w:tc>
        <w:tc>
          <w:tcPr>
            <w:tcW w:w="980" w:type="dxa"/>
            <w:vMerge w:val="continue"/>
            <w:tcBorders>
              <w:top w:val="nil"/>
              <w:left w:val="single" w:color="auto" w:sz="8" w:space="0"/>
              <w:bottom w:val="single" w:color="000000" w:sz="8" w:space="0"/>
              <w:right w:val="single" w:color="auto" w:sz="8" w:space="0"/>
            </w:tcBorders>
            <w:vAlign w:val="center"/>
          </w:tcPr>
          <w:p w14:paraId="5B197DFB">
            <w:pPr>
              <w:widowControl/>
              <w:adjustRightInd/>
              <w:jc w:val="left"/>
              <w:rPr>
                <w:rFonts w:ascii="宋体" w:hAnsi="宋体" w:cs="宋体"/>
                <w:kern w:val="0"/>
                <w:sz w:val="24"/>
                <w:highlight w:val="none"/>
              </w:rPr>
            </w:pPr>
          </w:p>
        </w:tc>
        <w:tc>
          <w:tcPr>
            <w:tcW w:w="1020" w:type="dxa"/>
            <w:tcBorders>
              <w:top w:val="nil"/>
              <w:left w:val="nil"/>
              <w:bottom w:val="single" w:color="auto" w:sz="8" w:space="0"/>
              <w:right w:val="single" w:color="auto" w:sz="8" w:space="0"/>
            </w:tcBorders>
            <w:vAlign w:val="center"/>
          </w:tcPr>
          <w:p w14:paraId="48FBDE71">
            <w:pPr>
              <w:widowControl/>
              <w:adjustRightInd/>
              <w:jc w:val="center"/>
              <w:rPr>
                <w:rFonts w:ascii="宋体" w:hAnsi="宋体" w:cs="宋体"/>
                <w:kern w:val="0"/>
                <w:sz w:val="24"/>
                <w:highlight w:val="none"/>
              </w:rPr>
            </w:pPr>
            <w:r>
              <w:rPr>
                <w:rFonts w:hint="eastAsia" w:ascii="宋体" w:hAnsi="宋体" w:cs="宋体"/>
                <w:kern w:val="0"/>
                <w:sz w:val="24"/>
                <w:highlight w:val="none"/>
              </w:rPr>
              <w:t>▲功能卡兼容性</w:t>
            </w:r>
          </w:p>
        </w:tc>
        <w:tc>
          <w:tcPr>
            <w:tcW w:w="5120" w:type="dxa"/>
            <w:tcBorders>
              <w:top w:val="nil"/>
              <w:left w:val="nil"/>
              <w:bottom w:val="single" w:color="auto" w:sz="8" w:space="0"/>
              <w:right w:val="single" w:color="auto" w:sz="8" w:space="0"/>
            </w:tcBorders>
            <w:vAlign w:val="center"/>
          </w:tcPr>
          <w:p w14:paraId="0DD722C9">
            <w:pPr>
              <w:widowControl/>
              <w:adjustRightInd/>
              <w:rPr>
                <w:rFonts w:ascii="宋体" w:hAnsi="宋体" w:cs="宋体"/>
                <w:kern w:val="0"/>
                <w:sz w:val="24"/>
                <w:highlight w:val="none"/>
              </w:rPr>
            </w:pPr>
            <w:r>
              <w:rPr>
                <w:rFonts w:hint="eastAsia" w:ascii="宋体" w:hAnsi="宋体" w:cs="宋体"/>
                <w:kern w:val="0"/>
                <w:sz w:val="24"/>
                <w:highlight w:val="none"/>
              </w:rPr>
              <w:t>内置或适配符合</w:t>
            </w:r>
            <w:r>
              <w:rPr>
                <w:rFonts w:ascii="宋体" w:hAnsi="宋体" w:cs="宋体"/>
                <w:kern w:val="0"/>
                <w:sz w:val="24"/>
                <w:highlight w:val="none"/>
              </w:rPr>
              <w:t xml:space="preserve"> PCIe </w:t>
            </w:r>
            <w:r>
              <w:rPr>
                <w:rFonts w:hint="eastAsia" w:ascii="宋体" w:hAnsi="宋体" w:cs="宋体"/>
                <w:kern w:val="0"/>
                <w:sz w:val="24"/>
                <w:highlight w:val="none"/>
              </w:rPr>
              <w:t>的功能卡，如：网络功能卡、存储功能卡及图形显示功能卡</w:t>
            </w:r>
          </w:p>
        </w:tc>
      </w:tr>
      <w:tr w14:paraId="54FE3D65">
        <w:tblPrEx>
          <w:tblCellMar>
            <w:top w:w="0" w:type="dxa"/>
            <w:left w:w="108" w:type="dxa"/>
            <w:bottom w:w="0" w:type="dxa"/>
            <w:right w:w="108" w:type="dxa"/>
          </w:tblCellMar>
        </w:tblPrEx>
        <w:trPr>
          <w:trHeight w:val="624" w:hRule="atLeast"/>
        </w:trPr>
        <w:tc>
          <w:tcPr>
            <w:tcW w:w="980" w:type="dxa"/>
            <w:tcBorders>
              <w:top w:val="nil"/>
              <w:left w:val="single" w:color="auto" w:sz="8" w:space="0"/>
              <w:bottom w:val="single" w:color="auto" w:sz="8" w:space="0"/>
              <w:right w:val="single" w:color="auto" w:sz="8" w:space="0"/>
            </w:tcBorders>
            <w:vAlign w:val="center"/>
          </w:tcPr>
          <w:p w14:paraId="275DA782">
            <w:pPr>
              <w:widowControl/>
              <w:adjustRightInd/>
              <w:jc w:val="center"/>
              <w:rPr>
                <w:rFonts w:ascii="宋体" w:hAnsi="宋体" w:cs="宋体"/>
                <w:kern w:val="0"/>
                <w:sz w:val="24"/>
                <w:highlight w:val="none"/>
              </w:rPr>
            </w:pPr>
            <w:r>
              <w:rPr>
                <w:rFonts w:ascii="宋体" w:hAnsi="宋体" w:cs="宋体"/>
                <w:kern w:val="0"/>
                <w:sz w:val="24"/>
                <w:highlight w:val="none"/>
              </w:rPr>
              <w:t>56</w:t>
            </w:r>
          </w:p>
        </w:tc>
        <w:tc>
          <w:tcPr>
            <w:tcW w:w="980" w:type="dxa"/>
            <w:tcBorders>
              <w:top w:val="nil"/>
              <w:left w:val="nil"/>
              <w:bottom w:val="single" w:color="auto" w:sz="8" w:space="0"/>
              <w:right w:val="single" w:color="auto" w:sz="8" w:space="0"/>
            </w:tcBorders>
            <w:vAlign w:val="center"/>
          </w:tcPr>
          <w:p w14:paraId="2DC0E59F">
            <w:pPr>
              <w:widowControl/>
              <w:adjustRightInd/>
              <w:jc w:val="center"/>
              <w:rPr>
                <w:rFonts w:ascii="宋体" w:hAnsi="宋体" w:cs="宋体"/>
                <w:kern w:val="0"/>
                <w:sz w:val="24"/>
                <w:highlight w:val="none"/>
              </w:rPr>
            </w:pPr>
            <w:r>
              <w:rPr>
                <w:rFonts w:hint="eastAsia" w:ascii="宋体" w:hAnsi="宋体" w:cs="宋体"/>
                <w:kern w:val="0"/>
                <w:sz w:val="24"/>
                <w:highlight w:val="none"/>
              </w:rPr>
              <w:t>▲外设兼容性</w:t>
            </w:r>
          </w:p>
        </w:tc>
        <w:tc>
          <w:tcPr>
            <w:tcW w:w="1020" w:type="dxa"/>
            <w:tcBorders>
              <w:top w:val="nil"/>
              <w:left w:val="nil"/>
              <w:bottom w:val="single" w:color="auto" w:sz="8" w:space="0"/>
              <w:right w:val="single" w:color="auto" w:sz="8" w:space="0"/>
            </w:tcBorders>
            <w:vAlign w:val="center"/>
          </w:tcPr>
          <w:p w14:paraId="0A39B914">
            <w:pPr>
              <w:widowControl/>
              <w:adjustRightInd/>
              <w:jc w:val="center"/>
              <w:rPr>
                <w:rFonts w:ascii="宋体" w:hAnsi="宋体" w:cs="宋体"/>
                <w:kern w:val="0"/>
                <w:sz w:val="24"/>
                <w:highlight w:val="none"/>
              </w:rPr>
            </w:pPr>
            <w:r>
              <w:rPr>
                <w:rFonts w:hint="eastAsia" w:ascii="宋体" w:hAnsi="宋体" w:cs="宋体"/>
                <w:kern w:val="0"/>
                <w:sz w:val="24"/>
                <w:highlight w:val="none"/>
              </w:rPr>
              <w:t>▲外设兼容性</w:t>
            </w:r>
          </w:p>
        </w:tc>
        <w:tc>
          <w:tcPr>
            <w:tcW w:w="5120" w:type="dxa"/>
            <w:tcBorders>
              <w:top w:val="nil"/>
              <w:left w:val="nil"/>
              <w:bottom w:val="single" w:color="auto" w:sz="8" w:space="0"/>
              <w:right w:val="single" w:color="auto" w:sz="8" w:space="0"/>
            </w:tcBorders>
            <w:vAlign w:val="center"/>
          </w:tcPr>
          <w:p w14:paraId="208807C9">
            <w:pPr>
              <w:widowControl/>
              <w:adjustRightInd/>
              <w:rPr>
                <w:rFonts w:ascii="宋体" w:hAnsi="宋体" w:cs="宋体"/>
                <w:kern w:val="0"/>
                <w:sz w:val="24"/>
                <w:highlight w:val="none"/>
              </w:rPr>
            </w:pPr>
            <w:r>
              <w:rPr>
                <w:rFonts w:hint="eastAsia" w:ascii="宋体" w:hAnsi="宋体" w:cs="宋体"/>
                <w:kern w:val="0"/>
                <w:sz w:val="24"/>
                <w:highlight w:val="none"/>
              </w:rPr>
              <w:t>兼容多种主流生产商的外部设备，包括显示器、键盘、鼠标、闪存盘、移动硬盘、</w:t>
            </w:r>
            <w:r>
              <w:rPr>
                <w:rFonts w:ascii="宋体" w:hAnsi="宋体" w:cs="宋体"/>
                <w:kern w:val="0"/>
                <w:sz w:val="24"/>
                <w:highlight w:val="none"/>
              </w:rPr>
              <w:t xml:space="preserve">USB </w:t>
            </w:r>
            <w:r>
              <w:rPr>
                <w:rFonts w:hint="eastAsia" w:ascii="宋体" w:hAnsi="宋体" w:cs="宋体"/>
                <w:kern w:val="0"/>
                <w:sz w:val="24"/>
                <w:highlight w:val="none"/>
              </w:rPr>
              <w:t>光驱及</w:t>
            </w:r>
            <w:r>
              <w:rPr>
                <w:rFonts w:ascii="宋体" w:hAnsi="宋体" w:cs="宋体"/>
                <w:kern w:val="0"/>
                <w:sz w:val="24"/>
                <w:highlight w:val="none"/>
              </w:rPr>
              <w:t xml:space="preserve"> KVM </w:t>
            </w:r>
            <w:r>
              <w:rPr>
                <w:rFonts w:hint="eastAsia" w:ascii="宋体" w:hAnsi="宋体" w:cs="宋体"/>
                <w:kern w:val="0"/>
                <w:sz w:val="24"/>
                <w:highlight w:val="none"/>
              </w:rPr>
              <w:t>等，要求使用不同厂商的外部设备时，系统均能正常识别和安装驱动</w:t>
            </w:r>
          </w:p>
        </w:tc>
      </w:tr>
      <w:tr w14:paraId="4BB6226B">
        <w:tblPrEx>
          <w:tblCellMar>
            <w:top w:w="0" w:type="dxa"/>
            <w:left w:w="108" w:type="dxa"/>
            <w:bottom w:w="0" w:type="dxa"/>
            <w:right w:w="108" w:type="dxa"/>
          </w:tblCellMar>
        </w:tblPrEx>
        <w:trPr>
          <w:trHeight w:val="624" w:hRule="atLeast"/>
        </w:trPr>
        <w:tc>
          <w:tcPr>
            <w:tcW w:w="980" w:type="dxa"/>
            <w:tcBorders>
              <w:top w:val="nil"/>
              <w:left w:val="single" w:color="auto" w:sz="8" w:space="0"/>
              <w:bottom w:val="single" w:color="auto" w:sz="8" w:space="0"/>
              <w:right w:val="single" w:color="auto" w:sz="8" w:space="0"/>
            </w:tcBorders>
            <w:vAlign w:val="center"/>
          </w:tcPr>
          <w:p w14:paraId="2B2E6979">
            <w:pPr>
              <w:widowControl/>
              <w:adjustRightInd/>
              <w:jc w:val="center"/>
              <w:rPr>
                <w:rFonts w:ascii="宋体" w:hAnsi="宋体" w:cs="宋体"/>
                <w:kern w:val="0"/>
                <w:sz w:val="24"/>
                <w:highlight w:val="none"/>
              </w:rPr>
            </w:pPr>
            <w:r>
              <w:rPr>
                <w:rFonts w:ascii="宋体" w:hAnsi="宋体" w:cs="宋体"/>
                <w:kern w:val="0"/>
                <w:sz w:val="24"/>
                <w:highlight w:val="none"/>
              </w:rPr>
              <w:t>57</w:t>
            </w:r>
          </w:p>
        </w:tc>
        <w:tc>
          <w:tcPr>
            <w:tcW w:w="980" w:type="dxa"/>
            <w:vMerge w:val="restart"/>
            <w:tcBorders>
              <w:top w:val="nil"/>
              <w:left w:val="single" w:color="auto" w:sz="8" w:space="0"/>
              <w:bottom w:val="single" w:color="000000" w:sz="8" w:space="0"/>
              <w:right w:val="single" w:color="auto" w:sz="8" w:space="0"/>
            </w:tcBorders>
            <w:vAlign w:val="center"/>
          </w:tcPr>
          <w:p w14:paraId="459C8D39">
            <w:pPr>
              <w:widowControl/>
              <w:adjustRightInd/>
              <w:jc w:val="center"/>
              <w:rPr>
                <w:rFonts w:ascii="宋体" w:hAnsi="宋体" w:cs="宋体"/>
                <w:kern w:val="0"/>
                <w:sz w:val="24"/>
                <w:highlight w:val="none"/>
              </w:rPr>
            </w:pPr>
            <w:r>
              <w:rPr>
                <w:rFonts w:hint="eastAsia" w:ascii="宋体" w:hAnsi="宋体" w:cs="宋体"/>
                <w:kern w:val="0"/>
                <w:sz w:val="24"/>
                <w:highlight w:val="none"/>
              </w:rPr>
              <w:t>▲软件兼容性</w:t>
            </w:r>
          </w:p>
        </w:tc>
        <w:tc>
          <w:tcPr>
            <w:tcW w:w="1020" w:type="dxa"/>
            <w:tcBorders>
              <w:top w:val="nil"/>
              <w:left w:val="nil"/>
              <w:bottom w:val="single" w:color="auto" w:sz="8" w:space="0"/>
              <w:right w:val="single" w:color="auto" w:sz="8" w:space="0"/>
            </w:tcBorders>
            <w:vAlign w:val="center"/>
          </w:tcPr>
          <w:p w14:paraId="76770670">
            <w:pPr>
              <w:widowControl/>
              <w:adjustRightInd/>
              <w:jc w:val="center"/>
              <w:rPr>
                <w:rFonts w:ascii="宋体" w:hAnsi="宋体" w:cs="宋体"/>
                <w:kern w:val="0"/>
                <w:sz w:val="24"/>
                <w:highlight w:val="none"/>
              </w:rPr>
            </w:pPr>
            <w:r>
              <w:rPr>
                <w:rFonts w:hint="eastAsia" w:ascii="宋体" w:hAnsi="宋体" w:cs="宋体"/>
                <w:kern w:val="0"/>
                <w:sz w:val="24"/>
                <w:highlight w:val="none"/>
              </w:rPr>
              <w:t>▲数据库兼容</w:t>
            </w:r>
          </w:p>
        </w:tc>
        <w:tc>
          <w:tcPr>
            <w:tcW w:w="5120" w:type="dxa"/>
            <w:tcBorders>
              <w:top w:val="nil"/>
              <w:left w:val="nil"/>
              <w:bottom w:val="single" w:color="auto" w:sz="8" w:space="0"/>
              <w:right w:val="single" w:color="auto" w:sz="8" w:space="0"/>
            </w:tcBorders>
            <w:vAlign w:val="center"/>
          </w:tcPr>
          <w:p w14:paraId="24C2BB94">
            <w:pPr>
              <w:widowControl/>
              <w:adjustRightInd/>
              <w:rPr>
                <w:rFonts w:ascii="宋体" w:hAnsi="宋体" w:cs="宋体"/>
                <w:kern w:val="0"/>
                <w:sz w:val="24"/>
                <w:highlight w:val="none"/>
              </w:rPr>
            </w:pPr>
            <w:r>
              <w:rPr>
                <w:rFonts w:hint="eastAsia" w:ascii="宋体" w:hAnsi="宋体" w:cs="宋体"/>
                <w:kern w:val="0"/>
                <w:sz w:val="24"/>
                <w:highlight w:val="none"/>
              </w:rPr>
              <w:t>兼容</w:t>
            </w:r>
            <w:r>
              <w:rPr>
                <w:rFonts w:ascii="宋体" w:hAnsi="宋体" w:cs="宋体"/>
                <w:kern w:val="0"/>
                <w:sz w:val="24"/>
                <w:highlight w:val="none"/>
              </w:rPr>
              <w:t>3个及以上厂商的数据库产品</w:t>
            </w:r>
            <w:r>
              <w:rPr>
                <w:rFonts w:hint="eastAsia" w:ascii="宋体" w:hAnsi="宋体" w:cs="宋体"/>
                <w:kern w:val="0"/>
                <w:sz w:val="24"/>
                <w:highlight w:val="none"/>
              </w:rPr>
              <w:t>；</w:t>
            </w:r>
          </w:p>
        </w:tc>
      </w:tr>
      <w:tr w14:paraId="26C12FCA">
        <w:tblPrEx>
          <w:tblCellMar>
            <w:top w:w="0" w:type="dxa"/>
            <w:left w:w="108" w:type="dxa"/>
            <w:bottom w:w="0" w:type="dxa"/>
            <w:right w:w="108" w:type="dxa"/>
          </w:tblCellMar>
        </w:tblPrEx>
        <w:trPr>
          <w:trHeight w:val="624" w:hRule="atLeast"/>
        </w:trPr>
        <w:tc>
          <w:tcPr>
            <w:tcW w:w="980" w:type="dxa"/>
            <w:tcBorders>
              <w:top w:val="nil"/>
              <w:left w:val="single" w:color="auto" w:sz="8" w:space="0"/>
              <w:bottom w:val="single" w:color="auto" w:sz="8" w:space="0"/>
              <w:right w:val="single" w:color="auto" w:sz="8" w:space="0"/>
            </w:tcBorders>
            <w:vAlign w:val="center"/>
          </w:tcPr>
          <w:p w14:paraId="2958B46F">
            <w:pPr>
              <w:widowControl/>
              <w:adjustRightInd/>
              <w:jc w:val="center"/>
              <w:rPr>
                <w:rFonts w:ascii="宋体" w:hAnsi="宋体" w:cs="宋体"/>
                <w:kern w:val="0"/>
                <w:sz w:val="24"/>
                <w:highlight w:val="none"/>
              </w:rPr>
            </w:pPr>
            <w:r>
              <w:rPr>
                <w:rFonts w:ascii="宋体" w:hAnsi="宋体" w:cs="宋体"/>
                <w:kern w:val="0"/>
                <w:sz w:val="24"/>
                <w:highlight w:val="none"/>
              </w:rPr>
              <w:t>58</w:t>
            </w:r>
          </w:p>
        </w:tc>
        <w:tc>
          <w:tcPr>
            <w:tcW w:w="980" w:type="dxa"/>
            <w:vMerge w:val="continue"/>
            <w:tcBorders>
              <w:top w:val="nil"/>
              <w:left w:val="single" w:color="auto" w:sz="8" w:space="0"/>
              <w:bottom w:val="single" w:color="000000" w:sz="8" w:space="0"/>
              <w:right w:val="single" w:color="auto" w:sz="8" w:space="0"/>
            </w:tcBorders>
            <w:vAlign w:val="center"/>
          </w:tcPr>
          <w:p w14:paraId="41C92999">
            <w:pPr>
              <w:widowControl/>
              <w:adjustRightInd/>
              <w:jc w:val="left"/>
              <w:rPr>
                <w:rFonts w:ascii="宋体" w:hAnsi="宋体" w:cs="宋体"/>
                <w:kern w:val="0"/>
                <w:sz w:val="24"/>
                <w:highlight w:val="none"/>
              </w:rPr>
            </w:pPr>
          </w:p>
        </w:tc>
        <w:tc>
          <w:tcPr>
            <w:tcW w:w="1020" w:type="dxa"/>
            <w:tcBorders>
              <w:top w:val="nil"/>
              <w:left w:val="nil"/>
              <w:bottom w:val="single" w:color="auto" w:sz="8" w:space="0"/>
              <w:right w:val="single" w:color="auto" w:sz="8" w:space="0"/>
            </w:tcBorders>
            <w:vAlign w:val="center"/>
          </w:tcPr>
          <w:p w14:paraId="18A4C0E3">
            <w:pPr>
              <w:widowControl/>
              <w:adjustRightInd/>
              <w:jc w:val="center"/>
              <w:rPr>
                <w:rFonts w:ascii="宋体" w:hAnsi="宋体" w:cs="宋体"/>
                <w:kern w:val="0"/>
                <w:sz w:val="24"/>
                <w:highlight w:val="none"/>
              </w:rPr>
            </w:pPr>
            <w:r>
              <w:rPr>
                <w:rFonts w:hint="eastAsia" w:ascii="宋体" w:hAnsi="宋体" w:cs="宋体"/>
                <w:kern w:val="0"/>
                <w:sz w:val="24"/>
                <w:highlight w:val="none"/>
              </w:rPr>
              <w:t>▲中间件兼容</w:t>
            </w:r>
          </w:p>
        </w:tc>
        <w:tc>
          <w:tcPr>
            <w:tcW w:w="5120" w:type="dxa"/>
            <w:tcBorders>
              <w:top w:val="nil"/>
              <w:left w:val="nil"/>
              <w:bottom w:val="single" w:color="auto" w:sz="8" w:space="0"/>
              <w:right w:val="single" w:color="auto" w:sz="8" w:space="0"/>
            </w:tcBorders>
            <w:vAlign w:val="center"/>
          </w:tcPr>
          <w:p w14:paraId="007454A3">
            <w:pPr>
              <w:widowControl/>
              <w:adjustRightInd/>
              <w:rPr>
                <w:rFonts w:ascii="宋体" w:hAnsi="宋体" w:cs="宋体"/>
                <w:kern w:val="0"/>
                <w:sz w:val="24"/>
                <w:highlight w:val="none"/>
              </w:rPr>
            </w:pPr>
            <w:r>
              <w:rPr>
                <w:rFonts w:hint="eastAsia" w:ascii="宋体" w:hAnsi="宋体" w:cs="宋体"/>
                <w:kern w:val="0"/>
                <w:sz w:val="24"/>
                <w:highlight w:val="none"/>
              </w:rPr>
              <w:t>兼容</w:t>
            </w:r>
            <w:r>
              <w:rPr>
                <w:rFonts w:ascii="宋体" w:hAnsi="宋体" w:cs="宋体"/>
                <w:kern w:val="0"/>
                <w:sz w:val="24"/>
                <w:highlight w:val="none"/>
              </w:rPr>
              <w:t>3个及以上厂商的中间件产品</w:t>
            </w:r>
            <w:r>
              <w:rPr>
                <w:rFonts w:hint="eastAsia" w:ascii="宋体" w:hAnsi="宋体" w:cs="宋体"/>
                <w:kern w:val="0"/>
                <w:sz w:val="24"/>
                <w:highlight w:val="none"/>
              </w:rPr>
              <w:t>；</w:t>
            </w:r>
          </w:p>
        </w:tc>
      </w:tr>
      <w:tr w14:paraId="71C34271">
        <w:tblPrEx>
          <w:tblCellMar>
            <w:top w:w="0" w:type="dxa"/>
            <w:left w:w="108" w:type="dxa"/>
            <w:bottom w:w="0" w:type="dxa"/>
            <w:right w:w="108" w:type="dxa"/>
          </w:tblCellMar>
        </w:tblPrEx>
        <w:trPr>
          <w:trHeight w:val="936" w:hRule="atLeast"/>
        </w:trPr>
        <w:tc>
          <w:tcPr>
            <w:tcW w:w="980" w:type="dxa"/>
            <w:tcBorders>
              <w:top w:val="nil"/>
              <w:left w:val="single" w:color="auto" w:sz="8" w:space="0"/>
              <w:bottom w:val="single" w:color="auto" w:sz="8" w:space="0"/>
              <w:right w:val="single" w:color="auto" w:sz="8" w:space="0"/>
            </w:tcBorders>
            <w:vAlign w:val="center"/>
          </w:tcPr>
          <w:p w14:paraId="5978F924">
            <w:pPr>
              <w:widowControl/>
              <w:adjustRightInd/>
              <w:jc w:val="center"/>
              <w:rPr>
                <w:rFonts w:ascii="宋体" w:hAnsi="宋体" w:cs="宋体"/>
                <w:kern w:val="0"/>
                <w:sz w:val="24"/>
                <w:highlight w:val="none"/>
              </w:rPr>
            </w:pPr>
            <w:r>
              <w:rPr>
                <w:rFonts w:ascii="宋体" w:hAnsi="宋体" w:cs="宋体"/>
                <w:kern w:val="0"/>
                <w:sz w:val="24"/>
                <w:highlight w:val="none"/>
              </w:rPr>
              <w:t>59</w:t>
            </w:r>
          </w:p>
        </w:tc>
        <w:tc>
          <w:tcPr>
            <w:tcW w:w="980" w:type="dxa"/>
            <w:vMerge w:val="continue"/>
            <w:tcBorders>
              <w:top w:val="nil"/>
              <w:left w:val="single" w:color="auto" w:sz="8" w:space="0"/>
              <w:bottom w:val="single" w:color="000000" w:sz="8" w:space="0"/>
              <w:right w:val="single" w:color="auto" w:sz="8" w:space="0"/>
            </w:tcBorders>
            <w:vAlign w:val="center"/>
          </w:tcPr>
          <w:p w14:paraId="1E6666D2">
            <w:pPr>
              <w:widowControl/>
              <w:adjustRightInd/>
              <w:jc w:val="left"/>
              <w:rPr>
                <w:rFonts w:ascii="宋体" w:hAnsi="宋体" w:cs="宋体"/>
                <w:kern w:val="0"/>
                <w:sz w:val="24"/>
                <w:highlight w:val="none"/>
              </w:rPr>
            </w:pPr>
          </w:p>
        </w:tc>
        <w:tc>
          <w:tcPr>
            <w:tcW w:w="1020" w:type="dxa"/>
            <w:tcBorders>
              <w:top w:val="nil"/>
              <w:left w:val="nil"/>
              <w:bottom w:val="single" w:color="auto" w:sz="8" w:space="0"/>
              <w:right w:val="single" w:color="auto" w:sz="8" w:space="0"/>
            </w:tcBorders>
            <w:vAlign w:val="center"/>
          </w:tcPr>
          <w:p w14:paraId="77E38711">
            <w:pPr>
              <w:widowControl/>
              <w:adjustRightInd/>
              <w:jc w:val="center"/>
              <w:rPr>
                <w:rFonts w:ascii="宋体" w:hAnsi="宋体" w:cs="宋体"/>
                <w:kern w:val="0"/>
                <w:sz w:val="24"/>
                <w:highlight w:val="none"/>
              </w:rPr>
            </w:pPr>
            <w:r>
              <w:rPr>
                <w:rFonts w:hint="eastAsia" w:ascii="宋体" w:hAnsi="宋体" w:cs="宋体"/>
                <w:kern w:val="0"/>
                <w:sz w:val="24"/>
                <w:highlight w:val="none"/>
              </w:rPr>
              <w:t>▲平台软件兼容</w:t>
            </w:r>
          </w:p>
        </w:tc>
        <w:tc>
          <w:tcPr>
            <w:tcW w:w="5120" w:type="dxa"/>
            <w:tcBorders>
              <w:top w:val="nil"/>
              <w:left w:val="nil"/>
              <w:bottom w:val="single" w:color="auto" w:sz="8" w:space="0"/>
              <w:right w:val="single" w:color="auto" w:sz="8" w:space="0"/>
            </w:tcBorders>
            <w:vAlign w:val="center"/>
          </w:tcPr>
          <w:p w14:paraId="5835DE9D">
            <w:pPr>
              <w:widowControl/>
              <w:adjustRightInd/>
              <w:rPr>
                <w:rFonts w:ascii="宋体" w:hAnsi="宋体" w:cs="宋体"/>
                <w:kern w:val="0"/>
                <w:sz w:val="24"/>
                <w:highlight w:val="none"/>
              </w:rPr>
            </w:pPr>
            <w:r>
              <w:rPr>
                <w:rFonts w:hint="eastAsia" w:ascii="宋体" w:hAnsi="宋体" w:cs="宋体"/>
                <w:kern w:val="0"/>
                <w:sz w:val="24"/>
                <w:highlight w:val="none"/>
              </w:rPr>
              <w:t>兼容</w:t>
            </w:r>
            <w:r>
              <w:rPr>
                <w:rFonts w:ascii="宋体" w:hAnsi="宋体" w:cs="宋体"/>
                <w:kern w:val="0"/>
                <w:sz w:val="24"/>
                <w:highlight w:val="none"/>
              </w:rPr>
              <w:t>3个及以上厂商的大数据平台</w:t>
            </w:r>
            <w:r>
              <w:rPr>
                <w:rFonts w:hint="eastAsia" w:ascii="宋体" w:hAnsi="宋体" w:cs="宋体"/>
                <w:kern w:val="0"/>
                <w:sz w:val="24"/>
                <w:highlight w:val="none"/>
              </w:rPr>
              <w:t>；</w:t>
            </w:r>
          </w:p>
        </w:tc>
      </w:tr>
      <w:tr w14:paraId="4A96805F">
        <w:tblPrEx>
          <w:tblCellMar>
            <w:top w:w="0" w:type="dxa"/>
            <w:left w:w="108" w:type="dxa"/>
            <w:bottom w:w="0" w:type="dxa"/>
            <w:right w:w="108" w:type="dxa"/>
          </w:tblCellMar>
        </w:tblPrEx>
        <w:trPr>
          <w:trHeight w:val="624" w:hRule="atLeast"/>
        </w:trPr>
        <w:tc>
          <w:tcPr>
            <w:tcW w:w="980" w:type="dxa"/>
            <w:tcBorders>
              <w:top w:val="nil"/>
              <w:left w:val="single" w:color="auto" w:sz="8" w:space="0"/>
              <w:bottom w:val="single" w:color="auto" w:sz="8" w:space="0"/>
              <w:right w:val="single" w:color="auto" w:sz="8" w:space="0"/>
            </w:tcBorders>
            <w:vAlign w:val="center"/>
          </w:tcPr>
          <w:p w14:paraId="22F888E3">
            <w:pPr>
              <w:widowControl/>
              <w:adjustRightInd/>
              <w:jc w:val="center"/>
              <w:rPr>
                <w:rFonts w:ascii="宋体" w:hAnsi="宋体" w:cs="宋体"/>
                <w:kern w:val="0"/>
                <w:sz w:val="24"/>
                <w:highlight w:val="none"/>
              </w:rPr>
            </w:pPr>
            <w:r>
              <w:rPr>
                <w:rFonts w:ascii="宋体" w:hAnsi="宋体" w:cs="宋体"/>
                <w:kern w:val="0"/>
                <w:sz w:val="24"/>
                <w:highlight w:val="none"/>
              </w:rPr>
              <w:t>60</w:t>
            </w:r>
          </w:p>
        </w:tc>
        <w:tc>
          <w:tcPr>
            <w:tcW w:w="980" w:type="dxa"/>
            <w:vMerge w:val="restart"/>
            <w:tcBorders>
              <w:top w:val="nil"/>
              <w:left w:val="single" w:color="auto" w:sz="8" w:space="0"/>
              <w:bottom w:val="single" w:color="000000" w:sz="8" w:space="0"/>
              <w:right w:val="single" w:color="auto" w:sz="8" w:space="0"/>
            </w:tcBorders>
            <w:vAlign w:val="center"/>
          </w:tcPr>
          <w:p w14:paraId="171B38CD">
            <w:pPr>
              <w:widowControl/>
              <w:adjustRightInd/>
              <w:jc w:val="center"/>
              <w:rPr>
                <w:rFonts w:ascii="宋体" w:hAnsi="宋体" w:cs="宋体"/>
                <w:kern w:val="0"/>
                <w:sz w:val="24"/>
                <w:highlight w:val="none"/>
              </w:rPr>
            </w:pPr>
            <w:r>
              <w:rPr>
                <w:rFonts w:hint="eastAsia" w:ascii="宋体" w:hAnsi="宋体" w:cs="宋体"/>
                <w:kern w:val="0"/>
                <w:sz w:val="24"/>
                <w:highlight w:val="none"/>
              </w:rPr>
              <w:t>▲整机可靠性要求</w:t>
            </w:r>
          </w:p>
        </w:tc>
        <w:tc>
          <w:tcPr>
            <w:tcW w:w="1020" w:type="dxa"/>
            <w:tcBorders>
              <w:top w:val="nil"/>
              <w:left w:val="nil"/>
              <w:bottom w:val="single" w:color="auto" w:sz="8" w:space="0"/>
              <w:right w:val="single" w:color="auto" w:sz="8" w:space="0"/>
            </w:tcBorders>
            <w:vAlign w:val="center"/>
          </w:tcPr>
          <w:p w14:paraId="738EF920">
            <w:pPr>
              <w:widowControl/>
              <w:adjustRightInd/>
              <w:jc w:val="center"/>
              <w:rPr>
                <w:rFonts w:ascii="宋体" w:hAnsi="宋体" w:cs="宋体"/>
                <w:kern w:val="0"/>
                <w:sz w:val="24"/>
                <w:highlight w:val="none"/>
              </w:rPr>
            </w:pPr>
            <w:r>
              <w:rPr>
                <w:rFonts w:hint="eastAsia" w:ascii="宋体" w:hAnsi="宋体" w:cs="宋体"/>
                <w:kern w:val="0"/>
                <w:sz w:val="24"/>
                <w:highlight w:val="none"/>
              </w:rPr>
              <w:t>▲整机可靠性</w:t>
            </w:r>
          </w:p>
        </w:tc>
        <w:tc>
          <w:tcPr>
            <w:tcW w:w="5120" w:type="dxa"/>
            <w:tcBorders>
              <w:top w:val="nil"/>
              <w:left w:val="nil"/>
              <w:bottom w:val="single" w:color="auto" w:sz="8" w:space="0"/>
              <w:right w:val="single" w:color="auto" w:sz="8" w:space="0"/>
            </w:tcBorders>
            <w:vAlign w:val="center"/>
          </w:tcPr>
          <w:p w14:paraId="2840F736">
            <w:pPr>
              <w:widowControl/>
              <w:adjustRightInd/>
              <w:rPr>
                <w:rFonts w:ascii="宋体" w:hAnsi="宋体" w:cs="宋体"/>
                <w:kern w:val="0"/>
                <w:sz w:val="24"/>
                <w:highlight w:val="none"/>
              </w:rPr>
            </w:pPr>
            <w:r>
              <w:rPr>
                <w:rFonts w:ascii="宋体" w:hAnsi="宋体" w:cs="宋体"/>
                <w:kern w:val="0"/>
                <w:sz w:val="24"/>
                <w:highlight w:val="none"/>
              </w:rPr>
              <w:t xml:space="preserve">m1 </w:t>
            </w:r>
            <w:r>
              <w:rPr>
                <w:rFonts w:hint="eastAsia" w:ascii="宋体" w:hAnsi="宋体" w:cs="宋体"/>
                <w:kern w:val="0"/>
                <w:sz w:val="24"/>
                <w:highlight w:val="none"/>
              </w:rPr>
              <w:t>值（</w:t>
            </w:r>
            <w:r>
              <w:rPr>
                <w:rFonts w:ascii="宋体" w:hAnsi="宋体" w:cs="宋体"/>
                <w:kern w:val="0"/>
                <w:sz w:val="24"/>
                <w:highlight w:val="none"/>
              </w:rPr>
              <w:t xml:space="preserve">MTBF </w:t>
            </w:r>
            <w:r>
              <w:rPr>
                <w:rFonts w:hint="eastAsia" w:ascii="宋体" w:hAnsi="宋体" w:cs="宋体"/>
                <w:kern w:val="0"/>
                <w:sz w:val="24"/>
                <w:highlight w:val="none"/>
              </w:rPr>
              <w:t>的不可接受值）≥</w:t>
            </w:r>
            <w:r>
              <w:rPr>
                <w:rFonts w:ascii="宋体" w:hAnsi="宋体" w:cs="宋体"/>
                <w:kern w:val="0"/>
                <w:sz w:val="24"/>
                <w:highlight w:val="none"/>
              </w:rPr>
              <w:t>100000h</w:t>
            </w:r>
            <w:r>
              <w:rPr>
                <w:rFonts w:hint="eastAsia" w:ascii="宋体" w:hAnsi="宋体" w:cs="宋体"/>
                <w:kern w:val="0"/>
                <w:sz w:val="24"/>
                <w:highlight w:val="none"/>
              </w:rPr>
              <w:t>；</w:t>
            </w:r>
          </w:p>
        </w:tc>
      </w:tr>
      <w:tr w14:paraId="581B83AF">
        <w:tblPrEx>
          <w:tblCellMar>
            <w:top w:w="0" w:type="dxa"/>
            <w:left w:w="108" w:type="dxa"/>
            <w:bottom w:w="0" w:type="dxa"/>
            <w:right w:w="108" w:type="dxa"/>
          </w:tblCellMar>
        </w:tblPrEx>
        <w:trPr>
          <w:trHeight w:val="624" w:hRule="atLeast"/>
        </w:trPr>
        <w:tc>
          <w:tcPr>
            <w:tcW w:w="980" w:type="dxa"/>
            <w:tcBorders>
              <w:top w:val="nil"/>
              <w:left w:val="single" w:color="auto" w:sz="8" w:space="0"/>
              <w:bottom w:val="single" w:color="auto" w:sz="8" w:space="0"/>
              <w:right w:val="single" w:color="auto" w:sz="8" w:space="0"/>
            </w:tcBorders>
            <w:vAlign w:val="center"/>
          </w:tcPr>
          <w:p w14:paraId="2E2D7BCB">
            <w:pPr>
              <w:widowControl/>
              <w:adjustRightInd/>
              <w:jc w:val="center"/>
              <w:rPr>
                <w:rFonts w:ascii="宋体" w:hAnsi="宋体" w:cs="宋体"/>
                <w:kern w:val="0"/>
                <w:sz w:val="24"/>
                <w:highlight w:val="none"/>
              </w:rPr>
            </w:pPr>
            <w:r>
              <w:rPr>
                <w:rFonts w:ascii="宋体" w:hAnsi="宋体" w:cs="宋体"/>
                <w:kern w:val="0"/>
                <w:sz w:val="24"/>
                <w:highlight w:val="none"/>
              </w:rPr>
              <w:t>61</w:t>
            </w:r>
          </w:p>
        </w:tc>
        <w:tc>
          <w:tcPr>
            <w:tcW w:w="980" w:type="dxa"/>
            <w:vMerge w:val="continue"/>
            <w:tcBorders>
              <w:top w:val="nil"/>
              <w:left w:val="single" w:color="auto" w:sz="8" w:space="0"/>
              <w:bottom w:val="single" w:color="000000" w:sz="8" w:space="0"/>
              <w:right w:val="single" w:color="auto" w:sz="8" w:space="0"/>
            </w:tcBorders>
            <w:vAlign w:val="center"/>
          </w:tcPr>
          <w:p w14:paraId="2B6C0233">
            <w:pPr>
              <w:widowControl/>
              <w:adjustRightInd/>
              <w:jc w:val="left"/>
              <w:rPr>
                <w:rFonts w:ascii="宋体" w:hAnsi="宋体" w:cs="宋体"/>
                <w:kern w:val="0"/>
                <w:sz w:val="24"/>
                <w:highlight w:val="none"/>
              </w:rPr>
            </w:pPr>
          </w:p>
        </w:tc>
        <w:tc>
          <w:tcPr>
            <w:tcW w:w="1020" w:type="dxa"/>
            <w:tcBorders>
              <w:top w:val="nil"/>
              <w:left w:val="nil"/>
              <w:bottom w:val="single" w:color="auto" w:sz="8" w:space="0"/>
              <w:right w:val="single" w:color="auto" w:sz="8" w:space="0"/>
            </w:tcBorders>
            <w:vAlign w:val="center"/>
          </w:tcPr>
          <w:p w14:paraId="00C05C74">
            <w:pPr>
              <w:widowControl/>
              <w:adjustRightInd/>
              <w:jc w:val="center"/>
              <w:rPr>
                <w:rFonts w:ascii="宋体" w:hAnsi="宋体" w:cs="宋体"/>
                <w:kern w:val="0"/>
                <w:sz w:val="24"/>
                <w:highlight w:val="none"/>
              </w:rPr>
            </w:pPr>
            <w:r>
              <w:rPr>
                <w:rFonts w:hint="eastAsia" w:ascii="宋体" w:hAnsi="宋体" w:cs="宋体"/>
                <w:kern w:val="0"/>
                <w:sz w:val="24"/>
                <w:highlight w:val="none"/>
              </w:rPr>
              <w:t>▲风扇可靠性</w:t>
            </w:r>
          </w:p>
        </w:tc>
        <w:tc>
          <w:tcPr>
            <w:tcW w:w="5120" w:type="dxa"/>
            <w:tcBorders>
              <w:top w:val="nil"/>
              <w:left w:val="nil"/>
              <w:bottom w:val="single" w:color="auto" w:sz="8" w:space="0"/>
              <w:right w:val="single" w:color="auto" w:sz="8" w:space="0"/>
            </w:tcBorders>
            <w:vAlign w:val="center"/>
          </w:tcPr>
          <w:p w14:paraId="00390A0F">
            <w:pPr>
              <w:widowControl/>
              <w:adjustRightInd/>
              <w:rPr>
                <w:rFonts w:ascii="宋体" w:hAnsi="宋体" w:cs="宋体"/>
                <w:kern w:val="0"/>
                <w:sz w:val="24"/>
                <w:highlight w:val="none"/>
              </w:rPr>
            </w:pPr>
            <w:r>
              <w:rPr>
                <w:rFonts w:hint="eastAsia" w:ascii="宋体" w:hAnsi="宋体" w:cs="宋体"/>
                <w:kern w:val="0"/>
                <w:sz w:val="24"/>
                <w:highlight w:val="none"/>
              </w:rPr>
              <w:t>风扇寿命≥</w:t>
            </w:r>
            <w:r>
              <w:rPr>
                <w:rFonts w:ascii="宋体" w:hAnsi="宋体" w:cs="宋体"/>
                <w:kern w:val="0"/>
                <w:sz w:val="24"/>
                <w:highlight w:val="none"/>
              </w:rPr>
              <w:t xml:space="preserve"> 100000h</w:t>
            </w:r>
          </w:p>
        </w:tc>
      </w:tr>
      <w:tr w14:paraId="2712B6F7">
        <w:tblPrEx>
          <w:tblCellMar>
            <w:top w:w="0" w:type="dxa"/>
            <w:left w:w="108" w:type="dxa"/>
            <w:bottom w:w="0" w:type="dxa"/>
            <w:right w:w="108" w:type="dxa"/>
          </w:tblCellMar>
        </w:tblPrEx>
        <w:trPr>
          <w:trHeight w:val="624" w:hRule="atLeast"/>
        </w:trPr>
        <w:tc>
          <w:tcPr>
            <w:tcW w:w="980" w:type="dxa"/>
            <w:tcBorders>
              <w:top w:val="nil"/>
              <w:left w:val="single" w:color="auto" w:sz="8" w:space="0"/>
              <w:bottom w:val="single" w:color="auto" w:sz="8" w:space="0"/>
              <w:right w:val="single" w:color="auto" w:sz="8" w:space="0"/>
            </w:tcBorders>
            <w:vAlign w:val="center"/>
          </w:tcPr>
          <w:p w14:paraId="7538AB37">
            <w:pPr>
              <w:widowControl/>
              <w:adjustRightInd/>
              <w:jc w:val="center"/>
              <w:rPr>
                <w:rFonts w:ascii="宋体" w:hAnsi="宋体" w:cs="宋体"/>
                <w:kern w:val="0"/>
                <w:sz w:val="24"/>
                <w:highlight w:val="none"/>
              </w:rPr>
            </w:pPr>
            <w:r>
              <w:rPr>
                <w:rFonts w:ascii="宋体" w:hAnsi="宋体" w:cs="宋体"/>
                <w:kern w:val="0"/>
                <w:sz w:val="24"/>
                <w:highlight w:val="none"/>
              </w:rPr>
              <w:t>62</w:t>
            </w:r>
          </w:p>
        </w:tc>
        <w:tc>
          <w:tcPr>
            <w:tcW w:w="980" w:type="dxa"/>
            <w:vMerge w:val="continue"/>
            <w:tcBorders>
              <w:top w:val="nil"/>
              <w:left w:val="single" w:color="auto" w:sz="8" w:space="0"/>
              <w:bottom w:val="single" w:color="000000" w:sz="8" w:space="0"/>
              <w:right w:val="single" w:color="auto" w:sz="8" w:space="0"/>
            </w:tcBorders>
            <w:vAlign w:val="center"/>
          </w:tcPr>
          <w:p w14:paraId="15E5943A">
            <w:pPr>
              <w:widowControl/>
              <w:adjustRightInd/>
              <w:jc w:val="left"/>
              <w:rPr>
                <w:rFonts w:ascii="宋体" w:hAnsi="宋体" w:cs="宋体"/>
                <w:kern w:val="0"/>
                <w:sz w:val="24"/>
                <w:highlight w:val="none"/>
              </w:rPr>
            </w:pPr>
          </w:p>
        </w:tc>
        <w:tc>
          <w:tcPr>
            <w:tcW w:w="1020" w:type="dxa"/>
            <w:tcBorders>
              <w:top w:val="nil"/>
              <w:left w:val="nil"/>
              <w:bottom w:val="single" w:color="auto" w:sz="8" w:space="0"/>
              <w:right w:val="single" w:color="auto" w:sz="8" w:space="0"/>
            </w:tcBorders>
            <w:vAlign w:val="center"/>
          </w:tcPr>
          <w:p w14:paraId="4C260917">
            <w:pPr>
              <w:widowControl/>
              <w:adjustRightInd/>
              <w:jc w:val="center"/>
              <w:rPr>
                <w:rFonts w:ascii="宋体" w:hAnsi="宋体" w:cs="宋体"/>
                <w:kern w:val="0"/>
                <w:sz w:val="24"/>
                <w:highlight w:val="none"/>
              </w:rPr>
            </w:pPr>
            <w:r>
              <w:rPr>
                <w:rFonts w:hint="eastAsia" w:ascii="宋体" w:hAnsi="宋体" w:cs="宋体"/>
                <w:kern w:val="0"/>
                <w:sz w:val="24"/>
                <w:highlight w:val="none"/>
              </w:rPr>
              <w:t>▲部件可靠性</w:t>
            </w:r>
          </w:p>
        </w:tc>
        <w:tc>
          <w:tcPr>
            <w:tcW w:w="5120" w:type="dxa"/>
            <w:tcBorders>
              <w:top w:val="nil"/>
              <w:left w:val="nil"/>
              <w:bottom w:val="single" w:color="auto" w:sz="8" w:space="0"/>
              <w:right w:val="single" w:color="auto" w:sz="8" w:space="0"/>
            </w:tcBorders>
            <w:vAlign w:val="center"/>
          </w:tcPr>
          <w:p w14:paraId="405BF78B">
            <w:pPr>
              <w:widowControl/>
              <w:adjustRightInd/>
              <w:rPr>
                <w:rFonts w:ascii="宋体" w:hAnsi="宋体" w:cs="宋体"/>
                <w:kern w:val="0"/>
                <w:sz w:val="24"/>
                <w:highlight w:val="none"/>
              </w:rPr>
            </w:pPr>
            <w:r>
              <w:rPr>
                <w:rFonts w:hint="eastAsia" w:ascii="宋体" w:hAnsi="宋体" w:cs="宋体"/>
                <w:kern w:val="0"/>
                <w:sz w:val="24"/>
                <w:highlight w:val="none"/>
              </w:rPr>
              <w:t>支持硬盘、电源、风扇热插拔</w:t>
            </w:r>
          </w:p>
        </w:tc>
      </w:tr>
      <w:tr w14:paraId="4FDD8A3B">
        <w:tblPrEx>
          <w:tblCellMar>
            <w:top w:w="0" w:type="dxa"/>
            <w:left w:w="108" w:type="dxa"/>
            <w:bottom w:w="0" w:type="dxa"/>
            <w:right w:w="108" w:type="dxa"/>
          </w:tblCellMar>
        </w:tblPrEx>
        <w:trPr>
          <w:trHeight w:val="1248" w:hRule="atLeast"/>
        </w:trPr>
        <w:tc>
          <w:tcPr>
            <w:tcW w:w="980" w:type="dxa"/>
            <w:tcBorders>
              <w:top w:val="nil"/>
              <w:left w:val="single" w:color="auto" w:sz="8" w:space="0"/>
              <w:bottom w:val="single" w:color="auto" w:sz="8" w:space="0"/>
              <w:right w:val="single" w:color="auto" w:sz="8" w:space="0"/>
            </w:tcBorders>
            <w:vAlign w:val="center"/>
          </w:tcPr>
          <w:p w14:paraId="3CD5C7D6">
            <w:pPr>
              <w:widowControl/>
              <w:adjustRightInd/>
              <w:jc w:val="center"/>
              <w:rPr>
                <w:rFonts w:ascii="宋体" w:hAnsi="宋体" w:cs="宋体"/>
                <w:kern w:val="0"/>
                <w:sz w:val="24"/>
                <w:highlight w:val="none"/>
              </w:rPr>
            </w:pPr>
            <w:r>
              <w:rPr>
                <w:rFonts w:ascii="宋体" w:hAnsi="宋体" w:cs="宋体"/>
                <w:kern w:val="0"/>
                <w:sz w:val="24"/>
                <w:highlight w:val="none"/>
              </w:rPr>
              <w:t>63</w:t>
            </w:r>
          </w:p>
        </w:tc>
        <w:tc>
          <w:tcPr>
            <w:tcW w:w="980" w:type="dxa"/>
            <w:tcBorders>
              <w:top w:val="nil"/>
              <w:left w:val="nil"/>
              <w:bottom w:val="single" w:color="auto" w:sz="8" w:space="0"/>
              <w:right w:val="single" w:color="auto" w:sz="8" w:space="0"/>
            </w:tcBorders>
            <w:vAlign w:val="center"/>
          </w:tcPr>
          <w:p w14:paraId="287E4025">
            <w:pPr>
              <w:widowControl/>
              <w:adjustRightInd/>
              <w:jc w:val="center"/>
              <w:rPr>
                <w:rFonts w:ascii="宋体" w:hAnsi="宋体" w:cs="宋体"/>
                <w:kern w:val="0"/>
                <w:sz w:val="24"/>
                <w:highlight w:val="none"/>
              </w:rPr>
            </w:pPr>
            <w:r>
              <w:rPr>
                <w:rFonts w:hint="eastAsia" w:ascii="宋体" w:hAnsi="宋体" w:cs="宋体"/>
                <w:kern w:val="0"/>
                <w:sz w:val="24"/>
                <w:highlight w:val="none"/>
              </w:rPr>
              <w:t>▲包装及运输要求</w:t>
            </w:r>
          </w:p>
        </w:tc>
        <w:tc>
          <w:tcPr>
            <w:tcW w:w="1020" w:type="dxa"/>
            <w:tcBorders>
              <w:top w:val="nil"/>
              <w:left w:val="nil"/>
              <w:bottom w:val="single" w:color="auto" w:sz="8" w:space="0"/>
              <w:right w:val="single" w:color="auto" w:sz="8" w:space="0"/>
            </w:tcBorders>
            <w:vAlign w:val="center"/>
          </w:tcPr>
          <w:p w14:paraId="1D582992">
            <w:pPr>
              <w:widowControl/>
              <w:adjustRightInd/>
              <w:jc w:val="center"/>
              <w:rPr>
                <w:rFonts w:ascii="宋体" w:hAnsi="宋体" w:cs="宋体"/>
                <w:kern w:val="0"/>
                <w:sz w:val="24"/>
                <w:highlight w:val="none"/>
              </w:rPr>
            </w:pPr>
            <w:r>
              <w:rPr>
                <w:rFonts w:hint="eastAsia" w:ascii="宋体" w:hAnsi="宋体" w:cs="宋体"/>
                <w:kern w:val="0"/>
                <w:sz w:val="24"/>
                <w:highlight w:val="none"/>
              </w:rPr>
              <w:t>▲标志、包装、运输和贮存</w:t>
            </w:r>
          </w:p>
        </w:tc>
        <w:tc>
          <w:tcPr>
            <w:tcW w:w="5120" w:type="dxa"/>
            <w:tcBorders>
              <w:top w:val="nil"/>
              <w:left w:val="nil"/>
              <w:bottom w:val="single" w:color="auto" w:sz="8" w:space="0"/>
              <w:right w:val="single" w:color="auto" w:sz="8" w:space="0"/>
            </w:tcBorders>
            <w:vAlign w:val="center"/>
          </w:tcPr>
          <w:p w14:paraId="577D1A8C">
            <w:pPr>
              <w:widowControl/>
              <w:adjustRightInd/>
              <w:rPr>
                <w:rFonts w:ascii="宋体" w:hAnsi="宋体" w:cs="宋体"/>
                <w:kern w:val="0"/>
                <w:sz w:val="24"/>
                <w:highlight w:val="none"/>
              </w:rPr>
            </w:pPr>
            <w:r>
              <w:rPr>
                <w:rFonts w:hint="eastAsia" w:ascii="宋体" w:hAnsi="宋体" w:cs="宋体"/>
                <w:kern w:val="0"/>
                <w:sz w:val="24"/>
                <w:highlight w:val="none"/>
              </w:rPr>
              <w:t>符合</w:t>
            </w:r>
            <w:r>
              <w:rPr>
                <w:rFonts w:ascii="宋体" w:hAnsi="宋体" w:cs="宋体"/>
                <w:kern w:val="0"/>
                <w:sz w:val="24"/>
                <w:highlight w:val="none"/>
              </w:rPr>
              <w:t xml:space="preserve"> GB/T 9813.3 </w:t>
            </w:r>
            <w:r>
              <w:rPr>
                <w:rFonts w:hint="eastAsia" w:ascii="宋体" w:hAnsi="宋体" w:cs="宋体"/>
                <w:kern w:val="0"/>
                <w:sz w:val="24"/>
                <w:highlight w:val="none"/>
              </w:rPr>
              <w:t>和商品包装政府采购需求标准的相关规定</w:t>
            </w:r>
          </w:p>
        </w:tc>
      </w:tr>
      <w:tr w14:paraId="2777F83E">
        <w:tblPrEx>
          <w:tblCellMar>
            <w:top w:w="0" w:type="dxa"/>
            <w:left w:w="108" w:type="dxa"/>
            <w:bottom w:w="0" w:type="dxa"/>
            <w:right w:w="108" w:type="dxa"/>
          </w:tblCellMar>
        </w:tblPrEx>
        <w:trPr>
          <w:trHeight w:val="936" w:hRule="atLeast"/>
        </w:trPr>
        <w:tc>
          <w:tcPr>
            <w:tcW w:w="980" w:type="dxa"/>
            <w:tcBorders>
              <w:top w:val="nil"/>
              <w:left w:val="single" w:color="auto" w:sz="8" w:space="0"/>
              <w:bottom w:val="single" w:color="auto" w:sz="8" w:space="0"/>
              <w:right w:val="single" w:color="auto" w:sz="8" w:space="0"/>
            </w:tcBorders>
            <w:vAlign w:val="center"/>
          </w:tcPr>
          <w:p w14:paraId="60B4B4A2">
            <w:pPr>
              <w:widowControl/>
              <w:adjustRightInd/>
              <w:jc w:val="center"/>
              <w:rPr>
                <w:rFonts w:ascii="宋体" w:hAnsi="宋体" w:cs="宋体"/>
                <w:kern w:val="0"/>
                <w:sz w:val="24"/>
                <w:highlight w:val="none"/>
              </w:rPr>
            </w:pPr>
            <w:r>
              <w:rPr>
                <w:rFonts w:ascii="宋体" w:hAnsi="宋体" w:cs="宋体"/>
                <w:kern w:val="0"/>
                <w:sz w:val="24"/>
                <w:highlight w:val="none"/>
              </w:rPr>
              <w:t>64</w:t>
            </w:r>
          </w:p>
        </w:tc>
        <w:tc>
          <w:tcPr>
            <w:tcW w:w="980" w:type="dxa"/>
            <w:vMerge w:val="restart"/>
            <w:tcBorders>
              <w:top w:val="single" w:color="auto" w:sz="8" w:space="0"/>
              <w:left w:val="single" w:color="auto" w:sz="8" w:space="0"/>
              <w:bottom w:val="single" w:color="auto" w:sz="8" w:space="0"/>
              <w:right w:val="single" w:color="auto" w:sz="8" w:space="0"/>
            </w:tcBorders>
            <w:vAlign w:val="center"/>
          </w:tcPr>
          <w:p w14:paraId="45B11487">
            <w:pPr>
              <w:widowControl/>
              <w:adjustRightInd/>
              <w:jc w:val="center"/>
              <w:rPr>
                <w:rFonts w:ascii="宋体" w:hAnsi="宋体" w:cs="宋体"/>
                <w:kern w:val="0"/>
                <w:sz w:val="24"/>
                <w:highlight w:val="none"/>
              </w:rPr>
            </w:pPr>
            <w:r>
              <w:rPr>
                <w:rFonts w:hint="eastAsia" w:ascii="宋体" w:hAnsi="宋体" w:cs="宋体"/>
                <w:kern w:val="0"/>
                <w:sz w:val="24"/>
                <w:highlight w:val="none"/>
              </w:rPr>
              <w:t>▲服务响应</w:t>
            </w:r>
          </w:p>
        </w:tc>
        <w:tc>
          <w:tcPr>
            <w:tcW w:w="1020" w:type="dxa"/>
            <w:tcBorders>
              <w:top w:val="nil"/>
              <w:left w:val="nil"/>
              <w:bottom w:val="single" w:color="auto" w:sz="8" w:space="0"/>
              <w:right w:val="single" w:color="auto" w:sz="8" w:space="0"/>
            </w:tcBorders>
            <w:vAlign w:val="center"/>
          </w:tcPr>
          <w:p w14:paraId="42E8E319">
            <w:pPr>
              <w:widowControl/>
              <w:adjustRightInd/>
              <w:jc w:val="center"/>
              <w:rPr>
                <w:rFonts w:ascii="宋体" w:hAnsi="宋体" w:cs="宋体"/>
                <w:kern w:val="0"/>
                <w:sz w:val="24"/>
                <w:highlight w:val="none"/>
              </w:rPr>
            </w:pPr>
            <w:r>
              <w:rPr>
                <w:rFonts w:hint="eastAsia" w:ascii="宋体" w:hAnsi="宋体" w:cs="宋体"/>
                <w:kern w:val="0"/>
                <w:sz w:val="24"/>
                <w:highlight w:val="none"/>
              </w:rPr>
              <w:t>▲服务响应</w:t>
            </w:r>
          </w:p>
        </w:tc>
        <w:tc>
          <w:tcPr>
            <w:tcW w:w="5120" w:type="dxa"/>
            <w:tcBorders>
              <w:top w:val="nil"/>
              <w:left w:val="nil"/>
              <w:bottom w:val="single" w:color="auto" w:sz="8" w:space="0"/>
              <w:right w:val="single" w:color="auto" w:sz="8" w:space="0"/>
            </w:tcBorders>
            <w:vAlign w:val="center"/>
          </w:tcPr>
          <w:p w14:paraId="7129A10C">
            <w:pPr>
              <w:widowControl/>
              <w:adjustRightInd/>
              <w:rPr>
                <w:rFonts w:ascii="宋体" w:hAnsi="宋体" w:cs="宋体"/>
                <w:kern w:val="0"/>
                <w:sz w:val="24"/>
                <w:highlight w:val="none"/>
              </w:rPr>
            </w:pPr>
            <w:r>
              <w:rPr>
                <w:rFonts w:ascii="宋体" w:hAnsi="宋体" w:cs="宋体"/>
                <w:kern w:val="0"/>
                <w:sz w:val="24"/>
                <w:highlight w:val="none"/>
              </w:rPr>
              <w:t xml:space="preserve">a) </w:t>
            </w:r>
            <w:r>
              <w:rPr>
                <w:rFonts w:hint="eastAsia" w:ascii="宋体" w:hAnsi="宋体" w:cs="宋体"/>
                <w:kern w:val="0"/>
                <w:sz w:val="24"/>
                <w:highlight w:val="none"/>
              </w:rPr>
              <w:t>提供电话、电子邮件、远程连接等多种形式服务；</w:t>
            </w:r>
            <w:r>
              <w:rPr>
                <w:rFonts w:ascii="宋体" w:hAnsi="宋体" w:cs="宋体"/>
                <w:kern w:val="0"/>
                <w:sz w:val="24"/>
                <w:highlight w:val="none"/>
              </w:rPr>
              <w:t xml:space="preserve">b) </w:t>
            </w:r>
            <w:r>
              <w:rPr>
                <w:rFonts w:hint="eastAsia" w:ascii="宋体" w:hAnsi="宋体" w:cs="宋体"/>
                <w:kern w:val="0"/>
                <w:sz w:val="24"/>
                <w:highlight w:val="none"/>
              </w:rPr>
              <w:t>提供同城</w:t>
            </w:r>
            <w:r>
              <w:rPr>
                <w:rFonts w:ascii="宋体" w:hAnsi="宋体" w:cs="宋体"/>
                <w:kern w:val="0"/>
                <w:sz w:val="24"/>
                <w:highlight w:val="none"/>
              </w:rPr>
              <w:t xml:space="preserve"> 4h、异地 12h </w:t>
            </w:r>
            <w:r>
              <w:rPr>
                <w:rFonts w:hint="eastAsia" w:ascii="宋体" w:hAnsi="宋体" w:cs="宋体"/>
                <w:kern w:val="0"/>
                <w:sz w:val="24"/>
                <w:highlight w:val="none"/>
              </w:rPr>
              <w:t>技术响应服务，</w:t>
            </w:r>
            <w:r>
              <w:rPr>
                <w:rFonts w:ascii="宋体" w:hAnsi="宋体" w:cs="宋体"/>
                <w:kern w:val="0"/>
                <w:sz w:val="24"/>
                <w:highlight w:val="none"/>
              </w:rPr>
              <w:t xml:space="preserve">2 </w:t>
            </w:r>
            <w:r>
              <w:rPr>
                <w:rFonts w:hint="eastAsia" w:ascii="宋体" w:hAnsi="宋体" w:cs="宋体"/>
                <w:kern w:val="0"/>
                <w:sz w:val="24"/>
                <w:highlight w:val="none"/>
              </w:rPr>
              <w:t>个工作日解决问题，对于未能解决的问题和故障应提供可行的升级方案，并提供周转设备；</w:t>
            </w:r>
            <w:r>
              <w:rPr>
                <w:rFonts w:ascii="宋体" w:hAnsi="宋体" w:cs="宋体"/>
                <w:kern w:val="0"/>
                <w:sz w:val="24"/>
                <w:highlight w:val="none"/>
              </w:rPr>
              <w:t xml:space="preserve">c) </w:t>
            </w:r>
            <w:r>
              <w:rPr>
                <w:rFonts w:hint="eastAsia" w:ascii="宋体" w:hAnsi="宋体" w:cs="宋体"/>
                <w:kern w:val="0"/>
                <w:sz w:val="24"/>
                <w:highlight w:val="none"/>
              </w:rPr>
              <w:t>建立全国技术服务体系和服务团体，符合专业服务体系标准要求，提供原厂中文服务；</w:t>
            </w:r>
            <w:r>
              <w:rPr>
                <w:rFonts w:ascii="宋体" w:hAnsi="宋体" w:cs="宋体"/>
                <w:kern w:val="0"/>
                <w:sz w:val="24"/>
                <w:highlight w:val="none"/>
              </w:rPr>
              <w:t xml:space="preserve">d) </w:t>
            </w:r>
            <w:r>
              <w:rPr>
                <w:rFonts w:hint="eastAsia" w:ascii="宋体" w:hAnsi="宋体" w:cs="宋体"/>
                <w:kern w:val="0"/>
                <w:sz w:val="24"/>
                <w:highlight w:val="none"/>
              </w:rPr>
              <w:t>服务周期内提供产品的维修、换件和升级服务</w:t>
            </w:r>
          </w:p>
        </w:tc>
      </w:tr>
      <w:tr w14:paraId="6C8B3797">
        <w:tblPrEx>
          <w:tblCellMar>
            <w:top w:w="0" w:type="dxa"/>
            <w:left w:w="108" w:type="dxa"/>
            <w:bottom w:w="0" w:type="dxa"/>
            <w:right w:w="108" w:type="dxa"/>
          </w:tblCellMar>
        </w:tblPrEx>
        <w:trPr>
          <w:trHeight w:val="624" w:hRule="atLeast"/>
        </w:trPr>
        <w:tc>
          <w:tcPr>
            <w:tcW w:w="980" w:type="dxa"/>
            <w:tcBorders>
              <w:top w:val="nil"/>
              <w:left w:val="single" w:color="auto" w:sz="8" w:space="0"/>
              <w:bottom w:val="nil"/>
              <w:right w:val="single" w:color="auto" w:sz="8" w:space="0"/>
            </w:tcBorders>
            <w:vAlign w:val="center"/>
          </w:tcPr>
          <w:p w14:paraId="483C4D20">
            <w:pPr>
              <w:widowControl/>
              <w:adjustRightInd/>
              <w:jc w:val="center"/>
              <w:rPr>
                <w:rFonts w:ascii="宋体" w:hAnsi="宋体" w:cs="宋体"/>
                <w:kern w:val="0"/>
                <w:sz w:val="24"/>
                <w:highlight w:val="none"/>
              </w:rPr>
            </w:pPr>
            <w:r>
              <w:rPr>
                <w:rFonts w:ascii="宋体" w:hAnsi="宋体" w:cs="宋体"/>
                <w:kern w:val="0"/>
                <w:sz w:val="24"/>
                <w:highlight w:val="none"/>
              </w:rPr>
              <w:t>65</w:t>
            </w:r>
          </w:p>
        </w:tc>
        <w:tc>
          <w:tcPr>
            <w:tcW w:w="980" w:type="dxa"/>
            <w:vMerge w:val="continue"/>
            <w:tcBorders>
              <w:top w:val="single" w:color="auto" w:sz="8" w:space="0"/>
              <w:left w:val="single" w:color="auto" w:sz="8" w:space="0"/>
              <w:bottom w:val="single" w:color="auto" w:sz="8" w:space="0"/>
              <w:right w:val="single" w:color="auto" w:sz="8" w:space="0"/>
            </w:tcBorders>
            <w:vAlign w:val="center"/>
          </w:tcPr>
          <w:p w14:paraId="10B9FEE7">
            <w:pPr>
              <w:widowControl/>
              <w:adjustRightInd/>
              <w:jc w:val="left"/>
              <w:rPr>
                <w:rFonts w:ascii="宋体" w:hAnsi="宋体" w:cs="宋体"/>
                <w:kern w:val="0"/>
                <w:sz w:val="24"/>
                <w:highlight w:val="none"/>
              </w:rPr>
            </w:pPr>
          </w:p>
        </w:tc>
        <w:tc>
          <w:tcPr>
            <w:tcW w:w="1020" w:type="dxa"/>
            <w:tcBorders>
              <w:top w:val="nil"/>
              <w:left w:val="nil"/>
              <w:bottom w:val="nil"/>
              <w:right w:val="single" w:color="auto" w:sz="8" w:space="0"/>
            </w:tcBorders>
            <w:vAlign w:val="center"/>
          </w:tcPr>
          <w:p w14:paraId="2812C609">
            <w:pPr>
              <w:widowControl/>
              <w:adjustRightInd/>
              <w:jc w:val="center"/>
              <w:rPr>
                <w:rFonts w:ascii="宋体" w:hAnsi="宋体" w:cs="宋体"/>
                <w:kern w:val="0"/>
                <w:sz w:val="24"/>
                <w:highlight w:val="none"/>
              </w:rPr>
            </w:pPr>
            <w:r>
              <w:rPr>
                <w:rFonts w:hint="eastAsia" w:ascii="宋体" w:hAnsi="宋体" w:cs="宋体"/>
                <w:kern w:val="0"/>
                <w:sz w:val="24"/>
                <w:highlight w:val="none"/>
              </w:rPr>
              <w:t>▲培训服务</w:t>
            </w:r>
          </w:p>
        </w:tc>
        <w:tc>
          <w:tcPr>
            <w:tcW w:w="5120" w:type="dxa"/>
            <w:tcBorders>
              <w:top w:val="nil"/>
              <w:left w:val="nil"/>
              <w:bottom w:val="nil"/>
              <w:right w:val="single" w:color="auto" w:sz="8" w:space="0"/>
            </w:tcBorders>
            <w:vAlign w:val="center"/>
          </w:tcPr>
          <w:p w14:paraId="057D305F">
            <w:pPr>
              <w:widowControl/>
              <w:adjustRightInd/>
              <w:rPr>
                <w:rFonts w:ascii="宋体" w:hAnsi="宋体" w:cs="宋体"/>
                <w:kern w:val="0"/>
                <w:sz w:val="24"/>
                <w:highlight w:val="none"/>
              </w:rPr>
            </w:pPr>
            <w:r>
              <w:rPr>
                <w:rFonts w:hint="eastAsia" w:ascii="宋体" w:hAnsi="宋体" w:cs="宋体"/>
                <w:kern w:val="0"/>
                <w:sz w:val="24"/>
                <w:highlight w:val="none"/>
              </w:rPr>
              <w:t>供应商提供培训材料、产品手册、培训视频等培训相关内容</w:t>
            </w:r>
          </w:p>
        </w:tc>
      </w:tr>
      <w:tr w14:paraId="150E349D">
        <w:tblPrEx>
          <w:tblCellMar>
            <w:top w:w="0" w:type="dxa"/>
            <w:left w:w="108" w:type="dxa"/>
            <w:bottom w:w="0" w:type="dxa"/>
            <w:right w:w="108" w:type="dxa"/>
          </w:tblCellMar>
        </w:tblPrEx>
        <w:trPr>
          <w:trHeight w:val="312" w:hRule="atLeast"/>
        </w:trPr>
        <w:tc>
          <w:tcPr>
            <w:tcW w:w="980" w:type="dxa"/>
            <w:vMerge w:val="restart"/>
            <w:tcBorders>
              <w:top w:val="single" w:color="auto" w:sz="8" w:space="0"/>
              <w:left w:val="single" w:color="auto" w:sz="8" w:space="0"/>
              <w:bottom w:val="single" w:color="000000" w:sz="8" w:space="0"/>
              <w:right w:val="nil"/>
            </w:tcBorders>
            <w:vAlign w:val="center"/>
          </w:tcPr>
          <w:p w14:paraId="3307D6E9">
            <w:pPr>
              <w:widowControl/>
              <w:adjustRightInd/>
              <w:jc w:val="center"/>
              <w:rPr>
                <w:rFonts w:ascii="宋体" w:hAnsi="宋体" w:cs="宋体"/>
                <w:kern w:val="0"/>
                <w:sz w:val="24"/>
                <w:highlight w:val="none"/>
              </w:rPr>
            </w:pPr>
            <w:r>
              <w:rPr>
                <w:rFonts w:ascii="宋体" w:hAnsi="宋体" w:cs="宋体"/>
                <w:kern w:val="0"/>
                <w:sz w:val="24"/>
                <w:highlight w:val="none"/>
              </w:rPr>
              <w:t>66</w:t>
            </w:r>
          </w:p>
        </w:tc>
        <w:tc>
          <w:tcPr>
            <w:tcW w:w="980" w:type="dxa"/>
            <w:vMerge w:val="restart"/>
            <w:tcBorders>
              <w:top w:val="single" w:color="auto" w:sz="8" w:space="0"/>
              <w:left w:val="single" w:color="auto" w:sz="8" w:space="0"/>
              <w:bottom w:val="single" w:color="auto" w:sz="8" w:space="0"/>
              <w:right w:val="single" w:color="auto" w:sz="8" w:space="0"/>
            </w:tcBorders>
            <w:vAlign w:val="center"/>
          </w:tcPr>
          <w:p w14:paraId="05654124">
            <w:pPr>
              <w:widowControl/>
              <w:adjustRightInd/>
              <w:jc w:val="center"/>
              <w:rPr>
                <w:rFonts w:ascii="宋体" w:hAnsi="宋体" w:cs="宋体"/>
                <w:kern w:val="0"/>
                <w:sz w:val="24"/>
                <w:highlight w:val="none"/>
              </w:rPr>
            </w:pPr>
            <w:r>
              <w:rPr>
                <w:rFonts w:hint="eastAsia" w:ascii="宋体" w:hAnsi="宋体" w:cs="宋体"/>
                <w:kern w:val="0"/>
                <w:sz w:val="24"/>
                <w:highlight w:val="none"/>
              </w:rPr>
              <w:t>▲服务周期</w:t>
            </w:r>
          </w:p>
        </w:tc>
        <w:tc>
          <w:tcPr>
            <w:tcW w:w="1020" w:type="dxa"/>
            <w:vMerge w:val="restart"/>
            <w:tcBorders>
              <w:top w:val="single" w:color="auto" w:sz="8" w:space="0"/>
              <w:left w:val="nil"/>
              <w:bottom w:val="single" w:color="000000" w:sz="8" w:space="0"/>
              <w:right w:val="single" w:color="auto" w:sz="8" w:space="0"/>
            </w:tcBorders>
            <w:vAlign w:val="center"/>
          </w:tcPr>
          <w:p w14:paraId="4C17C937">
            <w:pPr>
              <w:widowControl/>
              <w:adjustRightInd/>
              <w:jc w:val="center"/>
              <w:rPr>
                <w:rFonts w:ascii="宋体" w:hAnsi="宋体" w:cs="宋体"/>
                <w:kern w:val="0"/>
                <w:sz w:val="24"/>
                <w:highlight w:val="none"/>
              </w:rPr>
            </w:pPr>
            <w:r>
              <w:rPr>
                <w:rFonts w:hint="eastAsia" w:ascii="宋体" w:hAnsi="宋体" w:cs="宋体"/>
                <w:kern w:val="0"/>
                <w:sz w:val="24"/>
                <w:highlight w:val="none"/>
              </w:rPr>
              <w:t>▲服务周期</w:t>
            </w:r>
          </w:p>
        </w:tc>
        <w:tc>
          <w:tcPr>
            <w:tcW w:w="5120" w:type="dxa"/>
            <w:tcBorders>
              <w:top w:val="single" w:color="auto" w:sz="8" w:space="0"/>
              <w:left w:val="nil"/>
              <w:bottom w:val="single" w:color="auto" w:sz="8" w:space="0"/>
              <w:right w:val="single" w:color="auto" w:sz="12" w:space="0"/>
            </w:tcBorders>
            <w:vAlign w:val="center"/>
          </w:tcPr>
          <w:p w14:paraId="36A91AD9">
            <w:pPr>
              <w:widowControl/>
              <w:adjustRightInd/>
              <w:rPr>
                <w:rFonts w:ascii="宋体" w:hAnsi="宋体" w:cs="宋体"/>
                <w:kern w:val="0"/>
                <w:sz w:val="24"/>
                <w:highlight w:val="none"/>
              </w:rPr>
            </w:pPr>
            <w:r>
              <w:rPr>
                <w:rFonts w:ascii="宋体" w:hAnsi="宋体" w:cs="宋体"/>
                <w:kern w:val="0"/>
                <w:sz w:val="24"/>
                <w:highlight w:val="none"/>
              </w:rPr>
              <w:t xml:space="preserve">a) </w:t>
            </w:r>
            <w:r>
              <w:rPr>
                <w:rFonts w:hint="eastAsia" w:ascii="宋体" w:hAnsi="宋体" w:cs="宋体"/>
                <w:kern w:val="0"/>
                <w:sz w:val="24"/>
                <w:highlight w:val="none"/>
              </w:rPr>
              <w:t>服务期内，提供服务（含换件和维修）；</w:t>
            </w:r>
          </w:p>
        </w:tc>
      </w:tr>
      <w:tr w14:paraId="512BA4B2">
        <w:tblPrEx>
          <w:tblCellMar>
            <w:top w:w="0" w:type="dxa"/>
            <w:left w:w="108" w:type="dxa"/>
            <w:bottom w:w="0" w:type="dxa"/>
            <w:right w:w="108" w:type="dxa"/>
          </w:tblCellMar>
        </w:tblPrEx>
        <w:trPr>
          <w:trHeight w:val="312" w:hRule="atLeast"/>
        </w:trPr>
        <w:tc>
          <w:tcPr>
            <w:tcW w:w="980" w:type="dxa"/>
            <w:vMerge w:val="continue"/>
            <w:tcBorders>
              <w:top w:val="single" w:color="auto" w:sz="8" w:space="0"/>
              <w:left w:val="single" w:color="auto" w:sz="8" w:space="0"/>
              <w:bottom w:val="single" w:color="000000" w:sz="8" w:space="0"/>
              <w:right w:val="nil"/>
            </w:tcBorders>
            <w:vAlign w:val="center"/>
          </w:tcPr>
          <w:p w14:paraId="3927D0B2">
            <w:pPr>
              <w:widowControl/>
              <w:adjustRightInd/>
              <w:jc w:val="left"/>
              <w:rPr>
                <w:rFonts w:ascii="宋体" w:hAnsi="宋体" w:cs="宋体"/>
                <w:kern w:val="0"/>
                <w:sz w:val="24"/>
                <w:highlight w:val="none"/>
              </w:rPr>
            </w:pPr>
          </w:p>
        </w:tc>
        <w:tc>
          <w:tcPr>
            <w:tcW w:w="980" w:type="dxa"/>
            <w:vMerge w:val="continue"/>
            <w:tcBorders>
              <w:top w:val="single" w:color="auto" w:sz="8" w:space="0"/>
              <w:left w:val="single" w:color="auto" w:sz="8" w:space="0"/>
              <w:bottom w:val="single" w:color="auto" w:sz="8" w:space="0"/>
              <w:right w:val="single" w:color="auto" w:sz="8" w:space="0"/>
            </w:tcBorders>
            <w:vAlign w:val="center"/>
          </w:tcPr>
          <w:p w14:paraId="5C8ECBA2">
            <w:pPr>
              <w:widowControl/>
              <w:adjustRightInd/>
              <w:jc w:val="left"/>
              <w:rPr>
                <w:rFonts w:ascii="宋体" w:hAnsi="宋体" w:cs="宋体"/>
                <w:kern w:val="0"/>
                <w:sz w:val="24"/>
                <w:highlight w:val="none"/>
              </w:rPr>
            </w:pPr>
          </w:p>
        </w:tc>
        <w:tc>
          <w:tcPr>
            <w:tcW w:w="1020" w:type="dxa"/>
            <w:vMerge w:val="continue"/>
            <w:tcBorders>
              <w:top w:val="single" w:color="auto" w:sz="8" w:space="0"/>
              <w:left w:val="nil"/>
              <w:bottom w:val="single" w:color="000000" w:sz="8" w:space="0"/>
              <w:right w:val="single" w:color="auto" w:sz="8" w:space="0"/>
            </w:tcBorders>
            <w:vAlign w:val="center"/>
          </w:tcPr>
          <w:p w14:paraId="5DDDFA05">
            <w:pPr>
              <w:widowControl/>
              <w:adjustRightInd/>
              <w:jc w:val="left"/>
              <w:rPr>
                <w:rFonts w:ascii="宋体" w:hAnsi="宋体" w:cs="宋体"/>
                <w:kern w:val="0"/>
                <w:sz w:val="24"/>
                <w:highlight w:val="none"/>
              </w:rPr>
            </w:pPr>
          </w:p>
        </w:tc>
        <w:tc>
          <w:tcPr>
            <w:tcW w:w="5120" w:type="dxa"/>
            <w:tcBorders>
              <w:top w:val="nil"/>
              <w:left w:val="nil"/>
              <w:bottom w:val="single" w:color="auto" w:sz="8" w:space="0"/>
              <w:right w:val="single" w:color="auto" w:sz="12" w:space="0"/>
            </w:tcBorders>
            <w:vAlign w:val="center"/>
          </w:tcPr>
          <w:p w14:paraId="6E36D513">
            <w:pPr>
              <w:widowControl/>
              <w:adjustRightInd/>
              <w:rPr>
                <w:rFonts w:ascii="宋体" w:hAns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设备停产后继续提供质量保障服务（含备品备件），服务终止时间与最后一批设备交付时间间隔不低于</w:t>
            </w:r>
            <w:r>
              <w:rPr>
                <w:rFonts w:ascii="宋体" w:hAnsi="宋体" w:cs="宋体"/>
                <w:kern w:val="0"/>
                <w:sz w:val="24"/>
                <w:highlight w:val="none"/>
              </w:rPr>
              <w:t xml:space="preserve"> 6 </w:t>
            </w:r>
            <w:r>
              <w:rPr>
                <w:rFonts w:hint="eastAsia" w:ascii="宋体" w:hAnsi="宋体" w:cs="宋体"/>
                <w:kern w:val="0"/>
                <w:sz w:val="24"/>
                <w:highlight w:val="none"/>
              </w:rPr>
              <w:t>年；</w:t>
            </w:r>
          </w:p>
        </w:tc>
      </w:tr>
      <w:tr w14:paraId="5F888394">
        <w:tblPrEx>
          <w:tblCellMar>
            <w:top w:w="0" w:type="dxa"/>
            <w:left w:w="108" w:type="dxa"/>
            <w:bottom w:w="0" w:type="dxa"/>
            <w:right w:w="108" w:type="dxa"/>
          </w:tblCellMar>
        </w:tblPrEx>
        <w:trPr>
          <w:trHeight w:val="312" w:hRule="atLeast"/>
        </w:trPr>
        <w:tc>
          <w:tcPr>
            <w:tcW w:w="980" w:type="dxa"/>
            <w:vMerge w:val="continue"/>
            <w:tcBorders>
              <w:top w:val="single" w:color="auto" w:sz="8" w:space="0"/>
              <w:left w:val="single" w:color="auto" w:sz="8" w:space="0"/>
              <w:bottom w:val="single" w:color="000000" w:sz="8" w:space="0"/>
              <w:right w:val="nil"/>
            </w:tcBorders>
            <w:vAlign w:val="center"/>
          </w:tcPr>
          <w:p w14:paraId="60C18556">
            <w:pPr>
              <w:widowControl/>
              <w:adjustRightInd/>
              <w:jc w:val="left"/>
              <w:rPr>
                <w:rFonts w:ascii="宋体" w:hAnsi="宋体" w:cs="宋体"/>
                <w:kern w:val="0"/>
                <w:sz w:val="24"/>
                <w:highlight w:val="none"/>
              </w:rPr>
            </w:pPr>
          </w:p>
        </w:tc>
        <w:tc>
          <w:tcPr>
            <w:tcW w:w="980" w:type="dxa"/>
            <w:vMerge w:val="continue"/>
            <w:tcBorders>
              <w:top w:val="single" w:color="auto" w:sz="8" w:space="0"/>
              <w:left w:val="single" w:color="auto" w:sz="8" w:space="0"/>
              <w:bottom w:val="single" w:color="auto" w:sz="8" w:space="0"/>
              <w:right w:val="single" w:color="auto" w:sz="8" w:space="0"/>
            </w:tcBorders>
            <w:vAlign w:val="center"/>
          </w:tcPr>
          <w:p w14:paraId="0DB472E7">
            <w:pPr>
              <w:widowControl/>
              <w:adjustRightInd/>
              <w:jc w:val="left"/>
              <w:rPr>
                <w:rFonts w:ascii="宋体" w:hAnsi="宋体" w:cs="宋体"/>
                <w:kern w:val="0"/>
                <w:sz w:val="24"/>
                <w:highlight w:val="none"/>
              </w:rPr>
            </w:pPr>
          </w:p>
        </w:tc>
        <w:tc>
          <w:tcPr>
            <w:tcW w:w="1020" w:type="dxa"/>
            <w:vMerge w:val="continue"/>
            <w:tcBorders>
              <w:top w:val="single" w:color="auto" w:sz="8" w:space="0"/>
              <w:left w:val="nil"/>
              <w:bottom w:val="single" w:color="000000" w:sz="8" w:space="0"/>
              <w:right w:val="single" w:color="auto" w:sz="8" w:space="0"/>
            </w:tcBorders>
            <w:vAlign w:val="center"/>
          </w:tcPr>
          <w:p w14:paraId="66C8F545">
            <w:pPr>
              <w:widowControl/>
              <w:adjustRightInd/>
              <w:jc w:val="left"/>
              <w:rPr>
                <w:rFonts w:ascii="宋体" w:hAnsi="宋体" w:cs="宋体"/>
                <w:kern w:val="0"/>
                <w:sz w:val="24"/>
                <w:highlight w:val="none"/>
              </w:rPr>
            </w:pPr>
          </w:p>
        </w:tc>
        <w:tc>
          <w:tcPr>
            <w:tcW w:w="5120" w:type="dxa"/>
            <w:tcBorders>
              <w:top w:val="nil"/>
              <w:left w:val="nil"/>
              <w:bottom w:val="single" w:color="auto" w:sz="8" w:space="0"/>
              <w:right w:val="single" w:color="auto" w:sz="12" w:space="0"/>
            </w:tcBorders>
            <w:vAlign w:val="center"/>
          </w:tcPr>
          <w:p w14:paraId="11D4E937">
            <w:pPr>
              <w:widowControl/>
              <w:adjustRightInd/>
              <w:rPr>
                <w:rFonts w:ascii="宋体" w:hAnsi="宋体" w:cs="宋体"/>
                <w:kern w:val="0"/>
                <w:sz w:val="24"/>
                <w:highlight w:val="none"/>
              </w:rPr>
            </w:pPr>
            <w:r>
              <w:rPr>
                <w:rFonts w:ascii="宋体" w:hAnsi="宋体" w:cs="宋体"/>
                <w:kern w:val="0"/>
                <w:sz w:val="24"/>
                <w:highlight w:val="none"/>
              </w:rPr>
              <w:t xml:space="preserve">c) </w:t>
            </w:r>
            <w:r>
              <w:rPr>
                <w:rFonts w:hint="eastAsia" w:ascii="宋体" w:hAnsi="宋体" w:cs="宋体"/>
                <w:kern w:val="0"/>
                <w:sz w:val="24"/>
                <w:highlight w:val="none"/>
              </w:rPr>
              <w:t>产品停止服务时间应提前</w:t>
            </w:r>
            <w:r>
              <w:rPr>
                <w:rFonts w:ascii="宋体" w:hAnsi="宋体" w:cs="宋体"/>
                <w:kern w:val="0"/>
                <w:sz w:val="24"/>
                <w:highlight w:val="none"/>
              </w:rPr>
              <w:t xml:space="preserve"> 1 </w:t>
            </w:r>
            <w:r>
              <w:rPr>
                <w:rFonts w:hint="eastAsia" w:ascii="宋体" w:hAnsi="宋体" w:cs="宋体"/>
                <w:kern w:val="0"/>
                <w:sz w:val="24"/>
                <w:highlight w:val="none"/>
              </w:rPr>
              <w:t>年告知客户；</w:t>
            </w:r>
          </w:p>
        </w:tc>
      </w:tr>
      <w:tr w14:paraId="731BFC08">
        <w:tblPrEx>
          <w:tblCellMar>
            <w:top w:w="0" w:type="dxa"/>
            <w:left w:w="108" w:type="dxa"/>
            <w:bottom w:w="0" w:type="dxa"/>
            <w:right w:w="108" w:type="dxa"/>
          </w:tblCellMar>
        </w:tblPrEx>
        <w:trPr>
          <w:trHeight w:val="312" w:hRule="atLeast"/>
        </w:trPr>
        <w:tc>
          <w:tcPr>
            <w:tcW w:w="980" w:type="dxa"/>
            <w:vMerge w:val="continue"/>
            <w:tcBorders>
              <w:top w:val="single" w:color="auto" w:sz="8" w:space="0"/>
              <w:left w:val="single" w:color="auto" w:sz="8" w:space="0"/>
              <w:bottom w:val="single" w:color="000000" w:sz="8" w:space="0"/>
              <w:right w:val="nil"/>
            </w:tcBorders>
            <w:vAlign w:val="center"/>
          </w:tcPr>
          <w:p w14:paraId="51BF7BBE">
            <w:pPr>
              <w:widowControl/>
              <w:adjustRightInd/>
              <w:jc w:val="left"/>
              <w:rPr>
                <w:rFonts w:ascii="宋体" w:hAnsi="宋体" w:cs="宋体"/>
                <w:kern w:val="0"/>
                <w:sz w:val="24"/>
                <w:highlight w:val="none"/>
              </w:rPr>
            </w:pPr>
          </w:p>
        </w:tc>
        <w:tc>
          <w:tcPr>
            <w:tcW w:w="980" w:type="dxa"/>
            <w:vMerge w:val="continue"/>
            <w:tcBorders>
              <w:top w:val="single" w:color="auto" w:sz="8" w:space="0"/>
              <w:left w:val="single" w:color="auto" w:sz="8" w:space="0"/>
              <w:bottom w:val="single" w:color="auto" w:sz="8" w:space="0"/>
              <w:right w:val="single" w:color="auto" w:sz="8" w:space="0"/>
            </w:tcBorders>
            <w:vAlign w:val="center"/>
          </w:tcPr>
          <w:p w14:paraId="64E050B3">
            <w:pPr>
              <w:widowControl/>
              <w:adjustRightInd/>
              <w:jc w:val="left"/>
              <w:rPr>
                <w:rFonts w:ascii="宋体" w:hAnsi="宋体" w:cs="宋体"/>
                <w:kern w:val="0"/>
                <w:sz w:val="24"/>
                <w:highlight w:val="none"/>
              </w:rPr>
            </w:pPr>
          </w:p>
        </w:tc>
        <w:tc>
          <w:tcPr>
            <w:tcW w:w="1020" w:type="dxa"/>
            <w:vMerge w:val="continue"/>
            <w:tcBorders>
              <w:top w:val="single" w:color="auto" w:sz="8" w:space="0"/>
              <w:left w:val="nil"/>
              <w:bottom w:val="single" w:color="000000" w:sz="8" w:space="0"/>
              <w:right w:val="single" w:color="auto" w:sz="8" w:space="0"/>
            </w:tcBorders>
            <w:vAlign w:val="center"/>
          </w:tcPr>
          <w:p w14:paraId="2F1CB25B">
            <w:pPr>
              <w:widowControl/>
              <w:adjustRightInd/>
              <w:jc w:val="left"/>
              <w:rPr>
                <w:rFonts w:ascii="宋体" w:hAnsi="宋体" w:cs="宋体"/>
                <w:kern w:val="0"/>
                <w:sz w:val="24"/>
                <w:highlight w:val="none"/>
              </w:rPr>
            </w:pPr>
          </w:p>
        </w:tc>
        <w:tc>
          <w:tcPr>
            <w:tcW w:w="5120" w:type="dxa"/>
            <w:tcBorders>
              <w:top w:val="nil"/>
              <w:left w:val="nil"/>
              <w:bottom w:val="nil"/>
              <w:right w:val="single" w:color="auto" w:sz="12" w:space="0"/>
            </w:tcBorders>
            <w:vAlign w:val="center"/>
          </w:tcPr>
          <w:p w14:paraId="089A93CE">
            <w:pPr>
              <w:widowControl/>
              <w:adjustRightInd/>
              <w:rPr>
                <w:rFonts w:ascii="宋体" w:hAnsi="宋体" w:cs="宋体"/>
                <w:kern w:val="0"/>
                <w:sz w:val="24"/>
                <w:highlight w:val="none"/>
              </w:rPr>
            </w:pPr>
            <w:r>
              <w:rPr>
                <w:rFonts w:ascii="宋体" w:hAnsi="宋体" w:cs="宋体"/>
                <w:kern w:val="0"/>
                <w:sz w:val="24"/>
                <w:highlight w:val="none"/>
              </w:rPr>
              <w:t xml:space="preserve">d) </w:t>
            </w:r>
            <w:r>
              <w:rPr>
                <w:rFonts w:hint="eastAsia" w:ascii="宋体" w:hAnsi="宋体" w:cs="宋体"/>
                <w:kern w:val="0"/>
                <w:sz w:val="24"/>
                <w:highlight w:val="none"/>
              </w:rPr>
              <w:t>产品发布日期需在随机文件中明确</w:t>
            </w:r>
          </w:p>
        </w:tc>
      </w:tr>
      <w:tr w14:paraId="294949DE">
        <w:tblPrEx>
          <w:tblCellMar>
            <w:top w:w="0" w:type="dxa"/>
            <w:left w:w="108" w:type="dxa"/>
            <w:bottom w:w="0" w:type="dxa"/>
            <w:right w:w="108" w:type="dxa"/>
          </w:tblCellMar>
        </w:tblPrEx>
        <w:trPr>
          <w:trHeight w:val="624" w:hRule="atLeast"/>
        </w:trPr>
        <w:tc>
          <w:tcPr>
            <w:tcW w:w="980" w:type="dxa"/>
            <w:tcBorders>
              <w:top w:val="nil"/>
              <w:left w:val="single" w:color="auto" w:sz="8" w:space="0"/>
              <w:bottom w:val="single" w:color="auto" w:sz="8" w:space="0"/>
              <w:right w:val="single" w:color="auto" w:sz="8" w:space="0"/>
            </w:tcBorders>
            <w:vAlign w:val="center"/>
          </w:tcPr>
          <w:p w14:paraId="7A3AC23D">
            <w:pPr>
              <w:widowControl/>
              <w:adjustRightInd/>
              <w:jc w:val="center"/>
              <w:rPr>
                <w:rFonts w:ascii="宋体" w:hAnsi="宋体" w:cs="宋体"/>
                <w:kern w:val="0"/>
                <w:sz w:val="24"/>
                <w:highlight w:val="none"/>
              </w:rPr>
            </w:pPr>
            <w:r>
              <w:rPr>
                <w:rFonts w:ascii="宋体" w:hAnsi="宋体" w:cs="宋体"/>
                <w:kern w:val="0"/>
                <w:sz w:val="24"/>
                <w:highlight w:val="none"/>
              </w:rPr>
              <w:t>67</w:t>
            </w:r>
          </w:p>
        </w:tc>
        <w:tc>
          <w:tcPr>
            <w:tcW w:w="980" w:type="dxa"/>
            <w:vMerge w:val="restart"/>
            <w:tcBorders>
              <w:top w:val="single" w:color="auto" w:sz="8" w:space="0"/>
              <w:left w:val="single" w:color="auto" w:sz="8" w:space="0"/>
              <w:bottom w:val="single" w:color="auto" w:sz="8" w:space="0"/>
              <w:right w:val="single" w:color="auto" w:sz="8" w:space="0"/>
            </w:tcBorders>
            <w:vAlign w:val="center"/>
          </w:tcPr>
          <w:p w14:paraId="456A0873">
            <w:pPr>
              <w:widowControl/>
              <w:adjustRightInd/>
              <w:jc w:val="center"/>
              <w:rPr>
                <w:rFonts w:ascii="宋体" w:hAnsi="宋体" w:cs="宋体"/>
                <w:kern w:val="0"/>
                <w:sz w:val="24"/>
                <w:highlight w:val="none"/>
              </w:rPr>
            </w:pPr>
            <w:r>
              <w:rPr>
                <w:rFonts w:hint="eastAsia" w:ascii="宋体" w:hAnsi="宋体" w:cs="宋体"/>
                <w:kern w:val="0"/>
                <w:sz w:val="24"/>
                <w:highlight w:val="none"/>
              </w:rPr>
              <w:t>▲服务工具要求</w:t>
            </w:r>
          </w:p>
        </w:tc>
        <w:tc>
          <w:tcPr>
            <w:tcW w:w="1020" w:type="dxa"/>
            <w:tcBorders>
              <w:top w:val="nil"/>
              <w:left w:val="nil"/>
              <w:bottom w:val="single" w:color="auto" w:sz="8" w:space="0"/>
              <w:right w:val="single" w:color="auto" w:sz="8" w:space="0"/>
            </w:tcBorders>
            <w:vAlign w:val="center"/>
          </w:tcPr>
          <w:p w14:paraId="76336716">
            <w:pPr>
              <w:widowControl/>
              <w:adjustRightInd/>
              <w:jc w:val="center"/>
              <w:rPr>
                <w:rFonts w:ascii="宋体" w:hAnsi="宋体" w:cs="宋体"/>
                <w:kern w:val="0"/>
                <w:sz w:val="24"/>
                <w:highlight w:val="none"/>
              </w:rPr>
            </w:pPr>
            <w:r>
              <w:rPr>
                <w:rFonts w:hint="eastAsia" w:ascii="宋体" w:hAnsi="宋体" w:cs="宋体"/>
                <w:kern w:val="0"/>
                <w:sz w:val="24"/>
                <w:highlight w:val="none"/>
              </w:rPr>
              <w:t>▲工具要求</w:t>
            </w:r>
          </w:p>
        </w:tc>
        <w:tc>
          <w:tcPr>
            <w:tcW w:w="5120" w:type="dxa"/>
            <w:tcBorders>
              <w:top w:val="single" w:color="auto" w:sz="8" w:space="0"/>
              <w:left w:val="nil"/>
              <w:bottom w:val="single" w:color="auto" w:sz="8" w:space="0"/>
              <w:right w:val="single" w:color="auto" w:sz="8" w:space="0"/>
            </w:tcBorders>
            <w:vAlign w:val="center"/>
          </w:tcPr>
          <w:p w14:paraId="1B17638F">
            <w:pPr>
              <w:widowControl/>
              <w:adjustRightInd/>
              <w:rPr>
                <w:rFonts w:ascii="宋体" w:hAnsi="宋体" w:cs="宋体"/>
                <w:kern w:val="0"/>
                <w:sz w:val="24"/>
                <w:highlight w:val="none"/>
              </w:rPr>
            </w:pPr>
            <w:r>
              <w:rPr>
                <w:rFonts w:hint="eastAsia" w:ascii="宋体" w:hAnsi="宋体" w:cs="宋体"/>
                <w:kern w:val="0"/>
                <w:sz w:val="24"/>
                <w:highlight w:val="none"/>
              </w:rPr>
              <w:t>提供设置服务器硬件、辅助操作系统安装等功能的辅助工具和管理软件。且随附软件应具有合法授权或版权</w:t>
            </w:r>
          </w:p>
        </w:tc>
      </w:tr>
      <w:tr w14:paraId="6568348D">
        <w:tblPrEx>
          <w:tblCellMar>
            <w:top w:w="0" w:type="dxa"/>
            <w:left w:w="108" w:type="dxa"/>
            <w:bottom w:w="0" w:type="dxa"/>
            <w:right w:w="108" w:type="dxa"/>
          </w:tblCellMar>
        </w:tblPrEx>
        <w:trPr>
          <w:trHeight w:val="936" w:hRule="atLeast"/>
        </w:trPr>
        <w:tc>
          <w:tcPr>
            <w:tcW w:w="980" w:type="dxa"/>
            <w:tcBorders>
              <w:top w:val="nil"/>
              <w:left w:val="single" w:color="auto" w:sz="8" w:space="0"/>
              <w:bottom w:val="single" w:color="auto" w:sz="8" w:space="0"/>
              <w:right w:val="single" w:color="auto" w:sz="8" w:space="0"/>
            </w:tcBorders>
            <w:vAlign w:val="center"/>
          </w:tcPr>
          <w:p w14:paraId="21D49903">
            <w:pPr>
              <w:widowControl/>
              <w:adjustRightInd/>
              <w:jc w:val="center"/>
              <w:rPr>
                <w:rFonts w:ascii="宋体" w:hAnsi="宋体" w:cs="宋体"/>
                <w:kern w:val="0"/>
                <w:sz w:val="24"/>
                <w:highlight w:val="none"/>
              </w:rPr>
            </w:pPr>
            <w:r>
              <w:rPr>
                <w:rFonts w:ascii="宋体" w:hAnsi="宋体" w:cs="宋体"/>
                <w:kern w:val="0"/>
                <w:sz w:val="24"/>
                <w:highlight w:val="none"/>
              </w:rPr>
              <w:t>68</w:t>
            </w:r>
          </w:p>
        </w:tc>
        <w:tc>
          <w:tcPr>
            <w:tcW w:w="980" w:type="dxa"/>
            <w:vMerge w:val="continue"/>
            <w:tcBorders>
              <w:top w:val="single" w:color="auto" w:sz="8" w:space="0"/>
              <w:left w:val="single" w:color="auto" w:sz="8" w:space="0"/>
              <w:bottom w:val="single" w:color="auto" w:sz="8" w:space="0"/>
              <w:right w:val="single" w:color="auto" w:sz="8" w:space="0"/>
            </w:tcBorders>
            <w:vAlign w:val="center"/>
          </w:tcPr>
          <w:p w14:paraId="537231F7">
            <w:pPr>
              <w:widowControl/>
              <w:adjustRightInd/>
              <w:jc w:val="left"/>
              <w:rPr>
                <w:rFonts w:ascii="宋体" w:hAnsi="宋体" w:cs="宋体"/>
                <w:kern w:val="0"/>
                <w:sz w:val="24"/>
                <w:highlight w:val="none"/>
              </w:rPr>
            </w:pPr>
          </w:p>
        </w:tc>
        <w:tc>
          <w:tcPr>
            <w:tcW w:w="1020" w:type="dxa"/>
            <w:tcBorders>
              <w:top w:val="nil"/>
              <w:left w:val="nil"/>
              <w:bottom w:val="single" w:color="auto" w:sz="8" w:space="0"/>
              <w:right w:val="single" w:color="auto" w:sz="8" w:space="0"/>
            </w:tcBorders>
            <w:vAlign w:val="center"/>
          </w:tcPr>
          <w:p w14:paraId="4C38EB98">
            <w:pPr>
              <w:widowControl/>
              <w:adjustRightInd/>
              <w:jc w:val="center"/>
              <w:rPr>
                <w:rFonts w:ascii="宋体" w:hAnsi="宋体" w:cs="宋体"/>
                <w:kern w:val="0"/>
                <w:sz w:val="24"/>
                <w:highlight w:val="none"/>
              </w:rPr>
            </w:pPr>
            <w:r>
              <w:rPr>
                <w:rFonts w:hint="eastAsia" w:ascii="宋体" w:hAnsi="宋体" w:cs="宋体"/>
                <w:kern w:val="0"/>
                <w:sz w:val="24"/>
                <w:highlight w:val="none"/>
              </w:rPr>
              <w:t>▲驱动安装升级指引</w:t>
            </w:r>
          </w:p>
        </w:tc>
        <w:tc>
          <w:tcPr>
            <w:tcW w:w="5120" w:type="dxa"/>
            <w:tcBorders>
              <w:top w:val="nil"/>
              <w:left w:val="nil"/>
              <w:bottom w:val="single" w:color="auto" w:sz="8" w:space="0"/>
              <w:right w:val="single" w:color="auto" w:sz="8" w:space="0"/>
            </w:tcBorders>
            <w:vAlign w:val="center"/>
          </w:tcPr>
          <w:p w14:paraId="283BE90E">
            <w:pPr>
              <w:widowControl/>
              <w:adjustRightInd/>
              <w:rPr>
                <w:rFonts w:ascii="宋体" w:hAnsi="宋体" w:cs="宋体"/>
                <w:kern w:val="0"/>
                <w:sz w:val="24"/>
                <w:highlight w:val="none"/>
              </w:rPr>
            </w:pPr>
            <w:r>
              <w:rPr>
                <w:rFonts w:hint="eastAsia" w:ascii="宋体" w:hAnsi="宋体" w:cs="宋体"/>
                <w:kern w:val="0"/>
                <w:sz w:val="24"/>
                <w:highlight w:val="none"/>
              </w:rPr>
              <w:t>提供出厂安装的配件所需的驱动程序，形式包括但不限于驱动光盘、驱动下载链接等。其他配件应提供指引</w:t>
            </w:r>
          </w:p>
        </w:tc>
      </w:tr>
      <w:tr w14:paraId="748E008E">
        <w:tblPrEx>
          <w:tblCellMar>
            <w:top w:w="0" w:type="dxa"/>
            <w:left w:w="108" w:type="dxa"/>
            <w:bottom w:w="0" w:type="dxa"/>
            <w:right w:w="108" w:type="dxa"/>
          </w:tblCellMar>
        </w:tblPrEx>
        <w:trPr>
          <w:trHeight w:val="624" w:hRule="atLeast"/>
        </w:trPr>
        <w:tc>
          <w:tcPr>
            <w:tcW w:w="980" w:type="dxa"/>
            <w:tcBorders>
              <w:top w:val="nil"/>
              <w:left w:val="single" w:color="auto" w:sz="8" w:space="0"/>
              <w:bottom w:val="single" w:color="auto" w:sz="8" w:space="0"/>
              <w:right w:val="single" w:color="auto" w:sz="8" w:space="0"/>
            </w:tcBorders>
            <w:vAlign w:val="center"/>
          </w:tcPr>
          <w:p w14:paraId="3B8BD0D6">
            <w:pPr>
              <w:widowControl/>
              <w:adjustRightInd/>
              <w:jc w:val="center"/>
              <w:rPr>
                <w:rFonts w:ascii="宋体" w:hAnsi="宋体" w:cs="宋体"/>
                <w:kern w:val="0"/>
                <w:sz w:val="24"/>
                <w:highlight w:val="none"/>
              </w:rPr>
            </w:pPr>
            <w:r>
              <w:rPr>
                <w:rFonts w:ascii="宋体" w:hAnsi="宋体" w:cs="宋体"/>
                <w:kern w:val="0"/>
                <w:sz w:val="24"/>
                <w:highlight w:val="none"/>
              </w:rPr>
              <w:t>69</w:t>
            </w:r>
          </w:p>
        </w:tc>
        <w:tc>
          <w:tcPr>
            <w:tcW w:w="980" w:type="dxa"/>
            <w:vMerge w:val="continue"/>
            <w:tcBorders>
              <w:top w:val="single" w:color="auto" w:sz="8" w:space="0"/>
              <w:left w:val="single" w:color="auto" w:sz="8" w:space="0"/>
              <w:bottom w:val="single" w:color="auto" w:sz="8" w:space="0"/>
              <w:right w:val="single" w:color="auto" w:sz="8" w:space="0"/>
            </w:tcBorders>
            <w:vAlign w:val="center"/>
          </w:tcPr>
          <w:p w14:paraId="590D2DAD">
            <w:pPr>
              <w:widowControl/>
              <w:adjustRightInd/>
              <w:jc w:val="left"/>
              <w:rPr>
                <w:rFonts w:ascii="宋体" w:hAnsi="宋体" w:cs="宋体"/>
                <w:kern w:val="0"/>
                <w:sz w:val="24"/>
                <w:highlight w:val="none"/>
              </w:rPr>
            </w:pPr>
          </w:p>
        </w:tc>
        <w:tc>
          <w:tcPr>
            <w:tcW w:w="1020" w:type="dxa"/>
            <w:tcBorders>
              <w:top w:val="nil"/>
              <w:left w:val="nil"/>
              <w:bottom w:val="single" w:color="auto" w:sz="8" w:space="0"/>
              <w:right w:val="single" w:color="auto" w:sz="8" w:space="0"/>
            </w:tcBorders>
            <w:vAlign w:val="center"/>
          </w:tcPr>
          <w:p w14:paraId="714AA07E">
            <w:pPr>
              <w:widowControl/>
              <w:adjustRightInd/>
              <w:jc w:val="center"/>
              <w:rPr>
                <w:rFonts w:ascii="宋体" w:hAnsi="宋体" w:cs="宋体"/>
                <w:kern w:val="0"/>
                <w:sz w:val="24"/>
                <w:highlight w:val="none"/>
              </w:rPr>
            </w:pPr>
            <w:r>
              <w:rPr>
                <w:rFonts w:hint="eastAsia" w:ascii="宋体" w:hAnsi="宋体" w:cs="宋体"/>
                <w:kern w:val="0"/>
                <w:sz w:val="24"/>
                <w:highlight w:val="none"/>
              </w:rPr>
              <w:t>▲管理软件</w:t>
            </w:r>
          </w:p>
        </w:tc>
        <w:tc>
          <w:tcPr>
            <w:tcW w:w="5120" w:type="dxa"/>
            <w:tcBorders>
              <w:top w:val="nil"/>
              <w:left w:val="nil"/>
              <w:bottom w:val="single" w:color="auto" w:sz="8" w:space="0"/>
              <w:right w:val="single" w:color="auto" w:sz="8" w:space="0"/>
            </w:tcBorders>
            <w:vAlign w:val="center"/>
          </w:tcPr>
          <w:p w14:paraId="4C818262">
            <w:pPr>
              <w:widowControl/>
              <w:adjustRightInd/>
              <w:rPr>
                <w:rFonts w:ascii="宋体" w:hAnsi="宋体" w:cs="宋体"/>
                <w:kern w:val="0"/>
                <w:sz w:val="24"/>
                <w:highlight w:val="none"/>
              </w:rPr>
            </w:pPr>
            <w:r>
              <w:rPr>
                <w:rFonts w:hint="eastAsia" w:ascii="宋体" w:hAnsi="宋体" w:cs="宋体"/>
                <w:kern w:val="0"/>
                <w:sz w:val="24"/>
                <w:highlight w:val="none"/>
              </w:rPr>
              <w:t>具备资源管理、系统管理、性能监控、健康监控、基于网络控制、报警设置功能</w:t>
            </w:r>
          </w:p>
        </w:tc>
      </w:tr>
      <w:tr w14:paraId="0A0F6CEA">
        <w:tblPrEx>
          <w:tblCellMar>
            <w:top w:w="0" w:type="dxa"/>
            <w:left w:w="108" w:type="dxa"/>
            <w:bottom w:w="0" w:type="dxa"/>
            <w:right w:w="108" w:type="dxa"/>
          </w:tblCellMar>
        </w:tblPrEx>
        <w:trPr>
          <w:trHeight w:val="1560" w:hRule="atLeast"/>
        </w:trPr>
        <w:tc>
          <w:tcPr>
            <w:tcW w:w="980" w:type="dxa"/>
            <w:tcBorders>
              <w:top w:val="nil"/>
              <w:left w:val="single" w:color="auto" w:sz="8" w:space="0"/>
              <w:bottom w:val="single" w:color="auto" w:sz="8" w:space="0"/>
              <w:right w:val="single" w:color="auto" w:sz="8" w:space="0"/>
            </w:tcBorders>
            <w:vAlign w:val="center"/>
          </w:tcPr>
          <w:p w14:paraId="61FE9F4C">
            <w:pPr>
              <w:widowControl/>
              <w:adjustRightInd/>
              <w:jc w:val="center"/>
              <w:rPr>
                <w:rFonts w:ascii="宋体" w:hAnsi="宋体" w:cs="宋体"/>
                <w:kern w:val="0"/>
                <w:sz w:val="24"/>
                <w:highlight w:val="none"/>
              </w:rPr>
            </w:pPr>
            <w:r>
              <w:rPr>
                <w:rFonts w:ascii="宋体" w:hAnsi="宋体" w:cs="宋体"/>
                <w:kern w:val="0"/>
                <w:sz w:val="24"/>
                <w:highlight w:val="none"/>
              </w:rPr>
              <w:t>70</w:t>
            </w:r>
          </w:p>
        </w:tc>
        <w:tc>
          <w:tcPr>
            <w:tcW w:w="980" w:type="dxa"/>
            <w:vMerge w:val="restart"/>
            <w:tcBorders>
              <w:top w:val="single" w:color="auto" w:sz="8" w:space="0"/>
              <w:left w:val="single" w:color="auto" w:sz="8" w:space="0"/>
              <w:bottom w:val="single" w:color="auto" w:sz="8" w:space="0"/>
              <w:right w:val="single" w:color="auto" w:sz="8" w:space="0"/>
            </w:tcBorders>
            <w:vAlign w:val="center"/>
          </w:tcPr>
          <w:p w14:paraId="7A4742E8">
            <w:pPr>
              <w:widowControl/>
              <w:adjustRightInd/>
              <w:jc w:val="center"/>
              <w:rPr>
                <w:rFonts w:ascii="宋体" w:hAnsi="宋体" w:cs="宋体"/>
                <w:kern w:val="0"/>
                <w:sz w:val="24"/>
                <w:highlight w:val="none"/>
              </w:rPr>
            </w:pPr>
            <w:r>
              <w:rPr>
                <w:rFonts w:hint="eastAsia" w:ascii="宋体" w:hAnsi="宋体" w:cs="宋体"/>
                <w:kern w:val="0"/>
                <w:sz w:val="24"/>
                <w:highlight w:val="none"/>
              </w:rPr>
              <w:t>▲增值服务</w:t>
            </w:r>
          </w:p>
        </w:tc>
        <w:tc>
          <w:tcPr>
            <w:tcW w:w="1020" w:type="dxa"/>
            <w:tcBorders>
              <w:top w:val="nil"/>
              <w:left w:val="nil"/>
              <w:bottom w:val="single" w:color="auto" w:sz="8" w:space="0"/>
              <w:right w:val="single" w:color="auto" w:sz="8" w:space="0"/>
            </w:tcBorders>
            <w:vAlign w:val="center"/>
          </w:tcPr>
          <w:p w14:paraId="6F8F9D25">
            <w:pPr>
              <w:widowControl/>
              <w:adjustRightInd/>
              <w:jc w:val="center"/>
              <w:rPr>
                <w:rFonts w:ascii="宋体" w:hAnsi="宋体" w:cs="宋体"/>
                <w:kern w:val="0"/>
                <w:sz w:val="24"/>
                <w:highlight w:val="none"/>
              </w:rPr>
            </w:pPr>
            <w:r>
              <w:rPr>
                <w:rFonts w:hint="eastAsia" w:ascii="宋体" w:hAnsi="宋体" w:cs="宋体"/>
                <w:kern w:val="0"/>
                <w:sz w:val="24"/>
                <w:highlight w:val="none"/>
              </w:rPr>
              <w:t>▲厂家升级产品软件与扩容服务</w:t>
            </w:r>
          </w:p>
        </w:tc>
        <w:tc>
          <w:tcPr>
            <w:tcW w:w="5120" w:type="dxa"/>
            <w:tcBorders>
              <w:top w:val="nil"/>
              <w:left w:val="nil"/>
              <w:bottom w:val="single" w:color="auto" w:sz="8" w:space="0"/>
              <w:right w:val="single" w:color="auto" w:sz="8" w:space="0"/>
            </w:tcBorders>
            <w:vAlign w:val="center"/>
          </w:tcPr>
          <w:p w14:paraId="3D36E99F">
            <w:pPr>
              <w:widowControl/>
              <w:adjustRightInd/>
              <w:rPr>
                <w:rFonts w:ascii="宋体" w:hAnsi="宋体" w:cs="宋体"/>
                <w:kern w:val="0"/>
                <w:sz w:val="24"/>
                <w:highlight w:val="none"/>
              </w:rPr>
            </w:pPr>
            <w:r>
              <w:rPr>
                <w:rFonts w:hint="eastAsia" w:ascii="宋体" w:hAnsi="宋体" w:cs="宋体"/>
                <w:kern w:val="0"/>
                <w:sz w:val="24"/>
                <w:highlight w:val="none"/>
              </w:rPr>
              <w:t>提供原厂级的部件</w:t>
            </w:r>
            <w:r>
              <w:rPr>
                <w:rFonts w:ascii="宋体" w:hAnsi="宋体" w:cs="宋体"/>
                <w:kern w:val="0"/>
                <w:sz w:val="24"/>
                <w:highlight w:val="none"/>
              </w:rPr>
              <w:t>/软件产品升级和扩容能力</w:t>
            </w:r>
          </w:p>
        </w:tc>
      </w:tr>
      <w:tr w14:paraId="4CD676F7">
        <w:tblPrEx>
          <w:tblCellMar>
            <w:top w:w="0" w:type="dxa"/>
            <w:left w:w="108" w:type="dxa"/>
            <w:bottom w:w="0" w:type="dxa"/>
            <w:right w:w="108" w:type="dxa"/>
          </w:tblCellMar>
        </w:tblPrEx>
        <w:trPr>
          <w:trHeight w:val="936" w:hRule="atLeast"/>
        </w:trPr>
        <w:tc>
          <w:tcPr>
            <w:tcW w:w="980" w:type="dxa"/>
            <w:tcBorders>
              <w:top w:val="nil"/>
              <w:left w:val="single" w:color="auto" w:sz="8" w:space="0"/>
              <w:bottom w:val="single" w:color="auto" w:sz="8" w:space="0"/>
              <w:right w:val="single" w:color="auto" w:sz="8" w:space="0"/>
            </w:tcBorders>
            <w:vAlign w:val="center"/>
          </w:tcPr>
          <w:p w14:paraId="75C347D4">
            <w:pPr>
              <w:widowControl/>
              <w:adjustRightInd/>
              <w:jc w:val="center"/>
              <w:rPr>
                <w:rFonts w:ascii="宋体" w:hAnsi="宋体" w:cs="宋体"/>
                <w:kern w:val="0"/>
                <w:sz w:val="24"/>
                <w:highlight w:val="none"/>
              </w:rPr>
            </w:pPr>
            <w:r>
              <w:rPr>
                <w:rFonts w:ascii="宋体" w:hAnsi="宋体" w:cs="宋体"/>
                <w:kern w:val="0"/>
                <w:sz w:val="24"/>
                <w:highlight w:val="none"/>
              </w:rPr>
              <w:t>71</w:t>
            </w:r>
          </w:p>
        </w:tc>
        <w:tc>
          <w:tcPr>
            <w:tcW w:w="980" w:type="dxa"/>
            <w:vMerge w:val="continue"/>
            <w:tcBorders>
              <w:top w:val="single" w:color="auto" w:sz="8" w:space="0"/>
              <w:left w:val="single" w:color="auto" w:sz="8" w:space="0"/>
              <w:bottom w:val="single" w:color="auto" w:sz="8" w:space="0"/>
              <w:right w:val="single" w:color="auto" w:sz="8" w:space="0"/>
            </w:tcBorders>
            <w:vAlign w:val="center"/>
          </w:tcPr>
          <w:p w14:paraId="4DA05E9E">
            <w:pPr>
              <w:widowControl/>
              <w:adjustRightInd/>
              <w:jc w:val="left"/>
              <w:rPr>
                <w:rFonts w:ascii="宋体" w:hAnsi="宋体" w:cs="宋体"/>
                <w:kern w:val="0"/>
                <w:sz w:val="24"/>
                <w:highlight w:val="none"/>
              </w:rPr>
            </w:pPr>
          </w:p>
        </w:tc>
        <w:tc>
          <w:tcPr>
            <w:tcW w:w="1020" w:type="dxa"/>
            <w:tcBorders>
              <w:top w:val="nil"/>
              <w:left w:val="nil"/>
              <w:bottom w:val="single" w:color="auto" w:sz="8" w:space="0"/>
              <w:right w:val="single" w:color="auto" w:sz="8" w:space="0"/>
            </w:tcBorders>
            <w:vAlign w:val="center"/>
          </w:tcPr>
          <w:p w14:paraId="74026EBC">
            <w:pPr>
              <w:widowControl/>
              <w:adjustRightInd/>
              <w:jc w:val="center"/>
              <w:rPr>
                <w:rFonts w:ascii="宋体" w:hAnsi="宋体" w:cs="宋体"/>
                <w:kern w:val="0"/>
                <w:sz w:val="24"/>
                <w:highlight w:val="none"/>
              </w:rPr>
            </w:pPr>
            <w:r>
              <w:rPr>
                <w:rFonts w:hint="eastAsia" w:ascii="宋体" w:hAnsi="宋体" w:cs="宋体"/>
                <w:kern w:val="0"/>
                <w:sz w:val="24"/>
                <w:highlight w:val="none"/>
              </w:rPr>
              <w:t>▲提供上门服务</w:t>
            </w:r>
          </w:p>
        </w:tc>
        <w:tc>
          <w:tcPr>
            <w:tcW w:w="5120" w:type="dxa"/>
            <w:tcBorders>
              <w:top w:val="nil"/>
              <w:left w:val="nil"/>
              <w:bottom w:val="single" w:color="auto" w:sz="8" w:space="0"/>
              <w:right w:val="single" w:color="auto" w:sz="8" w:space="0"/>
            </w:tcBorders>
            <w:vAlign w:val="center"/>
          </w:tcPr>
          <w:p w14:paraId="0FCB4233">
            <w:pPr>
              <w:widowControl/>
              <w:adjustRightInd/>
              <w:rPr>
                <w:rFonts w:ascii="宋体" w:hAnsi="宋体" w:cs="宋体"/>
                <w:kern w:val="0"/>
                <w:sz w:val="24"/>
                <w:highlight w:val="none"/>
              </w:rPr>
            </w:pPr>
            <w:r>
              <w:rPr>
                <w:rFonts w:hint="eastAsia" w:ascii="宋体" w:hAnsi="宋体" w:cs="宋体"/>
                <w:kern w:val="0"/>
                <w:sz w:val="24"/>
                <w:highlight w:val="none"/>
              </w:rPr>
              <w:t>具备提供上门服务的能力</w:t>
            </w:r>
            <w:r>
              <w:rPr>
                <w:rFonts w:ascii="宋体" w:hAnsi="宋体" w:cs="宋体"/>
                <w:kern w:val="0"/>
                <w:sz w:val="24"/>
                <w:highlight w:val="none"/>
              </w:rPr>
              <w:t>(可收费)</w:t>
            </w:r>
          </w:p>
        </w:tc>
      </w:tr>
      <w:tr w14:paraId="43BB67F2">
        <w:tblPrEx>
          <w:tblCellMar>
            <w:top w:w="0" w:type="dxa"/>
            <w:left w:w="108" w:type="dxa"/>
            <w:bottom w:w="0" w:type="dxa"/>
            <w:right w:w="108" w:type="dxa"/>
          </w:tblCellMar>
        </w:tblPrEx>
        <w:trPr>
          <w:trHeight w:val="624" w:hRule="atLeast"/>
        </w:trPr>
        <w:tc>
          <w:tcPr>
            <w:tcW w:w="980" w:type="dxa"/>
            <w:tcBorders>
              <w:top w:val="nil"/>
              <w:left w:val="single" w:color="auto" w:sz="8" w:space="0"/>
              <w:bottom w:val="single" w:color="auto" w:sz="8" w:space="0"/>
              <w:right w:val="single" w:color="auto" w:sz="8" w:space="0"/>
            </w:tcBorders>
            <w:vAlign w:val="center"/>
          </w:tcPr>
          <w:p w14:paraId="01AB2246">
            <w:pPr>
              <w:widowControl/>
              <w:adjustRightInd/>
              <w:jc w:val="center"/>
              <w:rPr>
                <w:rFonts w:ascii="宋体" w:hAnsi="宋体" w:cs="宋体"/>
                <w:kern w:val="0"/>
                <w:sz w:val="24"/>
                <w:highlight w:val="none"/>
              </w:rPr>
            </w:pPr>
            <w:r>
              <w:rPr>
                <w:rFonts w:ascii="宋体" w:hAnsi="宋体" w:cs="宋体"/>
                <w:kern w:val="0"/>
                <w:sz w:val="24"/>
                <w:highlight w:val="none"/>
              </w:rPr>
              <w:t>72</w:t>
            </w:r>
          </w:p>
        </w:tc>
        <w:tc>
          <w:tcPr>
            <w:tcW w:w="980" w:type="dxa"/>
            <w:vMerge w:val="restart"/>
            <w:tcBorders>
              <w:top w:val="single" w:color="auto" w:sz="8" w:space="0"/>
              <w:left w:val="single" w:color="auto" w:sz="8" w:space="0"/>
              <w:bottom w:val="single" w:color="auto" w:sz="8" w:space="0"/>
              <w:right w:val="single" w:color="auto" w:sz="8" w:space="0"/>
            </w:tcBorders>
            <w:vAlign w:val="center"/>
          </w:tcPr>
          <w:p w14:paraId="6BA48D4E">
            <w:pPr>
              <w:widowControl/>
              <w:adjustRightInd/>
              <w:jc w:val="center"/>
              <w:rPr>
                <w:rFonts w:ascii="宋体" w:hAnsi="宋体" w:cs="宋体"/>
                <w:kern w:val="0"/>
                <w:sz w:val="24"/>
                <w:highlight w:val="none"/>
              </w:rPr>
            </w:pPr>
            <w:r>
              <w:rPr>
                <w:rFonts w:hint="eastAsia" w:ascii="宋体" w:hAnsi="宋体" w:cs="宋体"/>
                <w:kern w:val="0"/>
                <w:sz w:val="24"/>
                <w:highlight w:val="none"/>
              </w:rPr>
              <w:t>▲供应链质量</w:t>
            </w:r>
          </w:p>
        </w:tc>
        <w:tc>
          <w:tcPr>
            <w:tcW w:w="1020" w:type="dxa"/>
            <w:tcBorders>
              <w:top w:val="nil"/>
              <w:left w:val="nil"/>
              <w:bottom w:val="single" w:color="auto" w:sz="8" w:space="0"/>
              <w:right w:val="single" w:color="auto" w:sz="8" w:space="0"/>
            </w:tcBorders>
            <w:vAlign w:val="center"/>
          </w:tcPr>
          <w:p w14:paraId="29963F78">
            <w:pPr>
              <w:widowControl/>
              <w:adjustRightInd/>
              <w:jc w:val="center"/>
              <w:rPr>
                <w:rFonts w:ascii="宋体" w:hAnsi="宋体" w:cs="宋体"/>
                <w:kern w:val="0"/>
                <w:sz w:val="24"/>
                <w:highlight w:val="none"/>
              </w:rPr>
            </w:pPr>
            <w:r>
              <w:rPr>
                <w:rFonts w:hint="eastAsia" w:ascii="宋体" w:hAnsi="宋体" w:cs="宋体"/>
                <w:kern w:val="0"/>
                <w:sz w:val="24"/>
                <w:highlight w:val="none"/>
              </w:rPr>
              <w:t>▲抗干扰性</w:t>
            </w:r>
          </w:p>
        </w:tc>
        <w:tc>
          <w:tcPr>
            <w:tcW w:w="5120" w:type="dxa"/>
            <w:tcBorders>
              <w:top w:val="nil"/>
              <w:left w:val="nil"/>
              <w:bottom w:val="single" w:color="auto" w:sz="8" w:space="0"/>
              <w:right w:val="single" w:color="auto" w:sz="8" w:space="0"/>
            </w:tcBorders>
            <w:vAlign w:val="center"/>
          </w:tcPr>
          <w:p w14:paraId="61D71A16">
            <w:pPr>
              <w:widowControl/>
              <w:adjustRightInd/>
              <w:rPr>
                <w:rFonts w:ascii="宋体" w:hAnsi="宋体" w:cs="宋体"/>
                <w:kern w:val="0"/>
                <w:sz w:val="24"/>
                <w:highlight w:val="none"/>
              </w:rPr>
            </w:pPr>
            <w:r>
              <w:rPr>
                <w:rFonts w:hint="eastAsia" w:ascii="宋体" w:hAnsi="宋体" w:cs="宋体"/>
                <w:kern w:val="0"/>
                <w:sz w:val="24"/>
                <w:highlight w:val="none"/>
              </w:rPr>
              <w:t>当产品部件出现供应风险时，应通知客户并提供风险应对方案确保产品的服务保障，必要时应停止相关受影响产品的销售</w:t>
            </w:r>
          </w:p>
        </w:tc>
      </w:tr>
      <w:tr w14:paraId="530141B0">
        <w:tblPrEx>
          <w:tblCellMar>
            <w:top w:w="0" w:type="dxa"/>
            <w:left w:w="108" w:type="dxa"/>
            <w:bottom w:w="0" w:type="dxa"/>
            <w:right w:w="108" w:type="dxa"/>
          </w:tblCellMar>
        </w:tblPrEx>
        <w:trPr>
          <w:trHeight w:val="936" w:hRule="atLeast"/>
        </w:trPr>
        <w:tc>
          <w:tcPr>
            <w:tcW w:w="980" w:type="dxa"/>
            <w:tcBorders>
              <w:top w:val="nil"/>
              <w:left w:val="single" w:color="auto" w:sz="8" w:space="0"/>
              <w:bottom w:val="single" w:color="auto" w:sz="8" w:space="0"/>
              <w:right w:val="single" w:color="auto" w:sz="8" w:space="0"/>
            </w:tcBorders>
            <w:vAlign w:val="center"/>
          </w:tcPr>
          <w:p w14:paraId="0D070012">
            <w:pPr>
              <w:widowControl/>
              <w:adjustRightInd/>
              <w:jc w:val="center"/>
              <w:rPr>
                <w:rFonts w:ascii="宋体" w:hAnsi="宋体" w:cs="宋体"/>
                <w:kern w:val="0"/>
                <w:sz w:val="24"/>
                <w:highlight w:val="none"/>
              </w:rPr>
            </w:pPr>
            <w:r>
              <w:rPr>
                <w:rFonts w:ascii="宋体" w:hAnsi="宋体" w:cs="宋体"/>
                <w:kern w:val="0"/>
                <w:sz w:val="24"/>
                <w:highlight w:val="none"/>
              </w:rPr>
              <w:t>73</w:t>
            </w:r>
          </w:p>
        </w:tc>
        <w:tc>
          <w:tcPr>
            <w:tcW w:w="980" w:type="dxa"/>
            <w:vMerge w:val="continue"/>
            <w:tcBorders>
              <w:top w:val="single" w:color="auto" w:sz="8" w:space="0"/>
              <w:left w:val="single" w:color="auto" w:sz="8" w:space="0"/>
              <w:bottom w:val="single" w:color="auto" w:sz="8" w:space="0"/>
              <w:right w:val="single" w:color="auto" w:sz="8" w:space="0"/>
            </w:tcBorders>
            <w:vAlign w:val="center"/>
          </w:tcPr>
          <w:p w14:paraId="257E287F">
            <w:pPr>
              <w:widowControl/>
              <w:adjustRightInd/>
              <w:jc w:val="left"/>
              <w:rPr>
                <w:rFonts w:ascii="宋体" w:hAnsi="宋体" w:cs="宋体"/>
                <w:kern w:val="0"/>
                <w:sz w:val="24"/>
                <w:highlight w:val="none"/>
              </w:rPr>
            </w:pPr>
          </w:p>
        </w:tc>
        <w:tc>
          <w:tcPr>
            <w:tcW w:w="1020" w:type="dxa"/>
            <w:tcBorders>
              <w:top w:val="nil"/>
              <w:left w:val="nil"/>
              <w:bottom w:val="single" w:color="auto" w:sz="8" w:space="0"/>
              <w:right w:val="single" w:color="auto" w:sz="8" w:space="0"/>
            </w:tcBorders>
            <w:vAlign w:val="center"/>
          </w:tcPr>
          <w:p w14:paraId="0F015AF8">
            <w:pPr>
              <w:widowControl/>
              <w:adjustRightInd/>
              <w:jc w:val="center"/>
              <w:rPr>
                <w:rFonts w:ascii="宋体" w:hAnsi="宋体" w:cs="宋体"/>
                <w:kern w:val="0"/>
                <w:sz w:val="24"/>
                <w:highlight w:val="none"/>
              </w:rPr>
            </w:pPr>
            <w:r>
              <w:rPr>
                <w:rFonts w:hint="eastAsia" w:ascii="宋体" w:hAnsi="宋体" w:cs="宋体"/>
                <w:kern w:val="0"/>
                <w:sz w:val="24"/>
                <w:highlight w:val="none"/>
              </w:rPr>
              <w:t>▲供应能力证明</w:t>
            </w:r>
          </w:p>
        </w:tc>
        <w:tc>
          <w:tcPr>
            <w:tcW w:w="5120" w:type="dxa"/>
            <w:tcBorders>
              <w:top w:val="nil"/>
              <w:left w:val="nil"/>
              <w:bottom w:val="single" w:color="auto" w:sz="8" w:space="0"/>
              <w:right w:val="single" w:color="auto" w:sz="8" w:space="0"/>
            </w:tcBorders>
            <w:vAlign w:val="center"/>
          </w:tcPr>
          <w:p w14:paraId="5065125B">
            <w:pPr>
              <w:widowControl/>
              <w:adjustRightInd/>
              <w:rPr>
                <w:rFonts w:ascii="宋体" w:hAnsi="宋体" w:cs="宋体"/>
                <w:kern w:val="0"/>
                <w:sz w:val="24"/>
                <w:highlight w:val="none"/>
              </w:rPr>
            </w:pPr>
            <w:r>
              <w:rPr>
                <w:rFonts w:hint="eastAsia" w:ascii="宋体" w:hAnsi="宋体" w:cs="宋体"/>
                <w:kern w:val="0"/>
                <w:sz w:val="24"/>
                <w:highlight w:val="none"/>
              </w:rPr>
              <w:t>供应商需提供供应链稳定承诺书，确保产品的部件在产品服务周期内稳定供货</w:t>
            </w:r>
          </w:p>
        </w:tc>
      </w:tr>
    </w:tbl>
    <w:p w14:paraId="44C0B814">
      <w:pPr>
        <w:spacing w:line="360" w:lineRule="auto"/>
        <w:ind w:firstLine="480" w:firstLineChars="200"/>
        <w:rPr>
          <w:rFonts w:ascii="宋体" w:hAnsi="宋体" w:cs="宋体"/>
          <w:sz w:val="24"/>
          <w:highlight w:val="none"/>
        </w:rPr>
      </w:pPr>
    </w:p>
    <w:tbl>
      <w:tblPr>
        <w:tblStyle w:val="6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006"/>
        <w:gridCol w:w="5698"/>
      </w:tblGrid>
      <w:tr w14:paraId="2F233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238CD4BD">
            <w:pPr>
              <w:jc w:val="center"/>
              <w:rPr>
                <w:rFonts w:ascii="宋体" w:hAnsi="宋体" w:cs="宋体"/>
                <w:sz w:val="24"/>
                <w:szCs w:val="20"/>
                <w:highlight w:val="none"/>
              </w:rPr>
            </w:pPr>
            <w:r>
              <w:rPr>
                <w:rFonts w:hint="eastAsia" w:ascii="宋体" w:hAnsi="宋体" w:cs="宋体"/>
                <w:sz w:val="24"/>
                <w:szCs w:val="20"/>
                <w:highlight w:val="none"/>
              </w:rPr>
              <w:t>序号</w:t>
            </w:r>
          </w:p>
        </w:tc>
        <w:tc>
          <w:tcPr>
            <w:tcW w:w="2006" w:type="dxa"/>
            <w:vAlign w:val="center"/>
          </w:tcPr>
          <w:p w14:paraId="4DF7FE1A">
            <w:pPr>
              <w:jc w:val="center"/>
              <w:rPr>
                <w:rFonts w:ascii="宋体" w:hAnsi="宋体" w:cs="宋体"/>
                <w:sz w:val="24"/>
                <w:szCs w:val="20"/>
                <w:highlight w:val="none"/>
              </w:rPr>
            </w:pPr>
            <w:r>
              <w:rPr>
                <w:rFonts w:hint="eastAsia" w:ascii="宋体" w:hAnsi="宋体" w:cs="宋体"/>
                <w:sz w:val="24"/>
                <w:szCs w:val="20"/>
                <w:highlight w:val="none"/>
              </w:rPr>
              <w:t>服务</w:t>
            </w:r>
          </w:p>
        </w:tc>
        <w:tc>
          <w:tcPr>
            <w:tcW w:w="5698" w:type="dxa"/>
            <w:vAlign w:val="center"/>
          </w:tcPr>
          <w:p w14:paraId="1CD333ED">
            <w:pPr>
              <w:jc w:val="center"/>
              <w:rPr>
                <w:rFonts w:ascii="宋体" w:hAnsi="宋体" w:cs="宋体"/>
                <w:sz w:val="24"/>
                <w:szCs w:val="20"/>
                <w:highlight w:val="none"/>
              </w:rPr>
            </w:pPr>
            <w:r>
              <w:rPr>
                <w:rFonts w:hint="eastAsia" w:ascii="宋体" w:hAnsi="宋体" w:cs="宋体"/>
                <w:sz w:val="24"/>
                <w:szCs w:val="20"/>
                <w:highlight w:val="none"/>
              </w:rPr>
              <w:t>参数</w:t>
            </w:r>
          </w:p>
        </w:tc>
      </w:tr>
      <w:tr w14:paraId="076AF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6259018D">
            <w:pPr>
              <w:numPr>
                <w:ilvl w:val="0"/>
                <w:numId w:val="2"/>
              </w:numPr>
              <w:adjustRightInd/>
              <w:ind w:left="0" w:firstLine="0"/>
              <w:jc w:val="center"/>
              <w:rPr>
                <w:rFonts w:ascii="宋体" w:hAnsi="宋体" w:cs="宋体"/>
                <w:sz w:val="24"/>
                <w:szCs w:val="20"/>
                <w:highlight w:val="none"/>
              </w:rPr>
            </w:pPr>
          </w:p>
        </w:tc>
        <w:tc>
          <w:tcPr>
            <w:tcW w:w="2006" w:type="dxa"/>
            <w:vAlign w:val="center"/>
          </w:tcPr>
          <w:p w14:paraId="3CDC7A5B">
            <w:pPr>
              <w:jc w:val="left"/>
              <w:rPr>
                <w:rFonts w:ascii="宋体" w:hAnsi="宋体" w:cs="宋体"/>
                <w:sz w:val="24"/>
                <w:szCs w:val="20"/>
                <w:highlight w:val="none"/>
              </w:rPr>
            </w:pPr>
            <w:r>
              <w:rPr>
                <w:rFonts w:hint="eastAsia" w:ascii="宋体" w:hAnsi="宋体" w:cs="宋体"/>
                <w:sz w:val="24"/>
                <w:szCs w:val="20"/>
                <w:highlight w:val="none"/>
              </w:rPr>
              <w:t>部署</w:t>
            </w:r>
            <w:r>
              <w:rPr>
                <w:rFonts w:ascii="宋体" w:hAnsi="宋体" w:cs="宋体"/>
                <w:sz w:val="24"/>
                <w:szCs w:val="20"/>
                <w:highlight w:val="none"/>
              </w:rPr>
              <w:t>4台高性能物理服务器器用于支撑改造后平台的搭建</w:t>
            </w:r>
          </w:p>
        </w:tc>
        <w:tc>
          <w:tcPr>
            <w:tcW w:w="5698" w:type="dxa"/>
            <w:vAlign w:val="center"/>
          </w:tcPr>
          <w:p w14:paraId="764E127C">
            <w:pPr>
              <w:jc w:val="left"/>
              <w:rPr>
                <w:rFonts w:ascii="宋体" w:hAnsi="宋体" w:cs="宋体"/>
                <w:sz w:val="24"/>
                <w:szCs w:val="20"/>
                <w:highlight w:val="none"/>
              </w:rPr>
            </w:pPr>
            <w:r>
              <w:rPr>
                <w:rFonts w:hint="eastAsia" w:ascii="宋体" w:hAnsi="宋体" w:cs="宋体"/>
                <w:sz w:val="24"/>
                <w:szCs w:val="20"/>
                <w:highlight w:val="none"/>
              </w:rPr>
              <w:t>处理器：≥</w:t>
            </w:r>
            <w:r>
              <w:rPr>
                <w:rFonts w:ascii="宋体" w:hAnsi="宋体" w:cs="宋体"/>
                <w:sz w:val="24"/>
                <w:szCs w:val="20"/>
                <w:highlight w:val="none"/>
              </w:rPr>
              <w:t>2.2G 32C *2；</w:t>
            </w:r>
          </w:p>
          <w:p w14:paraId="63867214">
            <w:pPr>
              <w:jc w:val="left"/>
              <w:rPr>
                <w:rFonts w:ascii="宋体" w:hAnsi="宋体" w:cs="宋体"/>
                <w:sz w:val="24"/>
                <w:szCs w:val="20"/>
                <w:highlight w:val="none"/>
              </w:rPr>
            </w:pPr>
            <w:r>
              <w:rPr>
                <w:rFonts w:hint="eastAsia" w:ascii="宋体" w:hAnsi="宋体" w:cs="宋体"/>
                <w:sz w:val="24"/>
                <w:szCs w:val="20"/>
                <w:highlight w:val="none"/>
              </w:rPr>
              <w:t>内存：≥</w:t>
            </w:r>
            <w:r>
              <w:rPr>
                <w:rFonts w:ascii="宋体" w:hAnsi="宋体" w:cs="宋体"/>
                <w:sz w:val="24"/>
                <w:szCs w:val="20"/>
                <w:highlight w:val="none"/>
              </w:rPr>
              <w:t>32GB DDR4 3200 RDIMM *12；</w:t>
            </w:r>
          </w:p>
          <w:p w14:paraId="3ACA6C1A">
            <w:pPr>
              <w:jc w:val="left"/>
              <w:rPr>
                <w:rFonts w:ascii="宋体" w:hAnsi="宋体" w:cs="宋体"/>
                <w:sz w:val="24"/>
                <w:szCs w:val="20"/>
                <w:highlight w:val="none"/>
              </w:rPr>
            </w:pPr>
            <w:r>
              <w:rPr>
                <w:rFonts w:hint="eastAsia" w:ascii="宋体" w:hAnsi="宋体" w:cs="宋体"/>
                <w:sz w:val="24"/>
                <w:szCs w:val="20"/>
                <w:highlight w:val="none"/>
              </w:rPr>
              <w:t>硬盘：≥</w:t>
            </w:r>
            <w:r>
              <w:rPr>
                <w:rFonts w:ascii="宋体" w:hAnsi="宋体" w:cs="宋体"/>
                <w:sz w:val="24"/>
                <w:szCs w:val="20"/>
                <w:highlight w:val="none"/>
              </w:rPr>
              <w:t>4TB 7.2k 6Gb *4 + 960GB  6Gb R SSD *3 + 960GB  6Gb M SSD *1 + 480GB 6Gb R SSD *2；</w:t>
            </w:r>
          </w:p>
          <w:p w14:paraId="5B894AD0">
            <w:pPr>
              <w:jc w:val="left"/>
              <w:rPr>
                <w:rFonts w:ascii="宋体" w:hAnsi="宋体" w:cs="宋体"/>
                <w:sz w:val="24"/>
                <w:szCs w:val="20"/>
                <w:highlight w:val="none"/>
              </w:rPr>
            </w:pPr>
            <w:r>
              <w:rPr>
                <w:rFonts w:hint="eastAsia" w:ascii="宋体" w:hAnsi="宋体" w:cs="宋体"/>
                <w:sz w:val="24"/>
                <w:szCs w:val="20"/>
                <w:highlight w:val="none"/>
              </w:rPr>
              <w:t>业务网口≥双口万兆网卡</w:t>
            </w:r>
            <w:r>
              <w:rPr>
                <w:rFonts w:ascii="宋体" w:hAnsi="宋体" w:cs="宋体"/>
                <w:sz w:val="24"/>
                <w:szCs w:val="20"/>
                <w:highlight w:val="none"/>
              </w:rPr>
              <w:t>*2（含模块）；</w:t>
            </w:r>
          </w:p>
          <w:p w14:paraId="0A15382B">
            <w:pPr>
              <w:jc w:val="left"/>
              <w:rPr>
                <w:rFonts w:ascii="宋体" w:hAnsi="宋体" w:cs="宋体"/>
                <w:sz w:val="24"/>
                <w:szCs w:val="20"/>
                <w:highlight w:val="none"/>
              </w:rPr>
            </w:pPr>
            <w:r>
              <w:rPr>
                <w:rFonts w:hint="eastAsia" w:ascii="宋体" w:hAnsi="宋体" w:cs="宋体"/>
                <w:sz w:val="24"/>
                <w:szCs w:val="20"/>
                <w:highlight w:val="none"/>
              </w:rPr>
              <w:t>电源</w:t>
            </w:r>
            <w:r>
              <w:rPr>
                <w:rFonts w:hint="eastAsia" w:ascii="宋体" w:hAnsi="宋体" w:cs="宋体"/>
                <w:sz w:val="24"/>
                <w:highlight w:val="none"/>
              </w:rPr>
              <w:t>：</w:t>
            </w:r>
            <w:r>
              <w:rPr>
                <w:rFonts w:hint="eastAsia" w:ascii="宋体" w:hAnsi="宋体" w:cs="宋体"/>
                <w:kern w:val="0"/>
                <w:sz w:val="24"/>
                <w:highlight w:val="none"/>
              </w:rPr>
              <w:t>≥</w:t>
            </w:r>
            <w:r>
              <w:rPr>
                <w:rFonts w:ascii="宋体" w:hAnsi="宋体" w:cs="宋体"/>
                <w:sz w:val="24"/>
                <w:szCs w:val="20"/>
                <w:highlight w:val="none"/>
              </w:rPr>
              <w:t>800W电源模块*2</w:t>
            </w:r>
          </w:p>
          <w:p w14:paraId="7580D689">
            <w:pPr>
              <w:jc w:val="left"/>
              <w:rPr>
                <w:rFonts w:ascii="宋体" w:hAnsi="宋体" w:cs="宋体"/>
                <w:sz w:val="24"/>
                <w:szCs w:val="20"/>
                <w:highlight w:val="none"/>
              </w:rPr>
            </w:pPr>
            <w:r>
              <w:rPr>
                <w:rFonts w:hint="eastAsia" w:ascii="宋体" w:hAnsi="宋体" w:cs="宋体"/>
                <w:sz w:val="24"/>
                <w:highlight w:val="none"/>
              </w:rPr>
              <w:t>详细参数见“高性能服务器详细参数要求”</w:t>
            </w:r>
          </w:p>
        </w:tc>
      </w:tr>
    </w:tbl>
    <w:p w14:paraId="4E8C52C3">
      <w:pPr>
        <w:spacing w:line="360" w:lineRule="auto"/>
        <w:ind w:firstLine="480" w:firstLineChars="200"/>
        <w:rPr>
          <w:rFonts w:ascii="宋体" w:hAnsi="宋体" w:cs="宋体"/>
          <w:sz w:val="24"/>
          <w:highlight w:val="none"/>
        </w:rPr>
      </w:pPr>
      <w:r>
        <w:rPr>
          <w:rFonts w:hint="eastAsia" w:ascii="宋体" w:hAnsi="宋体" w:cs="宋体"/>
          <w:sz w:val="24"/>
          <w:highlight w:val="none"/>
        </w:rPr>
        <w:t>高性能服务器单台详细参数如下：</w:t>
      </w:r>
    </w:p>
    <w:tbl>
      <w:tblPr>
        <w:tblStyle w:val="62"/>
        <w:tblW w:w="8300" w:type="dxa"/>
        <w:tblInd w:w="118" w:type="dxa"/>
        <w:tblLayout w:type="fixed"/>
        <w:tblCellMar>
          <w:top w:w="0" w:type="dxa"/>
          <w:left w:w="108" w:type="dxa"/>
          <w:bottom w:w="0" w:type="dxa"/>
          <w:right w:w="108" w:type="dxa"/>
        </w:tblCellMar>
      </w:tblPr>
      <w:tblGrid>
        <w:gridCol w:w="980"/>
        <w:gridCol w:w="980"/>
        <w:gridCol w:w="1580"/>
        <w:gridCol w:w="4760"/>
      </w:tblGrid>
      <w:tr w14:paraId="5A6F05D4">
        <w:tblPrEx>
          <w:tblCellMar>
            <w:top w:w="0" w:type="dxa"/>
            <w:left w:w="108" w:type="dxa"/>
            <w:bottom w:w="0" w:type="dxa"/>
            <w:right w:w="108" w:type="dxa"/>
          </w:tblCellMar>
        </w:tblPrEx>
        <w:trPr>
          <w:trHeight w:val="948" w:hRule="atLeast"/>
        </w:trPr>
        <w:tc>
          <w:tcPr>
            <w:tcW w:w="980" w:type="dxa"/>
            <w:tcBorders>
              <w:top w:val="single" w:color="auto" w:sz="8" w:space="0"/>
              <w:left w:val="single" w:color="auto" w:sz="8" w:space="0"/>
              <w:bottom w:val="single" w:color="auto" w:sz="8" w:space="0"/>
              <w:right w:val="single" w:color="auto" w:sz="8" w:space="0"/>
            </w:tcBorders>
            <w:shd w:val="clear" w:color="000000" w:fill="D9D9D9"/>
            <w:vAlign w:val="center"/>
          </w:tcPr>
          <w:p w14:paraId="6ECD2BC3">
            <w:pPr>
              <w:keepNext/>
              <w:keepLines/>
              <w:widowControl/>
              <w:adjustRightInd/>
              <w:spacing w:before="160" w:after="160" w:line="720" w:lineRule="exact"/>
              <w:jc w:val="center"/>
              <w:outlineLvl w:val="1"/>
              <w:rPr>
                <w:rFonts w:ascii="宋体" w:hAnsi="宋体" w:cs="宋体"/>
                <w:b/>
                <w:bCs/>
                <w:kern w:val="0"/>
                <w:sz w:val="24"/>
                <w:highlight w:val="none"/>
              </w:rPr>
            </w:pPr>
            <w:r>
              <w:rPr>
                <w:rFonts w:hint="eastAsia" w:ascii="宋体" w:hAnsi="宋体" w:cs="宋体"/>
                <w:b/>
                <w:bCs/>
                <w:kern w:val="0"/>
                <w:sz w:val="24"/>
                <w:highlight w:val="none"/>
              </w:rPr>
              <w:t>序号</w:t>
            </w:r>
          </w:p>
        </w:tc>
        <w:tc>
          <w:tcPr>
            <w:tcW w:w="980" w:type="dxa"/>
            <w:tcBorders>
              <w:top w:val="single" w:color="auto" w:sz="8" w:space="0"/>
              <w:left w:val="nil"/>
              <w:bottom w:val="single" w:color="auto" w:sz="8" w:space="0"/>
              <w:right w:val="single" w:color="auto" w:sz="8" w:space="0"/>
            </w:tcBorders>
            <w:shd w:val="clear" w:color="000000" w:fill="D9D9D9"/>
            <w:vAlign w:val="center"/>
          </w:tcPr>
          <w:p w14:paraId="65B0FA01">
            <w:pPr>
              <w:keepNext/>
              <w:keepLines/>
              <w:widowControl/>
              <w:adjustRightInd/>
              <w:spacing w:before="160" w:after="160" w:line="720" w:lineRule="exact"/>
              <w:jc w:val="left"/>
              <w:outlineLvl w:val="1"/>
              <w:rPr>
                <w:rFonts w:ascii="宋体" w:hAnsi="宋体" w:cs="宋体"/>
                <w:b/>
                <w:bCs/>
                <w:kern w:val="0"/>
                <w:sz w:val="24"/>
                <w:highlight w:val="none"/>
              </w:rPr>
            </w:pPr>
            <w:r>
              <w:rPr>
                <w:rFonts w:hint="eastAsia" w:ascii="宋体" w:hAnsi="宋体" w:cs="宋体"/>
                <w:b/>
                <w:bCs/>
                <w:kern w:val="0"/>
                <w:sz w:val="24"/>
                <w:highlight w:val="none"/>
              </w:rPr>
              <w:t>一级性能参数指标</w:t>
            </w:r>
          </w:p>
        </w:tc>
        <w:tc>
          <w:tcPr>
            <w:tcW w:w="1580" w:type="dxa"/>
            <w:tcBorders>
              <w:top w:val="single" w:color="auto" w:sz="8" w:space="0"/>
              <w:left w:val="nil"/>
              <w:bottom w:val="single" w:color="auto" w:sz="8" w:space="0"/>
              <w:right w:val="single" w:color="auto" w:sz="8" w:space="0"/>
            </w:tcBorders>
            <w:shd w:val="clear" w:color="000000" w:fill="D9D9D9"/>
            <w:vAlign w:val="center"/>
          </w:tcPr>
          <w:p w14:paraId="302D1B1C">
            <w:pPr>
              <w:keepNext/>
              <w:keepLines/>
              <w:widowControl/>
              <w:adjustRightInd/>
              <w:spacing w:before="160" w:after="160" w:line="720" w:lineRule="exact"/>
              <w:jc w:val="left"/>
              <w:outlineLvl w:val="1"/>
              <w:rPr>
                <w:rFonts w:ascii="宋体" w:hAnsi="宋体" w:cs="宋体"/>
                <w:b/>
                <w:bCs/>
                <w:kern w:val="0"/>
                <w:sz w:val="24"/>
                <w:highlight w:val="none"/>
              </w:rPr>
            </w:pPr>
            <w:r>
              <w:rPr>
                <w:rFonts w:hint="eastAsia" w:ascii="宋体" w:hAnsi="宋体" w:cs="宋体"/>
                <w:b/>
                <w:bCs/>
                <w:kern w:val="0"/>
                <w:sz w:val="24"/>
                <w:highlight w:val="none"/>
              </w:rPr>
              <w:t>二级性能参数指标</w:t>
            </w:r>
          </w:p>
        </w:tc>
        <w:tc>
          <w:tcPr>
            <w:tcW w:w="4760" w:type="dxa"/>
            <w:tcBorders>
              <w:top w:val="single" w:color="auto" w:sz="8" w:space="0"/>
              <w:left w:val="nil"/>
              <w:bottom w:val="single" w:color="auto" w:sz="8" w:space="0"/>
              <w:right w:val="single" w:color="auto" w:sz="8" w:space="0"/>
            </w:tcBorders>
            <w:shd w:val="clear" w:color="000000" w:fill="D9D9D9"/>
            <w:vAlign w:val="center"/>
          </w:tcPr>
          <w:p w14:paraId="7E7471E5">
            <w:pPr>
              <w:keepNext/>
              <w:keepLines/>
              <w:widowControl/>
              <w:adjustRightInd/>
              <w:spacing w:before="160" w:after="160" w:line="720" w:lineRule="exact"/>
              <w:jc w:val="center"/>
              <w:outlineLvl w:val="1"/>
              <w:rPr>
                <w:rFonts w:ascii="宋体" w:hAnsi="宋体" w:cs="宋体"/>
                <w:b/>
                <w:bCs/>
                <w:kern w:val="0"/>
                <w:sz w:val="24"/>
                <w:highlight w:val="none"/>
              </w:rPr>
            </w:pPr>
            <w:r>
              <w:rPr>
                <w:rFonts w:hint="eastAsia" w:ascii="宋体" w:hAnsi="宋体" w:cs="宋体"/>
                <w:b/>
                <w:bCs/>
                <w:kern w:val="0"/>
                <w:sz w:val="24"/>
                <w:highlight w:val="none"/>
              </w:rPr>
              <w:t>指标要求</w:t>
            </w:r>
          </w:p>
        </w:tc>
      </w:tr>
      <w:tr w14:paraId="1918B9AE">
        <w:tblPrEx>
          <w:tblCellMar>
            <w:top w:w="0" w:type="dxa"/>
            <w:left w:w="108" w:type="dxa"/>
            <w:bottom w:w="0" w:type="dxa"/>
            <w:right w:w="108" w:type="dxa"/>
          </w:tblCellMar>
        </w:tblPrEx>
        <w:trPr>
          <w:trHeight w:val="636" w:hRule="atLeast"/>
        </w:trPr>
        <w:tc>
          <w:tcPr>
            <w:tcW w:w="980" w:type="dxa"/>
            <w:vMerge w:val="restart"/>
            <w:tcBorders>
              <w:top w:val="nil"/>
              <w:left w:val="single" w:color="auto" w:sz="8" w:space="0"/>
              <w:bottom w:val="single" w:color="000000" w:sz="8" w:space="0"/>
              <w:right w:val="nil"/>
            </w:tcBorders>
            <w:vAlign w:val="center"/>
          </w:tcPr>
          <w:p w14:paraId="42372B4E">
            <w:pPr>
              <w:keepNext/>
              <w:keepLines/>
              <w:widowControl/>
              <w:adjustRightInd/>
              <w:spacing w:before="160" w:after="160" w:line="720" w:lineRule="exact"/>
              <w:jc w:val="center"/>
              <w:outlineLvl w:val="1"/>
              <w:rPr>
                <w:rFonts w:ascii="宋体" w:hAnsi="宋体" w:cs="宋体"/>
                <w:kern w:val="0"/>
                <w:sz w:val="24"/>
                <w:highlight w:val="none"/>
              </w:rPr>
            </w:pPr>
            <w:r>
              <w:rPr>
                <w:rFonts w:ascii="宋体" w:hAnsi="宋体" w:cs="宋体"/>
                <w:kern w:val="0"/>
                <w:sz w:val="24"/>
                <w:highlight w:val="none"/>
              </w:rPr>
              <w:t>1</w:t>
            </w:r>
          </w:p>
        </w:tc>
        <w:tc>
          <w:tcPr>
            <w:tcW w:w="980" w:type="dxa"/>
            <w:vMerge w:val="restart"/>
            <w:tcBorders>
              <w:top w:val="nil"/>
              <w:left w:val="single" w:color="auto" w:sz="8" w:space="0"/>
              <w:bottom w:val="single" w:color="000000" w:sz="8" w:space="0"/>
              <w:right w:val="single" w:color="auto" w:sz="8" w:space="0"/>
            </w:tcBorders>
            <w:vAlign w:val="center"/>
          </w:tcPr>
          <w:p w14:paraId="6A41DE72">
            <w:pPr>
              <w:keepNext/>
              <w:keepLines/>
              <w:widowControl/>
              <w:adjustRightInd/>
              <w:spacing w:before="160" w:after="160" w:line="720" w:lineRule="exact"/>
              <w:jc w:val="center"/>
              <w:outlineLvl w:val="1"/>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CPU规格</w:t>
            </w:r>
          </w:p>
        </w:tc>
        <w:tc>
          <w:tcPr>
            <w:tcW w:w="1580" w:type="dxa"/>
            <w:vMerge w:val="restart"/>
            <w:tcBorders>
              <w:top w:val="nil"/>
              <w:left w:val="single" w:color="auto" w:sz="8" w:space="0"/>
              <w:bottom w:val="single" w:color="000000" w:sz="8" w:space="0"/>
              <w:right w:val="single" w:color="auto" w:sz="8" w:space="0"/>
            </w:tcBorders>
            <w:vAlign w:val="center"/>
          </w:tcPr>
          <w:p w14:paraId="3B24EDB0">
            <w:pPr>
              <w:keepNext/>
              <w:keepLines/>
              <w:widowControl/>
              <w:adjustRightInd/>
              <w:spacing w:before="160" w:after="160" w:line="720" w:lineRule="exact"/>
              <w:jc w:val="center"/>
              <w:outlineLvl w:val="1"/>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 xml:space="preserve">CPU </w:t>
            </w:r>
            <w:r>
              <w:rPr>
                <w:rFonts w:hint="eastAsia" w:ascii="宋体" w:hAnsi="宋体" w:cs="宋体"/>
                <w:kern w:val="0"/>
                <w:sz w:val="24"/>
                <w:highlight w:val="none"/>
              </w:rPr>
              <w:t>信息</w:t>
            </w:r>
          </w:p>
        </w:tc>
        <w:tc>
          <w:tcPr>
            <w:tcW w:w="4760" w:type="dxa"/>
            <w:tcBorders>
              <w:top w:val="nil"/>
              <w:left w:val="nil"/>
              <w:bottom w:val="single" w:color="auto" w:sz="8" w:space="0"/>
              <w:right w:val="single" w:color="auto" w:sz="8" w:space="0"/>
            </w:tcBorders>
            <w:vAlign w:val="center"/>
          </w:tcPr>
          <w:p w14:paraId="0A464256">
            <w:pPr>
              <w:keepNext/>
              <w:keepLines/>
              <w:widowControl/>
              <w:adjustRightInd/>
              <w:spacing w:before="160" w:after="160" w:line="720" w:lineRule="exact"/>
              <w:jc w:val="center"/>
              <w:outlineLvl w:val="1"/>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1）配置2颗国产</w:t>
            </w:r>
            <w:r>
              <w:rPr>
                <w:rFonts w:hint="eastAsia" w:ascii="宋体" w:hAnsi="宋体" w:cs="宋体"/>
                <w:kern w:val="0"/>
                <w:sz w:val="24"/>
                <w:highlight w:val="none"/>
              </w:rPr>
              <w:t>架构处理器，支持超线程技术和睿频技术；</w:t>
            </w:r>
          </w:p>
        </w:tc>
      </w:tr>
      <w:tr w14:paraId="296C1E3C">
        <w:tblPrEx>
          <w:tblCellMar>
            <w:top w:w="0" w:type="dxa"/>
            <w:left w:w="108" w:type="dxa"/>
            <w:bottom w:w="0" w:type="dxa"/>
            <w:right w:w="108" w:type="dxa"/>
          </w:tblCellMar>
        </w:tblPrEx>
        <w:trPr>
          <w:trHeight w:val="1572" w:hRule="atLeast"/>
        </w:trPr>
        <w:tc>
          <w:tcPr>
            <w:tcW w:w="980" w:type="dxa"/>
            <w:vMerge w:val="continue"/>
            <w:tcBorders>
              <w:top w:val="nil"/>
              <w:left w:val="single" w:color="auto" w:sz="8" w:space="0"/>
              <w:bottom w:val="single" w:color="000000" w:sz="8" w:space="0"/>
              <w:right w:val="nil"/>
            </w:tcBorders>
            <w:vAlign w:val="center"/>
          </w:tcPr>
          <w:p w14:paraId="4784D55A">
            <w:pPr>
              <w:widowControl/>
              <w:adjustRightInd/>
              <w:jc w:val="left"/>
              <w:rPr>
                <w:rFonts w:ascii="宋体" w:hAnsi="宋体" w:cs="宋体"/>
                <w:kern w:val="0"/>
                <w:sz w:val="24"/>
                <w:highlight w:val="none"/>
              </w:rPr>
            </w:pPr>
          </w:p>
        </w:tc>
        <w:tc>
          <w:tcPr>
            <w:tcW w:w="980" w:type="dxa"/>
            <w:vMerge w:val="continue"/>
            <w:tcBorders>
              <w:top w:val="nil"/>
              <w:left w:val="single" w:color="auto" w:sz="8" w:space="0"/>
              <w:bottom w:val="single" w:color="000000" w:sz="8" w:space="0"/>
              <w:right w:val="single" w:color="auto" w:sz="8" w:space="0"/>
            </w:tcBorders>
            <w:vAlign w:val="center"/>
          </w:tcPr>
          <w:p w14:paraId="0FDE2080">
            <w:pPr>
              <w:widowControl/>
              <w:adjustRightInd/>
              <w:jc w:val="left"/>
              <w:rPr>
                <w:rFonts w:ascii="宋体" w:hAnsi="宋体" w:cs="宋体"/>
                <w:kern w:val="0"/>
                <w:sz w:val="24"/>
                <w:highlight w:val="none"/>
              </w:rPr>
            </w:pPr>
          </w:p>
        </w:tc>
        <w:tc>
          <w:tcPr>
            <w:tcW w:w="1580" w:type="dxa"/>
            <w:vMerge w:val="continue"/>
            <w:tcBorders>
              <w:top w:val="nil"/>
              <w:left w:val="single" w:color="auto" w:sz="8" w:space="0"/>
              <w:bottom w:val="single" w:color="000000" w:sz="8" w:space="0"/>
              <w:right w:val="single" w:color="auto" w:sz="8" w:space="0"/>
            </w:tcBorders>
            <w:vAlign w:val="center"/>
          </w:tcPr>
          <w:p w14:paraId="26112E2E">
            <w:pPr>
              <w:widowControl/>
              <w:adjustRightInd/>
              <w:jc w:val="left"/>
              <w:rPr>
                <w:rFonts w:ascii="宋体" w:hAnsi="宋体" w:cs="宋体"/>
                <w:kern w:val="0"/>
                <w:sz w:val="24"/>
                <w:highlight w:val="none"/>
              </w:rPr>
            </w:pPr>
          </w:p>
        </w:tc>
        <w:tc>
          <w:tcPr>
            <w:tcW w:w="4760" w:type="dxa"/>
            <w:tcBorders>
              <w:top w:val="nil"/>
              <w:left w:val="nil"/>
              <w:bottom w:val="single" w:color="auto" w:sz="8" w:space="0"/>
              <w:right w:val="single" w:color="auto" w:sz="8" w:space="0"/>
            </w:tcBorders>
            <w:vAlign w:val="center"/>
          </w:tcPr>
          <w:p w14:paraId="28C6E782">
            <w:pPr>
              <w:widowControl/>
              <w:adjustRightInd/>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2）单颗CPU物理核心数≥32核、主频≥2.2GHz、末级缓存容量≥64MB、线程数≥64、热设计功耗≥220W、支持内存的最高速率≥3200MHz、通道数≥8、位宽≥64位；</w:t>
            </w:r>
          </w:p>
          <w:p w14:paraId="4BCD21B3">
            <w:pPr>
              <w:widowControl/>
              <w:adjustRightInd/>
              <w:rPr>
                <w:rFonts w:ascii="宋体" w:hAnsi="宋体" w:cs="宋体"/>
                <w:kern w:val="0"/>
                <w:sz w:val="24"/>
                <w:highlight w:val="none"/>
              </w:rPr>
            </w:pPr>
          </w:p>
          <w:p w14:paraId="4A677AE6">
            <w:pPr>
              <w:widowControl/>
              <w:adjustRightInd/>
              <w:rPr>
                <w:rFonts w:ascii="宋体" w:hAnsi="宋体" w:cs="宋体"/>
                <w:kern w:val="0"/>
                <w:sz w:val="24"/>
                <w:highlight w:val="none"/>
              </w:rPr>
            </w:pPr>
            <w:r>
              <w:rPr>
                <w:rFonts w:hint="eastAsia" w:ascii="宋体" w:hAnsi="宋体" w:cs="宋体"/>
                <w:kern w:val="0"/>
                <w:sz w:val="24"/>
                <w:highlight w:val="none"/>
              </w:rPr>
              <w:t>供应商应在投标时给出</w:t>
            </w:r>
            <w:r>
              <w:rPr>
                <w:rFonts w:ascii="宋体" w:hAnsi="宋体" w:cs="宋体"/>
                <w:kern w:val="0"/>
                <w:sz w:val="24"/>
                <w:highlight w:val="none"/>
              </w:rPr>
              <w:t>CPU型号；</w:t>
            </w:r>
          </w:p>
        </w:tc>
      </w:tr>
      <w:tr w14:paraId="2162B91F">
        <w:tblPrEx>
          <w:tblCellMar>
            <w:top w:w="0" w:type="dxa"/>
            <w:left w:w="108" w:type="dxa"/>
            <w:bottom w:w="0" w:type="dxa"/>
            <w:right w:w="108" w:type="dxa"/>
          </w:tblCellMar>
        </w:tblPrEx>
        <w:trPr>
          <w:trHeight w:val="1260" w:hRule="atLeast"/>
        </w:trPr>
        <w:tc>
          <w:tcPr>
            <w:tcW w:w="980" w:type="dxa"/>
            <w:tcBorders>
              <w:top w:val="nil"/>
              <w:left w:val="single" w:color="auto" w:sz="8" w:space="0"/>
              <w:bottom w:val="single" w:color="auto" w:sz="8" w:space="0"/>
              <w:right w:val="nil"/>
            </w:tcBorders>
            <w:vAlign w:val="center"/>
          </w:tcPr>
          <w:p w14:paraId="7712DC59">
            <w:pPr>
              <w:widowControl/>
              <w:adjustRightInd/>
              <w:jc w:val="center"/>
              <w:rPr>
                <w:rFonts w:ascii="宋体" w:hAnsi="宋体" w:cs="宋体"/>
                <w:kern w:val="0"/>
                <w:sz w:val="24"/>
                <w:highlight w:val="none"/>
              </w:rPr>
            </w:pPr>
            <w:r>
              <w:rPr>
                <w:rFonts w:ascii="宋体" w:hAnsi="宋体" w:cs="宋体"/>
                <w:kern w:val="0"/>
                <w:sz w:val="24"/>
                <w:highlight w:val="none"/>
              </w:rPr>
              <w:t>2</w:t>
            </w:r>
          </w:p>
        </w:tc>
        <w:tc>
          <w:tcPr>
            <w:tcW w:w="980" w:type="dxa"/>
            <w:vMerge w:val="restart"/>
            <w:tcBorders>
              <w:top w:val="nil"/>
              <w:left w:val="single" w:color="auto" w:sz="8" w:space="0"/>
              <w:bottom w:val="single" w:color="000000" w:sz="8" w:space="0"/>
              <w:right w:val="single" w:color="auto" w:sz="8" w:space="0"/>
            </w:tcBorders>
            <w:vAlign w:val="center"/>
          </w:tcPr>
          <w:p w14:paraId="268CE0E9">
            <w:pPr>
              <w:widowControl/>
              <w:adjustRightInd/>
              <w:jc w:val="center"/>
              <w:rPr>
                <w:rFonts w:ascii="宋体" w:hAnsi="宋体" w:cs="宋体"/>
                <w:kern w:val="0"/>
                <w:sz w:val="24"/>
                <w:highlight w:val="none"/>
              </w:rPr>
            </w:pPr>
            <w:r>
              <w:rPr>
                <w:rFonts w:hint="eastAsia" w:ascii="宋体" w:hAnsi="宋体" w:cs="宋体"/>
                <w:kern w:val="0"/>
                <w:sz w:val="24"/>
                <w:highlight w:val="none"/>
              </w:rPr>
              <w:t>▲主板规格</w:t>
            </w:r>
          </w:p>
        </w:tc>
        <w:tc>
          <w:tcPr>
            <w:tcW w:w="1580" w:type="dxa"/>
            <w:tcBorders>
              <w:top w:val="nil"/>
              <w:left w:val="nil"/>
              <w:bottom w:val="single" w:color="auto" w:sz="8" w:space="0"/>
              <w:right w:val="single" w:color="auto" w:sz="8" w:space="0"/>
            </w:tcBorders>
            <w:vAlign w:val="center"/>
          </w:tcPr>
          <w:p w14:paraId="1DE5F547">
            <w:pPr>
              <w:widowControl/>
              <w:adjustRightInd/>
              <w:jc w:val="center"/>
              <w:rPr>
                <w:rFonts w:ascii="宋体" w:hAnsi="宋体" w:cs="宋体"/>
                <w:kern w:val="0"/>
                <w:sz w:val="24"/>
                <w:highlight w:val="none"/>
              </w:rPr>
            </w:pPr>
            <w:r>
              <w:rPr>
                <w:rFonts w:hint="eastAsia" w:ascii="宋体" w:hAnsi="宋体" w:cs="宋体"/>
                <w:kern w:val="0"/>
                <w:sz w:val="24"/>
                <w:highlight w:val="none"/>
              </w:rPr>
              <w:t>▲主板支持的</w:t>
            </w:r>
            <w:r>
              <w:rPr>
                <w:rFonts w:ascii="宋体" w:hAnsi="宋体" w:cs="宋体"/>
                <w:kern w:val="0"/>
                <w:sz w:val="24"/>
                <w:highlight w:val="none"/>
              </w:rPr>
              <w:t xml:space="preserve">CPU </w:t>
            </w:r>
            <w:r>
              <w:rPr>
                <w:rFonts w:hint="eastAsia" w:ascii="宋体" w:hAnsi="宋体" w:cs="宋体"/>
                <w:kern w:val="0"/>
                <w:sz w:val="24"/>
                <w:highlight w:val="none"/>
              </w:rPr>
              <w:t>和内存情况</w:t>
            </w:r>
          </w:p>
        </w:tc>
        <w:tc>
          <w:tcPr>
            <w:tcW w:w="4760" w:type="dxa"/>
            <w:tcBorders>
              <w:top w:val="nil"/>
              <w:left w:val="nil"/>
              <w:bottom w:val="single" w:color="auto" w:sz="8" w:space="0"/>
              <w:right w:val="single" w:color="auto" w:sz="8" w:space="0"/>
            </w:tcBorders>
            <w:vAlign w:val="center"/>
          </w:tcPr>
          <w:p w14:paraId="5159119D">
            <w:pPr>
              <w:widowControl/>
              <w:adjustRightInd/>
              <w:rPr>
                <w:rFonts w:ascii="宋体" w:hAnsi="宋体" w:cs="宋体"/>
                <w:kern w:val="0"/>
                <w:sz w:val="24"/>
                <w:highlight w:val="none"/>
              </w:rPr>
            </w:pPr>
            <w:r>
              <w:rPr>
                <w:rFonts w:hint="eastAsia" w:ascii="宋体" w:hAnsi="宋体" w:cs="宋体"/>
                <w:kern w:val="0"/>
                <w:sz w:val="24"/>
                <w:highlight w:val="none"/>
              </w:rPr>
              <w:t>主板支持</w:t>
            </w:r>
            <w:r>
              <w:rPr>
                <w:rFonts w:ascii="宋体" w:hAnsi="宋体" w:cs="宋体"/>
                <w:kern w:val="0"/>
                <w:sz w:val="24"/>
                <w:highlight w:val="none"/>
              </w:rPr>
              <w:t xml:space="preserve">CPU </w:t>
            </w:r>
            <w:r>
              <w:rPr>
                <w:rFonts w:hint="eastAsia" w:ascii="宋体" w:hAnsi="宋体" w:cs="宋体"/>
                <w:kern w:val="0"/>
                <w:sz w:val="24"/>
                <w:highlight w:val="none"/>
              </w:rPr>
              <w:t>≥</w:t>
            </w:r>
            <w:r>
              <w:rPr>
                <w:rFonts w:ascii="宋体" w:hAnsi="宋体" w:cs="宋体"/>
                <w:kern w:val="0"/>
                <w:sz w:val="24"/>
                <w:highlight w:val="none"/>
              </w:rPr>
              <w:t>2颗，内存数量支持≥32个；</w:t>
            </w:r>
          </w:p>
          <w:p w14:paraId="1C2C4831">
            <w:pPr>
              <w:widowControl/>
              <w:adjustRightInd/>
              <w:rPr>
                <w:rFonts w:ascii="宋体" w:hAnsi="宋体" w:cs="宋体"/>
                <w:kern w:val="0"/>
                <w:sz w:val="24"/>
                <w:highlight w:val="none"/>
              </w:rPr>
            </w:pPr>
          </w:p>
          <w:p w14:paraId="6F78A529">
            <w:pPr>
              <w:widowControl/>
              <w:adjustRightInd/>
              <w:rPr>
                <w:rFonts w:ascii="宋体" w:hAnsi="宋体" w:cs="宋体"/>
                <w:kern w:val="0"/>
                <w:sz w:val="24"/>
                <w:highlight w:val="none"/>
              </w:rPr>
            </w:pPr>
            <w:r>
              <w:rPr>
                <w:rFonts w:hint="eastAsia" w:ascii="宋体" w:hAnsi="宋体" w:cs="宋体"/>
                <w:kern w:val="0"/>
                <w:sz w:val="24"/>
                <w:highlight w:val="none"/>
              </w:rPr>
              <w:t>供应商应在投标时给出主板支持的</w:t>
            </w:r>
            <w:r>
              <w:rPr>
                <w:rFonts w:ascii="宋体" w:hAnsi="宋体" w:cs="宋体"/>
                <w:kern w:val="0"/>
                <w:sz w:val="24"/>
                <w:highlight w:val="none"/>
              </w:rPr>
              <w:t>CPU型号；</w:t>
            </w:r>
          </w:p>
        </w:tc>
      </w:tr>
      <w:tr w14:paraId="0485CEB8">
        <w:tblPrEx>
          <w:tblCellMar>
            <w:top w:w="0" w:type="dxa"/>
            <w:left w:w="108" w:type="dxa"/>
            <w:bottom w:w="0" w:type="dxa"/>
            <w:right w:w="108" w:type="dxa"/>
          </w:tblCellMar>
        </w:tblPrEx>
        <w:trPr>
          <w:trHeight w:val="636" w:hRule="atLeast"/>
        </w:trPr>
        <w:tc>
          <w:tcPr>
            <w:tcW w:w="980" w:type="dxa"/>
            <w:tcBorders>
              <w:top w:val="nil"/>
              <w:left w:val="single" w:color="auto" w:sz="8" w:space="0"/>
              <w:bottom w:val="single" w:color="auto" w:sz="8" w:space="0"/>
              <w:right w:val="nil"/>
            </w:tcBorders>
            <w:vAlign w:val="center"/>
          </w:tcPr>
          <w:p w14:paraId="6F5227A0">
            <w:pPr>
              <w:widowControl/>
              <w:adjustRightInd/>
              <w:jc w:val="center"/>
              <w:rPr>
                <w:rFonts w:ascii="宋体" w:hAnsi="宋体" w:cs="宋体"/>
                <w:kern w:val="0"/>
                <w:sz w:val="24"/>
                <w:highlight w:val="none"/>
              </w:rPr>
            </w:pPr>
            <w:r>
              <w:rPr>
                <w:rFonts w:ascii="宋体" w:hAnsi="宋体" w:cs="宋体"/>
                <w:kern w:val="0"/>
                <w:sz w:val="24"/>
                <w:highlight w:val="none"/>
              </w:rPr>
              <w:t>3</w:t>
            </w:r>
          </w:p>
        </w:tc>
        <w:tc>
          <w:tcPr>
            <w:tcW w:w="980" w:type="dxa"/>
            <w:vMerge w:val="continue"/>
            <w:tcBorders>
              <w:top w:val="nil"/>
              <w:left w:val="single" w:color="auto" w:sz="8" w:space="0"/>
              <w:bottom w:val="single" w:color="000000" w:sz="8" w:space="0"/>
              <w:right w:val="single" w:color="auto" w:sz="8" w:space="0"/>
            </w:tcBorders>
            <w:vAlign w:val="center"/>
          </w:tcPr>
          <w:p w14:paraId="192B4FA4">
            <w:pPr>
              <w:widowControl/>
              <w:adjustRightInd/>
              <w:jc w:val="left"/>
              <w:rPr>
                <w:rFonts w:ascii="宋体" w:hAnsi="宋体" w:cs="宋体"/>
                <w:kern w:val="0"/>
                <w:sz w:val="24"/>
                <w:highlight w:val="none"/>
              </w:rPr>
            </w:pPr>
          </w:p>
        </w:tc>
        <w:tc>
          <w:tcPr>
            <w:tcW w:w="1580" w:type="dxa"/>
            <w:tcBorders>
              <w:top w:val="nil"/>
              <w:left w:val="nil"/>
              <w:bottom w:val="single" w:color="auto" w:sz="8" w:space="0"/>
              <w:right w:val="single" w:color="auto" w:sz="8" w:space="0"/>
            </w:tcBorders>
            <w:vAlign w:val="center"/>
          </w:tcPr>
          <w:p w14:paraId="3B204665">
            <w:pPr>
              <w:widowControl/>
              <w:adjustRightInd/>
              <w:jc w:val="center"/>
              <w:rPr>
                <w:rFonts w:ascii="宋体" w:hAnsi="宋体" w:cs="宋体"/>
                <w:kern w:val="0"/>
                <w:sz w:val="24"/>
                <w:highlight w:val="none"/>
              </w:rPr>
            </w:pPr>
            <w:r>
              <w:rPr>
                <w:rFonts w:hint="eastAsia" w:ascii="宋体" w:hAnsi="宋体" w:cs="宋体"/>
                <w:kern w:val="0"/>
                <w:sz w:val="24"/>
                <w:highlight w:val="none"/>
              </w:rPr>
              <w:t>▲主板内存槽数量</w:t>
            </w:r>
          </w:p>
        </w:tc>
        <w:tc>
          <w:tcPr>
            <w:tcW w:w="4760" w:type="dxa"/>
            <w:tcBorders>
              <w:top w:val="nil"/>
              <w:left w:val="nil"/>
              <w:bottom w:val="single" w:color="auto" w:sz="8" w:space="0"/>
              <w:right w:val="single" w:color="auto" w:sz="8" w:space="0"/>
            </w:tcBorders>
            <w:vAlign w:val="center"/>
          </w:tcPr>
          <w:p w14:paraId="2A426285">
            <w:pPr>
              <w:widowControl/>
              <w:adjustRightInd/>
              <w:rPr>
                <w:rFonts w:ascii="宋体" w:hAnsi="宋体" w:cs="宋体"/>
                <w:kern w:val="0"/>
                <w:sz w:val="24"/>
                <w:highlight w:val="none"/>
              </w:rPr>
            </w:pPr>
            <w:r>
              <w:rPr>
                <w:rFonts w:hint="eastAsia" w:ascii="宋体" w:hAnsi="宋体" w:cs="宋体"/>
                <w:kern w:val="0"/>
                <w:sz w:val="24"/>
                <w:highlight w:val="none"/>
              </w:rPr>
              <w:t>主板内存槽数量≥</w:t>
            </w:r>
            <w:r>
              <w:rPr>
                <w:rFonts w:ascii="宋体" w:hAnsi="宋体" w:cs="宋体"/>
                <w:kern w:val="0"/>
                <w:sz w:val="24"/>
                <w:highlight w:val="none"/>
              </w:rPr>
              <w:t>32个</w:t>
            </w:r>
          </w:p>
        </w:tc>
      </w:tr>
      <w:tr w14:paraId="2D816AF2">
        <w:tblPrEx>
          <w:tblCellMar>
            <w:top w:w="0" w:type="dxa"/>
            <w:left w:w="108" w:type="dxa"/>
            <w:bottom w:w="0" w:type="dxa"/>
            <w:right w:w="108" w:type="dxa"/>
          </w:tblCellMar>
        </w:tblPrEx>
        <w:trPr>
          <w:trHeight w:val="2820" w:hRule="atLeast"/>
        </w:trPr>
        <w:tc>
          <w:tcPr>
            <w:tcW w:w="980" w:type="dxa"/>
            <w:tcBorders>
              <w:top w:val="nil"/>
              <w:left w:val="single" w:color="auto" w:sz="8" w:space="0"/>
              <w:bottom w:val="single" w:color="auto" w:sz="8" w:space="0"/>
              <w:right w:val="nil"/>
            </w:tcBorders>
            <w:vAlign w:val="center"/>
          </w:tcPr>
          <w:p w14:paraId="0339FBDE">
            <w:pPr>
              <w:widowControl/>
              <w:tabs>
                <w:tab w:val="left" w:pos="432"/>
              </w:tabs>
              <w:adjustRightInd/>
              <w:spacing w:before="40" w:after="160"/>
              <w:ind w:left="432" w:hanging="432"/>
              <w:contextualSpacing/>
              <w:jc w:val="center"/>
              <w:rPr>
                <w:rFonts w:ascii="宋体" w:hAnsi="宋体" w:cs="宋体"/>
                <w:kern w:val="0"/>
                <w:sz w:val="24"/>
                <w:highlight w:val="none"/>
              </w:rPr>
            </w:pPr>
            <w:r>
              <w:rPr>
                <w:rFonts w:ascii="宋体" w:hAnsi="宋体" w:cs="宋体"/>
                <w:kern w:val="0"/>
                <w:sz w:val="24"/>
                <w:highlight w:val="none"/>
              </w:rPr>
              <w:t>4</w:t>
            </w:r>
          </w:p>
        </w:tc>
        <w:tc>
          <w:tcPr>
            <w:tcW w:w="980" w:type="dxa"/>
            <w:vMerge w:val="continue"/>
            <w:tcBorders>
              <w:top w:val="nil"/>
              <w:left w:val="single" w:color="auto" w:sz="8" w:space="0"/>
              <w:bottom w:val="single" w:color="000000" w:sz="8" w:space="0"/>
              <w:right w:val="single" w:color="auto" w:sz="8" w:space="0"/>
            </w:tcBorders>
            <w:vAlign w:val="center"/>
          </w:tcPr>
          <w:p w14:paraId="5DA38E45">
            <w:pPr>
              <w:widowControl/>
              <w:adjustRightInd/>
              <w:jc w:val="left"/>
              <w:rPr>
                <w:rFonts w:ascii="宋体" w:hAnsi="宋体" w:cs="宋体"/>
                <w:kern w:val="0"/>
                <w:sz w:val="24"/>
                <w:highlight w:val="none"/>
              </w:rPr>
            </w:pPr>
          </w:p>
        </w:tc>
        <w:tc>
          <w:tcPr>
            <w:tcW w:w="1580" w:type="dxa"/>
            <w:tcBorders>
              <w:top w:val="nil"/>
              <w:left w:val="nil"/>
              <w:bottom w:val="nil"/>
              <w:right w:val="single" w:color="auto" w:sz="8" w:space="0"/>
            </w:tcBorders>
            <w:vAlign w:val="center"/>
          </w:tcPr>
          <w:p w14:paraId="3618FF6A">
            <w:pPr>
              <w:widowControl/>
              <w:adjustRightInd/>
              <w:jc w:val="center"/>
              <w:rPr>
                <w:rFonts w:ascii="宋体" w:hAnsi="宋体" w:cs="宋体"/>
                <w:kern w:val="0"/>
                <w:sz w:val="24"/>
                <w:highlight w:val="none"/>
              </w:rPr>
            </w:pPr>
            <w:r>
              <w:rPr>
                <w:rFonts w:hint="eastAsia" w:ascii="宋体" w:hAnsi="宋体" w:cs="宋体"/>
                <w:kern w:val="0"/>
                <w:sz w:val="24"/>
                <w:highlight w:val="none"/>
              </w:rPr>
              <w:t>▲主板存储接口</w:t>
            </w:r>
          </w:p>
        </w:tc>
        <w:tc>
          <w:tcPr>
            <w:tcW w:w="4760" w:type="dxa"/>
            <w:tcBorders>
              <w:top w:val="nil"/>
              <w:left w:val="nil"/>
              <w:bottom w:val="single" w:color="auto" w:sz="8" w:space="0"/>
              <w:right w:val="single" w:color="auto" w:sz="8" w:space="0"/>
            </w:tcBorders>
            <w:vAlign w:val="center"/>
          </w:tcPr>
          <w:p w14:paraId="73779A63">
            <w:pPr>
              <w:widowControl/>
              <w:adjustRightInd/>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1）前置可支持≥12个前置热插拔3.5硬盘或24个2.5硬盘，支持SAS/SATA/NVMe SSD</w:t>
            </w:r>
          </w:p>
          <w:p w14:paraId="72A2ACB0">
            <w:pPr>
              <w:widowControl/>
              <w:adjustRightInd/>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2）板载可支持≥8个U.2 NVMe SSD</w:t>
            </w:r>
          </w:p>
          <w:p w14:paraId="17F94029">
            <w:pPr>
              <w:widowControl/>
              <w:adjustRightInd/>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 xml:space="preserve">3）板载可支持2个内置M.2 SSD，兼容PCIe </w:t>
            </w:r>
            <w:r>
              <w:rPr>
                <w:rFonts w:hint="eastAsia" w:ascii="宋体" w:hAnsi="宋体" w:cs="宋体"/>
                <w:kern w:val="0"/>
                <w:sz w:val="24"/>
                <w:highlight w:val="none"/>
              </w:rPr>
              <w:t>和</w:t>
            </w:r>
            <w:r>
              <w:rPr>
                <w:rFonts w:ascii="宋体" w:hAnsi="宋体" w:cs="宋体"/>
                <w:kern w:val="0"/>
                <w:sz w:val="24"/>
                <w:highlight w:val="none"/>
              </w:rPr>
              <w:t>SATA规格，支持2个SATA M.2组RAID</w:t>
            </w:r>
          </w:p>
          <w:p w14:paraId="0762E5CC">
            <w:pPr>
              <w:widowControl/>
              <w:adjustRightInd/>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4）后置可支持≥4个2.5寸硬盘，支持anybay</w:t>
            </w:r>
          </w:p>
          <w:p w14:paraId="10C657D3">
            <w:pPr>
              <w:widowControl/>
              <w:adjustRightInd/>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5）后置可支持≥4个3.5寸硬盘，支持SAS/SATA/SSD</w:t>
            </w:r>
          </w:p>
        </w:tc>
      </w:tr>
      <w:tr w14:paraId="7AF1A99F">
        <w:tblPrEx>
          <w:tblCellMar>
            <w:top w:w="0" w:type="dxa"/>
            <w:left w:w="108" w:type="dxa"/>
            <w:bottom w:w="0" w:type="dxa"/>
            <w:right w:w="108" w:type="dxa"/>
          </w:tblCellMar>
        </w:tblPrEx>
        <w:trPr>
          <w:trHeight w:val="1572" w:hRule="atLeast"/>
        </w:trPr>
        <w:tc>
          <w:tcPr>
            <w:tcW w:w="980" w:type="dxa"/>
            <w:tcBorders>
              <w:top w:val="nil"/>
              <w:left w:val="single" w:color="auto" w:sz="8" w:space="0"/>
              <w:bottom w:val="single" w:color="auto" w:sz="8" w:space="0"/>
              <w:right w:val="nil"/>
            </w:tcBorders>
            <w:vAlign w:val="center"/>
          </w:tcPr>
          <w:p w14:paraId="7849D5B5">
            <w:pPr>
              <w:widowControl/>
              <w:adjustRightInd/>
              <w:jc w:val="center"/>
              <w:rPr>
                <w:rFonts w:ascii="宋体" w:hAnsi="宋体" w:cs="宋体"/>
                <w:kern w:val="0"/>
                <w:sz w:val="24"/>
                <w:highlight w:val="none"/>
              </w:rPr>
            </w:pPr>
            <w:r>
              <w:rPr>
                <w:rFonts w:ascii="宋体" w:hAnsi="宋体" w:cs="宋体"/>
                <w:kern w:val="0"/>
                <w:sz w:val="24"/>
                <w:highlight w:val="none"/>
              </w:rPr>
              <w:t>5</w:t>
            </w:r>
          </w:p>
        </w:tc>
        <w:tc>
          <w:tcPr>
            <w:tcW w:w="980" w:type="dxa"/>
            <w:vMerge w:val="continue"/>
            <w:tcBorders>
              <w:top w:val="nil"/>
              <w:left w:val="single" w:color="auto" w:sz="8" w:space="0"/>
              <w:bottom w:val="single" w:color="000000" w:sz="8" w:space="0"/>
              <w:right w:val="single" w:color="auto" w:sz="8" w:space="0"/>
            </w:tcBorders>
            <w:vAlign w:val="center"/>
          </w:tcPr>
          <w:p w14:paraId="641612B5">
            <w:pPr>
              <w:widowControl/>
              <w:adjustRightInd/>
              <w:jc w:val="left"/>
              <w:rPr>
                <w:rFonts w:ascii="宋体" w:hAnsi="宋体" w:cs="宋体"/>
                <w:kern w:val="0"/>
                <w:sz w:val="24"/>
                <w:highlight w:val="none"/>
              </w:rPr>
            </w:pPr>
          </w:p>
        </w:tc>
        <w:tc>
          <w:tcPr>
            <w:tcW w:w="1580" w:type="dxa"/>
            <w:tcBorders>
              <w:top w:val="single" w:color="auto" w:sz="8" w:space="0"/>
              <w:left w:val="nil"/>
              <w:bottom w:val="single" w:color="auto" w:sz="8" w:space="0"/>
              <w:right w:val="single" w:color="auto" w:sz="8" w:space="0"/>
            </w:tcBorders>
            <w:vAlign w:val="center"/>
          </w:tcPr>
          <w:p w14:paraId="0F061535">
            <w:pPr>
              <w:widowControl/>
              <w:adjustRightInd/>
              <w:jc w:val="center"/>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 xml:space="preserve">PCIe </w:t>
            </w:r>
            <w:r>
              <w:rPr>
                <w:rFonts w:hint="eastAsia" w:ascii="宋体" w:hAnsi="宋体" w:cs="宋体"/>
                <w:kern w:val="0"/>
                <w:sz w:val="24"/>
                <w:highlight w:val="none"/>
              </w:rPr>
              <w:t>插槽接口</w:t>
            </w:r>
          </w:p>
        </w:tc>
        <w:tc>
          <w:tcPr>
            <w:tcW w:w="4760" w:type="dxa"/>
            <w:tcBorders>
              <w:top w:val="nil"/>
              <w:left w:val="nil"/>
              <w:bottom w:val="single" w:color="auto" w:sz="8" w:space="0"/>
              <w:right w:val="single" w:color="auto" w:sz="8" w:space="0"/>
            </w:tcBorders>
            <w:vAlign w:val="center"/>
          </w:tcPr>
          <w:p w14:paraId="50ECE506">
            <w:pPr>
              <w:widowControl/>
              <w:adjustRightInd/>
              <w:rPr>
                <w:rFonts w:ascii="宋体" w:hAnsi="宋体" w:cs="宋体"/>
                <w:kern w:val="0"/>
                <w:sz w:val="24"/>
                <w:highlight w:val="none"/>
              </w:rPr>
            </w:pPr>
            <w:r>
              <w:rPr>
                <w:rFonts w:hint="eastAsia" w:ascii="宋体" w:hAnsi="宋体" w:cs="宋体"/>
                <w:kern w:val="0"/>
                <w:sz w:val="24"/>
                <w:highlight w:val="none"/>
              </w:rPr>
              <w:t>符合 PCIe3.0 或以上的高速串行计算机扩展总线标准，PCIe 的接口速率与位宽需保证向下兼容</w:t>
            </w:r>
          </w:p>
        </w:tc>
      </w:tr>
      <w:tr w14:paraId="1906E500">
        <w:tblPrEx>
          <w:tblCellMar>
            <w:top w:w="0" w:type="dxa"/>
            <w:left w:w="108" w:type="dxa"/>
            <w:bottom w:w="0" w:type="dxa"/>
            <w:right w:w="108" w:type="dxa"/>
          </w:tblCellMar>
        </w:tblPrEx>
        <w:trPr>
          <w:trHeight w:val="948" w:hRule="atLeast"/>
        </w:trPr>
        <w:tc>
          <w:tcPr>
            <w:tcW w:w="980" w:type="dxa"/>
            <w:tcBorders>
              <w:top w:val="nil"/>
              <w:left w:val="single" w:color="auto" w:sz="8" w:space="0"/>
              <w:bottom w:val="single" w:color="auto" w:sz="8" w:space="0"/>
              <w:right w:val="nil"/>
            </w:tcBorders>
            <w:vAlign w:val="center"/>
          </w:tcPr>
          <w:p w14:paraId="427A46B8">
            <w:pPr>
              <w:widowControl/>
              <w:adjustRightInd/>
              <w:jc w:val="center"/>
              <w:rPr>
                <w:rFonts w:ascii="宋体" w:hAnsi="宋体" w:cs="宋体"/>
                <w:kern w:val="0"/>
                <w:sz w:val="24"/>
                <w:highlight w:val="none"/>
              </w:rPr>
            </w:pPr>
            <w:r>
              <w:rPr>
                <w:rFonts w:ascii="宋体" w:hAnsi="宋体" w:cs="宋体"/>
                <w:kern w:val="0"/>
                <w:sz w:val="24"/>
                <w:highlight w:val="none"/>
              </w:rPr>
              <w:t>6</w:t>
            </w:r>
          </w:p>
        </w:tc>
        <w:tc>
          <w:tcPr>
            <w:tcW w:w="980" w:type="dxa"/>
            <w:vMerge w:val="continue"/>
            <w:tcBorders>
              <w:top w:val="nil"/>
              <w:left w:val="single" w:color="auto" w:sz="8" w:space="0"/>
              <w:bottom w:val="single" w:color="000000" w:sz="8" w:space="0"/>
              <w:right w:val="single" w:color="auto" w:sz="8" w:space="0"/>
            </w:tcBorders>
            <w:vAlign w:val="center"/>
          </w:tcPr>
          <w:p w14:paraId="3B9DF8F5">
            <w:pPr>
              <w:widowControl/>
              <w:adjustRightInd/>
              <w:jc w:val="left"/>
              <w:rPr>
                <w:rFonts w:ascii="宋体" w:hAnsi="宋体" w:cs="宋体"/>
                <w:kern w:val="0"/>
                <w:sz w:val="24"/>
                <w:highlight w:val="none"/>
              </w:rPr>
            </w:pPr>
          </w:p>
        </w:tc>
        <w:tc>
          <w:tcPr>
            <w:tcW w:w="1580" w:type="dxa"/>
            <w:tcBorders>
              <w:top w:val="nil"/>
              <w:left w:val="nil"/>
              <w:bottom w:val="single" w:color="auto" w:sz="8" w:space="0"/>
              <w:right w:val="single" w:color="auto" w:sz="8" w:space="0"/>
            </w:tcBorders>
            <w:vAlign w:val="center"/>
          </w:tcPr>
          <w:p w14:paraId="7644079F">
            <w:pPr>
              <w:widowControl/>
              <w:adjustRightInd/>
              <w:jc w:val="center"/>
              <w:rPr>
                <w:rFonts w:ascii="宋体" w:hAnsi="宋体" w:cs="宋体"/>
                <w:kern w:val="0"/>
                <w:sz w:val="24"/>
                <w:highlight w:val="none"/>
              </w:rPr>
            </w:pPr>
            <w:r>
              <w:rPr>
                <w:rFonts w:hint="eastAsia" w:ascii="宋体" w:hAnsi="宋体" w:cs="宋体"/>
                <w:kern w:val="0"/>
                <w:sz w:val="24"/>
                <w:highlight w:val="none"/>
              </w:rPr>
              <w:t>▲主板</w:t>
            </w:r>
            <w:r>
              <w:rPr>
                <w:rFonts w:ascii="宋体" w:hAnsi="宋体" w:cs="宋体"/>
                <w:kern w:val="0"/>
                <w:sz w:val="24"/>
                <w:highlight w:val="none"/>
              </w:rPr>
              <w:t xml:space="preserve"> PCIe </w:t>
            </w:r>
            <w:r>
              <w:rPr>
                <w:rFonts w:hint="eastAsia" w:ascii="宋体" w:hAnsi="宋体" w:cs="宋体"/>
                <w:kern w:val="0"/>
                <w:sz w:val="24"/>
                <w:highlight w:val="none"/>
              </w:rPr>
              <w:t>插槽数量及规格</w:t>
            </w:r>
          </w:p>
        </w:tc>
        <w:tc>
          <w:tcPr>
            <w:tcW w:w="4760" w:type="dxa"/>
            <w:tcBorders>
              <w:top w:val="nil"/>
              <w:left w:val="nil"/>
              <w:bottom w:val="single" w:color="auto" w:sz="8" w:space="0"/>
              <w:right w:val="single" w:color="auto" w:sz="8" w:space="0"/>
            </w:tcBorders>
            <w:vAlign w:val="center"/>
          </w:tcPr>
          <w:p w14:paraId="28CA190A">
            <w:pPr>
              <w:widowControl/>
              <w:adjustRightInd/>
              <w:rPr>
                <w:rFonts w:ascii="宋体" w:hAnsi="宋体" w:cs="宋体"/>
                <w:kern w:val="0"/>
                <w:sz w:val="24"/>
                <w:highlight w:val="none"/>
              </w:rPr>
            </w:pPr>
            <w:r>
              <w:rPr>
                <w:rFonts w:hint="eastAsia" w:ascii="宋体" w:hAnsi="宋体" w:cs="宋体"/>
                <w:kern w:val="0"/>
                <w:sz w:val="24"/>
                <w:highlight w:val="none"/>
              </w:rPr>
              <w:t>支持直插主板的riser方式扩展≥8个全高PCIe 4.0标准卡</w:t>
            </w:r>
          </w:p>
          <w:p w14:paraId="5638AEAD">
            <w:pPr>
              <w:widowControl/>
              <w:adjustRightInd/>
              <w:rPr>
                <w:rFonts w:ascii="宋体" w:hAnsi="宋体" w:cs="宋体"/>
                <w:kern w:val="0"/>
                <w:sz w:val="24"/>
                <w:highlight w:val="none"/>
              </w:rPr>
            </w:pPr>
            <w:r>
              <w:rPr>
                <w:rFonts w:hint="eastAsia" w:ascii="宋体" w:hAnsi="宋体" w:cs="宋体"/>
                <w:kern w:val="0"/>
                <w:sz w:val="24"/>
                <w:highlight w:val="none"/>
              </w:rPr>
              <w:t>支持1个直插主板的内置RAID卡PCIe标准插槽，不使用线缆连接，不占用后置PCIe标准卡槽位，可通过扩展卡进行插槽扩展</w:t>
            </w:r>
          </w:p>
        </w:tc>
      </w:tr>
      <w:tr w14:paraId="4EB36454">
        <w:tblPrEx>
          <w:tblCellMar>
            <w:top w:w="0" w:type="dxa"/>
            <w:left w:w="108" w:type="dxa"/>
            <w:bottom w:w="0" w:type="dxa"/>
            <w:right w:w="108" w:type="dxa"/>
          </w:tblCellMar>
        </w:tblPrEx>
        <w:trPr>
          <w:trHeight w:val="324" w:hRule="atLeast"/>
        </w:trPr>
        <w:tc>
          <w:tcPr>
            <w:tcW w:w="980" w:type="dxa"/>
            <w:tcBorders>
              <w:top w:val="nil"/>
              <w:left w:val="single" w:color="auto" w:sz="8" w:space="0"/>
              <w:bottom w:val="single" w:color="auto" w:sz="8" w:space="0"/>
              <w:right w:val="nil"/>
            </w:tcBorders>
            <w:vAlign w:val="center"/>
          </w:tcPr>
          <w:p w14:paraId="6B02F51F">
            <w:pPr>
              <w:widowControl/>
              <w:adjustRightInd/>
              <w:jc w:val="center"/>
              <w:rPr>
                <w:rFonts w:ascii="宋体" w:hAnsi="宋体" w:cs="宋体"/>
                <w:kern w:val="0"/>
                <w:sz w:val="24"/>
                <w:highlight w:val="none"/>
              </w:rPr>
            </w:pPr>
            <w:r>
              <w:rPr>
                <w:rFonts w:ascii="宋体" w:hAnsi="宋体" w:cs="宋体"/>
                <w:kern w:val="0"/>
                <w:sz w:val="24"/>
                <w:highlight w:val="none"/>
              </w:rPr>
              <w:t>7</w:t>
            </w:r>
          </w:p>
        </w:tc>
        <w:tc>
          <w:tcPr>
            <w:tcW w:w="980" w:type="dxa"/>
            <w:vMerge w:val="restart"/>
            <w:tcBorders>
              <w:top w:val="nil"/>
              <w:left w:val="single" w:color="auto" w:sz="8" w:space="0"/>
              <w:bottom w:val="single" w:color="000000" w:sz="8" w:space="0"/>
              <w:right w:val="single" w:color="auto" w:sz="8" w:space="0"/>
            </w:tcBorders>
            <w:vAlign w:val="center"/>
          </w:tcPr>
          <w:p w14:paraId="1619AC14">
            <w:pPr>
              <w:widowControl/>
              <w:adjustRightInd/>
              <w:jc w:val="center"/>
              <w:rPr>
                <w:rFonts w:ascii="宋体" w:hAnsi="宋体" w:cs="宋体"/>
                <w:kern w:val="0"/>
                <w:sz w:val="24"/>
                <w:highlight w:val="none"/>
              </w:rPr>
            </w:pPr>
            <w:r>
              <w:rPr>
                <w:rFonts w:hint="eastAsia" w:ascii="宋体" w:hAnsi="宋体" w:cs="宋体"/>
                <w:kern w:val="0"/>
                <w:sz w:val="24"/>
                <w:highlight w:val="none"/>
              </w:rPr>
              <w:t>▲内存规格</w:t>
            </w:r>
          </w:p>
        </w:tc>
        <w:tc>
          <w:tcPr>
            <w:tcW w:w="1580" w:type="dxa"/>
            <w:tcBorders>
              <w:top w:val="nil"/>
              <w:left w:val="nil"/>
              <w:bottom w:val="single" w:color="auto" w:sz="8" w:space="0"/>
              <w:right w:val="single" w:color="auto" w:sz="8" w:space="0"/>
            </w:tcBorders>
            <w:vAlign w:val="center"/>
          </w:tcPr>
          <w:p w14:paraId="6FDF6002">
            <w:pPr>
              <w:widowControl/>
              <w:adjustRightInd/>
              <w:jc w:val="center"/>
              <w:rPr>
                <w:rFonts w:ascii="宋体" w:hAnsi="宋体" w:cs="宋体"/>
                <w:kern w:val="0"/>
                <w:sz w:val="24"/>
                <w:highlight w:val="none"/>
              </w:rPr>
            </w:pPr>
            <w:r>
              <w:rPr>
                <w:rFonts w:hint="eastAsia" w:ascii="宋体" w:hAnsi="宋体" w:cs="宋体"/>
                <w:kern w:val="0"/>
                <w:sz w:val="24"/>
                <w:highlight w:val="none"/>
              </w:rPr>
              <w:t>▲内存数量</w:t>
            </w:r>
          </w:p>
        </w:tc>
        <w:tc>
          <w:tcPr>
            <w:tcW w:w="4760" w:type="dxa"/>
            <w:tcBorders>
              <w:top w:val="nil"/>
              <w:left w:val="nil"/>
              <w:bottom w:val="single" w:color="auto" w:sz="8" w:space="0"/>
              <w:right w:val="single" w:color="auto" w:sz="8" w:space="0"/>
            </w:tcBorders>
            <w:vAlign w:val="center"/>
          </w:tcPr>
          <w:p w14:paraId="4BFF531C">
            <w:pPr>
              <w:widowControl/>
              <w:adjustRightInd/>
              <w:rPr>
                <w:rFonts w:ascii="宋体" w:hAnsi="宋体" w:cs="宋体"/>
                <w:kern w:val="0"/>
                <w:sz w:val="24"/>
                <w:highlight w:val="none"/>
              </w:rPr>
            </w:pPr>
            <w:r>
              <w:rPr>
                <w:rFonts w:hint="eastAsia" w:ascii="宋体" w:hAnsi="宋体" w:cs="宋体"/>
                <w:kern w:val="0"/>
                <w:sz w:val="24"/>
                <w:highlight w:val="none"/>
              </w:rPr>
              <w:t>内存数量≥</w:t>
            </w:r>
            <w:r>
              <w:rPr>
                <w:rFonts w:ascii="宋体" w:hAnsi="宋体" w:cs="宋体"/>
                <w:kern w:val="0"/>
                <w:sz w:val="24"/>
                <w:highlight w:val="none"/>
              </w:rPr>
              <w:t>12</w:t>
            </w:r>
          </w:p>
        </w:tc>
      </w:tr>
      <w:tr w14:paraId="724762CB">
        <w:tblPrEx>
          <w:tblCellMar>
            <w:top w:w="0" w:type="dxa"/>
            <w:left w:w="108" w:type="dxa"/>
            <w:bottom w:w="0" w:type="dxa"/>
            <w:right w:w="108" w:type="dxa"/>
          </w:tblCellMar>
        </w:tblPrEx>
        <w:trPr>
          <w:trHeight w:val="324" w:hRule="atLeast"/>
        </w:trPr>
        <w:tc>
          <w:tcPr>
            <w:tcW w:w="980" w:type="dxa"/>
            <w:tcBorders>
              <w:top w:val="nil"/>
              <w:left w:val="single" w:color="auto" w:sz="8" w:space="0"/>
              <w:bottom w:val="single" w:color="auto" w:sz="8" w:space="0"/>
              <w:right w:val="nil"/>
            </w:tcBorders>
            <w:vAlign w:val="center"/>
          </w:tcPr>
          <w:p w14:paraId="2393AEA2">
            <w:pPr>
              <w:widowControl/>
              <w:adjustRightInd/>
              <w:jc w:val="center"/>
              <w:rPr>
                <w:rFonts w:ascii="宋体" w:hAnsi="宋体" w:cs="宋体"/>
                <w:kern w:val="0"/>
                <w:sz w:val="24"/>
                <w:highlight w:val="none"/>
              </w:rPr>
            </w:pPr>
            <w:r>
              <w:rPr>
                <w:rFonts w:ascii="宋体" w:hAnsi="宋体" w:cs="宋体"/>
                <w:kern w:val="0"/>
                <w:sz w:val="24"/>
                <w:highlight w:val="none"/>
              </w:rPr>
              <w:t>8</w:t>
            </w:r>
          </w:p>
        </w:tc>
        <w:tc>
          <w:tcPr>
            <w:tcW w:w="980" w:type="dxa"/>
            <w:vMerge w:val="continue"/>
            <w:tcBorders>
              <w:top w:val="nil"/>
              <w:left w:val="single" w:color="auto" w:sz="8" w:space="0"/>
              <w:bottom w:val="single" w:color="000000" w:sz="8" w:space="0"/>
              <w:right w:val="single" w:color="auto" w:sz="8" w:space="0"/>
            </w:tcBorders>
            <w:vAlign w:val="center"/>
          </w:tcPr>
          <w:p w14:paraId="37C8950D">
            <w:pPr>
              <w:widowControl/>
              <w:adjustRightInd/>
              <w:jc w:val="left"/>
              <w:rPr>
                <w:rFonts w:ascii="宋体" w:hAnsi="宋体" w:cs="宋体"/>
                <w:kern w:val="0"/>
                <w:sz w:val="24"/>
                <w:highlight w:val="none"/>
              </w:rPr>
            </w:pPr>
          </w:p>
        </w:tc>
        <w:tc>
          <w:tcPr>
            <w:tcW w:w="1580" w:type="dxa"/>
            <w:tcBorders>
              <w:top w:val="nil"/>
              <w:left w:val="nil"/>
              <w:bottom w:val="single" w:color="auto" w:sz="8" w:space="0"/>
              <w:right w:val="single" w:color="auto" w:sz="8" w:space="0"/>
            </w:tcBorders>
            <w:vAlign w:val="center"/>
          </w:tcPr>
          <w:p w14:paraId="454EDC24">
            <w:pPr>
              <w:widowControl/>
              <w:adjustRightInd/>
              <w:jc w:val="center"/>
              <w:rPr>
                <w:rFonts w:ascii="宋体" w:hAnsi="宋体" w:cs="宋体"/>
                <w:kern w:val="0"/>
                <w:sz w:val="24"/>
                <w:highlight w:val="none"/>
              </w:rPr>
            </w:pPr>
            <w:r>
              <w:rPr>
                <w:rFonts w:hint="eastAsia" w:ascii="宋体" w:hAnsi="宋体" w:cs="宋体"/>
                <w:kern w:val="0"/>
                <w:sz w:val="24"/>
                <w:highlight w:val="none"/>
              </w:rPr>
              <w:t>▲内存规格</w:t>
            </w:r>
          </w:p>
        </w:tc>
        <w:tc>
          <w:tcPr>
            <w:tcW w:w="4760" w:type="dxa"/>
            <w:tcBorders>
              <w:top w:val="nil"/>
              <w:left w:val="nil"/>
              <w:bottom w:val="single" w:color="auto" w:sz="8" w:space="0"/>
              <w:right w:val="single" w:color="auto" w:sz="8" w:space="0"/>
            </w:tcBorders>
            <w:vAlign w:val="center"/>
          </w:tcPr>
          <w:p w14:paraId="65F175E5">
            <w:pPr>
              <w:widowControl/>
              <w:adjustRightInd/>
              <w:rPr>
                <w:rFonts w:ascii="宋体" w:hAnsi="宋体" w:cs="宋体"/>
                <w:kern w:val="0"/>
                <w:sz w:val="24"/>
                <w:highlight w:val="none"/>
              </w:rPr>
            </w:pPr>
            <w:r>
              <w:rPr>
                <w:rFonts w:hint="eastAsia" w:ascii="宋体" w:hAnsi="宋体" w:cs="宋体"/>
                <w:kern w:val="0"/>
                <w:sz w:val="24"/>
                <w:highlight w:val="none"/>
              </w:rPr>
              <w:t>实配≥</w:t>
            </w:r>
            <w:r>
              <w:rPr>
                <w:rFonts w:ascii="宋体" w:hAnsi="宋体" w:cs="宋体"/>
                <w:kern w:val="0"/>
                <w:sz w:val="24"/>
                <w:highlight w:val="none"/>
              </w:rPr>
              <w:t>384GB DDR4</w:t>
            </w:r>
          </w:p>
        </w:tc>
      </w:tr>
      <w:tr w14:paraId="5524EFC2">
        <w:tblPrEx>
          <w:tblCellMar>
            <w:top w:w="0" w:type="dxa"/>
            <w:left w:w="108" w:type="dxa"/>
            <w:bottom w:w="0" w:type="dxa"/>
            <w:right w:w="108" w:type="dxa"/>
          </w:tblCellMar>
        </w:tblPrEx>
        <w:trPr>
          <w:trHeight w:val="324" w:hRule="atLeast"/>
        </w:trPr>
        <w:tc>
          <w:tcPr>
            <w:tcW w:w="980" w:type="dxa"/>
            <w:tcBorders>
              <w:top w:val="nil"/>
              <w:left w:val="single" w:color="auto" w:sz="8" w:space="0"/>
              <w:bottom w:val="single" w:color="auto" w:sz="8" w:space="0"/>
              <w:right w:val="nil"/>
            </w:tcBorders>
            <w:vAlign w:val="center"/>
          </w:tcPr>
          <w:p w14:paraId="1A449E98">
            <w:pPr>
              <w:widowControl/>
              <w:adjustRightInd/>
              <w:jc w:val="center"/>
              <w:rPr>
                <w:rFonts w:ascii="宋体" w:hAnsi="宋体" w:cs="宋体"/>
                <w:kern w:val="0"/>
                <w:sz w:val="24"/>
                <w:highlight w:val="none"/>
              </w:rPr>
            </w:pPr>
            <w:r>
              <w:rPr>
                <w:rFonts w:ascii="宋体" w:hAnsi="宋体" w:cs="宋体"/>
                <w:kern w:val="0"/>
                <w:sz w:val="24"/>
                <w:highlight w:val="none"/>
              </w:rPr>
              <w:t>9</w:t>
            </w:r>
          </w:p>
        </w:tc>
        <w:tc>
          <w:tcPr>
            <w:tcW w:w="980" w:type="dxa"/>
            <w:vMerge w:val="continue"/>
            <w:tcBorders>
              <w:top w:val="nil"/>
              <w:left w:val="single" w:color="auto" w:sz="8" w:space="0"/>
              <w:bottom w:val="single" w:color="000000" w:sz="8" w:space="0"/>
              <w:right w:val="single" w:color="auto" w:sz="8" w:space="0"/>
            </w:tcBorders>
            <w:vAlign w:val="center"/>
          </w:tcPr>
          <w:p w14:paraId="5415DE38">
            <w:pPr>
              <w:widowControl/>
              <w:adjustRightInd/>
              <w:jc w:val="left"/>
              <w:rPr>
                <w:rFonts w:ascii="宋体" w:hAnsi="宋体" w:cs="宋体"/>
                <w:kern w:val="0"/>
                <w:sz w:val="24"/>
                <w:highlight w:val="none"/>
              </w:rPr>
            </w:pPr>
          </w:p>
        </w:tc>
        <w:tc>
          <w:tcPr>
            <w:tcW w:w="1580" w:type="dxa"/>
            <w:tcBorders>
              <w:top w:val="nil"/>
              <w:left w:val="nil"/>
              <w:bottom w:val="single" w:color="auto" w:sz="8" w:space="0"/>
              <w:right w:val="single" w:color="auto" w:sz="8" w:space="0"/>
            </w:tcBorders>
            <w:vAlign w:val="center"/>
          </w:tcPr>
          <w:p w14:paraId="1EFA5DE2">
            <w:pPr>
              <w:widowControl/>
              <w:adjustRightInd/>
              <w:jc w:val="center"/>
              <w:rPr>
                <w:rFonts w:ascii="宋体" w:hAnsi="宋体" w:cs="宋体"/>
                <w:kern w:val="0"/>
                <w:sz w:val="24"/>
                <w:highlight w:val="none"/>
              </w:rPr>
            </w:pPr>
            <w:r>
              <w:rPr>
                <w:rFonts w:hint="eastAsia" w:ascii="宋体" w:hAnsi="宋体" w:cs="宋体"/>
                <w:kern w:val="0"/>
                <w:sz w:val="24"/>
                <w:highlight w:val="none"/>
              </w:rPr>
              <w:t>▲内存通道</w:t>
            </w:r>
          </w:p>
        </w:tc>
        <w:tc>
          <w:tcPr>
            <w:tcW w:w="4760" w:type="dxa"/>
            <w:tcBorders>
              <w:top w:val="nil"/>
              <w:left w:val="nil"/>
              <w:bottom w:val="single" w:color="auto" w:sz="8" w:space="0"/>
              <w:right w:val="single" w:color="auto" w:sz="8" w:space="0"/>
            </w:tcBorders>
            <w:vAlign w:val="center"/>
          </w:tcPr>
          <w:p w14:paraId="360B20A9">
            <w:pPr>
              <w:widowControl/>
              <w:adjustRightInd/>
              <w:rPr>
                <w:rFonts w:ascii="宋体" w:hAnsi="宋体" w:cs="宋体"/>
                <w:kern w:val="0"/>
                <w:sz w:val="24"/>
                <w:highlight w:val="none"/>
              </w:rPr>
            </w:pPr>
            <w:r>
              <w:rPr>
                <w:rFonts w:hint="eastAsia" w:ascii="宋体" w:hAnsi="宋体" w:cs="宋体"/>
                <w:kern w:val="0"/>
                <w:sz w:val="24"/>
                <w:highlight w:val="none"/>
              </w:rPr>
              <w:t>支持≥</w:t>
            </w:r>
            <w:r>
              <w:rPr>
                <w:rFonts w:ascii="宋体" w:hAnsi="宋体" w:cs="宋体"/>
                <w:kern w:val="0"/>
                <w:sz w:val="24"/>
                <w:highlight w:val="none"/>
              </w:rPr>
              <w:t>8个内存接口通道</w:t>
            </w:r>
          </w:p>
        </w:tc>
      </w:tr>
      <w:tr w14:paraId="3EF6F852">
        <w:tblPrEx>
          <w:tblCellMar>
            <w:top w:w="0" w:type="dxa"/>
            <w:left w:w="108" w:type="dxa"/>
            <w:bottom w:w="0" w:type="dxa"/>
            <w:right w:w="108" w:type="dxa"/>
          </w:tblCellMar>
        </w:tblPrEx>
        <w:trPr>
          <w:trHeight w:val="636" w:hRule="atLeast"/>
        </w:trPr>
        <w:tc>
          <w:tcPr>
            <w:tcW w:w="980" w:type="dxa"/>
            <w:tcBorders>
              <w:top w:val="nil"/>
              <w:left w:val="single" w:color="auto" w:sz="8" w:space="0"/>
              <w:bottom w:val="single" w:color="auto" w:sz="8" w:space="0"/>
              <w:right w:val="nil"/>
            </w:tcBorders>
            <w:vAlign w:val="center"/>
          </w:tcPr>
          <w:p w14:paraId="5BE7DB31">
            <w:pPr>
              <w:widowControl/>
              <w:adjustRightInd/>
              <w:jc w:val="center"/>
              <w:rPr>
                <w:rFonts w:ascii="宋体" w:hAnsi="宋体" w:cs="宋体"/>
                <w:kern w:val="0"/>
                <w:sz w:val="24"/>
                <w:highlight w:val="none"/>
              </w:rPr>
            </w:pPr>
            <w:r>
              <w:rPr>
                <w:rFonts w:ascii="宋体" w:hAnsi="宋体" w:cs="宋体"/>
                <w:kern w:val="0"/>
                <w:sz w:val="24"/>
                <w:highlight w:val="none"/>
              </w:rPr>
              <w:t>10</w:t>
            </w:r>
          </w:p>
        </w:tc>
        <w:tc>
          <w:tcPr>
            <w:tcW w:w="980" w:type="dxa"/>
            <w:vMerge w:val="restart"/>
            <w:tcBorders>
              <w:top w:val="nil"/>
              <w:left w:val="single" w:color="auto" w:sz="8" w:space="0"/>
              <w:bottom w:val="single" w:color="000000" w:sz="8" w:space="0"/>
              <w:right w:val="single" w:color="auto" w:sz="8" w:space="0"/>
            </w:tcBorders>
            <w:vAlign w:val="center"/>
          </w:tcPr>
          <w:p w14:paraId="0E972899">
            <w:pPr>
              <w:widowControl/>
              <w:adjustRightInd/>
              <w:jc w:val="center"/>
              <w:rPr>
                <w:rFonts w:ascii="宋体" w:hAnsi="宋体" w:cs="宋体"/>
                <w:kern w:val="0"/>
                <w:sz w:val="24"/>
                <w:highlight w:val="none"/>
              </w:rPr>
            </w:pPr>
            <w:r>
              <w:rPr>
                <w:rFonts w:hint="eastAsia" w:ascii="宋体" w:hAnsi="宋体" w:cs="宋体"/>
                <w:kern w:val="0"/>
                <w:sz w:val="24"/>
                <w:highlight w:val="none"/>
              </w:rPr>
              <w:t>▲存储规格</w:t>
            </w:r>
          </w:p>
        </w:tc>
        <w:tc>
          <w:tcPr>
            <w:tcW w:w="1580" w:type="dxa"/>
            <w:tcBorders>
              <w:top w:val="nil"/>
              <w:left w:val="nil"/>
              <w:bottom w:val="single" w:color="auto" w:sz="8" w:space="0"/>
              <w:right w:val="single" w:color="auto" w:sz="8" w:space="0"/>
            </w:tcBorders>
            <w:vAlign w:val="center"/>
          </w:tcPr>
          <w:p w14:paraId="75C98AF1">
            <w:pPr>
              <w:widowControl/>
              <w:adjustRightInd/>
              <w:jc w:val="center"/>
              <w:rPr>
                <w:rFonts w:ascii="宋体" w:hAnsi="宋体" w:cs="宋体"/>
                <w:kern w:val="0"/>
                <w:sz w:val="24"/>
                <w:highlight w:val="none"/>
              </w:rPr>
            </w:pPr>
            <w:r>
              <w:rPr>
                <w:rFonts w:hint="eastAsia" w:ascii="宋体" w:hAnsi="宋体" w:cs="宋体"/>
                <w:kern w:val="0"/>
                <w:sz w:val="24"/>
                <w:highlight w:val="none"/>
              </w:rPr>
              <w:t>▲硬磁盘实配容量</w:t>
            </w:r>
          </w:p>
        </w:tc>
        <w:tc>
          <w:tcPr>
            <w:tcW w:w="4760" w:type="dxa"/>
            <w:tcBorders>
              <w:top w:val="nil"/>
              <w:left w:val="nil"/>
              <w:bottom w:val="single" w:color="auto" w:sz="8" w:space="0"/>
              <w:right w:val="single" w:color="auto" w:sz="8" w:space="0"/>
            </w:tcBorders>
            <w:vAlign w:val="center"/>
          </w:tcPr>
          <w:p w14:paraId="199CA287">
            <w:pPr>
              <w:widowControl/>
              <w:adjustRightInd/>
              <w:rPr>
                <w:rFonts w:ascii="宋体" w:hAnsi="宋体" w:cs="宋体"/>
                <w:kern w:val="0"/>
                <w:sz w:val="24"/>
                <w:highlight w:val="none"/>
              </w:rPr>
            </w:pPr>
            <w:r>
              <w:rPr>
                <w:rFonts w:hint="eastAsia" w:ascii="宋体" w:hAnsi="宋体" w:cs="宋体"/>
                <w:kern w:val="0"/>
                <w:sz w:val="24"/>
                <w:highlight w:val="none"/>
              </w:rPr>
              <w:t>实配硬磁盘≥</w:t>
            </w:r>
            <w:r>
              <w:rPr>
                <w:rFonts w:ascii="宋体" w:hAnsi="宋体" w:cs="宋体"/>
                <w:kern w:val="0"/>
                <w:sz w:val="24"/>
                <w:highlight w:val="none"/>
              </w:rPr>
              <w:t>16T，实配固态盘≥4.8T；</w:t>
            </w:r>
          </w:p>
        </w:tc>
      </w:tr>
      <w:tr w14:paraId="1B86AA5B">
        <w:tblPrEx>
          <w:tblCellMar>
            <w:top w:w="0" w:type="dxa"/>
            <w:left w:w="108" w:type="dxa"/>
            <w:bottom w:w="0" w:type="dxa"/>
            <w:right w:w="108" w:type="dxa"/>
          </w:tblCellMar>
        </w:tblPrEx>
        <w:trPr>
          <w:trHeight w:val="1260" w:hRule="atLeast"/>
        </w:trPr>
        <w:tc>
          <w:tcPr>
            <w:tcW w:w="980" w:type="dxa"/>
            <w:tcBorders>
              <w:top w:val="nil"/>
              <w:left w:val="single" w:color="auto" w:sz="8" w:space="0"/>
              <w:bottom w:val="single" w:color="auto" w:sz="8" w:space="0"/>
              <w:right w:val="nil"/>
            </w:tcBorders>
            <w:vAlign w:val="center"/>
          </w:tcPr>
          <w:p w14:paraId="2DAC8876">
            <w:pPr>
              <w:widowControl/>
              <w:adjustRightInd/>
              <w:jc w:val="center"/>
              <w:rPr>
                <w:rFonts w:ascii="宋体" w:hAnsi="宋体" w:cs="宋体"/>
                <w:kern w:val="0"/>
                <w:sz w:val="24"/>
                <w:highlight w:val="none"/>
              </w:rPr>
            </w:pPr>
            <w:r>
              <w:rPr>
                <w:rFonts w:ascii="宋体" w:hAnsi="宋体" w:cs="宋体"/>
                <w:kern w:val="0"/>
                <w:sz w:val="24"/>
                <w:highlight w:val="none"/>
              </w:rPr>
              <w:t>11</w:t>
            </w:r>
          </w:p>
        </w:tc>
        <w:tc>
          <w:tcPr>
            <w:tcW w:w="980" w:type="dxa"/>
            <w:vMerge w:val="continue"/>
            <w:tcBorders>
              <w:top w:val="nil"/>
              <w:left w:val="single" w:color="auto" w:sz="8" w:space="0"/>
              <w:bottom w:val="single" w:color="000000" w:sz="8" w:space="0"/>
              <w:right w:val="single" w:color="auto" w:sz="8" w:space="0"/>
            </w:tcBorders>
            <w:vAlign w:val="center"/>
          </w:tcPr>
          <w:p w14:paraId="177CA8C7">
            <w:pPr>
              <w:widowControl/>
              <w:adjustRightInd/>
              <w:jc w:val="left"/>
              <w:rPr>
                <w:rFonts w:ascii="宋体" w:hAnsi="宋体" w:cs="宋体"/>
                <w:kern w:val="0"/>
                <w:sz w:val="24"/>
                <w:highlight w:val="none"/>
              </w:rPr>
            </w:pPr>
          </w:p>
        </w:tc>
        <w:tc>
          <w:tcPr>
            <w:tcW w:w="1580" w:type="dxa"/>
            <w:tcBorders>
              <w:top w:val="nil"/>
              <w:left w:val="nil"/>
              <w:bottom w:val="single" w:color="auto" w:sz="8" w:space="0"/>
              <w:right w:val="single" w:color="auto" w:sz="8" w:space="0"/>
            </w:tcBorders>
            <w:vAlign w:val="center"/>
          </w:tcPr>
          <w:p w14:paraId="54A6E34E">
            <w:pPr>
              <w:widowControl/>
              <w:adjustRightInd/>
              <w:jc w:val="center"/>
              <w:rPr>
                <w:rFonts w:ascii="宋体" w:hAnsi="宋体" w:cs="宋体"/>
                <w:kern w:val="0"/>
                <w:sz w:val="24"/>
                <w:highlight w:val="none"/>
              </w:rPr>
            </w:pPr>
            <w:r>
              <w:rPr>
                <w:rFonts w:hint="eastAsia" w:ascii="宋体" w:hAnsi="宋体" w:cs="宋体"/>
                <w:kern w:val="0"/>
                <w:sz w:val="24"/>
                <w:highlight w:val="none"/>
              </w:rPr>
              <w:t>▲硬盘实配数量</w:t>
            </w:r>
          </w:p>
        </w:tc>
        <w:tc>
          <w:tcPr>
            <w:tcW w:w="4760" w:type="dxa"/>
            <w:tcBorders>
              <w:top w:val="nil"/>
              <w:left w:val="nil"/>
              <w:bottom w:val="single" w:color="auto" w:sz="8" w:space="0"/>
              <w:right w:val="single" w:color="auto" w:sz="8" w:space="0"/>
            </w:tcBorders>
            <w:vAlign w:val="center"/>
          </w:tcPr>
          <w:p w14:paraId="442D0CA7">
            <w:pPr>
              <w:widowControl/>
              <w:adjustRightInd/>
              <w:rPr>
                <w:rFonts w:ascii="宋体" w:hAnsi="宋体" w:cs="宋体"/>
                <w:kern w:val="0"/>
                <w:sz w:val="24"/>
                <w:highlight w:val="none"/>
              </w:rPr>
            </w:pPr>
            <w:r>
              <w:rPr>
                <w:rFonts w:hint="eastAsia" w:ascii="宋体" w:hAnsi="宋体" w:cs="宋体"/>
                <w:kern w:val="0"/>
                <w:sz w:val="24"/>
                <w:highlight w:val="none"/>
              </w:rPr>
              <w:t>实配硬磁盘≥</w:t>
            </w:r>
            <w:r>
              <w:rPr>
                <w:rFonts w:ascii="宋体" w:hAnsi="宋体" w:cs="宋体"/>
                <w:kern w:val="0"/>
                <w:sz w:val="24"/>
                <w:highlight w:val="none"/>
              </w:rPr>
              <w:t>4块4TB 3.5寸 7.2K 12Gb SAS硬盘，实配固态盘≥3块960G 2.5寸 SATA 6Gb R SSD，≥2块480G 2.5寸 SATA 6Gb R SSD,≥1块960G 2.5寸 SATA 6Gb M SSD；</w:t>
            </w:r>
          </w:p>
        </w:tc>
      </w:tr>
      <w:tr w14:paraId="533F8174">
        <w:tblPrEx>
          <w:tblCellMar>
            <w:top w:w="0" w:type="dxa"/>
            <w:left w:w="108" w:type="dxa"/>
            <w:bottom w:w="0" w:type="dxa"/>
            <w:right w:w="108" w:type="dxa"/>
          </w:tblCellMar>
        </w:tblPrEx>
        <w:trPr>
          <w:trHeight w:val="636" w:hRule="atLeast"/>
        </w:trPr>
        <w:tc>
          <w:tcPr>
            <w:tcW w:w="980" w:type="dxa"/>
            <w:vMerge w:val="restart"/>
            <w:tcBorders>
              <w:top w:val="nil"/>
              <w:left w:val="single" w:color="auto" w:sz="8" w:space="0"/>
              <w:bottom w:val="single" w:color="000000" w:sz="8" w:space="0"/>
              <w:right w:val="nil"/>
            </w:tcBorders>
            <w:vAlign w:val="center"/>
          </w:tcPr>
          <w:p w14:paraId="564D939E">
            <w:pPr>
              <w:widowControl/>
              <w:adjustRightInd/>
              <w:jc w:val="center"/>
              <w:rPr>
                <w:rFonts w:ascii="宋体" w:hAnsi="宋体" w:cs="宋体"/>
                <w:kern w:val="0"/>
                <w:sz w:val="24"/>
                <w:highlight w:val="none"/>
              </w:rPr>
            </w:pPr>
            <w:r>
              <w:rPr>
                <w:rFonts w:ascii="宋体" w:hAnsi="宋体" w:cs="宋体"/>
                <w:kern w:val="0"/>
                <w:sz w:val="24"/>
                <w:highlight w:val="none"/>
              </w:rPr>
              <w:t>12</w:t>
            </w:r>
          </w:p>
        </w:tc>
        <w:tc>
          <w:tcPr>
            <w:tcW w:w="980" w:type="dxa"/>
            <w:vMerge w:val="continue"/>
            <w:tcBorders>
              <w:top w:val="nil"/>
              <w:left w:val="single" w:color="auto" w:sz="8" w:space="0"/>
              <w:bottom w:val="single" w:color="000000" w:sz="8" w:space="0"/>
              <w:right w:val="single" w:color="auto" w:sz="8" w:space="0"/>
            </w:tcBorders>
            <w:vAlign w:val="center"/>
          </w:tcPr>
          <w:p w14:paraId="75AA97D4">
            <w:pPr>
              <w:widowControl/>
              <w:adjustRightInd/>
              <w:jc w:val="left"/>
              <w:rPr>
                <w:rFonts w:ascii="宋体" w:hAnsi="宋体" w:cs="宋体"/>
                <w:kern w:val="0"/>
                <w:sz w:val="24"/>
                <w:highlight w:val="none"/>
              </w:rPr>
            </w:pPr>
          </w:p>
        </w:tc>
        <w:tc>
          <w:tcPr>
            <w:tcW w:w="1580" w:type="dxa"/>
            <w:vMerge w:val="restart"/>
            <w:tcBorders>
              <w:top w:val="nil"/>
              <w:left w:val="single" w:color="auto" w:sz="8" w:space="0"/>
              <w:bottom w:val="single" w:color="000000" w:sz="8" w:space="0"/>
              <w:right w:val="single" w:color="auto" w:sz="8" w:space="0"/>
            </w:tcBorders>
            <w:vAlign w:val="center"/>
          </w:tcPr>
          <w:p w14:paraId="37D68051">
            <w:pPr>
              <w:widowControl/>
              <w:adjustRightInd/>
              <w:jc w:val="center"/>
              <w:rPr>
                <w:rFonts w:ascii="宋体" w:hAnsi="宋体" w:cs="宋体"/>
                <w:kern w:val="0"/>
                <w:sz w:val="24"/>
                <w:highlight w:val="none"/>
              </w:rPr>
            </w:pPr>
            <w:r>
              <w:rPr>
                <w:rFonts w:hint="eastAsia" w:ascii="宋体" w:hAnsi="宋体" w:cs="宋体"/>
                <w:kern w:val="0"/>
                <w:sz w:val="24"/>
                <w:highlight w:val="none"/>
              </w:rPr>
              <w:t>▲硬盘插槽数量及规格</w:t>
            </w:r>
          </w:p>
        </w:tc>
        <w:tc>
          <w:tcPr>
            <w:tcW w:w="4760" w:type="dxa"/>
            <w:tcBorders>
              <w:top w:val="nil"/>
              <w:left w:val="nil"/>
              <w:bottom w:val="single" w:color="auto" w:sz="8" w:space="0"/>
              <w:right w:val="single" w:color="auto" w:sz="8" w:space="0"/>
            </w:tcBorders>
            <w:vAlign w:val="center"/>
          </w:tcPr>
          <w:p w14:paraId="521F215F">
            <w:pPr>
              <w:widowControl/>
              <w:adjustRightInd/>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1）最高支持≥12个前置热插拔3.5硬盘或24个2.5硬盘，支持SAS/SATA/NVMe SSD</w:t>
            </w:r>
          </w:p>
        </w:tc>
      </w:tr>
      <w:tr w14:paraId="218B84B5">
        <w:tblPrEx>
          <w:tblCellMar>
            <w:top w:w="0" w:type="dxa"/>
            <w:left w:w="108" w:type="dxa"/>
            <w:bottom w:w="0" w:type="dxa"/>
            <w:right w:w="108" w:type="dxa"/>
          </w:tblCellMar>
        </w:tblPrEx>
        <w:trPr>
          <w:trHeight w:val="948" w:hRule="atLeast"/>
        </w:trPr>
        <w:tc>
          <w:tcPr>
            <w:tcW w:w="980" w:type="dxa"/>
            <w:vMerge w:val="continue"/>
            <w:tcBorders>
              <w:top w:val="nil"/>
              <w:left w:val="single" w:color="auto" w:sz="8" w:space="0"/>
              <w:bottom w:val="single" w:color="000000" w:sz="8" w:space="0"/>
              <w:right w:val="nil"/>
            </w:tcBorders>
            <w:vAlign w:val="center"/>
          </w:tcPr>
          <w:p w14:paraId="699DD4F2">
            <w:pPr>
              <w:widowControl/>
              <w:adjustRightInd/>
              <w:jc w:val="left"/>
              <w:rPr>
                <w:rFonts w:ascii="宋体" w:hAnsi="宋体" w:cs="宋体"/>
                <w:kern w:val="0"/>
                <w:sz w:val="24"/>
                <w:highlight w:val="none"/>
              </w:rPr>
            </w:pPr>
          </w:p>
        </w:tc>
        <w:tc>
          <w:tcPr>
            <w:tcW w:w="980" w:type="dxa"/>
            <w:vMerge w:val="continue"/>
            <w:tcBorders>
              <w:top w:val="nil"/>
              <w:left w:val="single" w:color="auto" w:sz="8" w:space="0"/>
              <w:bottom w:val="single" w:color="000000" w:sz="8" w:space="0"/>
              <w:right w:val="single" w:color="auto" w:sz="8" w:space="0"/>
            </w:tcBorders>
            <w:vAlign w:val="center"/>
          </w:tcPr>
          <w:p w14:paraId="7BE438A0">
            <w:pPr>
              <w:widowControl/>
              <w:adjustRightInd/>
              <w:jc w:val="left"/>
              <w:rPr>
                <w:rFonts w:ascii="宋体" w:hAnsi="宋体" w:cs="宋体"/>
                <w:kern w:val="0"/>
                <w:sz w:val="24"/>
                <w:highlight w:val="none"/>
              </w:rPr>
            </w:pPr>
          </w:p>
        </w:tc>
        <w:tc>
          <w:tcPr>
            <w:tcW w:w="1580" w:type="dxa"/>
            <w:vMerge w:val="continue"/>
            <w:tcBorders>
              <w:top w:val="nil"/>
              <w:left w:val="single" w:color="auto" w:sz="8" w:space="0"/>
              <w:bottom w:val="single" w:color="000000" w:sz="8" w:space="0"/>
              <w:right w:val="single" w:color="auto" w:sz="8" w:space="0"/>
            </w:tcBorders>
            <w:vAlign w:val="center"/>
          </w:tcPr>
          <w:p w14:paraId="39CD37D3">
            <w:pPr>
              <w:widowControl/>
              <w:adjustRightInd/>
              <w:jc w:val="left"/>
              <w:rPr>
                <w:rFonts w:ascii="宋体" w:hAnsi="宋体" w:cs="宋体"/>
                <w:kern w:val="0"/>
                <w:sz w:val="24"/>
                <w:highlight w:val="none"/>
              </w:rPr>
            </w:pPr>
          </w:p>
        </w:tc>
        <w:tc>
          <w:tcPr>
            <w:tcW w:w="4760" w:type="dxa"/>
            <w:tcBorders>
              <w:top w:val="nil"/>
              <w:left w:val="nil"/>
              <w:bottom w:val="single" w:color="auto" w:sz="8" w:space="0"/>
              <w:right w:val="single" w:color="auto" w:sz="8" w:space="0"/>
            </w:tcBorders>
            <w:vAlign w:val="center"/>
          </w:tcPr>
          <w:p w14:paraId="1902B1BE">
            <w:pPr>
              <w:widowControl/>
              <w:adjustRightInd/>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2）后置支持≥4个2.5寸硬盘，支持anybay或后置支持≥4个3.5寸硬盘，支持SAS/SATA/SSD</w:t>
            </w:r>
          </w:p>
        </w:tc>
      </w:tr>
      <w:tr w14:paraId="3B977AEB">
        <w:tblPrEx>
          <w:tblCellMar>
            <w:top w:w="0" w:type="dxa"/>
            <w:left w:w="108" w:type="dxa"/>
            <w:bottom w:w="0" w:type="dxa"/>
            <w:right w:w="108" w:type="dxa"/>
          </w:tblCellMar>
        </w:tblPrEx>
        <w:trPr>
          <w:trHeight w:val="636" w:hRule="atLeast"/>
        </w:trPr>
        <w:tc>
          <w:tcPr>
            <w:tcW w:w="980" w:type="dxa"/>
            <w:tcBorders>
              <w:top w:val="nil"/>
              <w:left w:val="single" w:color="auto" w:sz="8" w:space="0"/>
              <w:bottom w:val="single" w:color="auto" w:sz="8" w:space="0"/>
              <w:right w:val="nil"/>
            </w:tcBorders>
            <w:vAlign w:val="center"/>
          </w:tcPr>
          <w:p w14:paraId="426C93FC">
            <w:pPr>
              <w:widowControl/>
              <w:adjustRightInd/>
              <w:jc w:val="center"/>
              <w:rPr>
                <w:rFonts w:ascii="宋体" w:hAnsi="宋体" w:cs="宋体"/>
                <w:kern w:val="0"/>
                <w:sz w:val="24"/>
                <w:highlight w:val="none"/>
              </w:rPr>
            </w:pPr>
            <w:r>
              <w:rPr>
                <w:rFonts w:ascii="宋体" w:hAnsi="宋体" w:cs="宋体"/>
                <w:kern w:val="0"/>
                <w:sz w:val="24"/>
                <w:highlight w:val="none"/>
              </w:rPr>
              <w:t>13</w:t>
            </w:r>
          </w:p>
        </w:tc>
        <w:tc>
          <w:tcPr>
            <w:tcW w:w="980" w:type="dxa"/>
            <w:tcBorders>
              <w:top w:val="nil"/>
              <w:left w:val="single" w:color="auto" w:sz="8" w:space="0"/>
              <w:bottom w:val="single" w:color="auto" w:sz="8" w:space="0"/>
              <w:right w:val="single" w:color="auto" w:sz="8" w:space="0"/>
            </w:tcBorders>
            <w:vAlign w:val="center"/>
          </w:tcPr>
          <w:p w14:paraId="2BAEB166">
            <w:pPr>
              <w:widowControl/>
              <w:adjustRightInd/>
              <w:jc w:val="center"/>
              <w:rPr>
                <w:rFonts w:ascii="宋体" w:hAnsi="宋体" w:cs="宋体"/>
                <w:kern w:val="0"/>
                <w:sz w:val="24"/>
                <w:highlight w:val="none"/>
              </w:rPr>
            </w:pPr>
            <w:r>
              <w:rPr>
                <w:rFonts w:hint="eastAsia" w:ascii="宋体" w:hAnsi="宋体" w:cs="宋体"/>
                <w:kern w:val="0"/>
                <w:sz w:val="24"/>
                <w:highlight w:val="none"/>
              </w:rPr>
              <w:t>▲网络规格</w:t>
            </w:r>
          </w:p>
        </w:tc>
        <w:tc>
          <w:tcPr>
            <w:tcW w:w="1580" w:type="dxa"/>
            <w:tcBorders>
              <w:top w:val="nil"/>
              <w:left w:val="nil"/>
              <w:bottom w:val="single" w:color="auto" w:sz="8" w:space="0"/>
              <w:right w:val="single" w:color="auto" w:sz="8" w:space="0"/>
            </w:tcBorders>
            <w:vAlign w:val="center"/>
          </w:tcPr>
          <w:p w14:paraId="77D62AFC">
            <w:pPr>
              <w:widowControl/>
              <w:adjustRightInd/>
              <w:jc w:val="center"/>
              <w:rPr>
                <w:rFonts w:ascii="宋体" w:hAnsi="宋体" w:cs="宋体"/>
                <w:kern w:val="0"/>
                <w:sz w:val="24"/>
                <w:highlight w:val="none"/>
              </w:rPr>
            </w:pPr>
            <w:r>
              <w:rPr>
                <w:rFonts w:hint="eastAsia" w:ascii="宋体" w:hAnsi="宋体" w:cs="宋体"/>
                <w:kern w:val="0"/>
                <w:sz w:val="24"/>
                <w:highlight w:val="none"/>
              </w:rPr>
              <w:t>▲网口速率和数量</w:t>
            </w:r>
          </w:p>
        </w:tc>
        <w:tc>
          <w:tcPr>
            <w:tcW w:w="4760" w:type="dxa"/>
            <w:tcBorders>
              <w:top w:val="nil"/>
              <w:left w:val="nil"/>
              <w:bottom w:val="single" w:color="auto" w:sz="8" w:space="0"/>
              <w:right w:val="single" w:color="auto" w:sz="8" w:space="0"/>
            </w:tcBorders>
            <w:vAlign w:val="center"/>
          </w:tcPr>
          <w:p w14:paraId="765DAF3B">
            <w:pPr>
              <w:widowControl/>
              <w:adjustRightInd/>
              <w:jc w:val="left"/>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2个万兆双口光纤网卡（含模块）</w:t>
            </w:r>
          </w:p>
        </w:tc>
      </w:tr>
      <w:tr w14:paraId="34D5B6B1">
        <w:tblPrEx>
          <w:tblCellMar>
            <w:top w:w="0" w:type="dxa"/>
            <w:left w:w="108" w:type="dxa"/>
            <w:bottom w:w="0" w:type="dxa"/>
            <w:right w:w="108" w:type="dxa"/>
          </w:tblCellMar>
        </w:tblPrEx>
        <w:trPr>
          <w:trHeight w:val="324" w:hRule="atLeast"/>
        </w:trPr>
        <w:tc>
          <w:tcPr>
            <w:tcW w:w="980" w:type="dxa"/>
            <w:tcBorders>
              <w:top w:val="nil"/>
              <w:left w:val="single" w:color="auto" w:sz="8" w:space="0"/>
              <w:bottom w:val="single" w:color="auto" w:sz="8" w:space="0"/>
              <w:right w:val="nil"/>
            </w:tcBorders>
            <w:vAlign w:val="center"/>
          </w:tcPr>
          <w:p w14:paraId="03DBC81F">
            <w:pPr>
              <w:widowControl/>
              <w:adjustRightInd/>
              <w:jc w:val="center"/>
              <w:rPr>
                <w:rFonts w:ascii="宋体" w:hAnsi="宋体" w:cs="宋体"/>
                <w:kern w:val="0"/>
                <w:sz w:val="24"/>
                <w:highlight w:val="none"/>
              </w:rPr>
            </w:pPr>
            <w:r>
              <w:rPr>
                <w:rFonts w:ascii="宋体" w:hAnsi="宋体" w:cs="宋体"/>
                <w:kern w:val="0"/>
                <w:sz w:val="24"/>
                <w:highlight w:val="none"/>
              </w:rPr>
              <w:t>14</w:t>
            </w:r>
          </w:p>
        </w:tc>
        <w:tc>
          <w:tcPr>
            <w:tcW w:w="980" w:type="dxa"/>
            <w:vMerge w:val="restart"/>
            <w:tcBorders>
              <w:top w:val="nil"/>
              <w:left w:val="single" w:color="auto" w:sz="8" w:space="0"/>
              <w:bottom w:val="single" w:color="000000" w:sz="8" w:space="0"/>
              <w:right w:val="single" w:color="auto" w:sz="8" w:space="0"/>
            </w:tcBorders>
            <w:vAlign w:val="center"/>
          </w:tcPr>
          <w:p w14:paraId="24CBD7A8">
            <w:pPr>
              <w:widowControl/>
              <w:adjustRightInd/>
              <w:jc w:val="center"/>
              <w:rPr>
                <w:rFonts w:ascii="宋体" w:hAnsi="宋体" w:cs="宋体"/>
                <w:kern w:val="0"/>
                <w:sz w:val="24"/>
                <w:highlight w:val="none"/>
              </w:rPr>
            </w:pPr>
            <w:r>
              <w:rPr>
                <w:rFonts w:hint="eastAsia" w:ascii="宋体" w:hAnsi="宋体" w:cs="宋体"/>
                <w:kern w:val="0"/>
                <w:sz w:val="24"/>
                <w:highlight w:val="none"/>
              </w:rPr>
              <w:t>▲外部接口规格</w:t>
            </w:r>
          </w:p>
        </w:tc>
        <w:tc>
          <w:tcPr>
            <w:tcW w:w="1580" w:type="dxa"/>
            <w:tcBorders>
              <w:top w:val="nil"/>
              <w:left w:val="nil"/>
              <w:bottom w:val="single" w:color="auto" w:sz="8" w:space="0"/>
              <w:right w:val="single" w:color="auto" w:sz="8" w:space="0"/>
            </w:tcBorders>
            <w:vAlign w:val="center"/>
          </w:tcPr>
          <w:p w14:paraId="15E6B631">
            <w:pPr>
              <w:widowControl/>
              <w:adjustRightInd/>
              <w:jc w:val="center"/>
              <w:rPr>
                <w:rFonts w:ascii="宋体" w:hAnsi="宋体" w:cs="宋体"/>
                <w:kern w:val="0"/>
                <w:sz w:val="24"/>
                <w:highlight w:val="none"/>
              </w:rPr>
            </w:pPr>
            <w:r>
              <w:rPr>
                <w:rFonts w:hint="eastAsia" w:ascii="宋体" w:hAnsi="宋体" w:cs="宋体"/>
                <w:kern w:val="0"/>
                <w:sz w:val="24"/>
                <w:highlight w:val="none"/>
              </w:rPr>
              <w:t>▲显示接口</w:t>
            </w:r>
          </w:p>
        </w:tc>
        <w:tc>
          <w:tcPr>
            <w:tcW w:w="4760" w:type="dxa"/>
            <w:tcBorders>
              <w:top w:val="nil"/>
              <w:left w:val="nil"/>
              <w:bottom w:val="single" w:color="auto" w:sz="8" w:space="0"/>
              <w:right w:val="single" w:color="auto" w:sz="8" w:space="0"/>
            </w:tcBorders>
            <w:vAlign w:val="center"/>
          </w:tcPr>
          <w:p w14:paraId="580A00AC">
            <w:pPr>
              <w:widowControl/>
              <w:adjustRightInd/>
              <w:jc w:val="left"/>
              <w:rPr>
                <w:rFonts w:ascii="宋体" w:hAnsi="宋体" w:cs="宋体"/>
                <w:kern w:val="0"/>
                <w:sz w:val="24"/>
                <w:highlight w:val="none"/>
              </w:rPr>
            </w:pPr>
            <w:r>
              <w:rPr>
                <w:rFonts w:hint="eastAsia" w:ascii="宋体" w:hAnsi="宋体" w:cs="宋体"/>
                <w:kern w:val="0"/>
                <w:sz w:val="24"/>
                <w:highlight w:val="none"/>
              </w:rPr>
              <w:t>配置≥</w:t>
            </w:r>
            <w:r>
              <w:rPr>
                <w:rFonts w:ascii="宋体" w:hAnsi="宋体" w:cs="宋体"/>
                <w:kern w:val="0"/>
                <w:sz w:val="24"/>
                <w:highlight w:val="none"/>
              </w:rPr>
              <w:t>1个VGA接口</w:t>
            </w:r>
          </w:p>
        </w:tc>
      </w:tr>
      <w:tr w14:paraId="77D6E363">
        <w:tblPrEx>
          <w:tblCellMar>
            <w:top w:w="0" w:type="dxa"/>
            <w:left w:w="108" w:type="dxa"/>
            <w:bottom w:w="0" w:type="dxa"/>
            <w:right w:w="108" w:type="dxa"/>
          </w:tblCellMar>
        </w:tblPrEx>
        <w:trPr>
          <w:trHeight w:val="636" w:hRule="atLeast"/>
        </w:trPr>
        <w:tc>
          <w:tcPr>
            <w:tcW w:w="980" w:type="dxa"/>
            <w:tcBorders>
              <w:top w:val="nil"/>
              <w:left w:val="single" w:color="auto" w:sz="8" w:space="0"/>
              <w:bottom w:val="single" w:color="auto" w:sz="8" w:space="0"/>
              <w:right w:val="nil"/>
            </w:tcBorders>
            <w:vAlign w:val="center"/>
          </w:tcPr>
          <w:p w14:paraId="6BEE9A6A">
            <w:pPr>
              <w:widowControl/>
              <w:adjustRightInd/>
              <w:jc w:val="center"/>
              <w:rPr>
                <w:rFonts w:ascii="宋体" w:hAnsi="宋体" w:cs="宋体"/>
                <w:kern w:val="0"/>
                <w:sz w:val="24"/>
                <w:highlight w:val="none"/>
              </w:rPr>
            </w:pPr>
            <w:r>
              <w:rPr>
                <w:rFonts w:ascii="宋体" w:hAnsi="宋体" w:cs="宋体"/>
                <w:kern w:val="0"/>
                <w:sz w:val="24"/>
                <w:highlight w:val="none"/>
              </w:rPr>
              <w:t>15</w:t>
            </w:r>
          </w:p>
        </w:tc>
        <w:tc>
          <w:tcPr>
            <w:tcW w:w="980" w:type="dxa"/>
            <w:vMerge w:val="continue"/>
            <w:tcBorders>
              <w:top w:val="nil"/>
              <w:left w:val="single" w:color="auto" w:sz="8" w:space="0"/>
              <w:bottom w:val="single" w:color="000000" w:sz="8" w:space="0"/>
              <w:right w:val="single" w:color="auto" w:sz="8" w:space="0"/>
            </w:tcBorders>
            <w:vAlign w:val="center"/>
          </w:tcPr>
          <w:p w14:paraId="2FC46415">
            <w:pPr>
              <w:widowControl/>
              <w:adjustRightInd/>
              <w:jc w:val="left"/>
              <w:rPr>
                <w:rFonts w:ascii="宋体" w:hAnsi="宋体" w:cs="宋体"/>
                <w:kern w:val="0"/>
                <w:sz w:val="24"/>
                <w:highlight w:val="none"/>
              </w:rPr>
            </w:pPr>
          </w:p>
        </w:tc>
        <w:tc>
          <w:tcPr>
            <w:tcW w:w="1580" w:type="dxa"/>
            <w:tcBorders>
              <w:top w:val="nil"/>
              <w:left w:val="nil"/>
              <w:bottom w:val="single" w:color="auto" w:sz="8" w:space="0"/>
              <w:right w:val="single" w:color="auto" w:sz="8" w:space="0"/>
            </w:tcBorders>
            <w:vAlign w:val="center"/>
          </w:tcPr>
          <w:p w14:paraId="36A64007">
            <w:pPr>
              <w:widowControl/>
              <w:adjustRightInd/>
              <w:jc w:val="center"/>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 xml:space="preserve">USB </w:t>
            </w:r>
            <w:r>
              <w:rPr>
                <w:rFonts w:hint="eastAsia" w:ascii="宋体" w:hAnsi="宋体" w:cs="宋体"/>
                <w:kern w:val="0"/>
                <w:sz w:val="24"/>
                <w:highlight w:val="none"/>
              </w:rPr>
              <w:t>接口</w:t>
            </w:r>
          </w:p>
        </w:tc>
        <w:tc>
          <w:tcPr>
            <w:tcW w:w="4760" w:type="dxa"/>
            <w:tcBorders>
              <w:top w:val="nil"/>
              <w:left w:val="nil"/>
              <w:bottom w:val="single" w:color="auto" w:sz="8" w:space="0"/>
              <w:right w:val="single" w:color="auto" w:sz="8" w:space="0"/>
            </w:tcBorders>
            <w:vAlign w:val="center"/>
          </w:tcPr>
          <w:p w14:paraId="6B071580">
            <w:pPr>
              <w:widowControl/>
              <w:adjustRightInd/>
              <w:rPr>
                <w:rFonts w:ascii="宋体" w:hAnsi="宋体" w:cs="宋体"/>
                <w:kern w:val="0"/>
                <w:sz w:val="24"/>
                <w:highlight w:val="none"/>
              </w:rPr>
            </w:pPr>
            <w:r>
              <w:rPr>
                <w:rFonts w:hint="eastAsia" w:ascii="宋体" w:hAnsi="宋体" w:cs="宋体"/>
                <w:kern w:val="0"/>
                <w:sz w:val="24"/>
                <w:highlight w:val="none"/>
              </w:rPr>
              <w:t>配置≥</w:t>
            </w:r>
            <w:r>
              <w:rPr>
                <w:rFonts w:ascii="宋体" w:hAnsi="宋体" w:cs="宋体"/>
                <w:kern w:val="0"/>
                <w:sz w:val="24"/>
                <w:highlight w:val="none"/>
              </w:rPr>
              <w:t>4个USB3.0接口，2个位于机箱后部，2哥位于机箱前部。</w:t>
            </w:r>
          </w:p>
        </w:tc>
      </w:tr>
      <w:tr w14:paraId="2E9928FE">
        <w:tblPrEx>
          <w:tblCellMar>
            <w:top w:w="0" w:type="dxa"/>
            <w:left w:w="108" w:type="dxa"/>
            <w:bottom w:w="0" w:type="dxa"/>
            <w:right w:w="108" w:type="dxa"/>
          </w:tblCellMar>
        </w:tblPrEx>
        <w:trPr>
          <w:trHeight w:val="636" w:hRule="atLeast"/>
        </w:trPr>
        <w:tc>
          <w:tcPr>
            <w:tcW w:w="980" w:type="dxa"/>
            <w:tcBorders>
              <w:top w:val="nil"/>
              <w:left w:val="single" w:color="auto" w:sz="8" w:space="0"/>
              <w:bottom w:val="single" w:color="auto" w:sz="8" w:space="0"/>
              <w:right w:val="nil"/>
            </w:tcBorders>
            <w:vAlign w:val="center"/>
          </w:tcPr>
          <w:p w14:paraId="2288AB9A">
            <w:pPr>
              <w:widowControl/>
              <w:adjustRightInd/>
              <w:jc w:val="center"/>
              <w:rPr>
                <w:rFonts w:ascii="宋体" w:hAnsi="宋体" w:cs="宋体"/>
                <w:kern w:val="0"/>
                <w:sz w:val="24"/>
                <w:highlight w:val="none"/>
              </w:rPr>
            </w:pPr>
            <w:r>
              <w:rPr>
                <w:rFonts w:ascii="宋体" w:hAnsi="宋体" w:cs="宋体"/>
                <w:kern w:val="0"/>
                <w:sz w:val="24"/>
                <w:highlight w:val="none"/>
              </w:rPr>
              <w:t>16</w:t>
            </w:r>
          </w:p>
        </w:tc>
        <w:tc>
          <w:tcPr>
            <w:tcW w:w="980" w:type="dxa"/>
            <w:vMerge w:val="restart"/>
            <w:tcBorders>
              <w:top w:val="nil"/>
              <w:left w:val="single" w:color="auto" w:sz="8" w:space="0"/>
              <w:bottom w:val="single" w:color="000000" w:sz="8" w:space="0"/>
              <w:right w:val="single" w:color="auto" w:sz="8" w:space="0"/>
            </w:tcBorders>
            <w:vAlign w:val="center"/>
          </w:tcPr>
          <w:p w14:paraId="5D2AC164">
            <w:pPr>
              <w:widowControl/>
              <w:adjustRightInd/>
              <w:jc w:val="center"/>
              <w:rPr>
                <w:rFonts w:ascii="宋体" w:hAnsi="宋体" w:cs="宋体"/>
                <w:kern w:val="0"/>
                <w:sz w:val="24"/>
                <w:highlight w:val="none"/>
              </w:rPr>
            </w:pPr>
            <w:r>
              <w:rPr>
                <w:rFonts w:hint="eastAsia" w:ascii="宋体" w:hAnsi="宋体" w:cs="宋体"/>
                <w:kern w:val="0"/>
                <w:sz w:val="24"/>
                <w:highlight w:val="none"/>
              </w:rPr>
              <w:t>▲电源规格</w:t>
            </w:r>
          </w:p>
        </w:tc>
        <w:tc>
          <w:tcPr>
            <w:tcW w:w="1580" w:type="dxa"/>
            <w:tcBorders>
              <w:top w:val="nil"/>
              <w:left w:val="nil"/>
              <w:bottom w:val="single" w:color="auto" w:sz="8" w:space="0"/>
              <w:right w:val="single" w:color="auto" w:sz="8" w:space="0"/>
            </w:tcBorders>
            <w:vAlign w:val="center"/>
          </w:tcPr>
          <w:p w14:paraId="07486C33">
            <w:pPr>
              <w:widowControl/>
              <w:adjustRightInd/>
              <w:jc w:val="center"/>
              <w:rPr>
                <w:rFonts w:ascii="宋体" w:hAnsi="宋体" w:cs="宋体"/>
                <w:kern w:val="0"/>
                <w:sz w:val="24"/>
                <w:highlight w:val="none"/>
              </w:rPr>
            </w:pPr>
            <w:r>
              <w:rPr>
                <w:rFonts w:hint="eastAsia" w:ascii="宋体" w:hAnsi="宋体" w:cs="宋体"/>
                <w:kern w:val="0"/>
                <w:sz w:val="24"/>
                <w:highlight w:val="none"/>
              </w:rPr>
              <w:t>▲电源模块数量</w:t>
            </w:r>
          </w:p>
        </w:tc>
        <w:tc>
          <w:tcPr>
            <w:tcW w:w="4760" w:type="dxa"/>
            <w:tcBorders>
              <w:top w:val="nil"/>
              <w:left w:val="nil"/>
              <w:bottom w:val="single" w:color="auto" w:sz="8" w:space="0"/>
              <w:right w:val="single" w:color="auto" w:sz="8" w:space="0"/>
            </w:tcBorders>
            <w:vAlign w:val="center"/>
          </w:tcPr>
          <w:p w14:paraId="5B5E7D6B">
            <w:pPr>
              <w:widowControl/>
              <w:adjustRightInd/>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2</w:t>
            </w:r>
          </w:p>
        </w:tc>
      </w:tr>
      <w:tr w14:paraId="25C078BA">
        <w:tblPrEx>
          <w:tblCellMar>
            <w:top w:w="0" w:type="dxa"/>
            <w:left w:w="108" w:type="dxa"/>
            <w:bottom w:w="0" w:type="dxa"/>
            <w:right w:w="108" w:type="dxa"/>
          </w:tblCellMar>
        </w:tblPrEx>
        <w:trPr>
          <w:trHeight w:val="636" w:hRule="atLeast"/>
        </w:trPr>
        <w:tc>
          <w:tcPr>
            <w:tcW w:w="980" w:type="dxa"/>
            <w:tcBorders>
              <w:top w:val="nil"/>
              <w:left w:val="single" w:color="auto" w:sz="8" w:space="0"/>
              <w:bottom w:val="single" w:color="auto" w:sz="8" w:space="0"/>
              <w:right w:val="nil"/>
            </w:tcBorders>
            <w:vAlign w:val="center"/>
          </w:tcPr>
          <w:p w14:paraId="20368D26">
            <w:pPr>
              <w:widowControl/>
              <w:adjustRightInd/>
              <w:jc w:val="center"/>
              <w:rPr>
                <w:rFonts w:ascii="宋体" w:hAnsi="宋体" w:cs="宋体"/>
                <w:kern w:val="0"/>
                <w:sz w:val="24"/>
                <w:highlight w:val="none"/>
              </w:rPr>
            </w:pPr>
            <w:r>
              <w:rPr>
                <w:rFonts w:ascii="宋体" w:hAnsi="宋体" w:cs="宋体"/>
                <w:kern w:val="0"/>
                <w:sz w:val="24"/>
                <w:highlight w:val="none"/>
              </w:rPr>
              <w:t>17</w:t>
            </w:r>
          </w:p>
        </w:tc>
        <w:tc>
          <w:tcPr>
            <w:tcW w:w="980" w:type="dxa"/>
            <w:vMerge w:val="continue"/>
            <w:tcBorders>
              <w:top w:val="nil"/>
              <w:left w:val="single" w:color="auto" w:sz="8" w:space="0"/>
              <w:bottom w:val="single" w:color="000000" w:sz="8" w:space="0"/>
              <w:right w:val="single" w:color="auto" w:sz="8" w:space="0"/>
            </w:tcBorders>
            <w:vAlign w:val="center"/>
          </w:tcPr>
          <w:p w14:paraId="6AC4A96A">
            <w:pPr>
              <w:widowControl/>
              <w:adjustRightInd/>
              <w:jc w:val="left"/>
              <w:rPr>
                <w:rFonts w:ascii="宋体" w:hAnsi="宋体" w:cs="宋体"/>
                <w:kern w:val="0"/>
                <w:sz w:val="24"/>
                <w:highlight w:val="none"/>
              </w:rPr>
            </w:pPr>
          </w:p>
        </w:tc>
        <w:tc>
          <w:tcPr>
            <w:tcW w:w="1580" w:type="dxa"/>
            <w:tcBorders>
              <w:top w:val="nil"/>
              <w:left w:val="nil"/>
              <w:bottom w:val="single" w:color="auto" w:sz="8" w:space="0"/>
              <w:right w:val="single" w:color="auto" w:sz="8" w:space="0"/>
            </w:tcBorders>
            <w:vAlign w:val="center"/>
          </w:tcPr>
          <w:p w14:paraId="3BA8AB7A">
            <w:pPr>
              <w:widowControl/>
              <w:adjustRightInd/>
              <w:jc w:val="center"/>
              <w:rPr>
                <w:rFonts w:ascii="宋体" w:hAnsi="宋体" w:cs="宋体"/>
                <w:kern w:val="0"/>
                <w:sz w:val="24"/>
                <w:highlight w:val="none"/>
              </w:rPr>
            </w:pPr>
            <w:r>
              <w:rPr>
                <w:rFonts w:hint="eastAsia" w:ascii="宋体" w:hAnsi="宋体" w:cs="宋体"/>
                <w:kern w:val="0"/>
                <w:sz w:val="24"/>
                <w:highlight w:val="none"/>
              </w:rPr>
              <w:t>▲电源功率</w:t>
            </w:r>
          </w:p>
        </w:tc>
        <w:tc>
          <w:tcPr>
            <w:tcW w:w="4760" w:type="dxa"/>
            <w:tcBorders>
              <w:top w:val="nil"/>
              <w:left w:val="nil"/>
              <w:bottom w:val="single" w:color="auto" w:sz="8" w:space="0"/>
              <w:right w:val="single" w:color="auto" w:sz="8" w:space="0"/>
            </w:tcBorders>
            <w:vAlign w:val="center"/>
          </w:tcPr>
          <w:p w14:paraId="05EE4BF4">
            <w:pPr>
              <w:widowControl/>
              <w:adjustRightInd/>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 xml:space="preserve">800W，电源模块功率应有一定冗余， </w:t>
            </w:r>
            <w:r>
              <w:rPr>
                <w:rFonts w:hint="eastAsia" w:ascii="宋体" w:hAnsi="宋体" w:cs="宋体"/>
                <w:kern w:val="0"/>
                <w:sz w:val="24"/>
                <w:highlight w:val="none"/>
              </w:rPr>
              <w:t>满足处理器满载时的需求</w:t>
            </w:r>
          </w:p>
        </w:tc>
      </w:tr>
      <w:tr w14:paraId="1E434D50">
        <w:tblPrEx>
          <w:tblCellMar>
            <w:top w:w="0" w:type="dxa"/>
            <w:left w:w="108" w:type="dxa"/>
            <w:bottom w:w="0" w:type="dxa"/>
            <w:right w:w="108" w:type="dxa"/>
          </w:tblCellMar>
        </w:tblPrEx>
        <w:trPr>
          <w:trHeight w:val="948" w:hRule="atLeast"/>
        </w:trPr>
        <w:tc>
          <w:tcPr>
            <w:tcW w:w="980" w:type="dxa"/>
            <w:vMerge w:val="restart"/>
            <w:tcBorders>
              <w:top w:val="nil"/>
              <w:left w:val="single" w:color="auto" w:sz="8" w:space="0"/>
              <w:bottom w:val="single" w:color="000000" w:sz="8" w:space="0"/>
              <w:right w:val="nil"/>
            </w:tcBorders>
            <w:vAlign w:val="center"/>
          </w:tcPr>
          <w:p w14:paraId="1ECC3AA8">
            <w:pPr>
              <w:widowControl/>
              <w:adjustRightInd/>
              <w:jc w:val="center"/>
              <w:rPr>
                <w:rFonts w:ascii="宋体" w:hAnsi="宋体" w:cs="宋体"/>
                <w:kern w:val="0"/>
                <w:sz w:val="24"/>
                <w:highlight w:val="none"/>
              </w:rPr>
            </w:pPr>
            <w:r>
              <w:rPr>
                <w:rFonts w:ascii="宋体" w:hAnsi="宋体" w:cs="宋体"/>
                <w:kern w:val="0"/>
                <w:sz w:val="24"/>
                <w:highlight w:val="none"/>
              </w:rPr>
              <w:t>18</w:t>
            </w:r>
          </w:p>
        </w:tc>
        <w:tc>
          <w:tcPr>
            <w:tcW w:w="980" w:type="dxa"/>
            <w:vMerge w:val="restart"/>
            <w:tcBorders>
              <w:top w:val="nil"/>
              <w:left w:val="single" w:color="auto" w:sz="8" w:space="0"/>
              <w:bottom w:val="single" w:color="000000" w:sz="8" w:space="0"/>
              <w:right w:val="single" w:color="auto" w:sz="8" w:space="0"/>
            </w:tcBorders>
            <w:vAlign w:val="center"/>
          </w:tcPr>
          <w:p w14:paraId="34BE14CF">
            <w:pPr>
              <w:widowControl/>
              <w:adjustRightInd/>
              <w:jc w:val="center"/>
              <w:rPr>
                <w:rFonts w:ascii="宋体" w:hAnsi="宋体" w:cs="宋体"/>
                <w:kern w:val="0"/>
                <w:sz w:val="24"/>
                <w:highlight w:val="none"/>
              </w:rPr>
            </w:pPr>
            <w:r>
              <w:rPr>
                <w:rFonts w:hint="eastAsia" w:ascii="宋体" w:hAnsi="宋体" w:cs="宋体"/>
                <w:kern w:val="0"/>
                <w:sz w:val="24"/>
                <w:highlight w:val="none"/>
              </w:rPr>
              <w:t>▲整机规格</w:t>
            </w:r>
          </w:p>
        </w:tc>
        <w:tc>
          <w:tcPr>
            <w:tcW w:w="1580" w:type="dxa"/>
            <w:vMerge w:val="restart"/>
            <w:tcBorders>
              <w:top w:val="nil"/>
              <w:left w:val="single" w:color="auto" w:sz="8" w:space="0"/>
              <w:bottom w:val="single" w:color="000000" w:sz="8" w:space="0"/>
              <w:right w:val="single" w:color="auto" w:sz="8" w:space="0"/>
            </w:tcBorders>
            <w:vAlign w:val="center"/>
          </w:tcPr>
          <w:p w14:paraId="3B171C39">
            <w:pPr>
              <w:widowControl/>
              <w:adjustRightInd/>
              <w:jc w:val="center"/>
              <w:rPr>
                <w:rFonts w:ascii="宋体" w:hAnsi="宋体" w:cs="宋体"/>
                <w:kern w:val="0"/>
                <w:sz w:val="24"/>
                <w:highlight w:val="none"/>
              </w:rPr>
            </w:pPr>
            <w:r>
              <w:rPr>
                <w:rFonts w:hint="eastAsia" w:ascii="宋体" w:hAnsi="宋体" w:cs="宋体"/>
                <w:kern w:val="0"/>
                <w:sz w:val="24"/>
                <w:highlight w:val="none"/>
              </w:rPr>
              <w:t>▲外观和结构</w:t>
            </w:r>
          </w:p>
        </w:tc>
        <w:tc>
          <w:tcPr>
            <w:tcW w:w="4760" w:type="dxa"/>
            <w:tcBorders>
              <w:top w:val="nil"/>
              <w:left w:val="nil"/>
              <w:bottom w:val="single" w:color="auto" w:sz="8" w:space="0"/>
              <w:right w:val="single" w:color="auto" w:sz="8" w:space="0"/>
            </w:tcBorders>
            <w:vAlign w:val="center"/>
          </w:tcPr>
          <w:p w14:paraId="1E6EB64F">
            <w:pPr>
              <w:widowControl/>
              <w:adjustRightInd/>
              <w:rPr>
                <w:rFonts w:ascii="宋体" w:hAnsi="宋体" w:cs="宋体"/>
                <w:kern w:val="0"/>
                <w:sz w:val="24"/>
                <w:highlight w:val="none"/>
              </w:rPr>
            </w:pPr>
            <w:r>
              <w:rPr>
                <w:rFonts w:ascii="宋体" w:hAnsi="宋体" w:cs="宋体"/>
                <w:kern w:val="0"/>
                <w:sz w:val="24"/>
                <w:highlight w:val="none"/>
              </w:rPr>
              <w:t>a)服务器的零部件应紧固无松动，可插拔部件应可靠连接，开关、按钮和其它控制部件应灵活可靠，布局应方便使用；</w:t>
            </w:r>
          </w:p>
        </w:tc>
      </w:tr>
      <w:tr w14:paraId="75EC75D6">
        <w:tblPrEx>
          <w:tblCellMar>
            <w:top w:w="0" w:type="dxa"/>
            <w:left w:w="108" w:type="dxa"/>
            <w:bottom w:w="0" w:type="dxa"/>
            <w:right w:w="108" w:type="dxa"/>
          </w:tblCellMar>
        </w:tblPrEx>
        <w:trPr>
          <w:trHeight w:val="1260" w:hRule="atLeast"/>
        </w:trPr>
        <w:tc>
          <w:tcPr>
            <w:tcW w:w="980" w:type="dxa"/>
            <w:vMerge w:val="continue"/>
            <w:tcBorders>
              <w:top w:val="nil"/>
              <w:left w:val="single" w:color="auto" w:sz="8" w:space="0"/>
              <w:bottom w:val="single" w:color="000000" w:sz="8" w:space="0"/>
              <w:right w:val="nil"/>
            </w:tcBorders>
            <w:vAlign w:val="center"/>
          </w:tcPr>
          <w:p w14:paraId="2456B1DC">
            <w:pPr>
              <w:widowControl/>
              <w:adjustRightInd/>
              <w:jc w:val="left"/>
              <w:rPr>
                <w:rFonts w:ascii="宋体" w:hAnsi="宋体" w:cs="宋体"/>
                <w:kern w:val="0"/>
                <w:sz w:val="24"/>
                <w:highlight w:val="none"/>
              </w:rPr>
            </w:pPr>
          </w:p>
        </w:tc>
        <w:tc>
          <w:tcPr>
            <w:tcW w:w="980" w:type="dxa"/>
            <w:vMerge w:val="continue"/>
            <w:tcBorders>
              <w:top w:val="nil"/>
              <w:left w:val="single" w:color="auto" w:sz="8" w:space="0"/>
              <w:bottom w:val="single" w:color="000000" w:sz="8" w:space="0"/>
              <w:right w:val="single" w:color="auto" w:sz="8" w:space="0"/>
            </w:tcBorders>
            <w:vAlign w:val="center"/>
          </w:tcPr>
          <w:p w14:paraId="26FD2FDA">
            <w:pPr>
              <w:widowControl/>
              <w:adjustRightInd/>
              <w:jc w:val="left"/>
              <w:rPr>
                <w:rFonts w:ascii="宋体" w:hAnsi="宋体" w:cs="宋体"/>
                <w:kern w:val="0"/>
                <w:sz w:val="24"/>
                <w:highlight w:val="none"/>
              </w:rPr>
            </w:pPr>
          </w:p>
        </w:tc>
        <w:tc>
          <w:tcPr>
            <w:tcW w:w="1580" w:type="dxa"/>
            <w:vMerge w:val="continue"/>
            <w:tcBorders>
              <w:top w:val="nil"/>
              <w:left w:val="single" w:color="auto" w:sz="8" w:space="0"/>
              <w:bottom w:val="single" w:color="000000" w:sz="8" w:space="0"/>
              <w:right w:val="single" w:color="auto" w:sz="8" w:space="0"/>
            </w:tcBorders>
            <w:vAlign w:val="center"/>
          </w:tcPr>
          <w:p w14:paraId="2C749502">
            <w:pPr>
              <w:widowControl/>
              <w:adjustRightInd/>
              <w:jc w:val="left"/>
              <w:rPr>
                <w:rFonts w:ascii="宋体" w:hAnsi="宋体" w:cs="宋体"/>
                <w:kern w:val="0"/>
                <w:sz w:val="24"/>
                <w:highlight w:val="none"/>
              </w:rPr>
            </w:pPr>
          </w:p>
        </w:tc>
        <w:tc>
          <w:tcPr>
            <w:tcW w:w="4760" w:type="dxa"/>
            <w:tcBorders>
              <w:top w:val="nil"/>
              <w:left w:val="nil"/>
              <w:bottom w:val="single" w:color="auto" w:sz="8" w:space="0"/>
              <w:right w:val="single" w:color="auto" w:sz="8" w:space="0"/>
            </w:tcBorders>
            <w:vAlign w:val="center"/>
          </w:tcPr>
          <w:p w14:paraId="6F592135">
            <w:pPr>
              <w:widowControl/>
              <w:adjustRightInd/>
              <w:rPr>
                <w:rFonts w:ascii="宋体" w:hAns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产品表面不应有明显的凹痕、划伤、裂缝、变形和污染等。表面涂层均匀，不应起泡、龟裂、脱落和磨损，金属零部件无锈蚀及其它机械损伤；</w:t>
            </w:r>
          </w:p>
        </w:tc>
      </w:tr>
      <w:tr w14:paraId="1A0EA4AA">
        <w:tblPrEx>
          <w:tblCellMar>
            <w:top w:w="0" w:type="dxa"/>
            <w:left w:w="108" w:type="dxa"/>
            <w:bottom w:w="0" w:type="dxa"/>
            <w:right w:w="108" w:type="dxa"/>
          </w:tblCellMar>
        </w:tblPrEx>
        <w:trPr>
          <w:trHeight w:val="636" w:hRule="atLeast"/>
        </w:trPr>
        <w:tc>
          <w:tcPr>
            <w:tcW w:w="980" w:type="dxa"/>
            <w:vMerge w:val="continue"/>
            <w:tcBorders>
              <w:top w:val="nil"/>
              <w:left w:val="single" w:color="auto" w:sz="8" w:space="0"/>
              <w:bottom w:val="single" w:color="000000" w:sz="8" w:space="0"/>
              <w:right w:val="nil"/>
            </w:tcBorders>
            <w:vAlign w:val="center"/>
          </w:tcPr>
          <w:p w14:paraId="59A24787">
            <w:pPr>
              <w:widowControl/>
              <w:adjustRightInd/>
              <w:jc w:val="left"/>
              <w:rPr>
                <w:rFonts w:ascii="宋体" w:hAnsi="宋体" w:cs="宋体"/>
                <w:kern w:val="0"/>
                <w:sz w:val="24"/>
                <w:highlight w:val="none"/>
              </w:rPr>
            </w:pPr>
          </w:p>
        </w:tc>
        <w:tc>
          <w:tcPr>
            <w:tcW w:w="980" w:type="dxa"/>
            <w:vMerge w:val="continue"/>
            <w:tcBorders>
              <w:top w:val="nil"/>
              <w:left w:val="single" w:color="auto" w:sz="8" w:space="0"/>
              <w:bottom w:val="single" w:color="000000" w:sz="8" w:space="0"/>
              <w:right w:val="single" w:color="auto" w:sz="8" w:space="0"/>
            </w:tcBorders>
            <w:vAlign w:val="center"/>
          </w:tcPr>
          <w:p w14:paraId="58DB84E8">
            <w:pPr>
              <w:widowControl/>
              <w:adjustRightInd/>
              <w:jc w:val="left"/>
              <w:rPr>
                <w:rFonts w:ascii="宋体" w:hAnsi="宋体" w:cs="宋体"/>
                <w:kern w:val="0"/>
                <w:sz w:val="24"/>
                <w:highlight w:val="none"/>
              </w:rPr>
            </w:pPr>
          </w:p>
        </w:tc>
        <w:tc>
          <w:tcPr>
            <w:tcW w:w="1580" w:type="dxa"/>
            <w:vMerge w:val="continue"/>
            <w:tcBorders>
              <w:top w:val="nil"/>
              <w:left w:val="single" w:color="auto" w:sz="8" w:space="0"/>
              <w:bottom w:val="single" w:color="000000" w:sz="8" w:space="0"/>
              <w:right w:val="single" w:color="auto" w:sz="8" w:space="0"/>
            </w:tcBorders>
            <w:vAlign w:val="center"/>
          </w:tcPr>
          <w:p w14:paraId="0AF7F212">
            <w:pPr>
              <w:widowControl/>
              <w:adjustRightInd/>
              <w:jc w:val="left"/>
              <w:rPr>
                <w:rFonts w:ascii="宋体" w:hAnsi="宋体" w:cs="宋体"/>
                <w:kern w:val="0"/>
                <w:sz w:val="24"/>
                <w:highlight w:val="none"/>
              </w:rPr>
            </w:pPr>
          </w:p>
        </w:tc>
        <w:tc>
          <w:tcPr>
            <w:tcW w:w="4760" w:type="dxa"/>
            <w:tcBorders>
              <w:top w:val="nil"/>
              <w:left w:val="nil"/>
              <w:bottom w:val="single" w:color="auto" w:sz="8" w:space="0"/>
              <w:right w:val="single" w:color="auto" w:sz="8" w:space="0"/>
            </w:tcBorders>
            <w:vAlign w:val="center"/>
          </w:tcPr>
          <w:p w14:paraId="3C769091">
            <w:pPr>
              <w:widowControl/>
              <w:adjustRightInd/>
              <w:rPr>
                <w:rFonts w:ascii="宋体" w:hAnsi="宋体" w:cs="宋体"/>
                <w:kern w:val="0"/>
                <w:sz w:val="24"/>
                <w:highlight w:val="none"/>
              </w:rPr>
            </w:pPr>
            <w:r>
              <w:rPr>
                <w:rFonts w:ascii="宋体" w:hAnsi="宋体" w:cs="宋体"/>
                <w:kern w:val="0"/>
                <w:sz w:val="24"/>
                <w:highlight w:val="none"/>
              </w:rPr>
              <w:t xml:space="preserve">c) </w:t>
            </w:r>
            <w:r>
              <w:rPr>
                <w:rFonts w:hint="eastAsia" w:ascii="宋体" w:hAnsi="宋体" w:cs="宋体"/>
                <w:kern w:val="0"/>
                <w:sz w:val="24"/>
                <w:highlight w:val="none"/>
              </w:rPr>
              <w:t>产品表面说明功能的文字、符号和标志应清晰、端正且牢固；</w:t>
            </w:r>
          </w:p>
        </w:tc>
      </w:tr>
      <w:tr w14:paraId="40AB10DA">
        <w:tblPrEx>
          <w:tblCellMar>
            <w:top w:w="0" w:type="dxa"/>
            <w:left w:w="108" w:type="dxa"/>
            <w:bottom w:w="0" w:type="dxa"/>
            <w:right w:w="108" w:type="dxa"/>
          </w:tblCellMar>
        </w:tblPrEx>
        <w:trPr>
          <w:trHeight w:val="636" w:hRule="atLeast"/>
        </w:trPr>
        <w:tc>
          <w:tcPr>
            <w:tcW w:w="980" w:type="dxa"/>
            <w:vMerge w:val="continue"/>
            <w:tcBorders>
              <w:top w:val="nil"/>
              <w:left w:val="single" w:color="auto" w:sz="8" w:space="0"/>
              <w:bottom w:val="single" w:color="000000" w:sz="8" w:space="0"/>
              <w:right w:val="nil"/>
            </w:tcBorders>
            <w:vAlign w:val="center"/>
          </w:tcPr>
          <w:p w14:paraId="5D14D61B">
            <w:pPr>
              <w:widowControl/>
              <w:adjustRightInd/>
              <w:jc w:val="left"/>
              <w:rPr>
                <w:rFonts w:ascii="宋体" w:hAnsi="宋体" w:cs="宋体"/>
                <w:kern w:val="0"/>
                <w:sz w:val="24"/>
                <w:highlight w:val="none"/>
              </w:rPr>
            </w:pPr>
          </w:p>
        </w:tc>
        <w:tc>
          <w:tcPr>
            <w:tcW w:w="980" w:type="dxa"/>
            <w:vMerge w:val="continue"/>
            <w:tcBorders>
              <w:top w:val="nil"/>
              <w:left w:val="single" w:color="auto" w:sz="8" w:space="0"/>
              <w:bottom w:val="single" w:color="000000" w:sz="8" w:space="0"/>
              <w:right w:val="single" w:color="auto" w:sz="8" w:space="0"/>
            </w:tcBorders>
            <w:vAlign w:val="center"/>
          </w:tcPr>
          <w:p w14:paraId="1E44D647">
            <w:pPr>
              <w:widowControl/>
              <w:adjustRightInd/>
              <w:jc w:val="left"/>
              <w:rPr>
                <w:rFonts w:ascii="宋体" w:hAnsi="宋体" w:cs="宋体"/>
                <w:kern w:val="0"/>
                <w:sz w:val="24"/>
                <w:highlight w:val="none"/>
              </w:rPr>
            </w:pPr>
          </w:p>
        </w:tc>
        <w:tc>
          <w:tcPr>
            <w:tcW w:w="1580" w:type="dxa"/>
            <w:vMerge w:val="continue"/>
            <w:tcBorders>
              <w:top w:val="nil"/>
              <w:left w:val="single" w:color="auto" w:sz="8" w:space="0"/>
              <w:bottom w:val="single" w:color="000000" w:sz="8" w:space="0"/>
              <w:right w:val="single" w:color="auto" w:sz="8" w:space="0"/>
            </w:tcBorders>
            <w:vAlign w:val="center"/>
          </w:tcPr>
          <w:p w14:paraId="0C1BF19B">
            <w:pPr>
              <w:widowControl/>
              <w:adjustRightInd/>
              <w:jc w:val="left"/>
              <w:rPr>
                <w:rFonts w:ascii="宋体" w:hAnsi="宋体" w:cs="宋体"/>
                <w:kern w:val="0"/>
                <w:sz w:val="24"/>
                <w:highlight w:val="none"/>
              </w:rPr>
            </w:pPr>
          </w:p>
        </w:tc>
        <w:tc>
          <w:tcPr>
            <w:tcW w:w="4760" w:type="dxa"/>
            <w:tcBorders>
              <w:top w:val="nil"/>
              <w:left w:val="nil"/>
              <w:bottom w:val="single" w:color="auto" w:sz="8" w:space="0"/>
              <w:right w:val="single" w:color="auto" w:sz="8" w:space="0"/>
            </w:tcBorders>
            <w:vAlign w:val="center"/>
          </w:tcPr>
          <w:p w14:paraId="5961BB21">
            <w:pPr>
              <w:widowControl/>
              <w:adjustRightInd/>
              <w:rPr>
                <w:rFonts w:ascii="宋体" w:hAnsi="宋体" w:cs="宋体"/>
                <w:kern w:val="0"/>
                <w:sz w:val="24"/>
                <w:highlight w:val="none"/>
              </w:rPr>
            </w:pPr>
            <w:r>
              <w:rPr>
                <w:rFonts w:ascii="宋体" w:hAnsi="宋体" w:cs="宋体"/>
                <w:kern w:val="0"/>
                <w:sz w:val="24"/>
                <w:highlight w:val="none"/>
              </w:rPr>
              <w:t xml:space="preserve">d) </w:t>
            </w:r>
            <w:r>
              <w:rPr>
                <w:rFonts w:hint="eastAsia" w:ascii="宋体" w:hAnsi="宋体" w:cs="宋体"/>
                <w:kern w:val="0"/>
                <w:sz w:val="24"/>
                <w:highlight w:val="none"/>
              </w:rPr>
              <w:t>应在服务器的显著位置提供运行状态的指示功能，并在随机文件中明确具体含义；</w:t>
            </w:r>
          </w:p>
        </w:tc>
      </w:tr>
      <w:tr w14:paraId="331847AE">
        <w:tblPrEx>
          <w:tblCellMar>
            <w:top w:w="0" w:type="dxa"/>
            <w:left w:w="108" w:type="dxa"/>
            <w:bottom w:w="0" w:type="dxa"/>
            <w:right w:w="108" w:type="dxa"/>
          </w:tblCellMar>
        </w:tblPrEx>
        <w:trPr>
          <w:trHeight w:val="1572" w:hRule="atLeast"/>
        </w:trPr>
        <w:tc>
          <w:tcPr>
            <w:tcW w:w="980" w:type="dxa"/>
            <w:vMerge w:val="continue"/>
            <w:tcBorders>
              <w:top w:val="nil"/>
              <w:left w:val="single" w:color="auto" w:sz="8" w:space="0"/>
              <w:bottom w:val="single" w:color="000000" w:sz="8" w:space="0"/>
              <w:right w:val="nil"/>
            </w:tcBorders>
            <w:vAlign w:val="center"/>
          </w:tcPr>
          <w:p w14:paraId="2F1FA9D3">
            <w:pPr>
              <w:widowControl/>
              <w:adjustRightInd/>
              <w:jc w:val="left"/>
              <w:rPr>
                <w:rFonts w:ascii="宋体" w:hAnsi="宋体" w:cs="宋体"/>
                <w:kern w:val="0"/>
                <w:sz w:val="24"/>
                <w:highlight w:val="none"/>
              </w:rPr>
            </w:pPr>
          </w:p>
        </w:tc>
        <w:tc>
          <w:tcPr>
            <w:tcW w:w="980" w:type="dxa"/>
            <w:vMerge w:val="continue"/>
            <w:tcBorders>
              <w:top w:val="nil"/>
              <w:left w:val="single" w:color="auto" w:sz="8" w:space="0"/>
              <w:bottom w:val="single" w:color="000000" w:sz="8" w:space="0"/>
              <w:right w:val="single" w:color="auto" w:sz="8" w:space="0"/>
            </w:tcBorders>
            <w:vAlign w:val="center"/>
          </w:tcPr>
          <w:p w14:paraId="6289E438">
            <w:pPr>
              <w:widowControl/>
              <w:adjustRightInd/>
              <w:jc w:val="left"/>
              <w:rPr>
                <w:rFonts w:ascii="宋体" w:hAnsi="宋体" w:cs="宋体"/>
                <w:kern w:val="0"/>
                <w:sz w:val="24"/>
                <w:highlight w:val="none"/>
              </w:rPr>
            </w:pPr>
          </w:p>
        </w:tc>
        <w:tc>
          <w:tcPr>
            <w:tcW w:w="1580" w:type="dxa"/>
            <w:vMerge w:val="continue"/>
            <w:tcBorders>
              <w:top w:val="nil"/>
              <w:left w:val="single" w:color="auto" w:sz="8" w:space="0"/>
              <w:bottom w:val="single" w:color="000000" w:sz="8" w:space="0"/>
              <w:right w:val="single" w:color="auto" w:sz="8" w:space="0"/>
            </w:tcBorders>
            <w:vAlign w:val="center"/>
          </w:tcPr>
          <w:p w14:paraId="7FFDA30D">
            <w:pPr>
              <w:widowControl/>
              <w:adjustRightInd/>
              <w:jc w:val="left"/>
              <w:rPr>
                <w:rFonts w:ascii="宋体" w:hAnsi="宋体" w:cs="宋体"/>
                <w:kern w:val="0"/>
                <w:sz w:val="24"/>
                <w:highlight w:val="none"/>
              </w:rPr>
            </w:pPr>
          </w:p>
        </w:tc>
        <w:tc>
          <w:tcPr>
            <w:tcW w:w="4760" w:type="dxa"/>
            <w:tcBorders>
              <w:top w:val="nil"/>
              <w:left w:val="nil"/>
              <w:bottom w:val="single" w:color="auto" w:sz="8" w:space="0"/>
              <w:right w:val="single" w:color="auto" w:sz="8" w:space="0"/>
            </w:tcBorders>
            <w:vAlign w:val="center"/>
          </w:tcPr>
          <w:p w14:paraId="3DA3746B">
            <w:pPr>
              <w:widowControl/>
              <w:adjustRightInd/>
              <w:rPr>
                <w:rFonts w:ascii="宋体" w:hAnsi="宋体" w:cs="宋体"/>
                <w:kern w:val="0"/>
                <w:sz w:val="24"/>
                <w:highlight w:val="none"/>
              </w:rPr>
            </w:pPr>
            <w:r>
              <w:rPr>
                <w:rFonts w:ascii="宋体" w:hAnsi="宋体" w:cs="宋体"/>
                <w:kern w:val="0"/>
                <w:sz w:val="24"/>
                <w:highlight w:val="none"/>
              </w:rPr>
              <w:t xml:space="preserve">e) </w:t>
            </w:r>
            <w:r>
              <w:rPr>
                <w:rFonts w:hint="eastAsia" w:ascii="宋体" w:hAnsi="宋体" w:cs="宋体"/>
                <w:kern w:val="0"/>
                <w:sz w:val="24"/>
                <w:highlight w:val="none"/>
              </w:rPr>
              <w:t>机架、机箱的尺寸应符合通用机柜的安装要求，插入总线插座的电路板接口外形尺寸应符合有关总线标准的规定，将机箱固定在机柜上，机箱底面最大下垂变形不得干涉相邻机体；</w:t>
            </w:r>
          </w:p>
        </w:tc>
      </w:tr>
      <w:tr w14:paraId="7D54EBC0">
        <w:tblPrEx>
          <w:tblCellMar>
            <w:top w:w="0" w:type="dxa"/>
            <w:left w:w="108" w:type="dxa"/>
            <w:bottom w:w="0" w:type="dxa"/>
            <w:right w:w="108" w:type="dxa"/>
          </w:tblCellMar>
        </w:tblPrEx>
        <w:trPr>
          <w:trHeight w:val="636" w:hRule="atLeast"/>
        </w:trPr>
        <w:tc>
          <w:tcPr>
            <w:tcW w:w="980" w:type="dxa"/>
            <w:vMerge w:val="continue"/>
            <w:tcBorders>
              <w:top w:val="nil"/>
              <w:left w:val="single" w:color="auto" w:sz="8" w:space="0"/>
              <w:bottom w:val="single" w:color="000000" w:sz="8" w:space="0"/>
              <w:right w:val="nil"/>
            </w:tcBorders>
            <w:vAlign w:val="center"/>
          </w:tcPr>
          <w:p w14:paraId="11C81B27">
            <w:pPr>
              <w:widowControl/>
              <w:adjustRightInd/>
              <w:jc w:val="left"/>
              <w:rPr>
                <w:rFonts w:ascii="宋体" w:hAnsi="宋体" w:cs="宋体"/>
                <w:kern w:val="0"/>
                <w:sz w:val="24"/>
                <w:highlight w:val="none"/>
              </w:rPr>
            </w:pPr>
          </w:p>
        </w:tc>
        <w:tc>
          <w:tcPr>
            <w:tcW w:w="980" w:type="dxa"/>
            <w:vMerge w:val="continue"/>
            <w:tcBorders>
              <w:top w:val="nil"/>
              <w:left w:val="single" w:color="auto" w:sz="8" w:space="0"/>
              <w:bottom w:val="single" w:color="000000" w:sz="8" w:space="0"/>
              <w:right w:val="single" w:color="auto" w:sz="8" w:space="0"/>
            </w:tcBorders>
            <w:vAlign w:val="center"/>
          </w:tcPr>
          <w:p w14:paraId="32903BCD">
            <w:pPr>
              <w:widowControl/>
              <w:adjustRightInd/>
              <w:jc w:val="left"/>
              <w:rPr>
                <w:rFonts w:ascii="宋体" w:hAnsi="宋体" w:cs="宋体"/>
                <w:kern w:val="0"/>
                <w:sz w:val="24"/>
                <w:highlight w:val="none"/>
              </w:rPr>
            </w:pPr>
          </w:p>
        </w:tc>
        <w:tc>
          <w:tcPr>
            <w:tcW w:w="1580" w:type="dxa"/>
            <w:vMerge w:val="continue"/>
            <w:tcBorders>
              <w:top w:val="nil"/>
              <w:left w:val="single" w:color="auto" w:sz="8" w:space="0"/>
              <w:bottom w:val="single" w:color="000000" w:sz="8" w:space="0"/>
              <w:right w:val="single" w:color="auto" w:sz="8" w:space="0"/>
            </w:tcBorders>
            <w:vAlign w:val="center"/>
          </w:tcPr>
          <w:p w14:paraId="435FF3CB">
            <w:pPr>
              <w:widowControl/>
              <w:adjustRightInd/>
              <w:jc w:val="left"/>
              <w:rPr>
                <w:rFonts w:ascii="宋体" w:hAnsi="宋体" w:cs="宋体"/>
                <w:kern w:val="0"/>
                <w:sz w:val="24"/>
                <w:highlight w:val="none"/>
              </w:rPr>
            </w:pPr>
          </w:p>
        </w:tc>
        <w:tc>
          <w:tcPr>
            <w:tcW w:w="4760" w:type="dxa"/>
            <w:tcBorders>
              <w:top w:val="nil"/>
              <w:left w:val="nil"/>
              <w:bottom w:val="single" w:color="auto" w:sz="8" w:space="0"/>
              <w:right w:val="single" w:color="auto" w:sz="8" w:space="0"/>
            </w:tcBorders>
            <w:vAlign w:val="center"/>
          </w:tcPr>
          <w:p w14:paraId="66E4E64C">
            <w:pPr>
              <w:widowControl/>
              <w:adjustRightInd/>
              <w:rPr>
                <w:rFonts w:ascii="宋体" w:hAnsi="宋体" w:cs="宋体"/>
                <w:kern w:val="0"/>
                <w:sz w:val="24"/>
                <w:highlight w:val="none"/>
              </w:rPr>
            </w:pPr>
            <w:r>
              <w:rPr>
                <w:rFonts w:ascii="宋体" w:hAnsi="宋体" w:cs="宋体"/>
                <w:kern w:val="0"/>
                <w:sz w:val="24"/>
                <w:highlight w:val="none"/>
              </w:rPr>
              <w:t xml:space="preserve">f) </w:t>
            </w:r>
            <w:r>
              <w:rPr>
                <w:rFonts w:hint="eastAsia" w:ascii="宋体" w:hAnsi="宋体" w:cs="宋体"/>
                <w:kern w:val="0"/>
                <w:sz w:val="24"/>
                <w:highlight w:val="none"/>
              </w:rPr>
              <w:t>高密度服务器应给出</w:t>
            </w:r>
            <w:r>
              <w:rPr>
                <w:rFonts w:ascii="宋体" w:hAnsi="宋体" w:cs="宋体"/>
                <w:kern w:val="0"/>
                <w:sz w:val="24"/>
                <w:highlight w:val="none"/>
              </w:rPr>
              <w:t xml:space="preserve"> CPU </w:t>
            </w:r>
            <w:r>
              <w:rPr>
                <w:rFonts w:hint="eastAsia" w:ascii="宋体" w:hAnsi="宋体" w:cs="宋体"/>
                <w:kern w:val="0"/>
                <w:sz w:val="24"/>
                <w:highlight w:val="none"/>
              </w:rPr>
              <w:t>个数与机柜高度；</w:t>
            </w:r>
          </w:p>
        </w:tc>
      </w:tr>
      <w:tr w14:paraId="65F0722D">
        <w:tblPrEx>
          <w:tblCellMar>
            <w:top w:w="0" w:type="dxa"/>
            <w:left w:w="108" w:type="dxa"/>
            <w:bottom w:w="0" w:type="dxa"/>
            <w:right w:w="108" w:type="dxa"/>
          </w:tblCellMar>
        </w:tblPrEx>
        <w:trPr>
          <w:trHeight w:val="324" w:hRule="atLeast"/>
        </w:trPr>
        <w:tc>
          <w:tcPr>
            <w:tcW w:w="980" w:type="dxa"/>
            <w:vMerge w:val="continue"/>
            <w:tcBorders>
              <w:top w:val="nil"/>
              <w:left w:val="single" w:color="auto" w:sz="8" w:space="0"/>
              <w:bottom w:val="single" w:color="000000" w:sz="8" w:space="0"/>
              <w:right w:val="nil"/>
            </w:tcBorders>
            <w:vAlign w:val="center"/>
          </w:tcPr>
          <w:p w14:paraId="4D9DA980">
            <w:pPr>
              <w:widowControl/>
              <w:adjustRightInd/>
              <w:jc w:val="left"/>
              <w:rPr>
                <w:rFonts w:ascii="宋体" w:hAnsi="宋体" w:cs="宋体"/>
                <w:kern w:val="0"/>
                <w:sz w:val="24"/>
                <w:highlight w:val="none"/>
              </w:rPr>
            </w:pPr>
          </w:p>
        </w:tc>
        <w:tc>
          <w:tcPr>
            <w:tcW w:w="980" w:type="dxa"/>
            <w:vMerge w:val="continue"/>
            <w:tcBorders>
              <w:top w:val="nil"/>
              <w:left w:val="single" w:color="auto" w:sz="8" w:space="0"/>
              <w:bottom w:val="single" w:color="000000" w:sz="8" w:space="0"/>
              <w:right w:val="single" w:color="auto" w:sz="8" w:space="0"/>
            </w:tcBorders>
            <w:vAlign w:val="center"/>
          </w:tcPr>
          <w:p w14:paraId="3E6CDE47">
            <w:pPr>
              <w:widowControl/>
              <w:adjustRightInd/>
              <w:jc w:val="left"/>
              <w:rPr>
                <w:rFonts w:ascii="宋体" w:hAnsi="宋体" w:cs="宋体"/>
                <w:kern w:val="0"/>
                <w:sz w:val="24"/>
                <w:highlight w:val="none"/>
              </w:rPr>
            </w:pPr>
          </w:p>
        </w:tc>
        <w:tc>
          <w:tcPr>
            <w:tcW w:w="1580" w:type="dxa"/>
            <w:vMerge w:val="continue"/>
            <w:tcBorders>
              <w:top w:val="nil"/>
              <w:left w:val="single" w:color="auto" w:sz="8" w:space="0"/>
              <w:bottom w:val="single" w:color="000000" w:sz="8" w:space="0"/>
              <w:right w:val="single" w:color="auto" w:sz="8" w:space="0"/>
            </w:tcBorders>
            <w:vAlign w:val="center"/>
          </w:tcPr>
          <w:p w14:paraId="6DFDAD3C">
            <w:pPr>
              <w:widowControl/>
              <w:adjustRightInd/>
              <w:jc w:val="left"/>
              <w:rPr>
                <w:rFonts w:ascii="宋体" w:hAnsi="宋体" w:cs="宋体"/>
                <w:kern w:val="0"/>
                <w:sz w:val="24"/>
                <w:highlight w:val="none"/>
              </w:rPr>
            </w:pPr>
          </w:p>
        </w:tc>
        <w:tc>
          <w:tcPr>
            <w:tcW w:w="4760" w:type="dxa"/>
            <w:tcBorders>
              <w:top w:val="nil"/>
              <w:left w:val="nil"/>
              <w:bottom w:val="single" w:color="auto" w:sz="8" w:space="0"/>
              <w:right w:val="single" w:color="auto" w:sz="8" w:space="0"/>
            </w:tcBorders>
            <w:vAlign w:val="center"/>
          </w:tcPr>
          <w:p w14:paraId="32D1C8A9">
            <w:pPr>
              <w:widowControl/>
              <w:adjustRightInd/>
              <w:rPr>
                <w:rFonts w:ascii="宋体" w:hAnsi="宋体" w:cs="宋体"/>
                <w:kern w:val="0"/>
                <w:sz w:val="24"/>
                <w:highlight w:val="none"/>
              </w:rPr>
            </w:pPr>
            <w:r>
              <w:rPr>
                <w:rFonts w:ascii="宋体" w:hAnsi="宋体" w:cs="宋体"/>
                <w:kern w:val="0"/>
                <w:sz w:val="24"/>
                <w:highlight w:val="none"/>
              </w:rPr>
              <w:t xml:space="preserve">g) </w:t>
            </w:r>
            <w:r>
              <w:rPr>
                <w:rFonts w:hint="eastAsia" w:ascii="宋体" w:hAnsi="宋体" w:cs="宋体"/>
                <w:kern w:val="0"/>
                <w:sz w:val="24"/>
                <w:highlight w:val="none"/>
              </w:rPr>
              <w:t>服务器尺寸具体要求在随机文件中明确</w:t>
            </w:r>
          </w:p>
        </w:tc>
      </w:tr>
      <w:tr w14:paraId="31E20783">
        <w:tblPrEx>
          <w:tblCellMar>
            <w:top w:w="0" w:type="dxa"/>
            <w:left w:w="108" w:type="dxa"/>
            <w:bottom w:w="0" w:type="dxa"/>
            <w:right w:w="108" w:type="dxa"/>
          </w:tblCellMar>
        </w:tblPrEx>
        <w:trPr>
          <w:trHeight w:val="636" w:hRule="atLeast"/>
        </w:trPr>
        <w:tc>
          <w:tcPr>
            <w:tcW w:w="980" w:type="dxa"/>
            <w:tcBorders>
              <w:top w:val="nil"/>
              <w:left w:val="single" w:color="auto" w:sz="8" w:space="0"/>
              <w:bottom w:val="single" w:color="auto" w:sz="8" w:space="0"/>
              <w:right w:val="nil"/>
            </w:tcBorders>
            <w:vAlign w:val="center"/>
          </w:tcPr>
          <w:p w14:paraId="6DC73688">
            <w:pPr>
              <w:widowControl/>
              <w:adjustRightInd/>
              <w:jc w:val="center"/>
              <w:rPr>
                <w:rFonts w:ascii="宋体" w:hAnsi="宋体" w:cs="宋体"/>
                <w:kern w:val="0"/>
                <w:sz w:val="24"/>
                <w:highlight w:val="none"/>
              </w:rPr>
            </w:pPr>
            <w:r>
              <w:rPr>
                <w:rFonts w:ascii="宋体" w:hAnsi="宋体" w:cs="宋体"/>
                <w:kern w:val="0"/>
                <w:sz w:val="24"/>
                <w:highlight w:val="none"/>
              </w:rPr>
              <w:t>19</w:t>
            </w:r>
          </w:p>
        </w:tc>
        <w:tc>
          <w:tcPr>
            <w:tcW w:w="980" w:type="dxa"/>
            <w:vMerge w:val="continue"/>
            <w:tcBorders>
              <w:top w:val="nil"/>
              <w:left w:val="single" w:color="auto" w:sz="8" w:space="0"/>
              <w:bottom w:val="single" w:color="000000" w:sz="8" w:space="0"/>
              <w:right w:val="single" w:color="auto" w:sz="8" w:space="0"/>
            </w:tcBorders>
            <w:vAlign w:val="center"/>
          </w:tcPr>
          <w:p w14:paraId="25A1CDA0">
            <w:pPr>
              <w:widowControl/>
              <w:adjustRightInd/>
              <w:jc w:val="left"/>
              <w:rPr>
                <w:rFonts w:ascii="宋体" w:hAnsi="宋体" w:cs="宋体"/>
                <w:kern w:val="0"/>
                <w:sz w:val="24"/>
                <w:highlight w:val="none"/>
              </w:rPr>
            </w:pPr>
          </w:p>
        </w:tc>
        <w:tc>
          <w:tcPr>
            <w:tcW w:w="1580" w:type="dxa"/>
            <w:tcBorders>
              <w:top w:val="nil"/>
              <w:left w:val="nil"/>
              <w:bottom w:val="single" w:color="auto" w:sz="8" w:space="0"/>
              <w:right w:val="single" w:color="auto" w:sz="8" w:space="0"/>
            </w:tcBorders>
            <w:vAlign w:val="center"/>
          </w:tcPr>
          <w:p w14:paraId="57606AD4">
            <w:pPr>
              <w:widowControl/>
              <w:adjustRightInd/>
              <w:jc w:val="center"/>
              <w:rPr>
                <w:rFonts w:ascii="宋体" w:hAnsi="宋体" w:cs="宋体"/>
                <w:kern w:val="0"/>
                <w:sz w:val="24"/>
                <w:highlight w:val="none"/>
              </w:rPr>
            </w:pPr>
            <w:r>
              <w:rPr>
                <w:rFonts w:hint="eastAsia" w:ascii="宋体" w:hAnsi="宋体" w:cs="宋体"/>
                <w:kern w:val="0"/>
                <w:sz w:val="24"/>
                <w:highlight w:val="none"/>
              </w:rPr>
              <w:t>▲尺寸（高×宽×深）</w:t>
            </w:r>
          </w:p>
        </w:tc>
        <w:tc>
          <w:tcPr>
            <w:tcW w:w="4760" w:type="dxa"/>
            <w:tcBorders>
              <w:top w:val="nil"/>
              <w:left w:val="nil"/>
              <w:bottom w:val="single" w:color="auto" w:sz="8" w:space="0"/>
              <w:right w:val="single" w:color="auto" w:sz="8" w:space="0"/>
            </w:tcBorders>
            <w:vAlign w:val="center"/>
          </w:tcPr>
          <w:p w14:paraId="42A9F601">
            <w:pPr>
              <w:widowControl/>
              <w:adjustRightInd/>
              <w:rPr>
                <w:rFonts w:ascii="宋体" w:hAnsi="宋体" w:cs="宋体"/>
                <w:kern w:val="0"/>
                <w:sz w:val="24"/>
                <w:highlight w:val="none"/>
              </w:rPr>
            </w:pPr>
            <w:r>
              <w:rPr>
                <w:rFonts w:hint="eastAsia" w:ascii="宋体" w:hAnsi="宋体" w:cs="宋体"/>
                <w:kern w:val="0"/>
                <w:sz w:val="24"/>
                <w:highlight w:val="none"/>
              </w:rPr>
              <w:t>供应商应在投标时给出产品尺寸；</w:t>
            </w:r>
          </w:p>
        </w:tc>
      </w:tr>
      <w:tr w14:paraId="43116E83">
        <w:tblPrEx>
          <w:tblCellMar>
            <w:top w:w="0" w:type="dxa"/>
            <w:left w:w="108" w:type="dxa"/>
            <w:bottom w:w="0" w:type="dxa"/>
            <w:right w:w="108" w:type="dxa"/>
          </w:tblCellMar>
        </w:tblPrEx>
        <w:trPr>
          <w:trHeight w:val="1572" w:hRule="atLeast"/>
        </w:trPr>
        <w:tc>
          <w:tcPr>
            <w:tcW w:w="980" w:type="dxa"/>
            <w:tcBorders>
              <w:top w:val="nil"/>
              <w:left w:val="single" w:color="auto" w:sz="8" w:space="0"/>
              <w:bottom w:val="single" w:color="auto" w:sz="8" w:space="0"/>
              <w:right w:val="nil"/>
            </w:tcBorders>
            <w:vAlign w:val="center"/>
          </w:tcPr>
          <w:p w14:paraId="0362D9CE">
            <w:pPr>
              <w:widowControl/>
              <w:adjustRightInd/>
              <w:jc w:val="center"/>
              <w:rPr>
                <w:rFonts w:ascii="宋体" w:hAnsi="宋体" w:cs="宋体"/>
                <w:kern w:val="0"/>
                <w:sz w:val="24"/>
                <w:highlight w:val="none"/>
              </w:rPr>
            </w:pPr>
            <w:r>
              <w:rPr>
                <w:rFonts w:ascii="宋体" w:hAnsi="宋体" w:cs="宋体"/>
                <w:kern w:val="0"/>
                <w:sz w:val="24"/>
                <w:highlight w:val="none"/>
              </w:rPr>
              <w:t>20</w:t>
            </w:r>
          </w:p>
        </w:tc>
        <w:tc>
          <w:tcPr>
            <w:tcW w:w="980" w:type="dxa"/>
            <w:vMerge w:val="continue"/>
            <w:tcBorders>
              <w:top w:val="nil"/>
              <w:left w:val="single" w:color="auto" w:sz="8" w:space="0"/>
              <w:bottom w:val="single" w:color="000000" w:sz="8" w:space="0"/>
              <w:right w:val="single" w:color="auto" w:sz="8" w:space="0"/>
            </w:tcBorders>
            <w:vAlign w:val="center"/>
          </w:tcPr>
          <w:p w14:paraId="24069526">
            <w:pPr>
              <w:widowControl/>
              <w:adjustRightInd/>
              <w:jc w:val="left"/>
              <w:rPr>
                <w:rFonts w:ascii="宋体" w:hAnsi="宋体" w:cs="宋体"/>
                <w:kern w:val="0"/>
                <w:sz w:val="24"/>
                <w:highlight w:val="none"/>
              </w:rPr>
            </w:pPr>
          </w:p>
        </w:tc>
        <w:tc>
          <w:tcPr>
            <w:tcW w:w="1580" w:type="dxa"/>
            <w:tcBorders>
              <w:top w:val="nil"/>
              <w:left w:val="nil"/>
              <w:bottom w:val="single" w:color="auto" w:sz="8" w:space="0"/>
              <w:right w:val="single" w:color="auto" w:sz="8" w:space="0"/>
            </w:tcBorders>
            <w:vAlign w:val="center"/>
          </w:tcPr>
          <w:p w14:paraId="734FC90C">
            <w:pPr>
              <w:widowControl/>
              <w:adjustRightInd/>
              <w:jc w:val="center"/>
              <w:rPr>
                <w:rFonts w:ascii="宋体" w:hAnsi="宋体" w:cs="宋体"/>
                <w:kern w:val="0"/>
                <w:sz w:val="24"/>
                <w:highlight w:val="none"/>
              </w:rPr>
            </w:pPr>
            <w:r>
              <w:rPr>
                <w:rFonts w:hint="eastAsia" w:ascii="宋体" w:hAnsi="宋体" w:cs="宋体"/>
                <w:kern w:val="0"/>
                <w:sz w:val="24"/>
                <w:highlight w:val="none"/>
              </w:rPr>
              <w:t>▲环境适应性</w:t>
            </w:r>
          </w:p>
        </w:tc>
        <w:tc>
          <w:tcPr>
            <w:tcW w:w="4760" w:type="dxa"/>
            <w:tcBorders>
              <w:top w:val="nil"/>
              <w:left w:val="nil"/>
              <w:bottom w:val="single" w:color="auto" w:sz="8" w:space="0"/>
              <w:right w:val="single" w:color="auto" w:sz="8" w:space="0"/>
            </w:tcBorders>
            <w:vAlign w:val="center"/>
          </w:tcPr>
          <w:p w14:paraId="399795FD">
            <w:pPr>
              <w:widowControl/>
              <w:adjustRightInd/>
              <w:rPr>
                <w:rFonts w:ascii="宋体" w:hAnsi="宋体" w:cs="宋体"/>
                <w:kern w:val="0"/>
                <w:sz w:val="24"/>
                <w:highlight w:val="none"/>
              </w:rPr>
            </w:pPr>
            <w:r>
              <w:rPr>
                <w:rFonts w:hint="eastAsia" w:ascii="宋体" w:hAnsi="宋体" w:cs="宋体"/>
                <w:kern w:val="0"/>
                <w:sz w:val="24"/>
                <w:highlight w:val="none"/>
              </w:rPr>
              <w:t>气候环境适应性应符合</w:t>
            </w:r>
            <w:r>
              <w:rPr>
                <w:rFonts w:ascii="宋体" w:hAnsi="宋体" w:cs="宋体"/>
                <w:kern w:val="0"/>
                <w:sz w:val="24"/>
                <w:highlight w:val="none"/>
              </w:rPr>
              <w:t xml:space="preserve"> GB/T9813.3 </w:t>
            </w:r>
            <w:r>
              <w:rPr>
                <w:rFonts w:hint="eastAsia" w:ascii="宋体" w:hAnsi="宋体" w:cs="宋体"/>
                <w:kern w:val="0"/>
                <w:sz w:val="24"/>
                <w:highlight w:val="none"/>
              </w:rPr>
              <w:t>的有关规定，工作温度</w:t>
            </w:r>
            <w:r>
              <w:rPr>
                <w:rFonts w:ascii="宋体" w:hAnsi="宋体" w:cs="宋体"/>
                <w:kern w:val="0"/>
                <w:sz w:val="24"/>
                <w:highlight w:val="none"/>
              </w:rPr>
              <w:t xml:space="preserve"> 10～35℃，贮存运输温度-40～55℃；工作相对湿度 35%～80%，贮存运输相对湿度 20％～93%（40℃）；大气压86～106kPa</w:t>
            </w:r>
          </w:p>
        </w:tc>
      </w:tr>
      <w:tr w14:paraId="268BF037">
        <w:tblPrEx>
          <w:tblCellMar>
            <w:top w:w="0" w:type="dxa"/>
            <w:left w:w="108" w:type="dxa"/>
            <w:bottom w:w="0" w:type="dxa"/>
            <w:right w:w="108" w:type="dxa"/>
          </w:tblCellMar>
        </w:tblPrEx>
        <w:trPr>
          <w:trHeight w:val="636" w:hRule="atLeast"/>
        </w:trPr>
        <w:tc>
          <w:tcPr>
            <w:tcW w:w="980" w:type="dxa"/>
            <w:tcBorders>
              <w:top w:val="nil"/>
              <w:left w:val="single" w:color="auto" w:sz="8" w:space="0"/>
              <w:bottom w:val="single" w:color="auto" w:sz="8" w:space="0"/>
              <w:right w:val="nil"/>
            </w:tcBorders>
            <w:vAlign w:val="center"/>
          </w:tcPr>
          <w:p w14:paraId="4935D74C">
            <w:pPr>
              <w:widowControl/>
              <w:adjustRightInd/>
              <w:jc w:val="center"/>
              <w:rPr>
                <w:rFonts w:ascii="宋体" w:hAnsi="宋体" w:cs="宋体"/>
                <w:kern w:val="0"/>
                <w:sz w:val="24"/>
                <w:highlight w:val="none"/>
              </w:rPr>
            </w:pPr>
            <w:r>
              <w:rPr>
                <w:rFonts w:ascii="宋体" w:hAnsi="宋体" w:cs="宋体"/>
                <w:kern w:val="0"/>
                <w:sz w:val="24"/>
                <w:highlight w:val="none"/>
              </w:rPr>
              <w:t>21</w:t>
            </w:r>
          </w:p>
        </w:tc>
        <w:tc>
          <w:tcPr>
            <w:tcW w:w="980" w:type="dxa"/>
            <w:vMerge w:val="continue"/>
            <w:tcBorders>
              <w:top w:val="nil"/>
              <w:left w:val="single" w:color="auto" w:sz="8" w:space="0"/>
              <w:bottom w:val="single" w:color="000000" w:sz="8" w:space="0"/>
              <w:right w:val="single" w:color="auto" w:sz="8" w:space="0"/>
            </w:tcBorders>
            <w:vAlign w:val="center"/>
          </w:tcPr>
          <w:p w14:paraId="44D399D7">
            <w:pPr>
              <w:widowControl/>
              <w:adjustRightInd/>
              <w:jc w:val="left"/>
              <w:rPr>
                <w:rFonts w:ascii="宋体" w:hAnsi="宋体" w:cs="宋体"/>
                <w:kern w:val="0"/>
                <w:sz w:val="24"/>
                <w:highlight w:val="none"/>
              </w:rPr>
            </w:pPr>
          </w:p>
        </w:tc>
        <w:tc>
          <w:tcPr>
            <w:tcW w:w="1580" w:type="dxa"/>
            <w:tcBorders>
              <w:top w:val="nil"/>
              <w:left w:val="nil"/>
              <w:bottom w:val="single" w:color="auto" w:sz="8" w:space="0"/>
              <w:right w:val="single" w:color="auto" w:sz="8" w:space="0"/>
            </w:tcBorders>
            <w:vAlign w:val="center"/>
          </w:tcPr>
          <w:p w14:paraId="46450C51">
            <w:pPr>
              <w:widowControl/>
              <w:adjustRightInd/>
              <w:jc w:val="center"/>
              <w:rPr>
                <w:rFonts w:ascii="宋体" w:hAnsi="宋体" w:cs="宋体"/>
                <w:kern w:val="0"/>
                <w:sz w:val="24"/>
                <w:highlight w:val="none"/>
              </w:rPr>
            </w:pPr>
            <w:r>
              <w:rPr>
                <w:rFonts w:hint="eastAsia" w:ascii="宋体" w:hAnsi="宋体" w:cs="宋体"/>
                <w:kern w:val="0"/>
                <w:sz w:val="24"/>
                <w:highlight w:val="none"/>
              </w:rPr>
              <w:t>▲机械环境适应性</w:t>
            </w:r>
          </w:p>
        </w:tc>
        <w:tc>
          <w:tcPr>
            <w:tcW w:w="4760" w:type="dxa"/>
            <w:tcBorders>
              <w:top w:val="nil"/>
              <w:left w:val="nil"/>
              <w:bottom w:val="single" w:color="auto" w:sz="8" w:space="0"/>
              <w:right w:val="single" w:color="auto" w:sz="8" w:space="0"/>
            </w:tcBorders>
            <w:vAlign w:val="center"/>
          </w:tcPr>
          <w:p w14:paraId="235B1A67">
            <w:pPr>
              <w:widowControl/>
              <w:adjustRightInd/>
              <w:rPr>
                <w:rFonts w:ascii="宋体" w:hAnsi="宋体" w:cs="宋体"/>
                <w:kern w:val="0"/>
                <w:sz w:val="24"/>
                <w:highlight w:val="none"/>
              </w:rPr>
            </w:pPr>
            <w:r>
              <w:rPr>
                <w:rFonts w:hint="eastAsia" w:ascii="宋体" w:hAnsi="宋体" w:cs="宋体"/>
                <w:kern w:val="0"/>
                <w:sz w:val="24"/>
                <w:highlight w:val="none"/>
              </w:rPr>
              <w:t>机械环境适应性应符合</w:t>
            </w:r>
            <w:r>
              <w:rPr>
                <w:rFonts w:ascii="宋体" w:hAnsi="宋体" w:cs="宋体"/>
                <w:kern w:val="0"/>
                <w:sz w:val="24"/>
                <w:highlight w:val="none"/>
              </w:rPr>
              <w:t xml:space="preserve"> GB/T9813.3 </w:t>
            </w:r>
            <w:r>
              <w:rPr>
                <w:rFonts w:hint="eastAsia" w:ascii="宋体" w:hAnsi="宋体" w:cs="宋体"/>
                <w:kern w:val="0"/>
                <w:sz w:val="24"/>
                <w:highlight w:val="none"/>
              </w:rPr>
              <w:t>的有关规定</w:t>
            </w:r>
          </w:p>
        </w:tc>
      </w:tr>
      <w:tr w14:paraId="7FE7AB00">
        <w:tblPrEx>
          <w:tblCellMar>
            <w:top w:w="0" w:type="dxa"/>
            <w:left w:w="108" w:type="dxa"/>
            <w:bottom w:w="0" w:type="dxa"/>
            <w:right w:w="108" w:type="dxa"/>
          </w:tblCellMar>
        </w:tblPrEx>
        <w:trPr>
          <w:trHeight w:val="948" w:hRule="atLeast"/>
        </w:trPr>
        <w:tc>
          <w:tcPr>
            <w:tcW w:w="980" w:type="dxa"/>
            <w:tcBorders>
              <w:top w:val="nil"/>
              <w:left w:val="single" w:color="auto" w:sz="8" w:space="0"/>
              <w:bottom w:val="single" w:color="auto" w:sz="8" w:space="0"/>
              <w:right w:val="nil"/>
            </w:tcBorders>
            <w:vAlign w:val="center"/>
          </w:tcPr>
          <w:p w14:paraId="53162968">
            <w:pPr>
              <w:widowControl/>
              <w:adjustRightInd/>
              <w:jc w:val="center"/>
              <w:rPr>
                <w:rFonts w:ascii="宋体" w:hAnsi="宋体" w:cs="宋体"/>
                <w:kern w:val="0"/>
                <w:sz w:val="24"/>
                <w:highlight w:val="none"/>
              </w:rPr>
            </w:pPr>
            <w:r>
              <w:rPr>
                <w:rFonts w:ascii="宋体" w:hAnsi="宋体" w:cs="宋体"/>
                <w:kern w:val="0"/>
                <w:sz w:val="24"/>
                <w:highlight w:val="none"/>
              </w:rPr>
              <w:t>22</w:t>
            </w:r>
          </w:p>
        </w:tc>
        <w:tc>
          <w:tcPr>
            <w:tcW w:w="980" w:type="dxa"/>
            <w:vMerge w:val="continue"/>
            <w:tcBorders>
              <w:top w:val="nil"/>
              <w:left w:val="single" w:color="auto" w:sz="8" w:space="0"/>
              <w:bottom w:val="single" w:color="000000" w:sz="8" w:space="0"/>
              <w:right w:val="single" w:color="auto" w:sz="8" w:space="0"/>
            </w:tcBorders>
            <w:vAlign w:val="center"/>
          </w:tcPr>
          <w:p w14:paraId="5D1DDFA5">
            <w:pPr>
              <w:widowControl/>
              <w:adjustRightInd/>
              <w:jc w:val="left"/>
              <w:rPr>
                <w:rFonts w:ascii="宋体" w:hAnsi="宋体" w:cs="宋体"/>
                <w:kern w:val="0"/>
                <w:sz w:val="24"/>
                <w:highlight w:val="none"/>
              </w:rPr>
            </w:pPr>
          </w:p>
        </w:tc>
        <w:tc>
          <w:tcPr>
            <w:tcW w:w="1580" w:type="dxa"/>
            <w:tcBorders>
              <w:top w:val="nil"/>
              <w:left w:val="nil"/>
              <w:bottom w:val="single" w:color="auto" w:sz="8" w:space="0"/>
              <w:right w:val="single" w:color="auto" w:sz="8" w:space="0"/>
            </w:tcBorders>
            <w:vAlign w:val="center"/>
          </w:tcPr>
          <w:p w14:paraId="7E07344C">
            <w:pPr>
              <w:widowControl/>
              <w:adjustRightInd/>
              <w:jc w:val="center"/>
              <w:rPr>
                <w:rFonts w:ascii="宋体" w:hAnsi="宋体" w:cs="宋体"/>
                <w:kern w:val="0"/>
                <w:sz w:val="24"/>
                <w:highlight w:val="none"/>
              </w:rPr>
            </w:pPr>
            <w:r>
              <w:rPr>
                <w:rFonts w:hint="eastAsia" w:ascii="宋体" w:hAnsi="宋体" w:cs="宋体"/>
                <w:kern w:val="0"/>
                <w:sz w:val="24"/>
                <w:highlight w:val="none"/>
              </w:rPr>
              <w:t>▲噪声</w:t>
            </w:r>
          </w:p>
        </w:tc>
        <w:tc>
          <w:tcPr>
            <w:tcW w:w="4760" w:type="dxa"/>
            <w:tcBorders>
              <w:top w:val="nil"/>
              <w:left w:val="nil"/>
              <w:bottom w:val="single" w:color="auto" w:sz="8" w:space="0"/>
              <w:right w:val="single" w:color="auto" w:sz="8" w:space="0"/>
            </w:tcBorders>
            <w:vAlign w:val="center"/>
          </w:tcPr>
          <w:p w14:paraId="7A54C63A">
            <w:pPr>
              <w:widowControl/>
              <w:adjustRightInd/>
              <w:rPr>
                <w:rFonts w:ascii="宋体" w:hAnsi="宋体" w:cs="宋体"/>
                <w:kern w:val="0"/>
                <w:sz w:val="24"/>
                <w:highlight w:val="none"/>
              </w:rPr>
            </w:pPr>
            <w:r>
              <w:rPr>
                <w:rFonts w:hint="eastAsia" w:ascii="宋体" w:hAnsi="宋体" w:cs="宋体"/>
                <w:kern w:val="0"/>
                <w:sz w:val="24"/>
                <w:highlight w:val="none"/>
              </w:rPr>
              <w:t>符合</w:t>
            </w:r>
            <w:r>
              <w:rPr>
                <w:rFonts w:ascii="宋体" w:hAnsi="宋体" w:cs="宋体"/>
                <w:kern w:val="0"/>
                <w:sz w:val="24"/>
                <w:highlight w:val="none"/>
              </w:rPr>
              <w:t xml:space="preserve"> GB/T 9813.3 </w:t>
            </w:r>
            <w:r>
              <w:rPr>
                <w:rFonts w:hint="eastAsia" w:ascii="宋体" w:hAnsi="宋体" w:cs="宋体"/>
                <w:kern w:val="0"/>
                <w:sz w:val="24"/>
                <w:highlight w:val="none"/>
              </w:rPr>
              <w:t>的有关规定，在产品说明中给出具体测试值塔式服务器噪声在空闲状态下不大于</w:t>
            </w:r>
            <w:r>
              <w:rPr>
                <w:rFonts w:ascii="宋体" w:hAnsi="宋体" w:cs="宋体"/>
                <w:kern w:val="0"/>
                <w:sz w:val="24"/>
                <w:highlight w:val="none"/>
              </w:rPr>
              <w:t xml:space="preserve"> 50dB</w:t>
            </w:r>
          </w:p>
        </w:tc>
      </w:tr>
      <w:tr w14:paraId="3CD41E52">
        <w:tblPrEx>
          <w:tblCellMar>
            <w:top w:w="0" w:type="dxa"/>
            <w:left w:w="108" w:type="dxa"/>
            <w:bottom w:w="0" w:type="dxa"/>
            <w:right w:w="108" w:type="dxa"/>
          </w:tblCellMar>
        </w:tblPrEx>
        <w:trPr>
          <w:trHeight w:val="515" w:hRule="atLeast"/>
        </w:trPr>
        <w:tc>
          <w:tcPr>
            <w:tcW w:w="980" w:type="dxa"/>
            <w:tcBorders>
              <w:top w:val="nil"/>
              <w:left w:val="single" w:color="auto" w:sz="8" w:space="0"/>
              <w:bottom w:val="single" w:color="auto" w:sz="8" w:space="0"/>
              <w:right w:val="nil"/>
            </w:tcBorders>
            <w:vAlign w:val="center"/>
          </w:tcPr>
          <w:p w14:paraId="7789360F">
            <w:pPr>
              <w:widowControl/>
              <w:adjustRightInd/>
              <w:jc w:val="center"/>
              <w:rPr>
                <w:rFonts w:ascii="宋体" w:hAnsi="宋体" w:cs="宋体"/>
                <w:kern w:val="0"/>
                <w:sz w:val="24"/>
                <w:highlight w:val="none"/>
              </w:rPr>
            </w:pPr>
            <w:r>
              <w:rPr>
                <w:rFonts w:ascii="宋体" w:hAnsi="宋体" w:cs="宋体"/>
                <w:kern w:val="0"/>
                <w:sz w:val="24"/>
                <w:highlight w:val="none"/>
              </w:rPr>
              <w:t>23</w:t>
            </w:r>
          </w:p>
        </w:tc>
        <w:tc>
          <w:tcPr>
            <w:tcW w:w="980" w:type="dxa"/>
            <w:tcBorders>
              <w:top w:val="nil"/>
              <w:left w:val="single" w:color="auto" w:sz="8" w:space="0"/>
              <w:bottom w:val="single" w:color="auto" w:sz="8" w:space="0"/>
              <w:right w:val="single" w:color="auto" w:sz="8" w:space="0"/>
            </w:tcBorders>
            <w:vAlign w:val="center"/>
          </w:tcPr>
          <w:p w14:paraId="102EA78A">
            <w:pPr>
              <w:widowControl/>
              <w:adjustRightInd/>
              <w:jc w:val="center"/>
              <w:rPr>
                <w:rFonts w:ascii="宋体" w:hAnsi="宋体" w:cs="宋体"/>
                <w:kern w:val="0"/>
                <w:sz w:val="24"/>
                <w:highlight w:val="none"/>
              </w:rPr>
            </w:pPr>
            <w:r>
              <w:rPr>
                <w:rFonts w:hint="eastAsia" w:ascii="宋体" w:hAnsi="宋体" w:cs="宋体"/>
                <w:kern w:val="0"/>
                <w:sz w:val="24"/>
                <w:highlight w:val="none"/>
              </w:rPr>
              <w:t>机柜规格</w:t>
            </w:r>
          </w:p>
        </w:tc>
        <w:tc>
          <w:tcPr>
            <w:tcW w:w="1580" w:type="dxa"/>
            <w:tcBorders>
              <w:top w:val="nil"/>
              <w:left w:val="nil"/>
              <w:bottom w:val="single" w:color="auto" w:sz="8" w:space="0"/>
              <w:right w:val="single" w:color="auto" w:sz="8" w:space="0"/>
            </w:tcBorders>
            <w:vAlign w:val="center"/>
          </w:tcPr>
          <w:p w14:paraId="34C00271">
            <w:pPr>
              <w:widowControl/>
              <w:adjustRightInd/>
              <w:jc w:val="center"/>
              <w:rPr>
                <w:rFonts w:ascii="宋体" w:hAnsi="宋体" w:cs="宋体"/>
                <w:kern w:val="0"/>
                <w:sz w:val="24"/>
                <w:highlight w:val="none"/>
              </w:rPr>
            </w:pPr>
            <w:r>
              <w:rPr>
                <w:rFonts w:hint="eastAsia" w:ascii="宋体" w:hAnsi="宋体" w:cs="宋体"/>
                <w:kern w:val="0"/>
                <w:sz w:val="24"/>
                <w:highlight w:val="none"/>
              </w:rPr>
              <w:t>▲机柜尺寸</w:t>
            </w:r>
          </w:p>
        </w:tc>
        <w:tc>
          <w:tcPr>
            <w:tcW w:w="4760" w:type="dxa"/>
            <w:tcBorders>
              <w:top w:val="nil"/>
              <w:left w:val="nil"/>
              <w:bottom w:val="single" w:color="auto" w:sz="8" w:space="0"/>
              <w:right w:val="single" w:color="auto" w:sz="8" w:space="0"/>
            </w:tcBorders>
            <w:vAlign w:val="center"/>
          </w:tcPr>
          <w:p w14:paraId="42D01043">
            <w:pPr>
              <w:widowControl/>
              <w:adjustRightInd/>
              <w:rPr>
                <w:rFonts w:ascii="宋体" w:hAnsi="宋体" w:cs="宋体"/>
                <w:kern w:val="0"/>
                <w:sz w:val="24"/>
                <w:highlight w:val="none"/>
              </w:rPr>
            </w:pPr>
            <w:r>
              <w:rPr>
                <w:rFonts w:hint="eastAsia" w:ascii="宋体" w:hAnsi="宋体" w:cs="宋体"/>
                <w:kern w:val="0"/>
                <w:sz w:val="24"/>
                <w:highlight w:val="none"/>
              </w:rPr>
              <w:t>供应商在投标时给出长度、高度和深度；</w:t>
            </w:r>
          </w:p>
        </w:tc>
      </w:tr>
      <w:tr w14:paraId="0D73E526">
        <w:tblPrEx>
          <w:tblCellMar>
            <w:top w:w="0" w:type="dxa"/>
            <w:left w:w="108" w:type="dxa"/>
            <w:bottom w:w="0" w:type="dxa"/>
            <w:right w:w="108" w:type="dxa"/>
          </w:tblCellMar>
        </w:tblPrEx>
        <w:trPr>
          <w:trHeight w:val="636" w:hRule="atLeast"/>
        </w:trPr>
        <w:tc>
          <w:tcPr>
            <w:tcW w:w="980" w:type="dxa"/>
            <w:tcBorders>
              <w:top w:val="nil"/>
              <w:left w:val="single" w:color="auto" w:sz="8" w:space="0"/>
              <w:bottom w:val="single" w:color="auto" w:sz="8" w:space="0"/>
              <w:right w:val="nil"/>
            </w:tcBorders>
            <w:vAlign w:val="center"/>
          </w:tcPr>
          <w:p w14:paraId="34C90F0E">
            <w:pPr>
              <w:widowControl/>
              <w:adjustRightInd/>
              <w:jc w:val="center"/>
              <w:rPr>
                <w:rFonts w:ascii="宋体" w:hAnsi="宋体" w:cs="宋体"/>
                <w:kern w:val="0"/>
                <w:sz w:val="24"/>
                <w:highlight w:val="none"/>
              </w:rPr>
            </w:pPr>
            <w:r>
              <w:rPr>
                <w:rFonts w:ascii="宋体" w:hAnsi="宋体" w:cs="宋体"/>
                <w:kern w:val="0"/>
                <w:sz w:val="24"/>
                <w:highlight w:val="none"/>
              </w:rPr>
              <w:t>24</w:t>
            </w:r>
          </w:p>
        </w:tc>
        <w:tc>
          <w:tcPr>
            <w:tcW w:w="980" w:type="dxa"/>
            <w:tcBorders>
              <w:top w:val="nil"/>
              <w:left w:val="single" w:color="auto" w:sz="8" w:space="0"/>
              <w:bottom w:val="single" w:color="auto" w:sz="8" w:space="0"/>
              <w:right w:val="single" w:color="auto" w:sz="8" w:space="0"/>
            </w:tcBorders>
            <w:vAlign w:val="center"/>
          </w:tcPr>
          <w:p w14:paraId="3A7425C6">
            <w:pPr>
              <w:widowControl/>
              <w:adjustRightInd/>
              <w:jc w:val="center"/>
              <w:rPr>
                <w:rFonts w:ascii="宋体" w:hAnsi="宋体" w:cs="宋体"/>
                <w:kern w:val="0"/>
                <w:sz w:val="24"/>
                <w:highlight w:val="none"/>
              </w:rPr>
            </w:pPr>
            <w:r>
              <w:rPr>
                <w:rFonts w:hint="eastAsia" w:ascii="宋体" w:hAnsi="宋体" w:cs="宋体"/>
                <w:kern w:val="0"/>
                <w:sz w:val="24"/>
                <w:highlight w:val="none"/>
              </w:rPr>
              <w:t>▲主板</w:t>
            </w:r>
          </w:p>
        </w:tc>
        <w:tc>
          <w:tcPr>
            <w:tcW w:w="1580" w:type="dxa"/>
            <w:tcBorders>
              <w:top w:val="nil"/>
              <w:left w:val="nil"/>
              <w:bottom w:val="single" w:color="auto" w:sz="8" w:space="0"/>
              <w:right w:val="single" w:color="auto" w:sz="8" w:space="0"/>
            </w:tcBorders>
            <w:vAlign w:val="center"/>
          </w:tcPr>
          <w:p w14:paraId="4B5D41EF">
            <w:pPr>
              <w:widowControl/>
              <w:adjustRightInd/>
              <w:jc w:val="center"/>
              <w:rPr>
                <w:rFonts w:ascii="宋体" w:hAnsi="宋体" w:cs="宋体"/>
                <w:kern w:val="0"/>
                <w:sz w:val="24"/>
                <w:highlight w:val="none"/>
              </w:rPr>
            </w:pPr>
            <w:r>
              <w:rPr>
                <w:rFonts w:hint="eastAsia" w:ascii="宋体" w:hAnsi="宋体" w:cs="宋体"/>
                <w:kern w:val="0"/>
                <w:sz w:val="24"/>
                <w:highlight w:val="none"/>
              </w:rPr>
              <w:t>▲主板外部接口种类</w:t>
            </w:r>
          </w:p>
        </w:tc>
        <w:tc>
          <w:tcPr>
            <w:tcW w:w="4760" w:type="dxa"/>
            <w:tcBorders>
              <w:top w:val="nil"/>
              <w:left w:val="nil"/>
              <w:bottom w:val="single" w:color="auto" w:sz="8" w:space="0"/>
              <w:right w:val="single" w:color="auto" w:sz="8" w:space="0"/>
            </w:tcBorders>
            <w:vAlign w:val="center"/>
          </w:tcPr>
          <w:p w14:paraId="5D19C4E6">
            <w:pPr>
              <w:widowControl/>
              <w:adjustRightInd/>
              <w:rPr>
                <w:rFonts w:ascii="宋体" w:hAnsi="宋体" w:cs="宋体"/>
                <w:kern w:val="0"/>
                <w:sz w:val="24"/>
                <w:highlight w:val="none"/>
              </w:rPr>
            </w:pPr>
            <w:r>
              <w:rPr>
                <w:rFonts w:hint="eastAsia" w:ascii="宋体" w:hAnsi="宋体" w:cs="宋体"/>
                <w:kern w:val="0"/>
                <w:sz w:val="24"/>
                <w:highlight w:val="none"/>
              </w:rPr>
              <w:t>支持</w:t>
            </w:r>
            <w:r>
              <w:rPr>
                <w:rFonts w:ascii="宋体" w:hAnsi="宋体" w:cs="宋体"/>
                <w:kern w:val="0"/>
                <w:sz w:val="24"/>
                <w:highlight w:val="none"/>
              </w:rPr>
              <w:t xml:space="preserve"> USB、显示、管理等接口,如VGA、USB3.0接口、BMC </w:t>
            </w:r>
            <w:r>
              <w:rPr>
                <w:rFonts w:hint="eastAsia" w:ascii="宋体" w:hAnsi="宋体" w:cs="宋体"/>
                <w:kern w:val="0"/>
                <w:sz w:val="24"/>
                <w:highlight w:val="none"/>
              </w:rPr>
              <w:t>管理端口</w:t>
            </w:r>
          </w:p>
        </w:tc>
      </w:tr>
      <w:tr w14:paraId="70A5B9A0">
        <w:tblPrEx>
          <w:tblCellMar>
            <w:top w:w="0" w:type="dxa"/>
            <w:left w:w="108" w:type="dxa"/>
            <w:bottom w:w="0" w:type="dxa"/>
            <w:right w:w="108" w:type="dxa"/>
          </w:tblCellMar>
        </w:tblPrEx>
        <w:trPr>
          <w:trHeight w:val="636" w:hRule="atLeast"/>
        </w:trPr>
        <w:tc>
          <w:tcPr>
            <w:tcW w:w="980" w:type="dxa"/>
            <w:tcBorders>
              <w:top w:val="nil"/>
              <w:left w:val="single" w:color="auto" w:sz="8" w:space="0"/>
              <w:bottom w:val="single" w:color="auto" w:sz="8" w:space="0"/>
              <w:right w:val="nil"/>
            </w:tcBorders>
            <w:vAlign w:val="center"/>
          </w:tcPr>
          <w:p w14:paraId="3E351988">
            <w:pPr>
              <w:widowControl/>
              <w:adjustRightInd/>
              <w:jc w:val="center"/>
              <w:rPr>
                <w:rFonts w:ascii="宋体" w:hAnsi="宋体" w:cs="宋体"/>
                <w:kern w:val="0"/>
                <w:sz w:val="24"/>
                <w:highlight w:val="none"/>
              </w:rPr>
            </w:pPr>
            <w:r>
              <w:rPr>
                <w:rFonts w:ascii="宋体" w:hAnsi="宋体" w:cs="宋体"/>
                <w:kern w:val="0"/>
                <w:sz w:val="24"/>
                <w:highlight w:val="none"/>
              </w:rPr>
              <w:t>25</w:t>
            </w:r>
          </w:p>
        </w:tc>
        <w:tc>
          <w:tcPr>
            <w:tcW w:w="980" w:type="dxa"/>
            <w:tcBorders>
              <w:top w:val="nil"/>
              <w:left w:val="single" w:color="auto" w:sz="8" w:space="0"/>
              <w:bottom w:val="single" w:color="auto" w:sz="8" w:space="0"/>
              <w:right w:val="single" w:color="auto" w:sz="8" w:space="0"/>
            </w:tcBorders>
            <w:vAlign w:val="center"/>
          </w:tcPr>
          <w:p w14:paraId="68208129">
            <w:pPr>
              <w:widowControl/>
              <w:adjustRightInd/>
              <w:jc w:val="center"/>
              <w:rPr>
                <w:rFonts w:ascii="宋体" w:hAnsi="宋体" w:cs="宋体"/>
                <w:kern w:val="0"/>
                <w:sz w:val="24"/>
                <w:highlight w:val="none"/>
              </w:rPr>
            </w:pPr>
            <w:r>
              <w:rPr>
                <w:rFonts w:hint="eastAsia" w:ascii="宋体" w:hAnsi="宋体" w:cs="宋体"/>
                <w:kern w:val="0"/>
                <w:sz w:val="24"/>
                <w:highlight w:val="none"/>
              </w:rPr>
              <w:t>▲网络功能</w:t>
            </w:r>
          </w:p>
        </w:tc>
        <w:tc>
          <w:tcPr>
            <w:tcW w:w="1580" w:type="dxa"/>
            <w:tcBorders>
              <w:top w:val="nil"/>
              <w:left w:val="nil"/>
              <w:bottom w:val="single" w:color="auto" w:sz="8" w:space="0"/>
              <w:right w:val="single" w:color="auto" w:sz="8" w:space="0"/>
            </w:tcBorders>
            <w:vAlign w:val="center"/>
          </w:tcPr>
          <w:p w14:paraId="55F4E241">
            <w:pPr>
              <w:widowControl/>
              <w:adjustRightInd/>
              <w:jc w:val="center"/>
              <w:rPr>
                <w:rFonts w:ascii="宋体" w:hAnsi="宋体" w:cs="宋体"/>
                <w:kern w:val="0"/>
                <w:sz w:val="24"/>
                <w:highlight w:val="none"/>
              </w:rPr>
            </w:pPr>
            <w:r>
              <w:rPr>
                <w:rFonts w:hint="eastAsia" w:ascii="宋体" w:hAnsi="宋体" w:cs="宋体"/>
                <w:kern w:val="0"/>
                <w:sz w:val="24"/>
                <w:highlight w:val="none"/>
              </w:rPr>
              <w:t>▲网络功能</w:t>
            </w:r>
          </w:p>
        </w:tc>
        <w:tc>
          <w:tcPr>
            <w:tcW w:w="4760" w:type="dxa"/>
            <w:tcBorders>
              <w:top w:val="nil"/>
              <w:left w:val="nil"/>
              <w:bottom w:val="single" w:color="auto" w:sz="8" w:space="0"/>
              <w:right w:val="single" w:color="auto" w:sz="8" w:space="0"/>
            </w:tcBorders>
            <w:vAlign w:val="center"/>
          </w:tcPr>
          <w:p w14:paraId="5B1DBB6C">
            <w:pPr>
              <w:widowControl/>
              <w:adjustRightInd/>
              <w:rPr>
                <w:rFonts w:ascii="宋体" w:hAnsi="宋体" w:cs="宋体"/>
                <w:kern w:val="0"/>
                <w:sz w:val="24"/>
                <w:highlight w:val="none"/>
              </w:rPr>
            </w:pPr>
            <w:r>
              <w:rPr>
                <w:rFonts w:hint="eastAsia" w:ascii="宋体" w:hAnsi="宋体" w:cs="宋体"/>
                <w:kern w:val="0"/>
                <w:sz w:val="24"/>
                <w:highlight w:val="none"/>
              </w:rPr>
              <w:t>支持网络连接、网络访问、数据交换和网络管控功能</w:t>
            </w:r>
          </w:p>
        </w:tc>
      </w:tr>
      <w:tr w14:paraId="169757B1">
        <w:tblPrEx>
          <w:tblCellMar>
            <w:top w:w="0" w:type="dxa"/>
            <w:left w:w="108" w:type="dxa"/>
            <w:bottom w:w="0" w:type="dxa"/>
            <w:right w:w="108" w:type="dxa"/>
          </w:tblCellMar>
        </w:tblPrEx>
        <w:trPr>
          <w:trHeight w:val="1572" w:hRule="atLeast"/>
        </w:trPr>
        <w:tc>
          <w:tcPr>
            <w:tcW w:w="980" w:type="dxa"/>
            <w:tcBorders>
              <w:top w:val="nil"/>
              <w:left w:val="single" w:color="auto" w:sz="8" w:space="0"/>
              <w:bottom w:val="single" w:color="auto" w:sz="8" w:space="0"/>
              <w:right w:val="nil"/>
            </w:tcBorders>
            <w:vAlign w:val="center"/>
          </w:tcPr>
          <w:p w14:paraId="2758A55B">
            <w:pPr>
              <w:widowControl/>
              <w:adjustRightInd/>
              <w:jc w:val="center"/>
              <w:rPr>
                <w:rFonts w:ascii="宋体" w:hAnsi="宋体" w:cs="宋体"/>
                <w:kern w:val="0"/>
                <w:sz w:val="24"/>
                <w:highlight w:val="none"/>
              </w:rPr>
            </w:pPr>
            <w:r>
              <w:rPr>
                <w:rFonts w:ascii="宋体" w:hAnsi="宋体" w:cs="宋体"/>
                <w:kern w:val="0"/>
                <w:sz w:val="24"/>
                <w:highlight w:val="none"/>
              </w:rPr>
              <w:t>26</w:t>
            </w:r>
          </w:p>
        </w:tc>
        <w:tc>
          <w:tcPr>
            <w:tcW w:w="980" w:type="dxa"/>
            <w:vMerge w:val="restart"/>
            <w:tcBorders>
              <w:top w:val="nil"/>
              <w:left w:val="single" w:color="auto" w:sz="8" w:space="0"/>
              <w:bottom w:val="single" w:color="000000" w:sz="8" w:space="0"/>
              <w:right w:val="single" w:color="auto" w:sz="8" w:space="0"/>
            </w:tcBorders>
            <w:vAlign w:val="center"/>
          </w:tcPr>
          <w:p w14:paraId="617BE3FC">
            <w:pPr>
              <w:widowControl/>
              <w:adjustRightInd/>
              <w:jc w:val="center"/>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CPU功能</w:t>
            </w:r>
          </w:p>
        </w:tc>
        <w:tc>
          <w:tcPr>
            <w:tcW w:w="1580" w:type="dxa"/>
            <w:tcBorders>
              <w:top w:val="nil"/>
              <w:left w:val="nil"/>
              <w:bottom w:val="single" w:color="auto" w:sz="8" w:space="0"/>
              <w:right w:val="single" w:color="auto" w:sz="8" w:space="0"/>
            </w:tcBorders>
            <w:vAlign w:val="center"/>
          </w:tcPr>
          <w:p w14:paraId="6F5E31CE">
            <w:pPr>
              <w:widowControl/>
              <w:adjustRightInd/>
              <w:jc w:val="center"/>
              <w:rPr>
                <w:rFonts w:ascii="宋体" w:hAnsi="宋体" w:cs="宋体"/>
                <w:kern w:val="0"/>
                <w:sz w:val="24"/>
                <w:highlight w:val="none"/>
              </w:rPr>
            </w:pPr>
            <w:r>
              <w:rPr>
                <w:rFonts w:hint="eastAsia" w:ascii="宋体" w:hAnsi="宋体" w:cs="宋体"/>
                <w:kern w:val="0"/>
                <w:sz w:val="24"/>
                <w:highlight w:val="none"/>
              </w:rPr>
              <w:t>▲计算处理</w:t>
            </w:r>
          </w:p>
        </w:tc>
        <w:tc>
          <w:tcPr>
            <w:tcW w:w="4760" w:type="dxa"/>
            <w:tcBorders>
              <w:top w:val="nil"/>
              <w:left w:val="nil"/>
              <w:bottom w:val="single" w:color="auto" w:sz="8" w:space="0"/>
              <w:right w:val="single" w:color="auto" w:sz="8" w:space="0"/>
            </w:tcBorders>
            <w:vAlign w:val="center"/>
          </w:tcPr>
          <w:p w14:paraId="0E439316">
            <w:pPr>
              <w:widowControl/>
              <w:adjustRightInd/>
              <w:rPr>
                <w:rFonts w:ascii="宋体" w:hAnsi="宋体" w:cs="宋体"/>
                <w:kern w:val="0"/>
                <w:sz w:val="24"/>
                <w:highlight w:val="none"/>
              </w:rPr>
            </w:pPr>
            <w:r>
              <w:rPr>
                <w:rFonts w:hint="eastAsia" w:ascii="宋体" w:hAnsi="宋体" w:cs="宋体"/>
                <w:kern w:val="0"/>
                <w:sz w:val="24"/>
                <w:highlight w:val="none"/>
              </w:rPr>
              <w:t>支持通用计算及虚拟化功能。处理器需集成整型计算单元、浮点计算单元、内存控制器、</w:t>
            </w:r>
            <w:r>
              <w:rPr>
                <w:rFonts w:ascii="宋体" w:hAnsi="宋体" w:cs="宋体"/>
                <w:kern w:val="0"/>
                <w:sz w:val="24"/>
                <w:highlight w:val="none"/>
              </w:rPr>
              <w:t xml:space="preserve">I/O </w:t>
            </w:r>
            <w:r>
              <w:rPr>
                <w:rFonts w:hint="eastAsia" w:ascii="宋体" w:hAnsi="宋体" w:cs="宋体"/>
                <w:kern w:val="0"/>
                <w:sz w:val="24"/>
                <w:highlight w:val="none"/>
              </w:rPr>
              <w:t>模块等，处理器与存储部件、网络部件、</w:t>
            </w:r>
            <w:r>
              <w:rPr>
                <w:rFonts w:ascii="宋体" w:hAnsi="宋体" w:cs="宋体"/>
                <w:kern w:val="0"/>
                <w:sz w:val="24"/>
                <w:highlight w:val="none"/>
              </w:rPr>
              <w:t>I/O部件等组成计算系统，提供数据处理、网络接入等计算相关功能</w:t>
            </w:r>
          </w:p>
        </w:tc>
      </w:tr>
      <w:tr w14:paraId="262441F3">
        <w:tblPrEx>
          <w:tblCellMar>
            <w:top w:w="0" w:type="dxa"/>
            <w:left w:w="108" w:type="dxa"/>
            <w:bottom w:w="0" w:type="dxa"/>
            <w:right w:w="108" w:type="dxa"/>
          </w:tblCellMar>
        </w:tblPrEx>
        <w:trPr>
          <w:trHeight w:val="948" w:hRule="atLeast"/>
        </w:trPr>
        <w:tc>
          <w:tcPr>
            <w:tcW w:w="980" w:type="dxa"/>
            <w:tcBorders>
              <w:top w:val="nil"/>
              <w:left w:val="single" w:color="auto" w:sz="8" w:space="0"/>
              <w:bottom w:val="single" w:color="auto" w:sz="8" w:space="0"/>
              <w:right w:val="nil"/>
            </w:tcBorders>
            <w:vAlign w:val="center"/>
          </w:tcPr>
          <w:p w14:paraId="72804DCF">
            <w:pPr>
              <w:widowControl/>
              <w:adjustRightInd/>
              <w:jc w:val="center"/>
              <w:rPr>
                <w:rFonts w:ascii="宋体" w:hAnsi="宋体" w:cs="宋体"/>
                <w:kern w:val="0"/>
                <w:sz w:val="24"/>
                <w:highlight w:val="none"/>
              </w:rPr>
            </w:pPr>
            <w:r>
              <w:rPr>
                <w:rFonts w:ascii="宋体" w:hAnsi="宋体" w:cs="宋体"/>
                <w:kern w:val="0"/>
                <w:sz w:val="24"/>
                <w:highlight w:val="none"/>
              </w:rPr>
              <w:t>27</w:t>
            </w:r>
          </w:p>
        </w:tc>
        <w:tc>
          <w:tcPr>
            <w:tcW w:w="980" w:type="dxa"/>
            <w:vMerge w:val="continue"/>
            <w:tcBorders>
              <w:top w:val="nil"/>
              <w:left w:val="single" w:color="auto" w:sz="8" w:space="0"/>
              <w:bottom w:val="single" w:color="000000" w:sz="8" w:space="0"/>
              <w:right w:val="single" w:color="auto" w:sz="8" w:space="0"/>
            </w:tcBorders>
            <w:vAlign w:val="center"/>
          </w:tcPr>
          <w:p w14:paraId="5985AFC2">
            <w:pPr>
              <w:widowControl/>
              <w:adjustRightInd/>
              <w:jc w:val="left"/>
              <w:rPr>
                <w:rFonts w:ascii="宋体" w:hAnsi="宋体" w:cs="宋体"/>
                <w:kern w:val="0"/>
                <w:sz w:val="24"/>
                <w:highlight w:val="none"/>
              </w:rPr>
            </w:pPr>
          </w:p>
        </w:tc>
        <w:tc>
          <w:tcPr>
            <w:tcW w:w="1580" w:type="dxa"/>
            <w:tcBorders>
              <w:top w:val="nil"/>
              <w:left w:val="nil"/>
              <w:bottom w:val="single" w:color="auto" w:sz="8" w:space="0"/>
              <w:right w:val="single" w:color="auto" w:sz="8" w:space="0"/>
            </w:tcBorders>
            <w:vAlign w:val="center"/>
          </w:tcPr>
          <w:p w14:paraId="7A6DA924">
            <w:pPr>
              <w:widowControl/>
              <w:adjustRightInd/>
              <w:jc w:val="center"/>
              <w:rPr>
                <w:rFonts w:ascii="宋体" w:hAnsi="宋体" w:cs="宋体"/>
                <w:kern w:val="0"/>
                <w:sz w:val="24"/>
                <w:highlight w:val="none"/>
              </w:rPr>
            </w:pPr>
            <w:r>
              <w:rPr>
                <w:rFonts w:hint="eastAsia" w:ascii="宋体" w:hAnsi="宋体" w:cs="宋体"/>
                <w:kern w:val="0"/>
                <w:sz w:val="24"/>
                <w:highlight w:val="none"/>
              </w:rPr>
              <w:t>▲密码算法实现</w:t>
            </w:r>
          </w:p>
        </w:tc>
        <w:tc>
          <w:tcPr>
            <w:tcW w:w="4760" w:type="dxa"/>
            <w:tcBorders>
              <w:top w:val="nil"/>
              <w:left w:val="nil"/>
              <w:bottom w:val="single" w:color="auto" w:sz="8" w:space="0"/>
              <w:right w:val="single" w:color="auto" w:sz="8" w:space="0"/>
            </w:tcBorders>
            <w:vAlign w:val="center"/>
          </w:tcPr>
          <w:p w14:paraId="1AA865D6">
            <w:pPr>
              <w:widowControl/>
              <w:adjustRightInd/>
              <w:rPr>
                <w:rFonts w:ascii="宋体" w:hAnsi="宋体" w:cs="宋体"/>
                <w:kern w:val="0"/>
                <w:sz w:val="24"/>
                <w:highlight w:val="none"/>
              </w:rPr>
            </w:pPr>
            <w:r>
              <w:rPr>
                <w:rFonts w:ascii="宋体" w:hAnsi="宋体" w:cs="宋体"/>
                <w:kern w:val="0"/>
                <w:sz w:val="24"/>
                <w:highlight w:val="none"/>
              </w:rPr>
              <w:t xml:space="preserve">CPU </w:t>
            </w:r>
            <w:r>
              <w:rPr>
                <w:rFonts w:hint="eastAsia" w:ascii="宋体" w:hAnsi="宋体" w:cs="宋体"/>
                <w:kern w:val="0"/>
                <w:sz w:val="24"/>
                <w:highlight w:val="none"/>
              </w:rPr>
              <w:t>芯片应符合</w:t>
            </w:r>
            <w:r>
              <w:rPr>
                <w:rFonts w:ascii="宋体" w:hAnsi="宋体" w:cs="宋体"/>
                <w:kern w:val="0"/>
                <w:sz w:val="24"/>
                <w:highlight w:val="none"/>
              </w:rPr>
              <w:t xml:space="preserve"> GM/T 0008 </w:t>
            </w:r>
            <w:r>
              <w:rPr>
                <w:rFonts w:hint="eastAsia" w:ascii="宋体" w:hAnsi="宋体" w:cs="宋体"/>
                <w:kern w:val="0"/>
                <w:sz w:val="24"/>
                <w:highlight w:val="none"/>
              </w:rPr>
              <w:t>的相关规定，或芯片密码模块应符合</w:t>
            </w:r>
            <w:r>
              <w:rPr>
                <w:rFonts w:ascii="宋体" w:hAnsi="宋体" w:cs="宋体"/>
                <w:kern w:val="0"/>
                <w:sz w:val="24"/>
                <w:highlight w:val="none"/>
              </w:rPr>
              <w:t xml:space="preserve"> GB/T37092 </w:t>
            </w:r>
            <w:r>
              <w:rPr>
                <w:rFonts w:hint="eastAsia" w:ascii="宋体" w:hAnsi="宋体" w:cs="宋体"/>
                <w:kern w:val="0"/>
                <w:sz w:val="24"/>
                <w:highlight w:val="none"/>
              </w:rPr>
              <w:t>或</w:t>
            </w:r>
            <w:r>
              <w:rPr>
                <w:rFonts w:ascii="宋体" w:hAnsi="宋体" w:cs="宋体"/>
                <w:kern w:val="0"/>
                <w:sz w:val="24"/>
                <w:highlight w:val="none"/>
              </w:rPr>
              <w:t xml:space="preserve"> GM/T 0028 </w:t>
            </w:r>
            <w:r>
              <w:rPr>
                <w:rFonts w:hint="eastAsia" w:ascii="宋体" w:hAnsi="宋体" w:cs="宋体"/>
                <w:kern w:val="0"/>
                <w:sz w:val="24"/>
                <w:highlight w:val="none"/>
              </w:rPr>
              <w:t>的相关规定</w:t>
            </w:r>
          </w:p>
        </w:tc>
      </w:tr>
      <w:tr w14:paraId="5A7AAB61">
        <w:tblPrEx>
          <w:tblCellMar>
            <w:top w:w="0" w:type="dxa"/>
            <w:left w:w="108" w:type="dxa"/>
            <w:bottom w:w="0" w:type="dxa"/>
            <w:right w:w="108" w:type="dxa"/>
          </w:tblCellMar>
        </w:tblPrEx>
        <w:trPr>
          <w:trHeight w:val="324" w:hRule="atLeast"/>
        </w:trPr>
        <w:tc>
          <w:tcPr>
            <w:tcW w:w="980" w:type="dxa"/>
            <w:tcBorders>
              <w:top w:val="nil"/>
              <w:left w:val="single" w:color="auto" w:sz="8" w:space="0"/>
              <w:bottom w:val="single" w:color="auto" w:sz="8" w:space="0"/>
              <w:right w:val="nil"/>
            </w:tcBorders>
            <w:vAlign w:val="center"/>
          </w:tcPr>
          <w:p w14:paraId="363B0CDC">
            <w:pPr>
              <w:widowControl/>
              <w:adjustRightInd/>
              <w:jc w:val="center"/>
              <w:rPr>
                <w:rFonts w:ascii="宋体" w:hAnsi="宋体" w:cs="宋体"/>
                <w:kern w:val="0"/>
                <w:sz w:val="24"/>
                <w:highlight w:val="none"/>
              </w:rPr>
            </w:pPr>
            <w:r>
              <w:rPr>
                <w:rFonts w:ascii="宋体" w:hAnsi="宋体" w:cs="宋体"/>
                <w:kern w:val="0"/>
                <w:sz w:val="24"/>
                <w:highlight w:val="none"/>
              </w:rPr>
              <w:t>28</w:t>
            </w:r>
          </w:p>
        </w:tc>
        <w:tc>
          <w:tcPr>
            <w:tcW w:w="980" w:type="dxa"/>
            <w:vMerge w:val="restart"/>
            <w:tcBorders>
              <w:top w:val="nil"/>
              <w:left w:val="single" w:color="auto" w:sz="8" w:space="0"/>
              <w:bottom w:val="single" w:color="000000" w:sz="8" w:space="0"/>
              <w:right w:val="single" w:color="auto" w:sz="8" w:space="0"/>
            </w:tcBorders>
            <w:vAlign w:val="center"/>
          </w:tcPr>
          <w:p w14:paraId="538C1C17">
            <w:pPr>
              <w:widowControl/>
              <w:adjustRightInd/>
              <w:jc w:val="center"/>
              <w:rPr>
                <w:rFonts w:ascii="宋体" w:hAnsi="宋体" w:cs="宋体"/>
                <w:kern w:val="0"/>
                <w:sz w:val="24"/>
                <w:highlight w:val="none"/>
              </w:rPr>
            </w:pPr>
            <w:r>
              <w:rPr>
                <w:rFonts w:hint="eastAsia" w:ascii="宋体" w:hAnsi="宋体" w:cs="宋体"/>
                <w:kern w:val="0"/>
                <w:sz w:val="24"/>
                <w:highlight w:val="none"/>
              </w:rPr>
              <w:t>▲电源功能</w:t>
            </w:r>
          </w:p>
        </w:tc>
        <w:tc>
          <w:tcPr>
            <w:tcW w:w="1580" w:type="dxa"/>
            <w:tcBorders>
              <w:top w:val="nil"/>
              <w:left w:val="nil"/>
              <w:bottom w:val="single" w:color="auto" w:sz="8" w:space="0"/>
              <w:right w:val="single" w:color="auto" w:sz="8" w:space="0"/>
            </w:tcBorders>
            <w:vAlign w:val="center"/>
          </w:tcPr>
          <w:p w14:paraId="49D49823">
            <w:pPr>
              <w:widowControl/>
              <w:adjustRightInd/>
              <w:jc w:val="center"/>
              <w:rPr>
                <w:rFonts w:ascii="宋体" w:hAnsi="宋体" w:cs="宋体"/>
                <w:kern w:val="0"/>
                <w:sz w:val="24"/>
                <w:highlight w:val="none"/>
              </w:rPr>
            </w:pPr>
            <w:r>
              <w:rPr>
                <w:rFonts w:hint="eastAsia" w:ascii="宋体" w:hAnsi="宋体" w:cs="宋体"/>
                <w:kern w:val="0"/>
                <w:sz w:val="24"/>
                <w:highlight w:val="none"/>
              </w:rPr>
              <w:t>▲电源热插拔</w:t>
            </w:r>
          </w:p>
        </w:tc>
        <w:tc>
          <w:tcPr>
            <w:tcW w:w="4760" w:type="dxa"/>
            <w:tcBorders>
              <w:top w:val="nil"/>
              <w:left w:val="nil"/>
              <w:bottom w:val="single" w:color="auto" w:sz="8" w:space="0"/>
              <w:right w:val="single" w:color="auto" w:sz="8" w:space="0"/>
            </w:tcBorders>
            <w:vAlign w:val="center"/>
          </w:tcPr>
          <w:p w14:paraId="2A721BAA">
            <w:pPr>
              <w:widowControl/>
              <w:adjustRightInd/>
              <w:rPr>
                <w:rFonts w:ascii="宋体" w:hAnsi="宋体" w:cs="宋体"/>
                <w:kern w:val="0"/>
                <w:sz w:val="24"/>
                <w:highlight w:val="none"/>
              </w:rPr>
            </w:pPr>
            <w:r>
              <w:rPr>
                <w:rFonts w:hint="eastAsia" w:ascii="宋体" w:hAnsi="宋体" w:cs="宋体"/>
                <w:kern w:val="0"/>
                <w:sz w:val="24"/>
                <w:highlight w:val="none"/>
              </w:rPr>
              <w:t>整机电源模块应具备热插拔功能</w:t>
            </w:r>
          </w:p>
        </w:tc>
      </w:tr>
      <w:tr w14:paraId="0915EEA8">
        <w:tblPrEx>
          <w:tblCellMar>
            <w:top w:w="0" w:type="dxa"/>
            <w:left w:w="108" w:type="dxa"/>
            <w:bottom w:w="0" w:type="dxa"/>
            <w:right w:w="108" w:type="dxa"/>
          </w:tblCellMar>
        </w:tblPrEx>
        <w:trPr>
          <w:trHeight w:val="636" w:hRule="atLeast"/>
        </w:trPr>
        <w:tc>
          <w:tcPr>
            <w:tcW w:w="980" w:type="dxa"/>
            <w:tcBorders>
              <w:top w:val="nil"/>
              <w:left w:val="single" w:color="auto" w:sz="8" w:space="0"/>
              <w:bottom w:val="single" w:color="auto" w:sz="8" w:space="0"/>
              <w:right w:val="nil"/>
            </w:tcBorders>
            <w:vAlign w:val="center"/>
          </w:tcPr>
          <w:p w14:paraId="14B6D333">
            <w:pPr>
              <w:widowControl/>
              <w:adjustRightInd/>
              <w:jc w:val="center"/>
              <w:rPr>
                <w:rFonts w:ascii="宋体" w:hAnsi="宋体" w:cs="宋体"/>
                <w:kern w:val="0"/>
                <w:sz w:val="24"/>
                <w:highlight w:val="none"/>
              </w:rPr>
            </w:pPr>
            <w:r>
              <w:rPr>
                <w:rFonts w:ascii="宋体" w:hAnsi="宋体" w:cs="宋体"/>
                <w:kern w:val="0"/>
                <w:sz w:val="24"/>
                <w:highlight w:val="none"/>
              </w:rPr>
              <w:t>29</w:t>
            </w:r>
          </w:p>
        </w:tc>
        <w:tc>
          <w:tcPr>
            <w:tcW w:w="980" w:type="dxa"/>
            <w:vMerge w:val="continue"/>
            <w:tcBorders>
              <w:top w:val="nil"/>
              <w:left w:val="single" w:color="auto" w:sz="8" w:space="0"/>
              <w:bottom w:val="single" w:color="000000" w:sz="8" w:space="0"/>
              <w:right w:val="single" w:color="auto" w:sz="8" w:space="0"/>
            </w:tcBorders>
            <w:vAlign w:val="center"/>
          </w:tcPr>
          <w:p w14:paraId="022D3D11">
            <w:pPr>
              <w:widowControl/>
              <w:adjustRightInd/>
              <w:jc w:val="left"/>
              <w:rPr>
                <w:rFonts w:ascii="宋体" w:hAnsi="宋体" w:cs="宋体"/>
                <w:kern w:val="0"/>
                <w:sz w:val="24"/>
                <w:highlight w:val="none"/>
              </w:rPr>
            </w:pPr>
          </w:p>
        </w:tc>
        <w:tc>
          <w:tcPr>
            <w:tcW w:w="1580" w:type="dxa"/>
            <w:tcBorders>
              <w:top w:val="nil"/>
              <w:left w:val="nil"/>
              <w:bottom w:val="single" w:color="auto" w:sz="8" w:space="0"/>
              <w:right w:val="single" w:color="auto" w:sz="8" w:space="0"/>
            </w:tcBorders>
            <w:vAlign w:val="center"/>
          </w:tcPr>
          <w:p w14:paraId="7257A342">
            <w:pPr>
              <w:widowControl/>
              <w:adjustRightInd/>
              <w:jc w:val="center"/>
              <w:rPr>
                <w:rFonts w:ascii="宋体" w:hAnsi="宋体" w:cs="宋体"/>
                <w:kern w:val="0"/>
                <w:sz w:val="24"/>
                <w:highlight w:val="none"/>
              </w:rPr>
            </w:pPr>
            <w:r>
              <w:rPr>
                <w:rFonts w:hint="eastAsia" w:ascii="宋体" w:hAnsi="宋体" w:cs="宋体"/>
                <w:kern w:val="0"/>
                <w:sz w:val="24"/>
                <w:highlight w:val="none"/>
              </w:rPr>
              <w:t>▲电源过流保护</w:t>
            </w:r>
          </w:p>
        </w:tc>
        <w:tc>
          <w:tcPr>
            <w:tcW w:w="4760" w:type="dxa"/>
            <w:tcBorders>
              <w:top w:val="nil"/>
              <w:left w:val="nil"/>
              <w:bottom w:val="single" w:color="auto" w:sz="8" w:space="0"/>
              <w:right w:val="single" w:color="auto" w:sz="8" w:space="0"/>
            </w:tcBorders>
            <w:vAlign w:val="center"/>
          </w:tcPr>
          <w:p w14:paraId="58069DD3">
            <w:pPr>
              <w:widowControl/>
              <w:adjustRightInd/>
              <w:rPr>
                <w:rFonts w:ascii="宋体" w:hAnsi="宋体" w:cs="宋体"/>
                <w:kern w:val="0"/>
                <w:sz w:val="24"/>
                <w:highlight w:val="none"/>
              </w:rPr>
            </w:pPr>
            <w:r>
              <w:rPr>
                <w:rFonts w:hint="eastAsia" w:ascii="宋体" w:hAnsi="宋体" w:cs="宋体"/>
                <w:kern w:val="0"/>
                <w:sz w:val="24"/>
                <w:highlight w:val="none"/>
              </w:rPr>
              <w:t>支持过流及短路保护的功能</w:t>
            </w:r>
          </w:p>
        </w:tc>
      </w:tr>
      <w:tr w14:paraId="171FC7C6">
        <w:tblPrEx>
          <w:tblCellMar>
            <w:top w:w="0" w:type="dxa"/>
            <w:left w:w="108" w:type="dxa"/>
            <w:bottom w:w="0" w:type="dxa"/>
            <w:right w:w="108" w:type="dxa"/>
          </w:tblCellMar>
        </w:tblPrEx>
        <w:trPr>
          <w:trHeight w:val="636" w:hRule="atLeast"/>
        </w:trPr>
        <w:tc>
          <w:tcPr>
            <w:tcW w:w="980" w:type="dxa"/>
            <w:tcBorders>
              <w:top w:val="nil"/>
              <w:left w:val="single" w:color="auto" w:sz="8" w:space="0"/>
              <w:bottom w:val="single" w:color="auto" w:sz="8" w:space="0"/>
              <w:right w:val="nil"/>
            </w:tcBorders>
            <w:vAlign w:val="center"/>
          </w:tcPr>
          <w:p w14:paraId="4D5283DA">
            <w:pPr>
              <w:widowControl/>
              <w:adjustRightInd/>
              <w:jc w:val="center"/>
              <w:rPr>
                <w:rFonts w:ascii="宋体" w:hAnsi="宋体" w:cs="宋体"/>
                <w:kern w:val="0"/>
                <w:sz w:val="24"/>
                <w:highlight w:val="none"/>
              </w:rPr>
            </w:pPr>
            <w:r>
              <w:rPr>
                <w:rFonts w:ascii="宋体" w:hAnsi="宋体" w:cs="宋体"/>
                <w:kern w:val="0"/>
                <w:sz w:val="24"/>
                <w:highlight w:val="none"/>
              </w:rPr>
              <w:t>30</w:t>
            </w:r>
          </w:p>
        </w:tc>
        <w:tc>
          <w:tcPr>
            <w:tcW w:w="980" w:type="dxa"/>
            <w:tcBorders>
              <w:top w:val="nil"/>
              <w:left w:val="single" w:color="auto" w:sz="8" w:space="0"/>
              <w:bottom w:val="single" w:color="auto" w:sz="8" w:space="0"/>
              <w:right w:val="single" w:color="auto" w:sz="8" w:space="0"/>
            </w:tcBorders>
            <w:vAlign w:val="center"/>
          </w:tcPr>
          <w:p w14:paraId="382335FD">
            <w:pPr>
              <w:widowControl/>
              <w:adjustRightInd/>
              <w:jc w:val="center"/>
              <w:rPr>
                <w:rFonts w:ascii="宋体" w:hAnsi="宋体" w:cs="宋体"/>
                <w:kern w:val="0"/>
                <w:sz w:val="24"/>
                <w:highlight w:val="none"/>
              </w:rPr>
            </w:pPr>
            <w:r>
              <w:rPr>
                <w:rFonts w:hint="eastAsia" w:ascii="宋体" w:hAnsi="宋体" w:cs="宋体"/>
                <w:kern w:val="0"/>
                <w:sz w:val="24"/>
                <w:highlight w:val="none"/>
              </w:rPr>
              <w:t>▲整机功能</w:t>
            </w:r>
          </w:p>
        </w:tc>
        <w:tc>
          <w:tcPr>
            <w:tcW w:w="1580" w:type="dxa"/>
            <w:tcBorders>
              <w:top w:val="nil"/>
              <w:left w:val="nil"/>
              <w:bottom w:val="single" w:color="auto" w:sz="8" w:space="0"/>
              <w:right w:val="single" w:color="auto" w:sz="8" w:space="0"/>
            </w:tcBorders>
            <w:vAlign w:val="center"/>
          </w:tcPr>
          <w:p w14:paraId="76D3A0AC">
            <w:pPr>
              <w:widowControl/>
              <w:adjustRightInd/>
              <w:jc w:val="center"/>
              <w:rPr>
                <w:rFonts w:ascii="宋体" w:hAnsi="宋体" w:cs="宋体"/>
                <w:kern w:val="0"/>
                <w:sz w:val="24"/>
                <w:highlight w:val="none"/>
              </w:rPr>
            </w:pPr>
            <w:r>
              <w:rPr>
                <w:rFonts w:hint="eastAsia" w:ascii="宋体" w:hAnsi="宋体" w:cs="宋体"/>
                <w:kern w:val="0"/>
                <w:sz w:val="24"/>
                <w:highlight w:val="none"/>
              </w:rPr>
              <w:t>▲散热方式</w:t>
            </w:r>
          </w:p>
        </w:tc>
        <w:tc>
          <w:tcPr>
            <w:tcW w:w="4760" w:type="dxa"/>
            <w:tcBorders>
              <w:top w:val="nil"/>
              <w:left w:val="nil"/>
              <w:bottom w:val="single" w:color="auto" w:sz="8" w:space="0"/>
              <w:right w:val="single" w:color="auto" w:sz="8" w:space="0"/>
            </w:tcBorders>
            <w:vAlign w:val="center"/>
          </w:tcPr>
          <w:p w14:paraId="6CE34C9E">
            <w:pPr>
              <w:widowControl/>
              <w:adjustRightInd/>
              <w:rPr>
                <w:rFonts w:ascii="宋体" w:hAnsi="宋体" w:cs="宋体"/>
                <w:kern w:val="0"/>
                <w:sz w:val="24"/>
                <w:highlight w:val="none"/>
              </w:rPr>
            </w:pPr>
            <w:r>
              <w:rPr>
                <w:rFonts w:hint="eastAsia" w:ascii="宋体" w:hAnsi="宋体" w:cs="宋体"/>
                <w:kern w:val="0"/>
                <w:sz w:val="24"/>
                <w:highlight w:val="none"/>
              </w:rPr>
              <w:t>支持风冷散热方式</w:t>
            </w:r>
          </w:p>
        </w:tc>
      </w:tr>
      <w:tr w14:paraId="5A49C926">
        <w:tblPrEx>
          <w:tblCellMar>
            <w:top w:w="0" w:type="dxa"/>
            <w:left w:w="108" w:type="dxa"/>
            <w:bottom w:w="0" w:type="dxa"/>
            <w:right w:w="108" w:type="dxa"/>
          </w:tblCellMar>
        </w:tblPrEx>
        <w:trPr>
          <w:trHeight w:val="588" w:hRule="atLeast"/>
        </w:trPr>
        <w:tc>
          <w:tcPr>
            <w:tcW w:w="980" w:type="dxa"/>
            <w:tcBorders>
              <w:top w:val="nil"/>
              <w:left w:val="single" w:color="auto" w:sz="8" w:space="0"/>
              <w:bottom w:val="single" w:color="auto" w:sz="8" w:space="0"/>
              <w:right w:val="nil"/>
            </w:tcBorders>
            <w:vAlign w:val="center"/>
          </w:tcPr>
          <w:p w14:paraId="132DE289">
            <w:pPr>
              <w:widowControl/>
              <w:adjustRightInd/>
              <w:jc w:val="center"/>
              <w:rPr>
                <w:rFonts w:ascii="宋体" w:hAnsi="宋体" w:cs="宋体"/>
                <w:kern w:val="0"/>
                <w:sz w:val="24"/>
                <w:highlight w:val="none"/>
              </w:rPr>
            </w:pPr>
            <w:r>
              <w:rPr>
                <w:rFonts w:ascii="宋体" w:hAnsi="宋体" w:cs="宋体"/>
                <w:kern w:val="0"/>
                <w:sz w:val="24"/>
                <w:highlight w:val="none"/>
              </w:rPr>
              <w:t>31</w:t>
            </w:r>
          </w:p>
        </w:tc>
        <w:tc>
          <w:tcPr>
            <w:tcW w:w="980" w:type="dxa"/>
            <w:vMerge w:val="restart"/>
            <w:tcBorders>
              <w:top w:val="nil"/>
              <w:left w:val="single" w:color="auto" w:sz="8" w:space="0"/>
              <w:bottom w:val="single" w:color="000000" w:sz="8" w:space="0"/>
              <w:right w:val="single" w:color="auto" w:sz="8" w:space="0"/>
            </w:tcBorders>
            <w:vAlign w:val="center"/>
          </w:tcPr>
          <w:p w14:paraId="72F9DF9D">
            <w:pPr>
              <w:widowControl/>
              <w:adjustRightInd/>
              <w:jc w:val="center"/>
              <w:rPr>
                <w:rFonts w:ascii="宋体" w:hAnsi="宋体" w:cs="宋体"/>
                <w:kern w:val="0"/>
                <w:sz w:val="24"/>
                <w:highlight w:val="none"/>
              </w:rPr>
            </w:pPr>
            <w:r>
              <w:rPr>
                <w:rFonts w:hint="eastAsia" w:ascii="宋体" w:hAnsi="宋体" w:cs="宋体"/>
                <w:kern w:val="0"/>
                <w:sz w:val="24"/>
                <w:highlight w:val="none"/>
              </w:rPr>
              <w:t>▲管理系统功能</w:t>
            </w:r>
          </w:p>
        </w:tc>
        <w:tc>
          <w:tcPr>
            <w:tcW w:w="1580" w:type="dxa"/>
            <w:tcBorders>
              <w:top w:val="nil"/>
              <w:left w:val="nil"/>
              <w:bottom w:val="single" w:color="auto" w:sz="8" w:space="0"/>
              <w:right w:val="single" w:color="auto" w:sz="8" w:space="0"/>
            </w:tcBorders>
            <w:vAlign w:val="center"/>
          </w:tcPr>
          <w:p w14:paraId="3B98E31E">
            <w:pPr>
              <w:widowControl/>
              <w:adjustRightInd/>
              <w:jc w:val="center"/>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 xml:space="preserve">BMC </w:t>
            </w:r>
            <w:r>
              <w:rPr>
                <w:rFonts w:hint="eastAsia" w:ascii="宋体" w:hAnsi="宋体" w:cs="宋体"/>
                <w:kern w:val="0"/>
                <w:sz w:val="24"/>
                <w:highlight w:val="none"/>
              </w:rPr>
              <w:t>固件基础功能</w:t>
            </w:r>
          </w:p>
        </w:tc>
        <w:tc>
          <w:tcPr>
            <w:tcW w:w="4760" w:type="dxa"/>
            <w:tcBorders>
              <w:top w:val="nil"/>
              <w:left w:val="nil"/>
              <w:bottom w:val="single" w:color="auto" w:sz="8" w:space="0"/>
              <w:right w:val="single" w:color="auto" w:sz="8" w:space="0"/>
            </w:tcBorders>
            <w:vAlign w:val="center"/>
          </w:tcPr>
          <w:p w14:paraId="6978FD47">
            <w:pPr>
              <w:widowControl/>
              <w:adjustRightInd/>
              <w:rPr>
                <w:rFonts w:ascii="宋体" w:hAnsi="宋体" w:cs="宋体"/>
                <w:kern w:val="0"/>
                <w:sz w:val="24"/>
                <w:highlight w:val="none"/>
              </w:rPr>
            </w:pPr>
            <w:r>
              <w:rPr>
                <w:rFonts w:ascii="宋体" w:hAnsi="宋体" w:cs="宋体"/>
                <w:kern w:val="0"/>
                <w:sz w:val="24"/>
                <w:highlight w:val="none"/>
              </w:rPr>
              <w:t xml:space="preserve">1) </w:t>
            </w:r>
            <w:r>
              <w:rPr>
                <w:rFonts w:hint="eastAsia" w:ascii="宋体" w:hAnsi="宋体" w:cs="宋体"/>
                <w:kern w:val="0"/>
                <w:sz w:val="24"/>
                <w:highlight w:val="none"/>
              </w:rPr>
              <w:t>支持</w:t>
            </w:r>
            <w:r>
              <w:rPr>
                <w:rFonts w:ascii="宋体" w:hAnsi="宋体" w:cs="宋体"/>
                <w:kern w:val="0"/>
                <w:sz w:val="24"/>
                <w:highlight w:val="none"/>
              </w:rPr>
              <w:t xml:space="preserve"> DHCP </w:t>
            </w:r>
            <w:r>
              <w:rPr>
                <w:rFonts w:hint="eastAsia" w:ascii="宋体" w:hAnsi="宋体" w:cs="宋体"/>
                <w:kern w:val="0"/>
                <w:sz w:val="24"/>
                <w:highlight w:val="none"/>
              </w:rPr>
              <w:t>设置网络功能；</w:t>
            </w:r>
          </w:p>
          <w:p w14:paraId="15EAFE58">
            <w:pPr>
              <w:widowControl/>
              <w:adjustRightInd/>
              <w:rPr>
                <w:rFonts w:ascii="宋体" w:hAnsi="宋体" w:cs="宋体"/>
                <w:kern w:val="0"/>
                <w:sz w:val="24"/>
                <w:highlight w:val="none"/>
              </w:rPr>
            </w:pPr>
            <w:r>
              <w:rPr>
                <w:rFonts w:ascii="宋体" w:hAnsi="宋体" w:cs="宋体"/>
                <w:kern w:val="0"/>
                <w:sz w:val="24"/>
                <w:highlight w:val="none"/>
              </w:rPr>
              <w:t xml:space="preserve">2)支持静态 IP </w:t>
            </w:r>
            <w:r>
              <w:rPr>
                <w:rFonts w:hint="eastAsia" w:ascii="宋体" w:hAnsi="宋体" w:cs="宋体"/>
                <w:kern w:val="0"/>
                <w:sz w:val="24"/>
                <w:highlight w:val="none"/>
              </w:rPr>
              <w:t>设置网络功能；</w:t>
            </w:r>
          </w:p>
          <w:p w14:paraId="6EA7E95B">
            <w:pPr>
              <w:widowControl/>
              <w:adjustRightInd/>
              <w:rPr>
                <w:rFonts w:ascii="宋体" w:hAnsi="宋体" w:cs="宋体"/>
                <w:kern w:val="0"/>
                <w:sz w:val="24"/>
                <w:highlight w:val="none"/>
              </w:rPr>
            </w:pPr>
            <w:r>
              <w:rPr>
                <w:rFonts w:ascii="宋体" w:hAnsi="宋体" w:cs="宋体"/>
                <w:kern w:val="0"/>
                <w:sz w:val="24"/>
                <w:highlight w:val="none"/>
              </w:rPr>
              <w:t>3)支持设备日志记录，包括但不限于登录日志、操作日志和报警日志等功能；</w:t>
            </w:r>
          </w:p>
          <w:p w14:paraId="6C007051">
            <w:pPr>
              <w:widowControl/>
              <w:adjustRightInd/>
              <w:rPr>
                <w:rFonts w:ascii="宋体" w:hAnsi="宋体" w:cs="宋体"/>
                <w:kern w:val="0"/>
                <w:sz w:val="24"/>
                <w:highlight w:val="none"/>
              </w:rPr>
            </w:pPr>
            <w:r>
              <w:rPr>
                <w:rFonts w:ascii="宋体" w:hAnsi="宋体" w:cs="宋体"/>
                <w:kern w:val="0"/>
                <w:sz w:val="24"/>
                <w:highlight w:val="none"/>
              </w:rPr>
              <w:t>4)支持日志信息导出和记录删除功能；</w:t>
            </w:r>
          </w:p>
          <w:p w14:paraId="100B824D">
            <w:pPr>
              <w:widowControl/>
              <w:adjustRightInd/>
              <w:rPr>
                <w:rFonts w:ascii="宋体" w:hAnsi="宋体" w:cs="宋体"/>
                <w:kern w:val="0"/>
                <w:sz w:val="24"/>
                <w:highlight w:val="none"/>
              </w:rPr>
            </w:pPr>
            <w:r>
              <w:rPr>
                <w:rFonts w:ascii="宋体" w:hAnsi="宋体" w:cs="宋体"/>
                <w:kern w:val="0"/>
                <w:sz w:val="24"/>
                <w:highlight w:val="none"/>
              </w:rPr>
              <w:t>5)支持通过管理接口向外输出准确的报警信息功能；</w:t>
            </w:r>
          </w:p>
          <w:p w14:paraId="1FF570ED">
            <w:pPr>
              <w:widowControl/>
              <w:adjustRightInd/>
              <w:rPr>
                <w:rFonts w:ascii="宋体" w:hAnsi="宋体" w:cs="宋体"/>
                <w:kern w:val="0"/>
                <w:sz w:val="24"/>
                <w:highlight w:val="none"/>
              </w:rPr>
            </w:pPr>
            <w:r>
              <w:rPr>
                <w:rFonts w:ascii="宋体" w:hAnsi="宋体" w:cs="宋体"/>
                <w:kern w:val="0"/>
                <w:sz w:val="24"/>
                <w:highlight w:val="none"/>
              </w:rPr>
              <w:t xml:space="preserve">6)设备的 BMC </w:t>
            </w:r>
            <w:r>
              <w:rPr>
                <w:rFonts w:hint="eastAsia" w:ascii="宋体" w:hAnsi="宋体" w:cs="宋体"/>
                <w:kern w:val="0"/>
                <w:sz w:val="24"/>
                <w:highlight w:val="none"/>
              </w:rPr>
              <w:t>管理软件应能够按报警的严重程度进行区分；</w:t>
            </w:r>
          </w:p>
          <w:p w14:paraId="07B1CB02">
            <w:pPr>
              <w:widowControl/>
              <w:adjustRightInd/>
              <w:rPr>
                <w:rFonts w:ascii="宋体" w:hAnsi="宋体" w:cs="宋体"/>
                <w:kern w:val="0"/>
                <w:sz w:val="24"/>
                <w:highlight w:val="none"/>
              </w:rPr>
            </w:pPr>
            <w:r>
              <w:rPr>
                <w:rFonts w:ascii="宋体" w:hAnsi="宋体" w:cs="宋体"/>
                <w:kern w:val="0"/>
                <w:sz w:val="24"/>
                <w:highlight w:val="none"/>
              </w:rPr>
              <w:t xml:space="preserve">7)支持 IPMI2.0、SNMP </w:t>
            </w:r>
            <w:r>
              <w:rPr>
                <w:rFonts w:hint="eastAsia" w:ascii="宋体" w:hAnsi="宋体" w:cs="宋体"/>
                <w:kern w:val="0"/>
                <w:sz w:val="24"/>
                <w:highlight w:val="none"/>
              </w:rPr>
              <w:t>或</w:t>
            </w:r>
            <w:r>
              <w:rPr>
                <w:rFonts w:ascii="宋体" w:hAnsi="宋体" w:cs="宋体"/>
                <w:kern w:val="0"/>
                <w:sz w:val="24"/>
                <w:highlight w:val="none"/>
              </w:rPr>
              <w:t xml:space="preserve"> Redfish</w:t>
            </w:r>
          </w:p>
          <w:p w14:paraId="38CABA96">
            <w:pPr>
              <w:widowControl/>
              <w:adjustRightInd/>
              <w:rPr>
                <w:rFonts w:ascii="宋体" w:hAnsi="宋体" w:cs="宋体"/>
                <w:kern w:val="0"/>
                <w:sz w:val="24"/>
                <w:highlight w:val="none"/>
              </w:rPr>
            </w:pPr>
            <w:r>
              <w:rPr>
                <w:rFonts w:hint="eastAsia" w:ascii="宋体" w:hAnsi="宋体" w:cs="宋体"/>
                <w:kern w:val="0"/>
                <w:sz w:val="24"/>
                <w:highlight w:val="none"/>
              </w:rPr>
              <w:t>等接口功能；</w:t>
            </w:r>
          </w:p>
          <w:p w14:paraId="50DBD6B7">
            <w:pPr>
              <w:widowControl/>
              <w:adjustRightInd/>
              <w:rPr>
                <w:rFonts w:ascii="宋体" w:hAnsi="宋体" w:cs="宋体"/>
                <w:kern w:val="0"/>
                <w:sz w:val="24"/>
                <w:highlight w:val="none"/>
              </w:rPr>
            </w:pPr>
            <w:r>
              <w:rPr>
                <w:rFonts w:ascii="宋体" w:hAnsi="宋体" w:cs="宋体"/>
                <w:kern w:val="0"/>
                <w:sz w:val="24"/>
                <w:highlight w:val="none"/>
              </w:rPr>
              <w:t>8)支持键盘、鼠标和视频的重定向、文本控制台的重定向、远程虚拟媒体、高可靠的硬件监控和管理功能；</w:t>
            </w:r>
          </w:p>
          <w:p w14:paraId="1099B90D">
            <w:pPr>
              <w:widowControl/>
              <w:adjustRightInd/>
              <w:rPr>
                <w:rFonts w:ascii="宋体" w:hAnsi="宋体" w:cs="宋体"/>
                <w:kern w:val="0"/>
                <w:sz w:val="24"/>
                <w:highlight w:val="none"/>
              </w:rPr>
            </w:pPr>
            <w:r>
              <w:rPr>
                <w:rFonts w:ascii="宋体" w:hAnsi="宋体" w:cs="宋体"/>
                <w:kern w:val="0"/>
                <w:sz w:val="24"/>
                <w:highlight w:val="none"/>
              </w:rPr>
              <w:t>9)支持基于网络开启、关闭和重启设备的功能，并查询当前设备开机运行状态；</w:t>
            </w:r>
          </w:p>
          <w:p w14:paraId="77483ACB">
            <w:pPr>
              <w:widowControl/>
              <w:adjustRightInd/>
              <w:rPr>
                <w:rFonts w:ascii="宋体" w:hAnsi="宋体" w:cs="宋体"/>
                <w:kern w:val="0"/>
                <w:sz w:val="24"/>
                <w:highlight w:val="none"/>
              </w:rPr>
            </w:pPr>
            <w:r>
              <w:rPr>
                <w:rFonts w:ascii="宋体" w:hAnsi="宋体" w:cs="宋体"/>
                <w:kern w:val="0"/>
                <w:sz w:val="24"/>
                <w:highlight w:val="none"/>
              </w:rPr>
              <w:t>10)支持故障提示功能，并可通过接口读取服务器故障信息；</w:t>
            </w:r>
          </w:p>
          <w:p w14:paraId="549E1893">
            <w:pPr>
              <w:widowControl/>
              <w:adjustRightInd/>
              <w:rPr>
                <w:rFonts w:ascii="宋体" w:hAnsi="宋体" w:cs="宋体"/>
                <w:kern w:val="0"/>
                <w:sz w:val="24"/>
                <w:highlight w:val="none"/>
              </w:rPr>
            </w:pPr>
            <w:r>
              <w:rPr>
                <w:rFonts w:ascii="宋体" w:hAnsi="宋体" w:cs="宋体"/>
                <w:kern w:val="0"/>
                <w:sz w:val="24"/>
                <w:highlight w:val="none"/>
              </w:rPr>
              <w:t xml:space="preserve">11)支持基于网络的固件更新功能，包括 BMC </w:t>
            </w:r>
            <w:r>
              <w:rPr>
                <w:rFonts w:hint="eastAsia" w:ascii="宋体" w:hAnsi="宋体" w:cs="宋体"/>
                <w:kern w:val="0"/>
                <w:sz w:val="24"/>
                <w:highlight w:val="none"/>
              </w:rPr>
              <w:t>和</w:t>
            </w:r>
            <w:r>
              <w:rPr>
                <w:rFonts w:ascii="宋体" w:hAnsi="宋体" w:cs="宋体"/>
                <w:kern w:val="0"/>
                <w:sz w:val="24"/>
                <w:highlight w:val="none"/>
              </w:rPr>
              <w:t xml:space="preserve"> BIOS </w:t>
            </w:r>
            <w:r>
              <w:rPr>
                <w:rFonts w:hint="eastAsia" w:ascii="宋体" w:hAnsi="宋体" w:cs="宋体"/>
                <w:kern w:val="0"/>
                <w:sz w:val="24"/>
                <w:highlight w:val="none"/>
              </w:rPr>
              <w:t>等；</w:t>
            </w:r>
          </w:p>
          <w:p w14:paraId="468AA15F">
            <w:pPr>
              <w:widowControl/>
              <w:adjustRightInd/>
              <w:rPr>
                <w:rFonts w:ascii="宋体" w:hAnsi="宋体" w:cs="宋体"/>
                <w:kern w:val="0"/>
                <w:sz w:val="24"/>
                <w:highlight w:val="none"/>
              </w:rPr>
            </w:pPr>
            <w:r>
              <w:rPr>
                <w:rFonts w:ascii="宋体" w:hAnsi="宋体" w:cs="宋体"/>
                <w:kern w:val="0"/>
                <w:sz w:val="24"/>
                <w:highlight w:val="none"/>
              </w:rPr>
              <w:t>12)支持基于网络安装操作系统的功能，并可通过网络控制台访问设备；</w:t>
            </w:r>
          </w:p>
          <w:p w14:paraId="3884AE5D">
            <w:pPr>
              <w:widowControl/>
              <w:adjustRightInd/>
              <w:rPr>
                <w:rFonts w:ascii="宋体" w:hAnsi="宋体" w:cs="宋体"/>
                <w:kern w:val="0"/>
                <w:sz w:val="24"/>
                <w:highlight w:val="none"/>
              </w:rPr>
            </w:pPr>
            <w:r>
              <w:rPr>
                <w:rFonts w:ascii="宋体" w:hAnsi="宋体" w:cs="宋体"/>
                <w:kern w:val="0"/>
                <w:sz w:val="24"/>
                <w:highlight w:val="none"/>
              </w:rPr>
              <w:t>13)支持通过本地的硬盘或光驱等存储设备，基于网络完成设备的操作系统安装功能；</w:t>
            </w:r>
          </w:p>
          <w:p w14:paraId="09D8AF5D">
            <w:pPr>
              <w:widowControl/>
              <w:adjustRightInd/>
              <w:rPr>
                <w:rFonts w:ascii="宋体" w:hAnsi="宋体" w:cs="宋体"/>
                <w:kern w:val="0"/>
                <w:sz w:val="24"/>
                <w:highlight w:val="none"/>
              </w:rPr>
            </w:pPr>
            <w:r>
              <w:rPr>
                <w:rFonts w:ascii="宋体" w:hAnsi="宋体" w:cs="宋体"/>
                <w:kern w:val="0"/>
                <w:sz w:val="24"/>
                <w:highlight w:val="none"/>
              </w:rPr>
              <w:t>14)支持通过浏览器打开管理界面并登录功能；</w:t>
            </w:r>
          </w:p>
          <w:p w14:paraId="517E3CA6">
            <w:pPr>
              <w:widowControl/>
              <w:adjustRightInd/>
              <w:rPr>
                <w:rFonts w:ascii="宋体" w:hAnsi="宋体" w:cs="宋体"/>
                <w:kern w:val="0"/>
                <w:sz w:val="24"/>
                <w:highlight w:val="none"/>
              </w:rPr>
            </w:pPr>
            <w:r>
              <w:rPr>
                <w:rFonts w:ascii="宋体" w:hAnsi="宋体" w:cs="宋体"/>
                <w:kern w:val="0"/>
                <w:sz w:val="24"/>
                <w:highlight w:val="none"/>
              </w:rPr>
              <w:t>15)支持设置口令策略功能；</w:t>
            </w:r>
          </w:p>
          <w:p w14:paraId="67676EA4">
            <w:pPr>
              <w:widowControl/>
              <w:adjustRightInd/>
              <w:rPr>
                <w:rFonts w:ascii="宋体" w:hAnsi="宋体" w:cs="宋体"/>
                <w:kern w:val="0"/>
                <w:sz w:val="24"/>
                <w:highlight w:val="none"/>
              </w:rPr>
            </w:pPr>
            <w:r>
              <w:rPr>
                <w:rFonts w:ascii="宋体" w:hAnsi="宋体" w:cs="宋体"/>
                <w:kern w:val="0"/>
                <w:sz w:val="24"/>
                <w:highlight w:val="none"/>
              </w:rPr>
              <w:t>16)支持访问权限设置功能，并通过日志记录访问事件；</w:t>
            </w:r>
          </w:p>
          <w:p w14:paraId="6CC1F33E">
            <w:pPr>
              <w:widowControl/>
              <w:adjustRightInd/>
              <w:rPr>
                <w:rFonts w:ascii="宋体" w:hAnsi="宋体" w:cs="宋体"/>
                <w:kern w:val="0"/>
                <w:sz w:val="24"/>
                <w:highlight w:val="none"/>
              </w:rPr>
            </w:pPr>
            <w:r>
              <w:rPr>
                <w:rFonts w:ascii="宋体" w:hAnsi="宋体" w:cs="宋体"/>
                <w:kern w:val="0"/>
                <w:sz w:val="24"/>
                <w:highlight w:val="none"/>
              </w:rPr>
              <w:t>17)支持对出厂默认的用户名及口令进行安全保护功能，并提供默认口令修改提示；</w:t>
            </w:r>
          </w:p>
          <w:p w14:paraId="0D4DB311">
            <w:pPr>
              <w:widowControl/>
              <w:adjustRightInd/>
              <w:rPr>
                <w:rFonts w:ascii="宋体" w:hAnsi="宋体" w:cs="宋体"/>
                <w:kern w:val="0"/>
                <w:sz w:val="24"/>
                <w:highlight w:val="none"/>
              </w:rPr>
            </w:pPr>
            <w:r>
              <w:rPr>
                <w:rFonts w:ascii="宋体" w:hAnsi="宋体" w:cs="宋体"/>
                <w:kern w:val="0"/>
                <w:sz w:val="24"/>
                <w:highlight w:val="none"/>
              </w:rPr>
              <w:t>18)支持读取设备主板的工作环境温度功能；</w:t>
            </w:r>
          </w:p>
          <w:p w14:paraId="2F3DBFC9">
            <w:pPr>
              <w:widowControl/>
              <w:adjustRightInd/>
              <w:rPr>
                <w:rFonts w:ascii="宋体" w:hAnsi="宋体" w:cs="宋体"/>
                <w:kern w:val="0"/>
                <w:sz w:val="24"/>
                <w:highlight w:val="none"/>
              </w:rPr>
            </w:pPr>
            <w:r>
              <w:rPr>
                <w:rFonts w:ascii="宋体" w:hAnsi="宋体" w:cs="宋体"/>
                <w:kern w:val="0"/>
                <w:sz w:val="24"/>
                <w:highlight w:val="none"/>
              </w:rPr>
              <w:t xml:space="preserve">19)支持读取服务器 CPU </w:t>
            </w:r>
            <w:r>
              <w:rPr>
                <w:rFonts w:hint="eastAsia" w:ascii="宋体" w:hAnsi="宋体" w:cs="宋体"/>
                <w:kern w:val="0"/>
                <w:sz w:val="24"/>
                <w:highlight w:val="none"/>
              </w:rPr>
              <w:t>等核心器件的温度功能；</w:t>
            </w:r>
          </w:p>
          <w:p w14:paraId="52C2CE9B">
            <w:pPr>
              <w:widowControl/>
              <w:numPr>
                <w:ilvl w:val="0"/>
                <w:numId w:val="5"/>
              </w:numPr>
              <w:adjustRightInd/>
              <w:rPr>
                <w:rFonts w:ascii="宋体" w:hAnsi="宋体" w:cs="宋体"/>
                <w:kern w:val="0"/>
                <w:sz w:val="24"/>
                <w:highlight w:val="none"/>
              </w:rPr>
            </w:pPr>
            <w:r>
              <w:rPr>
                <w:rFonts w:hint="eastAsia" w:ascii="宋体" w:hAnsi="宋体" w:cs="宋体"/>
                <w:kern w:val="0"/>
                <w:sz w:val="24"/>
                <w:highlight w:val="none"/>
              </w:rPr>
              <w:t>支持通过外部管理工具进行</w:t>
            </w:r>
            <w:r>
              <w:rPr>
                <w:rFonts w:ascii="宋体" w:hAnsi="宋体" w:cs="宋体"/>
                <w:kern w:val="0"/>
                <w:sz w:val="24"/>
                <w:highlight w:val="none"/>
              </w:rPr>
              <w:t xml:space="preserve"> BMC参数设置的功能，并可基于网络通过外部管理工具对 BMC </w:t>
            </w:r>
            <w:r>
              <w:rPr>
                <w:rFonts w:hint="eastAsia" w:ascii="宋体" w:hAnsi="宋体" w:cs="宋体"/>
                <w:kern w:val="0"/>
                <w:sz w:val="24"/>
                <w:highlight w:val="none"/>
              </w:rPr>
              <w:t>进行管理；</w:t>
            </w:r>
          </w:p>
          <w:p w14:paraId="36982956">
            <w:pPr>
              <w:widowControl/>
              <w:numPr>
                <w:ilvl w:val="0"/>
                <w:numId w:val="5"/>
              </w:numPr>
              <w:adjustRightInd/>
              <w:rPr>
                <w:rFonts w:ascii="宋体" w:hAnsi="宋体" w:cs="宋体"/>
                <w:kern w:val="0"/>
                <w:sz w:val="24"/>
                <w:highlight w:val="none"/>
              </w:rPr>
            </w:pPr>
            <w:r>
              <w:rPr>
                <w:rFonts w:hint="eastAsia" w:ascii="宋体" w:hAnsi="宋体" w:cs="宋体"/>
                <w:kern w:val="0"/>
                <w:sz w:val="24"/>
                <w:highlight w:val="none"/>
              </w:rPr>
              <w:t>应支持固件版本查询、固件升级</w:t>
            </w:r>
          </w:p>
          <w:p w14:paraId="0EE6F2D7">
            <w:pPr>
              <w:widowControl/>
              <w:adjustRightInd/>
              <w:rPr>
                <w:rFonts w:ascii="宋体" w:hAnsi="宋体" w:cs="宋体"/>
                <w:kern w:val="0"/>
                <w:sz w:val="24"/>
                <w:highlight w:val="none"/>
              </w:rPr>
            </w:pPr>
            <w:r>
              <w:rPr>
                <w:rFonts w:ascii="宋体" w:hAnsi="宋体" w:cs="宋体"/>
                <w:kern w:val="0"/>
                <w:sz w:val="24"/>
                <w:highlight w:val="none"/>
              </w:rPr>
              <w:t>22)支持基于网络实现开关机和复位控制的功能；</w:t>
            </w:r>
          </w:p>
          <w:p w14:paraId="2350F4E0">
            <w:pPr>
              <w:widowControl/>
              <w:adjustRightInd/>
              <w:rPr>
                <w:rFonts w:ascii="宋体" w:hAnsi="宋体" w:cs="宋体"/>
                <w:kern w:val="0"/>
                <w:sz w:val="24"/>
                <w:highlight w:val="none"/>
              </w:rPr>
            </w:pPr>
            <w:r>
              <w:rPr>
                <w:rFonts w:ascii="宋体" w:hAnsi="宋体" w:cs="宋体"/>
                <w:kern w:val="0"/>
                <w:sz w:val="24"/>
                <w:highlight w:val="none"/>
              </w:rPr>
              <w:t xml:space="preserve">23)BMC </w:t>
            </w:r>
            <w:r>
              <w:rPr>
                <w:rFonts w:hint="eastAsia" w:ascii="宋体" w:hAnsi="宋体" w:cs="宋体"/>
                <w:kern w:val="0"/>
                <w:sz w:val="24"/>
                <w:highlight w:val="none"/>
              </w:rPr>
              <w:t>启动时间应不超过</w:t>
            </w:r>
            <w:r>
              <w:rPr>
                <w:rFonts w:ascii="宋体" w:hAnsi="宋体" w:cs="宋体"/>
                <w:kern w:val="0"/>
                <w:sz w:val="24"/>
                <w:highlight w:val="none"/>
              </w:rPr>
              <w:t xml:space="preserve"> 180s，实现功能包括网络、IPMI、散热、传感器服务可用；</w:t>
            </w:r>
          </w:p>
          <w:p w14:paraId="41A58245">
            <w:pPr>
              <w:widowControl/>
              <w:adjustRightInd/>
              <w:rPr>
                <w:rFonts w:ascii="宋体" w:hAnsi="宋体" w:cs="宋体"/>
                <w:kern w:val="0"/>
                <w:sz w:val="24"/>
                <w:highlight w:val="none"/>
              </w:rPr>
            </w:pPr>
            <w:r>
              <w:rPr>
                <w:rFonts w:ascii="宋体" w:hAnsi="宋体" w:cs="宋体"/>
                <w:kern w:val="0"/>
                <w:sz w:val="24"/>
                <w:highlight w:val="none"/>
              </w:rPr>
              <w:t xml:space="preserve">24)支持 BMC </w:t>
            </w:r>
            <w:r>
              <w:rPr>
                <w:rFonts w:hint="eastAsia" w:ascii="宋体" w:hAnsi="宋体" w:cs="宋体"/>
                <w:kern w:val="0"/>
                <w:sz w:val="24"/>
                <w:highlight w:val="none"/>
              </w:rPr>
              <w:t>固件设置的恢复出厂功能</w:t>
            </w:r>
          </w:p>
        </w:tc>
      </w:tr>
      <w:tr w14:paraId="633EC9CE">
        <w:tblPrEx>
          <w:tblCellMar>
            <w:top w:w="0" w:type="dxa"/>
            <w:left w:w="108" w:type="dxa"/>
            <w:bottom w:w="0" w:type="dxa"/>
            <w:right w:w="108" w:type="dxa"/>
          </w:tblCellMar>
        </w:tblPrEx>
        <w:trPr>
          <w:trHeight w:val="6564" w:hRule="atLeast"/>
        </w:trPr>
        <w:tc>
          <w:tcPr>
            <w:tcW w:w="980" w:type="dxa"/>
            <w:tcBorders>
              <w:top w:val="nil"/>
              <w:left w:val="single" w:color="auto" w:sz="8" w:space="0"/>
              <w:bottom w:val="single" w:color="auto" w:sz="8" w:space="0"/>
              <w:right w:val="nil"/>
            </w:tcBorders>
            <w:vAlign w:val="center"/>
          </w:tcPr>
          <w:p w14:paraId="23771112">
            <w:pPr>
              <w:widowControl/>
              <w:adjustRightInd/>
              <w:jc w:val="center"/>
              <w:rPr>
                <w:rFonts w:ascii="宋体" w:hAnsi="宋体" w:cs="宋体"/>
                <w:kern w:val="0"/>
                <w:sz w:val="24"/>
                <w:highlight w:val="none"/>
              </w:rPr>
            </w:pPr>
            <w:r>
              <w:rPr>
                <w:rFonts w:ascii="宋体" w:hAnsi="宋体" w:cs="宋体"/>
                <w:kern w:val="0"/>
                <w:sz w:val="24"/>
                <w:highlight w:val="none"/>
              </w:rPr>
              <w:t>32</w:t>
            </w:r>
          </w:p>
        </w:tc>
        <w:tc>
          <w:tcPr>
            <w:tcW w:w="980" w:type="dxa"/>
            <w:vMerge w:val="continue"/>
            <w:tcBorders>
              <w:top w:val="nil"/>
              <w:left w:val="single" w:color="auto" w:sz="8" w:space="0"/>
              <w:bottom w:val="single" w:color="000000" w:sz="8" w:space="0"/>
              <w:right w:val="single" w:color="auto" w:sz="8" w:space="0"/>
            </w:tcBorders>
            <w:vAlign w:val="center"/>
          </w:tcPr>
          <w:p w14:paraId="58755AB4">
            <w:pPr>
              <w:widowControl/>
              <w:adjustRightInd/>
              <w:jc w:val="left"/>
              <w:rPr>
                <w:rFonts w:ascii="宋体" w:hAnsi="宋体" w:cs="宋体"/>
                <w:kern w:val="0"/>
                <w:sz w:val="24"/>
                <w:highlight w:val="none"/>
              </w:rPr>
            </w:pPr>
          </w:p>
        </w:tc>
        <w:tc>
          <w:tcPr>
            <w:tcW w:w="1580" w:type="dxa"/>
            <w:tcBorders>
              <w:top w:val="nil"/>
              <w:left w:val="nil"/>
              <w:bottom w:val="single" w:color="auto" w:sz="8" w:space="0"/>
              <w:right w:val="single" w:color="auto" w:sz="8" w:space="0"/>
            </w:tcBorders>
            <w:vAlign w:val="center"/>
          </w:tcPr>
          <w:p w14:paraId="183C4162">
            <w:pPr>
              <w:widowControl/>
              <w:adjustRightInd/>
              <w:jc w:val="center"/>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 xml:space="preserve">BIOS </w:t>
            </w:r>
            <w:r>
              <w:rPr>
                <w:rFonts w:hint="eastAsia" w:ascii="宋体" w:hAnsi="宋体" w:cs="宋体"/>
                <w:kern w:val="0"/>
                <w:sz w:val="24"/>
                <w:highlight w:val="none"/>
              </w:rPr>
              <w:t>固件基础功能</w:t>
            </w:r>
          </w:p>
        </w:tc>
        <w:tc>
          <w:tcPr>
            <w:tcW w:w="4760" w:type="dxa"/>
            <w:tcBorders>
              <w:top w:val="nil"/>
              <w:left w:val="nil"/>
              <w:bottom w:val="single" w:color="auto" w:sz="8" w:space="0"/>
              <w:right w:val="single" w:color="auto" w:sz="8" w:space="0"/>
            </w:tcBorders>
            <w:vAlign w:val="center"/>
          </w:tcPr>
          <w:p w14:paraId="6525F392">
            <w:pPr>
              <w:widowControl/>
              <w:adjustRightInd/>
              <w:rPr>
                <w:rFonts w:ascii="宋体" w:hAnsi="宋体" w:cs="宋体"/>
                <w:kern w:val="0"/>
                <w:sz w:val="24"/>
                <w:highlight w:val="none"/>
              </w:rPr>
            </w:pPr>
            <w:r>
              <w:rPr>
                <w:rFonts w:ascii="宋体" w:hAnsi="宋体" w:cs="宋体"/>
                <w:kern w:val="0"/>
                <w:sz w:val="24"/>
                <w:highlight w:val="none"/>
              </w:rPr>
              <w:t>a）支持查看固件版本、内存信息、主板信息、处理器信息和系统时间信息功能；</w:t>
            </w:r>
          </w:p>
          <w:p w14:paraId="0D0F94FC">
            <w:pPr>
              <w:widowControl/>
              <w:adjustRightInd/>
              <w:rPr>
                <w:rFonts w:ascii="宋体" w:hAnsi="宋体" w:cs="宋体"/>
                <w:kern w:val="0"/>
                <w:sz w:val="24"/>
                <w:highlight w:val="none"/>
              </w:rPr>
            </w:pPr>
            <w:r>
              <w:rPr>
                <w:rFonts w:ascii="宋体" w:hAnsi="宋体" w:cs="宋体"/>
                <w:kern w:val="0"/>
                <w:sz w:val="24"/>
                <w:highlight w:val="none"/>
              </w:rPr>
              <w:t xml:space="preserve">b）支持上电初始化界面显示 CPU </w:t>
            </w:r>
            <w:r>
              <w:rPr>
                <w:rFonts w:hint="eastAsia" w:ascii="宋体" w:hAnsi="宋体" w:cs="宋体"/>
                <w:kern w:val="0"/>
                <w:sz w:val="24"/>
                <w:highlight w:val="none"/>
              </w:rPr>
              <w:t>信息、内存信息、固件版本和部分快捷键信息功能；</w:t>
            </w:r>
          </w:p>
          <w:p w14:paraId="71E4A7F2">
            <w:pPr>
              <w:widowControl/>
              <w:adjustRightInd/>
              <w:rPr>
                <w:rFonts w:ascii="宋体" w:hAnsi="宋体" w:cs="宋体"/>
                <w:kern w:val="0"/>
                <w:sz w:val="24"/>
                <w:highlight w:val="none"/>
              </w:rPr>
            </w:pPr>
            <w:r>
              <w:rPr>
                <w:rFonts w:ascii="宋体" w:hAnsi="宋体" w:cs="宋体"/>
                <w:kern w:val="0"/>
                <w:sz w:val="24"/>
                <w:highlight w:val="none"/>
              </w:rPr>
              <w:t>c）支持设置界面中英文显示切换功能；</w:t>
            </w:r>
          </w:p>
          <w:p w14:paraId="42753FB1">
            <w:pPr>
              <w:widowControl/>
              <w:adjustRightInd/>
              <w:rPr>
                <w:rFonts w:ascii="宋体" w:hAnsi="宋体" w:cs="宋体"/>
                <w:kern w:val="0"/>
                <w:sz w:val="24"/>
                <w:highlight w:val="none"/>
              </w:rPr>
            </w:pPr>
            <w:r>
              <w:rPr>
                <w:rFonts w:ascii="宋体" w:hAnsi="宋体" w:cs="宋体"/>
                <w:kern w:val="0"/>
                <w:sz w:val="24"/>
                <w:highlight w:val="none"/>
              </w:rPr>
              <w:t xml:space="preserve">d）支持查看 PCIe </w:t>
            </w:r>
            <w:r>
              <w:rPr>
                <w:rFonts w:hint="eastAsia" w:ascii="宋体" w:hAnsi="宋体" w:cs="宋体"/>
                <w:kern w:val="0"/>
                <w:sz w:val="24"/>
                <w:highlight w:val="none"/>
              </w:rPr>
              <w:t>设备信息，</w:t>
            </w:r>
            <w:r>
              <w:rPr>
                <w:rFonts w:ascii="宋体" w:hAnsi="宋体" w:cs="宋体"/>
                <w:kern w:val="0"/>
                <w:sz w:val="24"/>
                <w:highlight w:val="none"/>
              </w:rPr>
              <w:t>SATA</w:t>
            </w:r>
            <w:r>
              <w:rPr>
                <w:rFonts w:hint="eastAsia" w:ascii="宋体" w:hAnsi="宋体" w:cs="宋体"/>
                <w:kern w:val="0"/>
                <w:sz w:val="24"/>
                <w:highlight w:val="none"/>
              </w:rPr>
              <w:t>设备信息功能；</w:t>
            </w:r>
          </w:p>
          <w:p w14:paraId="3F735AC5">
            <w:pPr>
              <w:widowControl/>
              <w:adjustRightInd/>
              <w:rPr>
                <w:rFonts w:ascii="宋体" w:hAnsi="宋体" w:cs="宋体"/>
                <w:kern w:val="0"/>
                <w:sz w:val="24"/>
                <w:highlight w:val="none"/>
              </w:rPr>
            </w:pPr>
            <w:r>
              <w:rPr>
                <w:rFonts w:ascii="宋体" w:hAnsi="宋体" w:cs="宋体"/>
                <w:kern w:val="0"/>
                <w:sz w:val="24"/>
                <w:highlight w:val="none"/>
              </w:rPr>
              <w:t>e）支持操作系统安装和引导功能，应并向操作系统提供计算机主板信息和服务接口；</w:t>
            </w:r>
          </w:p>
          <w:p w14:paraId="522B2476">
            <w:pPr>
              <w:widowControl/>
              <w:adjustRightInd/>
              <w:rPr>
                <w:rFonts w:ascii="宋体" w:hAnsi="宋体" w:cs="宋体"/>
                <w:kern w:val="0"/>
                <w:sz w:val="24"/>
                <w:highlight w:val="none"/>
              </w:rPr>
            </w:pPr>
            <w:r>
              <w:rPr>
                <w:rFonts w:ascii="宋体" w:hAnsi="宋体" w:cs="宋体"/>
                <w:kern w:val="0"/>
                <w:sz w:val="24"/>
                <w:highlight w:val="none"/>
              </w:rPr>
              <w:t>f）支持设置启动顺序，并按照设置的启动顺序启动功能；</w:t>
            </w:r>
          </w:p>
          <w:p w14:paraId="328F3850">
            <w:pPr>
              <w:widowControl/>
              <w:adjustRightInd/>
              <w:rPr>
                <w:rFonts w:ascii="宋体" w:hAnsi="宋体" w:cs="宋体"/>
                <w:kern w:val="0"/>
                <w:sz w:val="24"/>
                <w:highlight w:val="none"/>
              </w:rPr>
            </w:pPr>
            <w:r>
              <w:rPr>
                <w:rFonts w:ascii="宋体" w:hAnsi="宋体" w:cs="宋体"/>
                <w:kern w:val="0"/>
                <w:sz w:val="24"/>
                <w:highlight w:val="none"/>
              </w:rPr>
              <w:t>g）支持安全启动功能；</w:t>
            </w:r>
          </w:p>
          <w:p w14:paraId="2F4B3F23">
            <w:pPr>
              <w:widowControl/>
              <w:adjustRightInd/>
              <w:rPr>
                <w:rFonts w:ascii="宋体" w:hAnsi="宋体" w:cs="宋体"/>
                <w:kern w:val="0"/>
                <w:sz w:val="24"/>
                <w:highlight w:val="none"/>
              </w:rPr>
            </w:pPr>
            <w:r>
              <w:rPr>
                <w:rFonts w:ascii="宋体" w:hAnsi="宋体" w:cs="宋体"/>
                <w:kern w:val="0"/>
                <w:sz w:val="24"/>
                <w:highlight w:val="none"/>
              </w:rPr>
              <w:t>h）支持设置口令、修改口令、验证口令功能；</w:t>
            </w:r>
          </w:p>
          <w:p w14:paraId="521C9E39">
            <w:pPr>
              <w:widowControl/>
              <w:adjustRightInd/>
              <w:rPr>
                <w:rFonts w:ascii="宋体" w:hAnsi="宋体" w:cs="宋体"/>
                <w:kern w:val="0"/>
                <w:sz w:val="24"/>
                <w:highlight w:val="none"/>
              </w:rPr>
            </w:pPr>
            <w:r>
              <w:rPr>
                <w:rFonts w:ascii="宋体" w:hAnsi="宋体" w:cs="宋体"/>
                <w:kern w:val="0"/>
                <w:sz w:val="24"/>
                <w:highlight w:val="none"/>
              </w:rPr>
              <w:t>i）支持板载显示控制或独立显卡的显示控制功能；</w:t>
            </w:r>
          </w:p>
          <w:p w14:paraId="32295E86">
            <w:pPr>
              <w:widowControl/>
              <w:adjustRightInd/>
              <w:rPr>
                <w:rFonts w:ascii="宋体" w:hAnsi="宋体" w:cs="宋体"/>
                <w:kern w:val="0"/>
                <w:sz w:val="24"/>
                <w:highlight w:val="none"/>
              </w:rPr>
            </w:pPr>
            <w:r>
              <w:rPr>
                <w:rFonts w:ascii="宋体" w:hAnsi="宋体" w:cs="宋体"/>
                <w:kern w:val="0"/>
                <w:sz w:val="24"/>
                <w:highlight w:val="none"/>
              </w:rPr>
              <w:t xml:space="preserve">j）支持 RAID </w:t>
            </w:r>
            <w:r>
              <w:rPr>
                <w:rFonts w:hint="eastAsia" w:ascii="宋体" w:hAnsi="宋体" w:cs="宋体"/>
                <w:kern w:val="0"/>
                <w:sz w:val="24"/>
                <w:highlight w:val="none"/>
              </w:rPr>
              <w:t>识别和启动功能；</w:t>
            </w:r>
          </w:p>
          <w:p w14:paraId="655824D0">
            <w:pPr>
              <w:widowControl/>
              <w:adjustRightInd/>
              <w:rPr>
                <w:rFonts w:ascii="宋体" w:hAnsi="宋体" w:cs="宋体"/>
                <w:kern w:val="0"/>
                <w:sz w:val="24"/>
                <w:highlight w:val="none"/>
              </w:rPr>
            </w:pPr>
            <w:r>
              <w:rPr>
                <w:rFonts w:ascii="宋体" w:hAnsi="宋体" w:cs="宋体"/>
                <w:kern w:val="0"/>
                <w:sz w:val="24"/>
                <w:highlight w:val="none"/>
              </w:rPr>
              <w:t>k）支持串口重定向功能；</w:t>
            </w:r>
          </w:p>
          <w:p w14:paraId="48DB66AC">
            <w:pPr>
              <w:widowControl/>
              <w:adjustRightInd/>
              <w:rPr>
                <w:rFonts w:ascii="宋体" w:hAnsi="宋体" w:cs="宋体"/>
                <w:kern w:val="0"/>
                <w:sz w:val="24"/>
                <w:highlight w:val="none"/>
              </w:rPr>
            </w:pPr>
            <w:r>
              <w:rPr>
                <w:rFonts w:ascii="宋体" w:hAnsi="宋体" w:cs="宋体"/>
                <w:kern w:val="0"/>
                <w:sz w:val="24"/>
                <w:highlight w:val="none"/>
              </w:rPr>
              <w:t>l）支持固件更新功能；</w:t>
            </w:r>
          </w:p>
          <w:p w14:paraId="21810EB2">
            <w:pPr>
              <w:widowControl/>
              <w:adjustRightInd/>
              <w:rPr>
                <w:rFonts w:ascii="宋体" w:hAnsi="宋体" w:cs="宋体"/>
                <w:kern w:val="0"/>
                <w:sz w:val="24"/>
                <w:highlight w:val="none"/>
              </w:rPr>
            </w:pPr>
            <w:r>
              <w:rPr>
                <w:rFonts w:ascii="宋体" w:hAnsi="宋体" w:cs="宋体"/>
                <w:kern w:val="0"/>
                <w:sz w:val="24"/>
                <w:highlight w:val="none"/>
              </w:rPr>
              <w:t xml:space="preserve">m）支持 BIOS </w:t>
            </w:r>
            <w:r>
              <w:rPr>
                <w:rFonts w:hint="eastAsia" w:ascii="宋体" w:hAnsi="宋体" w:cs="宋体"/>
                <w:kern w:val="0"/>
                <w:sz w:val="24"/>
                <w:highlight w:val="none"/>
              </w:rPr>
              <w:t>固件设置的恢复出厂功能；</w:t>
            </w:r>
          </w:p>
          <w:p w14:paraId="082C34FC">
            <w:pPr>
              <w:widowControl/>
              <w:adjustRightInd/>
              <w:rPr>
                <w:rFonts w:ascii="宋体" w:hAnsi="宋体" w:cs="宋体"/>
                <w:kern w:val="0"/>
                <w:sz w:val="24"/>
                <w:highlight w:val="none"/>
              </w:rPr>
            </w:pPr>
            <w:r>
              <w:rPr>
                <w:rFonts w:ascii="宋体" w:hAnsi="宋体" w:cs="宋体"/>
                <w:kern w:val="0"/>
                <w:sz w:val="24"/>
                <w:highlight w:val="none"/>
              </w:rPr>
              <w:t>n）支持网络引导启用和关闭功能</w:t>
            </w:r>
          </w:p>
        </w:tc>
      </w:tr>
      <w:tr w14:paraId="73911B85">
        <w:tblPrEx>
          <w:tblCellMar>
            <w:top w:w="0" w:type="dxa"/>
            <w:left w:w="108" w:type="dxa"/>
            <w:bottom w:w="0" w:type="dxa"/>
            <w:right w:w="108" w:type="dxa"/>
          </w:tblCellMar>
        </w:tblPrEx>
        <w:trPr>
          <w:trHeight w:val="324" w:hRule="atLeast"/>
        </w:trPr>
        <w:tc>
          <w:tcPr>
            <w:tcW w:w="980" w:type="dxa"/>
            <w:tcBorders>
              <w:top w:val="nil"/>
              <w:left w:val="single" w:color="auto" w:sz="8" w:space="0"/>
              <w:bottom w:val="single" w:color="auto" w:sz="8" w:space="0"/>
              <w:right w:val="nil"/>
            </w:tcBorders>
            <w:vAlign w:val="center"/>
          </w:tcPr>
          <w:p w14:paraId="1BF00AC0">
            <w:pPr>
              <w:widowControl/>
              <w:adjustRightInd/>
              <w:jc w:val="center"/>
              <w:rPr>
                <w:rFonts w:ascii="宋体" w:hAnsi="宋体" w:cs="宋体"/>
                <w:kern w:val="0"/>
                <w:sz w:val="24"/>
                <w:highlight w:val="none"/>
              </w:rPr>
            </w:pPr>
            <w:r>
              <w:rPr>
                <w:rFonts w:ascii="宋体" w:hAnsi="宋体" w:cs="宋体"/>
                <w:kern w:val="0"/>
                <w:sz w:val="24"/>
                <w:highlight w:val="none"/>
              </w:rPr>
              <w:t>33</w:t>
            </w:r>
          </w:p>
        </w:tc>
        <w:tc>
          <w:tcPr>
            <w:tcW w:w="980" w:type="dxa"/>
            <w:vMerge w:val="continue"/>
            <w:tcBorders>
              <w:top w:val="nil"/>
              <w:left w:val="single" w:color="auto" w:sz="8" w:space="0"/>
              <w:bottom w:val="single" w:color="000000" w:sz="8" w:space="0"/>
              <w:right w:val="single" w:color="auto" w:sz="8" w:space="0"/>
            </w:tcBorders>
            <w:vAlign w:val="center"/>
          </w:tcPr>
          <w:p w14:paraId="5EBB4D62">
            <w:pPr>
              <w:widowControl/>
              <w:adjustRightInd/>
              <w:jc w:val="left"/>
              <w:rPr>
                <w:rFonts w:ascii="宋体" w:hAnsi="宋体" w:cs="宋体"/>
                <w:kern w:val="0"/>
                <w:sz w:val="24"/>
                <w:highlight w:val="none"/>
              </w:rPr>
            </w:pPr>
          </w:p>
        </w:tc>
        <w:tc>
          <w:tcPr>
            <w:tcW w:w="1580" w:type="dxa"/>
            <w:tcBorders>
              <w:top w:val="nil"/>
              <w:left w:val="nil"/>
              <w:bottom w:val="single" w:color="auto" w:sz="8" w:space="0"/>
              <w:right w:val="single" w:color="auto" w:sz="8" w:space="0"/>
            </w:tcBorders>
            <w:vAlign w:val="center"/>
          </w:tcPr>
          <w:p w14:paraId="14F4CF2C">
            <w:pPr>
              <w:widowControl/>
              <w:adjustRightInd/>
              <w:jc w:val="center"/>
              <w:rPr>
                <w:rFonts w:ascii="宋体" w:hAnsi="宋体" w:cs="宋体"/>
                <w:kern w:val="0"/>
                <w:sz w:val="24"/>
                <w:highlight w:val="none"/>
              </w:rPr>
            </w:pPr>
            <w:r>
              <w:rPr>
                <w:rFonts w:hint="eastAsia" w:ascii="宋体" w:hAnsi="宋体" w:cs="宋体"/>
                <w:kern w:val="0"/>
                <w:sz w:val="24"/>
                <w:highlight w:val="none"/>
              </w:rPr>
              <w:t>▲远程控制</w:t>
            </w:r>
          </w:p>
        </w:tc>
        <w:tc>
          <w:tcPr>
            <w:tcW w:w="4760" w:type="dxa"/>
            <w:tcBorders>
              <w:top w:val="nil"/>
              <w:left w:val="nil"/>
              <w:bottom w:val="single" w:color="auto" w:sz="8" w:space="0"/>
              <w:right w:val="single" w:color="auto" w:sz="8" w:space="0"/>
            </w:tcBorders>
            <w:vAlign w:val="center"/>
          </w:tcPr>
          <w:p w14:paraId="095DDF50">
            <w:pPr>
              <w:widowControl/>
              <w:adjustRightInd/>
              <w:rPr>
                <w:rFonts w:ascii="宋体" w:hAnsi="宋体" w:cs="宋体"/>
                <w:kern w:val="0"/>
                <w:sz w:val="24"/>
                <w:highlight w:val="none"/>
              </w:rPr>
            </w:pPr>
            <w:r>
              <w:rPr>
                <w:rFonts w:hint="eastAsia" w:ascii="宋体" w:hAnsi="宋体" w:cs="宋体"/>
                <w:kern w:val="0"/>
                <w:sz w:val="24"/>
                <w:highlight w:val="none"/>
              </w:rPr>
              <w:t>支持远程关机和重新启动功能</w:t>
            </w:r>
          </w:p>
        </w:tc>
      </w:tr>
      <w:tr w14:paraId="389EB403">
        <w:tblPrEx>
          <w:tblCellMar>
            <w:top w:w="0" w:type="dxa"/>
            <w:left w:w="108" w:type="dxa"/>
            <w:bottom w:w="0" w:type="dxa"/>
            <w:right w:w="108" w:type="dxa"/>
          </w:tblCellMar>
        </w:tblPrEx>
        <w:trPr>
          <w:trHeight w:val="636" w:hRule="atLeast"/>
        </w:trPr>
        <w:tc>
          <w:tcPr>
            <w:tcW w:w="980" w:type="dxa"/>
            <w:tcBorders>
              <w:top w:val="nil"/>
              <w:left w:val="single" w:color="auto" w:sz="8" w:space="0"/>
              <w:bottom w:val="single" w:color="auto" w:sz="8" w:space="0"/>
              <w:right w:val="nil"/>
            </w:tcBorders>
            <w:vAlign w:val="center"/>
          </w:tcPr>
          <w:p w14:paraId="0FEE1C95">
            <w:pPr>
              <w:widowControl/>
              <w:adjustRightInd/>
              <w:jc w:val="center"/>
              <w:rPr>
                <w:rFonts w:ascii="宋体" w:hAnsi="宋体" w:cs="宋体"/>
                <w:kern w:val="0"/>
                <w:sz w:val="24"/>
                <w:highlight w:val="none"/>
              </w:rPr>
            </w:pPr>
            <w:r>
              <w:rPr>
                <w:rFonts w:ascii="宋体" w:hAnsi="宋体" w:cs="宋体"/>
                <w:kern w:val="0"/>
                <w:sz w:val="24"/>
                <w:highlight w:val="none"/>
              </w:rPr>
              <w:t>34</w:t>
            </w:r>
          </w:p>
        </w:tc>
        <w:tc>
          <w:tcPr>
            <w:tcW w:w="980" w:type="dxa"/>
            <w:vMerge w:val="restart"/>
            <w:tcBorders>
              <w:top w:val="nil"/>
              <w:left w:val="single" w:color="auto" w:sz="8" w:space="0"/>
              <w:bottom w:val="single" w:color="000000" w:sz="8" w:space="0"/>
              <w:right w:val="single" w:color="auto" w:sz="8" w:space="0"/>
            </w:tcBorders>
            <w:vAlign w:val="center"/>
          </w:tcPr>
          <w:p w14:paraId="48816E26">
            <w:pPr>
              <w:widowControl/>
              <w:adjustRightInd/>
              <w:jc w:val="center"/>
              <w:rPr>
                <w:rFonts w:ascii="宋体" w:hAnsi="宋体" w:cs="宋体"/>
                <w:kern w:val="0"/>
                <w:sz w:val="24"/>
                <w:highlight w:val="none"/>
              </w:rPr>
            </w:pPr>
            <w:r>
              <w:rPr>
                <w:rFonts w:hint="eastAsia" w:ascii="宋体" w:hAnsi="宋体" w:cs="宋体"/>
                <w:kern w:val="0"/>
                <w:sz w:val="24"/>
                <w:highlight w:val="none"/>
              </w:rPr>
              <w:t>▲操作系统及驱动功能</w:t>
            </w:r>
          </w:p>
        </w:tc>
        <w:tc>
          <w:tcPr>
            <w:tcW w:w="1580" w:type="dxa"/>
            <w:tcBorders>
              <w:top w:val="nil"/>
              <w:left w:val="nil"/>
              <w:bottom w:val="single" w:color="auto" w:sz="8" w:space="0"/>
              <w:right w:val="single" w:color="auto" w:sz="8" w:space="0"/>
            </w:tcBorders>
            <w:vAlign w:val="center"/>
          </w:tcPr>
          <w:p w14:paraId="7A799D8D">
            <w:pPr>
              <w:widowControl/>
              <w:adjustRightInd/>
              <w:jc w:val="center"/>
              <w:rPr>
                <w:rFonts w:ascii="宋体" w:hAnsi="宋体" w:cs="宋体"/>
                <w:kern w:val="0"/>
                <w:sz w:val="24"/>
                <w:highlight w:val="none"/>
              </w:rPr>
            </w:pPr>
            <w:r>
              <w:rPr>
                <w:rFonts w:hint="eastAsia" w:ascii="宋体" w:hAnsi="宋体" w:cs="宋体"/>
                <w:kern w:val="0"/>
                <w:sz w:val="24"/>
                <w:highlight w:val="none"/>
              </w:rPr>
              <w:t>▲操作系统及驱动的升级</w:t>
            </w:r>
          </w:p>
        </w:tc>
        <w:tc>
          <w:tcPr>
            <w:tcW w:w="4760" w:type="dxa"/>
            <w:tcBorders>
              <w:top w:val="nil"/>
              <w:left w:val="nil"/>
              <w:bottom w:val="single" w:color="auto" w:sz="8" w:space="0"/>
              <w:right w:val="single" w:color="auto" w:sz="8" w:space="0"/>
            </w:tcBorders>
            <w:vAlign w:val="center"/>
          </w:tcPr>
          <w:p w14:paraId="67386513">
            <w:pPr>
              <w:widowControl/>
              <w:adjustRightInd/>
              <w:rPr>
                <w:rFonts w:ascii="宋体" w:hAnsi="宋体" w:cs="宋体"/>
                <w:kern w:val="0"/>
                <w:sz w:val="24"/>
                <w:highlight w:val="none"/>
              </w:rPr>
            </w:pPr>
            <w:r>
              <w:rPr>
                <w:rFonts w:hint="eastAsia" w:ascii="宋体" w:hAnsi="宋体" w:cs="宋体"/>
                <w:kern w:val="0"/>
                <w:sz w:val="24"/>
                <w:highlight w:val="none"/>
              </w:rPr>
              <w:t>支持通过网络、闪存盘对操作系统、驱动进行升级</w:t>
            </w:r>
          </w:p>
        </w:tc>
      </w:tr>
      <w:tr w14:paraId="0C7535F5">
        <w:tblPrEx>
          <w:tblCellMar>
            <w:top w:w="0" w:type="dxa"/>
            <w:left w:w="108" w:type="dxa"/>
            <w:bottom w:w="0" w:type="dxa"/>
            <w:right w:w="108" w:type="dxa"/>
          </w:tblCellMar>
        </w:tblPrEx>
        <w:trPr>
          <w:trHeight w:val="1260" w:hRule="atLeast"/>
        </w:trPr>
        <w:tc>
          <w:tcPr>
            <w:tcW w:w="980" w:type="dxa"/>
            <w:tcBorders>
              <w:top w:val="nil"/>
              <w:left w:val="single" w:color="auto" w:sz="8" w:space="0"/>
              <w:bottom w:val="single" w:color="auto" w:sz="8" w:space="0"/>
              <w:right w:val="nil"/>
            </w:tcBorders>
            <w:vAlign w:val="center"/>
          </w:tcPr>
          <w:p w14:paraId="4AB39D7E">
            <w:pPr>
              <w:widowControl/>
              <w:adjustRightInd/>
              <w:jc w:val="center"/>
              <w:rPr>
                <w:rFonts w:ascii="宋体" w:hAnsi="宋体" w:cs="宋体"/>
                <w:kern w:val="0"/>
                <w:sz w:val="24"/>
                <w:highlight w:val="none"/>
              </w:rPr>
            </w:pPr>
            <w:r>
              <w:rPr>
                <w:rFonts w:ascii="宋体" w:hAnsi="宋体" w:cs="宋体"/>
                <w:kern w:val="0"/>
                <w:sz w:val="24"/>
                <w:highlight w:val="none"/>
              </w:rPr>
              <w:t>35</w:t>
            </w:r>
          </w:p>
        </w:tc>
        <w:tc>
          <w:tcPr>
            <w:tcW w:w="980" w:type="dxa"/>
            <w:vMerge w:val="continue"/>
            <w:tcBorders>
              <w:top w:val="nil"/>
              <w:left w:val="single" w:color="auto" w:sz="8" w:space="0"/>
              <w:bottom w:val="single" w:color="000000" w:sz="8" w:space="0"/>
              <w:right w:val="single" w:color="auto" w:sz="8" w:space="0"/>
            </w:tcBorders>
            <w:vAlign w:val="center"/>
          </w:tcPr>
          <w:p w14:paraId="0D44D325">
            <w:pPr>
              <w:widowControl/>
              <w:adjustRightInd/>
              <w:jc w:val="left"/>
              <w:rPr>
                <w:rFonts w:ascii="宋体" w:hAnsi="宋体" w:cs="宋体"/>
                <w:kern w:val="0"/>
                <w:sz w:val="24"/>
                <w:highlight w:val="none"/>
              </w:rPr>
            </w:pPr>
          </w:p>
        </w:tc>
        <w:tc>
          <w:tcPr>
            <w:tcW w:w="1580" w:type="dxa"/>
            <w:tcBorders>
              <w:top w:val="nil"/>
              <w:left w:val="nil"/>
              <w:bottom w:val="single" w:color="auto" w:sz="8" w:space="0"/>
              <w:right w:val="single" w:color="auto" w:sz="8" w:space="0"/>
            </w:tcBorders>
            <w:vAlign w:val="center"/>
          </w:tcPr>
          <w:p w14:paraId="0B9A803E">
            <w:pPr>
              <w:widowControl/>
              <w:adjustRightInd/>
              <w:jc w:val="center"/>
              <w:rPr>
                <w:rFonts w:ascii="宋体" w:hAnsi="宋体" w:cs="宋体"/>
                <w:kern w:val="0"/>
                <w:sz w:val="24"/>
                <w:highlight w:val="none"/>
              </w:rPr>
            </w:pPr>
            <w:r>
              <w:rPr>
                <w:rFonts w:hint="eastAsia" w:ascii="宋体" w:hAnsi="宋体" w:cs="宋体"/>
                <w:kern w:val="0"/>
                <w:sz w:val="24"/>
                <w:highlight w:val="none"/>
              </w:rPr>
              <w:t>▲操作系统功能</w:t>
            </w:r>
          </w:p>
        </w:tc>
        <w:tc>
          <w:tcPr>
            <w:tcW w:w="4760" w:type="dxa"/>
            <w:tcBorders>
              <w:top w:val="nil"/>
              <w:left w:val="nil"/>
              <w:bottom w:val="single" w:color="auto" w:sz="8" w:space="0"/>
              <w:right w:val="single" w:color="auto" w:sz="8" w:space="0"/>
            </w:tcBorders>
            <w:vAlign w:val="center"/>
          </w:tcPr>
          <w:p w14:paraId="7BECFE56">
            <w:pPr>
              <w:widowControl/>
              <w:adjustRightInd/>
              <w:rPr>
                <w:rFonts w:ascii="宋体" w:hAnsi="宋体" w:cs="宋体"/>
                <w:kern w:val="0"/>
                <w:sz w:val="24"/>
                <w:highlight w:val="none"/>
              </w:rPr>
            </w:pPr>
            <w:r>
              <w:rPr>
                <w:rFonts w:hint="eastAsia" w:ascii="宋体" w:hAnsi="宋体" w:cs="宋体"/>
                <w:kern w:val="0"/>
                <w:sz w:val="24"/>
                <w:highlight w:val="none"/>
              </w:rPr>
              <w:t>支持访问控制、安全审计、网络接入鉴别等功能；</w:t>
            </w:r>
          </w:p>
          <w:p w14:paraId="63B2F3A3">
            <w:pPr>
              <w:widowControl/>
              <w:adjustRightInd/>
              <w:rPr>
                <w:rFonts w:ascii="宋体" w:hAnsi="宋体" w:cs="宋体"/>
                <w:kern w:val="0"/>
                <w:sz w:val="24"/>
                <w:highlight w:val="none"/>
              </w:rPr>
            </w:pPr>
            <w:r>
              <w:rPr>
                <w:rFonts w:hint="eastAsia" w:ascii="宋体" w:hAnsi="宋体" w:cs="宋体"/>
                <w:kern w:val="0"/>
                <w:sz w:val="24"/>
                <w:highlight w:val="none"/>
              </w:rPr>
              <w:t>操作系统其他功能满足操作系统政府采购需求标准中加</w:t>
            </w:r>
            <w:r>
              <w:rPr>
                <w:rFonts w:ascii="宋体" w:hAnsi="宋体" w:cs="宋体"/>
                <w:kern w:val="0"/>
                <w:sz w:val="24"/>
                <w:highlight w:val="none"/>
              </w:rPr>
              <w:t>*的指标要求</w:t>
            </w:r>
          </w:p>
        </w:tc>
      </w:tr>
      <w:tr w14:paraId="7EF7E6EF">
        <w:tblPrEx>
          <w:tblCellMar>
            <w:top w:w="0" w:type="dxa"/>
            <w:left w:w="108" w:type="dxa"/>
            <w:bottom w:w="0" w:type="dxa"/>
            <w:right w:w="108" w:type="dxa"/>
          </w:tblCellMar>
        </w:tblPrEx>
        <w:trPr>
          <w:trHeight w:val="948" w:hRule="atLeast"/>
        </w:trPr>
        <w:tc>
          <w:tcPr>
            <w:tcW w:w="980" w:type="dxa"/>
            <w:tcBorders>
              <w:top w:val="nil"/>
              <w:left w:val="single" w:color="auto" w:sz="8" w:space="0"/>
              <w:bottom w:val="single" w:color="auto" w:sz="8" w:space="0"/>
              <w:right w:val="nil"/>
            </w:tcBorders>
            <w:vAlign w:val="center"/>
          </w:tcPr>
          <w:p w14:paraId="03040B6E">
            <w:pPr>
              <w:widowControl/>
              <w:adjustRightInd/>
              <w:jc w:val="center"/>
              <w:rPr>
                <w:rFonts w:ascii="宋体" w:hAnsi="宋体" w:cs="宋体"/>
                <w:kern w:val="0"/>
                <w:sz w:val="24"/>
                <w:highlight w:val="none"/>
              </w:rPr>
            </w:pPr>
            <w:r>
              <w:rPr>
                <w:rFonts w:ascii="宋体" w:hAnsi="宋体" w:cs="宋体"/>
                <w:kern w:val="0"/>
                <w:sz w:val="24"/>
                <w:highlight w:val="none"/>
              </w:rPr>
              <w:t>36</w:t>
            </w:r>
          </w:p>
        </w:tc>
        <w:tc>
          <w:tcPr>
            <w:tcW w:w="980" w:type="dxa"/>
            <w:tcBorders>
              <w:top w:val="nil"/>
              <w:left w:val="single" w:color="auto" w:sz="8" w:space="0"/>
              <w:bottom w:val="single" w:color="auto" w:sz="8" w:space="0"/>
              <w:right w:val="single" w:color="auto" w:sz="8" w:space="0"/>
            </w:tcBorders>
            <w:vAlign w:val="center"/>
          </w:tcPr>
          <w:p w14:paraId="0C49D36D">
            <w:pPr>
              <w:widowControl/>
              <w:adjustRightInd/>
              <w:jc w:val="center"/>
              <w:rPr>
                <w:rFonts w:ascii="宋体" w:hAnsi="宋体" w:cs="宋体"/>
                <w:kern w:val="0"/>
                <w:sz w:val="24"/>
                <w:highlight w:val="none"/>
              </w:rPr>
            </w:pPr>
            <w:r>
              <w:rPr>
                <w:rFonts w:hint="eastAsia" w:ascii="宋体" w:hAnsi="宋体" w:cs="宋体"/>
                <w:kern w:val="0"/>
                <w:sz w:val="24"/>
                <w:highlight w:val="none"/>
              </w:rPr>
              <w:t>▲中文信息处理功能</w:t>
            </w:r>
          </w:p>
        </w:tc>
        <w:tc>
          <w:tcPr>
            <w:tcW w:w="1580" w:type="dxa"/>
            <w:tcBorders>
              <w:top w:val="nil"/>
              <w:left w:val="nil"/>
              <w:bottom w:val="single" w:color="auto" w:sz="8" w:space="0"/>
              <w:right w:val="single" w:color="auto" w:sz="8" w:space="0"/>
            </w:tcBorders>
            <w:vAlign w:val="center"/>
          </w:tcPr>
          <w:p w14:paraId="5BC50EE7">
            <w:pPr>
              <w:widowControl/>
              <w:adjustRightInd/>
              <w:jc w:val="center"/>
              <w:rPr>
                <w:rFonts w:ascii="宋体" w:hAnsi="宋体" w:cs="宋体"/>
                <w:kern w:val="0"/>
                <w:sz w:val="24"/>
                <w:highlight w:val="none"/>
              </w:rPr>
            </w:pPr>
            <w:r>
              <w:rPr>
                <w:rFonts w:hint="eastAsia" w:ascii="宋体" w:hAnsi="宋体" w:cs="宋体"/>
                <w:kern w:val="0"/>
                <w:sz w:val="24"/>
                <w:highlight w:val="none"/>
              </w:rPr>
              <w:t>▲中文信息处理</w:t>
            </w:r>
          </w:p>
        </w:tc>
        <w:tc>
          <w:tcPr>
            <w:tcW w:w="4760" w:type="dxa"/>
            <w:tcBorders>
              <w:top w:val="nil"/>
              <w:left w:val="nil"/>
              <w:bottom w:val="single" w:color="auto" w:sz="8" w:space="0"/>
              <w:right w:val="single" w:color="auto" w:sz="8" w:space="0"/>
            </w:tcBorders>
            <w:vAlign w:val="center"/>
          </w:tcPr>
          <w:p w14:paraId="48B5D102">
            <w:pPr>
              <w:widowControl/>
              <w:adjustRightInd/>
              <w:rPr>
                <w:rFonts w:ascii="宋体" w:hAnsi="宋体" w:cs="宋体"/>
                <w:kern w:val="0"/>
                <w:sz w:val="24"/>
                <w:highlight w:val="none"/>
              </w:rPr>
            </w:pPr>
            <w:r>
              <w:rPr>
                <w:rFonts w:hint="eastAsia" w:ascii="宋体" w:hAnsi="宋体" w:cs="宋体"/>
                <w:kern w:val="0"/>
                <w:sz w:val="24"/>
                <w:highlight w:val="none"/>
              </w:rPr>
              <w:t>符合</w:t>
            </w:r>
            <w:r>
              <w:rPr>
                <w:rFonts w:ascii="宋体" w:hAnsi="宋体" w:cs="宋体"/>
                <w:kern w:val="0"/>
                <w:sz w:val="24"/>
                <w:highlight w:val="none"/>
              </w:rPr>
              <w:t xml:space="preserve"> GB 18030 </w:t>
            </w:r>
            <w:r>
              <w:rPr>
                <w:rFonts w:hint="eastAsia" w:ascii="宋体" w:hAnsi="宋体" w:cs="宋体"/>
                <w:kern w:val="0"/>
                <w:sz w:val="24"/>
                <w:highlight w:val="none"/>
              </w:rPr>
              <w:t>的有关规定</w:t>
            </w:r>
          </w:p>
        </w:tc>
      </w:tr>
      <w:tr w14:paraId="36807A65">
        <w:tblPrEx>
          <w:tblCellMar>
            <w:top w:w="0" w:type="dxa"/>
            <w:left w:w="108" w:type="dxa"/>
            <w:bottom w:w="0" w:type="dxa"/>
            <w:right w:w="108" w:type="dxa"/>
          </w:tblCellMar>
        </w:tblPrEx>
        <w:trPr>
          <w:trHeight w:val="948" w:hRule="atLeast"/>
        </w:trPr>
        <w:tc>
          <w:tcPr>
            <w:tcW w:w="980" w:type="dxa"/>
            <w:tcBorders>
              <w:top w:val="nil"/>
              <w:left w:val="single" w:color="auto" w:sz="8" w:space="0"/>
              <w:bottom w:val="single" w:color="auto" w:sz="8" w:space="0"/>
              <w:right w:val="nil"/>
            </w:tcBorders>
            <w:vAlign w:val="center"/>
          </w:tcPr>
          <w:p w14:paraId="54D648E4">
            <w:pPr>
              <w:widowControl/>
              <w:adjustRightInd/>
              <w:jc w:val="center"/>
              <w:rPr>
                <w:rFonts w:ascii="宋体" w:hAnsi="宋体" w:cs="宋体"/>
                <w:kern w:val="0"/>
                <w:sz w:val="24"/>
                <w:highlight w:val="none"/>
              </w:rPr>
            </w:pPr>
            <w:r>
              <w:rPr>
                <w:rFonts w:ascii="宋体" w:hAnsi="宋体" w:cs="宋体"/>
                <w:kern w:val="0"/>
                <w:sz w:val="24"/>
                <w:highlight w:val="none"/>
              </w:rPr>
              <w:t>37</w:t>
            </w:r>
          </w:p>
        </w:tc>
        <w:tc>
          <w:tcPr>
            <w:tcW w:w="980" w:type="dxa"/>
            <w:tcBorders>
              <w:top w:val="nil"/>
              <w:left w:val="single" w:color="auto" w:sz="8" w:space="0"/>
              <w:bottom w:val="single" w:color="auto" w:sz="8" w:space="0"/>
              <w:right w:val="single" w:color="auto" w:sz="8" w:space="0"/>
            </w:tcBorders>
            <w:vAlign w:val="center"/>
          </w:tcPr>
          <w:p w14:paraId="55FB04E8">
            <w:pPr>
              <w:widowControl/>
              <w:adjustRightInd/>
              <w:jc w:val="center"/>
              <w:rPr>
                <w:rFonts w:ascii="宋体" w:hAnsi="宋体" w:cs="宋体"/>
                <w:kern w:val="0"/>
                <w:sz w:val="24"/>
                <w:highlight w:val="none"/>
              </w:rPr>
            </w:pPr>
            <w:r>
              <w:rPr>
                <w:rFonts w:hint="eastAsia" w:ascii="宋体" w:hAnsi="宋体" w:cs="宋体"/>
                <w:kern w:val="0"/>
                <w:sz w:val="24"/>
                <w:highlight w:val="none"/>
              </w:rPr>
              <w:t>▲关键部件安全要求</w:t>
            </w:r>
          </w:p>
        </w:tc>
        <w:tc>
          <w:tcPr>
            <w:tcW w:w="1580" w:type="dxa"/>
            <w:tcBorders>
              <w:top w:val="nil"/>
              <w:left w:val="nil"/>
              <w:bottom w:val="single" w:color="auto" w:sz="8" w:space="0"/>
              <w:right w:val="single" w:color="auto" w:sz="8" w:space="0"/>
            </w:tcBorders>
            <w:vAlign w:val="center"/>
          </w:tcPr>
          <w:p w14:paraId="68B7EA67">
            <w:pPr>
              <w:widowControl/>
              <w:adjustRightInd/>
              <w:jc w:val="center"/>
              <w:rPr>
                <w:rFonts w:ascii="宋体" w:hAnsi="宋体" w:cs="宋体"/>
                <w:kern w:val="0"/>
                <w:sz w:val="24"/>
                <w:highlight w:val="none"/>
              </w:rPr>
            </w:pPr>
            <w:r>
              <w:rPr>
                <w:rFonts w:hint="eastAsia" w:ascii="宋体" w:hAnsi="宋体" w:cs="宋体"/>
                <w:kern w:val="0"/>
                <w:sz w:val="24"/>
                <w:highlight w:val="none"/>
              </w:rPr>
              <w:t>▲关键部件安全要求</w:t>
            </w:r>
          </w:p>
        </w:tc>
        <w:tc>
          <w:tcPr>
            <w:tcW w:w="4760" w:type="dxa"/>
            <w:tcBorders>
              <w:top w:val="nil"/>
              <w:left w:val="nil"/>
              <w:bottom w:val="single" w:color="auto" w:sz="8" w:space="0"/>
              <w:right w:val="single" w:color="auto" w:sz="8" w:space="0"/>
            </w:tcBorders>
            <w:vAlign w:val="center"/>
          </w:tcPr>
          <w:p w14:paraId="2C31594E">
            <w:pPr>
              <w:widowControl/>
              <w:adjustRightInd/>
              <w:rPr>
                <w:rFonts w:ascii="宋体" w:hAnsi="宋体" w:cs="宋体"/>
                <w:kern w:val="0"/>
                <w:sz w:val="24"/>
                <w:highlight w:val="none"/>
              </w:rPr>
            </w:pPr>
            <w:r>
              <w:rPr>
                <w:rFonts w:ascii="宋体" w:hAnsi="宋体" w:cs="宋体"/>
                <w:kern w:val="0"/>
                <w:sz w:val="24"/>
                <w:highlight w:val="none"/>
              </w:rPr>
              <w:t xml:space="preserve">CPU </w:t>
            </w:r>
            <w:r>
              <w:rPr>
                <w:rFonts w:hint="eastAsia" w:ascii="宋体" w:hAnsi="宋体" w:cs="宋体"/>
                <w:kern w:val="0"/>
                <w:sz w:val="24"/>
                <w:highlight w:val="none"/>
              </w:rPr>
              <w:t>和操作系统等关键部件应当符合安全可靠测评要求</w:t>
            </w:r>
          </w:p>
        </w:tc>
      </w:tr>
      <w:tr w14:paraId="165DA87F">
        <w:tblPrEx>
          <w:tblCellMar>
            <w:top w:w="0" w:type="dxa"/>
            <w:left w:w="108" w:type="dxa"/>
            <w:bottom w:w="0" w:type="dxa"/>
            <w:right w:w="108" w:type="dxa"/>
          </w:tblCellMar>
        </w:tblPrEx>
        <w:trPr>
          <w:trHeight w:val="948" w:hRule="atLeast"/>
        </w:trPr>
        <w:tc>
          <w:tcPr>
            <w:tcW w:w="980" w:type="dxa"/>
            <w:tcBorders>
              <w:top w:val="nil"/>
              <w:left w:val="single" w:color="auto" w:sz="8" w:space="0"/>
              <w:bottom w:val="single" w:color="auto" w:sz="8" w:space="0"/>
              <w:right w:val="nil"/>
            </w:tcBorders>
            <w:vAlign w:val="center"/>
          </w:tcPr>
          <w:p w14:paraId="3B3D80D1">
            <w:pPr>
              <w:widowControl/>
              <w:adjustRightInd/>
              <w:jc w:val="center"/>
              <w:rPr>
                <w:rFonts w:ascii="宋体" w:hAnsi="宋体" w:cs="宋体"/>
                <w:kern w:val="0"/>
                <w:sz w:val="24"/>
                <w:highlight w:val="none"/>
              </w:rPr>
            </w:pPr>
            <w:r>
              <w:rPr>
                <w:rFonts w:ascii="宋体" w:hAnsi="宋体" w:cs="宋体"/>
                <w:kern w:val="0"/>
                <w:sz w:val="24"/>
                <w:highlight w:val="none"/>
              </w:rPr>
              <w:t>38</w:t>
            </w:r>
          </w:p>
        </w:tc>
        <w:tc>
          <w:tcPr>
            <w:tcW w:w="980" w:type="dxa"/>
            <w:tcBorders>
              <w:top w:val="nil"/>
              <w:left w:val="single" w:color="auto" w:sz="8" w:space="0"/>
              <w:bottom w:val="single" w:color="auto" w:sz="8" w:space="0"/>
              <w:right w:val="single" w:color="auto" w:sz="8" w:space="0"/>
            </w:tcBorders>
            <w:vAlign w:val="center"/>
          </w:tcPr>
          <w:p w14:paraId="1AAEBFE5">
            <w:pPr>
              <w:widowControl/>
              <w:adjustRightInd/>
              <w:jc w:val="center"/>
              <w:rPr>
                <w:rFonts w:ascii="宋体" w:hAnsi="宋体" w:cs="宋体"/>
                <w:kern w:val="0"/>
                <w:sz w:val="24"/>
                <w:highlight w:val="none"/>
              </w:rPr>
            </w:pPr>
            <w:r>
              <w:rPr>
                <w:rFonts w:hint="eastAsia" w:ascii="宋体" w:hAnsi="宋体" w:cs="宋体"/>
                <w:kern w:val="0"/>
                <w:sz w:val="24"/>
                <w:highlight w:val="none"/>
              </w:rPr>
              <w:t>▲固件安全要求</w:t>
            </w:r>
          </w:p>
        </w:tc>
        <w:tc>
          <w:tcPr>
            <w:tcW w:w="1580" w:type="dxa"/>
            <w:tcBorders>
              <w:top w:val="nil"/>
              <w:left w:val="nil"/>
              <w:bottom w:val="single" w:color="auto" w:sz="8" w:space="0"/>
              <w:right w:val="single" w:color="auto" w:sz="8" w:space="0"/>
            </w:tcBorders>
            <w:vAlign w:val="center"/>
          </w:tcPr>
          <w:p w14:paraId="49DEA34C">
            <w:pPr>
              <w:widowControl/>
              <w:adjustRightInd/>
              <w:jc w:val="center"/>
              <w:rPr>
                <w:rFonts w:ascii="宋体" w:hAnsi="宋体" w:cs="宋体"/>
                <w:kern w:val="0"/>
                <w:sz w:val="24"/>
                <w:highlight w:val="none"/>
              </w:rPr>
            </w:pPr>
            <w:r>
              <w:rPr>
                <w:rFonts w:hint="eastAsia" w:ascii="宋体" w:hAnsi="宋体" w:cs="宋体"/>
                <w:kern w:val="0"/>
                <w:sz w:val="24"/>
                <w:highlight w:val="none"/>
              </w:rPr>
              <w:t>▲故障检测</w:t>
            </w:r>
          </w:p>
        </w:tc>
        <w:tc>
          <w:tcPr>
            <w:tcW w:w="4760" w:type="dxa"/>
            <w:tcBorders>
              <w:top w:val="nil"/>
              <w:left w:val="nil"/>
              <w:bottom w:val="single" w:color="auto" w:sz="8" w:space="0"/>
              <w:right w:val="single" w:color="auto" w:sz="8" w:space="0"/>
            </w:tcBorders>
            <w:vAlign w:val="center"/>
          </w:tcPr>
          <w:p w14:paraId="06382543">
            <w:pPr>
              <w:widowControl/>
              <w:adjustRightInd/>
              <w:rPr>
                <w:rFonts w:ascii="宋体" w:hAnsi="宋体" w:cs="宋体"/>
                <w:kern w:val="0"/>
                <w:sz w:val="24"/>
                <w:highlight w:val="none"/>
              </w:rPr>
            </w:pPr>
            <w:r>
              <w:rPr>
                <w:rFonts w:hint="eastAsia" w:ascii="宋体" w:hAnsi="宋体" w:cs="宋体"/>
                <w:kern w:val="0"/>
                <w:sz w:val="24"/>
                <w:highlight w:val="none"/>
              </w:rPr>
              <w:t>支持故障检测功能，可以检测到具体的</w:t>
            </w:r>
            <w:r>
              <w:rPr>
                <w:rFonts w:ascii="宋体" w:hAnsi="宋体" w:cs="宋体"/>
                <w:kern w:val="0"/>
                <w:sz w:val="24"/>
                <w:highlight w:val="none"/>
              </w:rPr>
              <w:t xml:space="preserve"> FRU（内存、硬盘等）的故障并发出告警</w:t>
            </w:r>
          </w:p>
        </w:tc>
      </w:tr>
      <w:tr w14:paraId="7F8AFFA6">
        <w:tblPrEx>
          <w:tblCellMar>
            <w:top w:w="0" w:type="dxa"/>
            <w:left w:w="108" w:type="dxa"/>
            <w:bottom w:w="0" w:type="dxa"/>
            <w:right w:w="108" w:type="dxa"/>
          </w:tblCellMar>
        </w:tblPrEx>
        <w:trPr>
          <w:trHeight w:val="636" w:hRule="atLeast"/>
        </w:trPr>
        <w:tc>
          <w:tcPr>
            <w:tcW w:w="980" w:type="dxa"/>
            <w:tcBorders>
              <w:top w:val="nil"/>
              <w:left w:val="single" w:color="auto" w:sz="8" w:space="0"/>
              <w:bottom w:val="single" w:color="auto" w:sz="8" w:space="0"/>
              <w:right w:val="nil"/>
            </w:tcBorders>
            <w:vAlign w:val="center"/>
          </w:tcPr>
          <w:p w14:paraId="4AFC8050">
            <w:pPr>
              <w:widowControl/>
              <w:adjustRightInd/>
              <w:jc w:val="center"/>
              <w:rPr>
                <w:rFonts w:ascii="宋体" w:hAnsi="宋体" w:cs="宋体"/>
                <w:kern w:val="0"/>
                <w:sz w:val="24"/>
                <w:highlight w:val="none"/>
              </w:rPr>
            </w:pPr>
            <w:r>
              <w:rPr>
                <w:rFonts w:ascii="宋体" w:hAnsi="宋体" w:cs="宋体"/>
                <w:kern w:val="0"/>
                <w:sz w:val="24"/>
                <w:highlight w:val="none"/>
              </w:rPr>
              <w:t>39</w:t>
            </w:r>
          </w:p>
        </w:tc>
        <w:tc>
          <w:tcPr>
            <w:tcW w:w="980" w:type="dxa"/>
            <w:vMerge w:val="restart"/>
            <w:tcBorders>
              <w:top w:val="nil"/>
              <w:left w:val="single" w:color="auto" w:sz="8" w:space="0"/>
              <w:bottom w:val="single" w:color="000000" w:sz="8" w:space="0"/>
              <w:right w:val="single" w:color="auto" w:sz="8" w:space="0"/>
            </w:tcBorders>
            <w:vAlign w:val="center"/>
          </w:tcPr>
          <w:p w14:paraId="57BAC0B2">
            <w:pPr>
              <w:widowControl/>
              <w:adjustRightInd/>
              <w:jc w:val="center"/>
              <w:rPr>
                <w:rFonts w:ascii="宋体" w:hAnsi="宋体" w:cs="宋体"/>
                <w:kern w:val="0"/>
                <w:sz w:val="24"/>
                <w:highlight w:val="none"/>
              </w:rPr>
            </w:pPr>
            <w:r>
              <w:rPr>
                <w:rFonts w:hint="eastAsia" w:ascii="宋体" w:hAnsi="宋体" w:cs="宋体"/>
                <w:kern w:val="0"/>
                <w:sz w:val="24"/>
                <w:highlight w:val="none"/>
              </w:rPr>
              <w:t>▲系统安全要求</w:t>
            </w:r>
          </w:p>
        </w:tc>
        <w:tc>
          <w:tcPr>
            <w:tcW w:w="1580" w:type="dxa"/>
            <w:tcBorders>
              <w:top w:val="nil"/>
              <w:left w:val="nil"/>
              <w:bottom w:val="single" w:color="auto" w:sz="8" w:space="0"/>
              <w:right w:val="single" w:color="auto" w:sz="8" w:space="0"/>
            </w:tcBorders>
            <w:vAlign w:val="center"/>
          </w:tcPr>
          <w:p w14:paraId="5304A620">
            <w:pPr>
              <w:widowControl/>
              <w:adjustRightInd/>
              <w:jc w:val="center"/>
              <w:rPr>
                <w:rFonts w:ascii="宋体" w:hAnsi="宋体" w:cs="宋体"/>
                <w:kern w:val="0"/>
                <w:sz w:val="24"/>
                <w:highlight w:val="none"/>
              </w:rPr>
            </w:pPr>
            <w:r>
              <w:rPr>
                <w:rFonts w:hint="eastAsia" w:ascii="宋体" w:hAnsi="宋体" w:cs="宋体"/>
                <w:kern w:val="0"/>
                <w:sz w:val="24"/>
                <w:highlight w:val="none"/>
              </w:rPr>
              <w:t>▲弱口令字典检查</w:t>
            </w:r>
          </w:p>
        </w:tc>
        <w:tc>
          <w:tcPr>
            <w:tcW w:w="4760" w:type="dxa"/>
            <w:tcBorders>
              <w:top w:val="nil"/>
              <w:left w:val="nil"/>
              <w:bottom w:val="single" w:color="auto" w:sz="8" w:space="0"/>
              <w:right w:val="single" w:color="auto" w:sz="8" w:space="0"/>
            </w:tcBorders>
            <w:vAlign w:val="center"/>
          </w:tcPr>
          <w:p w14:paraId="19149DA9">
            <w:pPr>
              <w:widowControl/>
              <w:adjustRightInd/>
              <w:rPr>
                <w:rFonts w:ascii="宋体" w:hAnsi="宋体" w:cs="宋体"/>
                <w:kern w:val="0"/>
                <w:sz w:val="24"/>
                <w:highlight w:val="none"/>
              </w:rPr>
            </w:pPr>
            <w:r>
              <w:rPr>
                <w:rFonts w:hint="eastAsia" w:ascii="宋体" w:hAnsi="宋体" w:cs="宋体"/>
                <w:kern w:val="0"/>
                <w:sz w:val="24"/>
                <w:highlight w:val="none"/>
              </w:rPr>
              <w:t>支持弱口令字典检查功能，出现在弱口令字典中的字符串不能被设置为用户口令</w:t>
            </w:r>
          </w:p>
        </w:tc>
      </w:tr>
      <w:tr w14:paraId="18296B13">
        <w:tblPrEx>
          <w:tblCellMar>
            <w:top w:w="0" w:type="dxa"/>
            <w:left w:w="108" w:type="dxa"/>
            <w:bottom w:w="0" w:type="dxa"/>
            <w:right w:w="108" w:type="dxa"/>
          </w:tblCellMar>
        </w:tblPrEx>
        <w:trPr>
          <w:trHeight w:val="636" w:hRule="atLeast"/>
        </w:trPr>
        <w:tc>
          <w:tcPr>
            <w:tcW w:w="980" w:type="dxa"/>
            <w:tcBorders>
              <w:top w:val="nil"/>
              <w:left w:val="single" w:color="auto" w:sz="8" w:space="0"/>
              <w:bottom w:val="single" w:color="auto" w:sz="8" w:space="0"/>
              <w:right w:val="nil"/>
            </w:tcBorders>
            <w:vAlign w:val="center"/>
          </w:tcPr>
          <w:p w14:paraId="5A74DC44">
            <w:pPr>
              <w:widowControl/>
              <w:adjustRightInd/>
              <w:jc w:val="center"/>
              <w:rPr>
                <w:rFonts w:ascii="宋体" w:hAnsi="宋体" w:cs="宋体"/>
                <w:kern w:val="0"/>
                <w:sz w:val="24"/>
                <w:highlight w:val="none"/>
              </w:rPr>
            </w:pPr>
            <w:r>
              <w:rPr>
                <w:rFonts w:ascii="宋体" w:hAnsi="宋体" w:cs="宋体"/>
                <w:kern w:val="0"/>
                <w:sz w:val="24"/>
                <w:highlight w:val="none"/>
              </w:rPr>
              <w:t>40</w:t>
            </w:r>
          </w:p>
        </w:tc>
        <w:tc>
          <w:tcPr>
            <w:tcW w:w="980" w:type="dxa"/>
            <w:vMerge w:val="continue"/>
            <w:tcBorders>
              <w:top w:val="nil"/>
              <w:left w:val="single" w:color="auto" w:sz="8" w:space="0"/>
              <w:bottom w:val="single" w:color="000000" w:sz="8" w:space="0"/>
              <w:right w:val="single" w:color="auto" w:sz="8" w:space="0"/>
            </w:tcBorders>
            <w:vAlign w:val="center"/>
          </w:tcPr>
          <w:p w14:paraId="1BA25E33">
            <w:pPr>
              <w:widowControl/>
              <w:adjustRightInd/>
              <w:jc w:val="left"/>
              <w:rPr>
                <w:rFonts w:ascii="宋体" w:hAnsi="宋体" w:cs="宋体"/>
                <w:kern w:val="0"/>
                <w:sz w:val="24"/>
                <w:highlight w:val="none"/>
              </w:rPr>
            </w:pPr>
          </w:p>
        </w:tc>
        <w:tc>
          <w:tcPr>
            <w:tcW w:w="1580" w:type="dxa"/>
            <w:tcBorders>
              <w:top w:val="nil"/>
              <w:left w:val="nil"/>
              <w:bottom w:val="single" w:color="auto" w:sz="8" w:space="0"/>
              <w:right w:val="single" w:color="auto" w:sz="8" w:space="0"/>
            </w:tcBorders>
            <w:vAlign w:val="center"/>
          </w:tcPr>
          <w:p w14:paraId="6E7AC2C4">
            <w:pPr>
              <w:widowControl/>
              <w:adjustRightInd/>
              <w:jc w:val="center"/>
              <w:rPr>
                <w:rFonts w:ascii="宋体" w:hAnsi="宋体" w:cs="宋体"/>
                <w:kern w:val="0"/>
                <w:sz w:val="24"/>
                <w:highlight w:val="none"/>
              </w:rPr>
            </w:pPr>
            <w:r>
              <w:rPr>
                <w:rFonts w:hint="eastAsia" w:ascii="宋体" w:hAnsi="宋体" w:cs="宋体"/>
                <w:kern w:val="0"/>
                <w:sz w:val="24"/>
                <w:highlight w:val="none"/>
              </w:rPr>
              <w:t>▲白名单访问控制</w:t>
            </w:r>
          </w:p>
        </w:tc>
        <w:tc>
          <w:tcPr>
            <w:tcW w:w="4760" w:type="dxa"/>
            <w:tcBorders>
              <w:top w:val="nil"/>
              <w:left w:val="nil"/>
              <w:bottom w:val="single" w:color="auto" w:sz="8" w:space="0"/>
              <w:right w:val="single" w:color="auto" w:sz="8" w:space="0"/>
            </w:tcBorders>
            <w:vAlign w:val="center"/>
          </w:tcPr>
          <w:p w14:paraId="0786E0AF">
            <w:pPr>
              <w:widowControl/>
              <w:adjustRightInd/>
              <w:rPr>
                <w:rFonts w:ascii="宋体" w:hAnsi="宋体" w:cs="宋体"/>
                <w:kern w:val="0"/>
                <w:sz w:val="24"/>
                <w:highlight w:val="none"/>
              </w:rPr>
            </w:pPr>
            <w:r>
              <w:rPr>
                <w:rFonts w:hint="eastAsia" w:ascii="宋体" w:hAnsi="宋体" w:cs="宋体"/>
                <w:kern w:val="0"/>
                <w:sz w:val="24"/>
                <w:highlight w:val="none"/>
              </w:rPr>
              <w:t>支持基于时间、</w:t>
            </w:r>
            <w:r>
              <w:rPr>
                <w:rFonts w:ascii="宋体" w:hAnsi="宋体" w:cs="宋体"/>
                <w:kern w:val="0"/>
                <w:sz w:val="24"/>
                <w:highlight w:val="none"/>
              </w:rPr>
              <w:t xml:space="preserve">IP </w:t>
            </w:r>
            <w:r>
              <w:rPr>
                <w:rFonts w:hint="eastAsia" w:ascii="宋体" w:hAnsi="宋体" w:cs="宋体"/>
                <w:kern w:val="0"/>
                <w:sz w:val="24"/>
                <w:highlight w:val="none"/>
              </w:rPr>
              <w:t>或</w:t>
            </w:r>
            <w:r>
              <w:rPr>
                <w:rFonts w:ascii="宋体" w:hAnsi="宋体" w:cs="宋体"/>
                <w:kern w:val="0"/>
                <w:sz w:val="24"/>
                <w:highlight w:val="none"/>
              </w:rPr>
              <w:t xml:space="preserve"> MAC </w:t>
            </w:r>
            <w:r>
              <w:rPr>
                <w:rFonts w:hint="eastAsia" w:ascii="宋体" w:hAnsi="宋体" w:cs="宋体"/>
                <w:kern w:val="0"/>
                <w:sz w:val="24"/>
                <w:highlight w:val="none"/>
              </w:rPr>
              <w:t>白名单访问控制</w:t>
            </w:r>
          </w:p>
        </w:tc>
      </w:tr>
      <w:tr w14:paraId="4143E48A">
        <w:tblPrEx>
          <w:tblCellMar>
            <w:top w:w="0" w:type="dxa"/>
            <w:left w:w="108" w:type="dxa"/>
            <w:bottom w:w="0" w:type="dxa"/>
            <w:right w:w="108" w:type="dxa"/>
          </w:tblCellMar>
        </w:tblPrEx>
        <w:trPr>
          <w:trHeight w:val="948" w:hRule="atLeast"/>
        </w:trPr>
        <w:tc>
          <w:tcPr>
            <w:tcW w:w="980" w:type="dxa"/>
            <w:tcBorders>
              <w:top w:val="nil"/>
              <w:left w:val="single" w:color="auto" w:sz="8" w:space="0"/>
              <w:bottom w:val="single" w:color="auto" w:sz="8" w:space="0"/>
              <w:right w:val="nil"/>
            </w:tcBorders>
            <w:vAlign w:val="center"/>
          </w:tcPr>
          <w:p w14:paraId="5456F270">
            <w:pPr>
              <w:widowControl/>
              <w:adjustRightInd/>
              <w:jc w:val="center"/>
              <w:rPr>
                <w:rFonts w:ascii="宋体" w:hAnsi="宋体" w:cs="宋体"/>
                <w:kern w:val="0"/>
                <w:sz w:val="24"/>
                <w:highlight w:val="none"/>
              </w:rPr>
            </w:pPr>
            <w:r>
              <w:rPr>
                <w:rFonts w:ascii="宋体" w:hAnsi="宋体" w:cs="宋体"/>
                <w:kern w:val="0"/>
                <w:sz w:val="24"/>
                <w:highlight w:val="none"/>
              </w:rPr>
              <w:t>41</w:t>
            </w:r>
          </w:p>
        </w:tc>
        <w:tc>
          <w:tcPr>
            <w:tcW w:w="980" w:type="dxa"/>
            <w:vMerge w:val="continue"/>
            <w:tcBorders>
              <w:top w:val="nil"/>
              <w:left w:val="single" w:color="auto" w:sz="8" w:space="0"/>
              <w:bottom w:val="single" w:color="000000" w:sz="8" w:space="0"/>
              <w:right w:val="single" w:color="auto" w:sz="8" w:space="0"/>
            </w:tcBorders>
            <w:vAlign w:val="center"/>
          </w:tcPr>
          <w:p w14:paraId="4619C130">
            <w:pPr>
              <w:widowControl/>
              <w:adjustRightInd/>
              <w:jc w:val="left"/>
              <w:rPr>
                <w:rFonts w:ascii="宋体" w:hAnsi="宋体" w:cs="宋体"/>
                <w:kern w:val="0"/>
                <w:sz w:val="24"/>
                <w:highlight w:val="none"/>
              </w:rPr>
            </w:pPr>
          </w:p>
        </w:tc>
        <w:tc>
          <w:tcPr>
            <w:tcW w:w="1580" w:type="dxa"/>
            <w:tcBorders>
              <w:top w:val="nil"/>
              <w:left w:val="nil"/>
              <w:bottom w:val="single" w:color="auto" w:sz="8" w:space="0"/>
              <w:right w:val="single" w:color="auto" w:sz="8" w:space="0"/>
            </w:tcBorders>
            <w:vAlign w:val="center"/>
          </w:tcPr>
          <w:p w14:paraId="04AEC119">
            <w:pPr>
              <w:widowControl/>
              <w:adjustRightInd/>
              <w:jc w:val="center"/>
              <w:rPr>
                <w:rFonts w:ascii="宋体" w:hAnsi="宋体" w:cs="宋体"/>
                <w:kern w:val="0"/>
                <w:sz w:val="24"/>
                <w:highlight w:val="none"/>
              </w:rPr>
            </w:pPr>
            <w:r>
              <w:rPr>
                <w:rFonts w:hint="eastAsia" w:ascii="宋体" w:hAnsi="宋体" w:cs="宋体"/>
                <w:kern w:val="0"/>
                <w:sz w:val="24"/>
                <w:highlight w:val="none"/>
              </w:rPr>
              <w:t>▲二次鉴别</w:t>
            </w:r>
          </w:p>
        </w:tc>
        <w:tc>
          <w:tcPr>
            <w:tcW w:w="4760" w:type="dxa"/>
            <w:tcBorders>
              <w:top w:val="nil"/>
              <w:left w:val="nil"/>
              <w:bottom w:val="single" w:color="auto" w:sz="8" w:space="0"/>
              <w:right w:val="single" w:color="auto" w:sz="8" w:space="0"/>
            </w:tcBorders>
            <w:vAlign w:val="center"/>
          </w:tcPr>
          <w:p w14:paraId="347DD185">
            <w:pPr>
              <w:widowControl/>
              <w:adjustRightInd/>
              <w:rPr>
                <w:rFonts w:ascii="宋体" w:hAnsi="宋体" w:cs="宋体"/>
                <w:kern w:val="0"/>
                <w:sz w:val="24"/>
                <w:highlight w:val="none"/>
              </w:rPr>
            </w:pPr>
            <w:r>
              <w:rPr>
                <w:rFonts w:hint="eastAsia" w:ascii="宋体" w:hAnsi="宋体" w:cs="宋体"/>
                <w:kern w:val="0"/>
                <w:sz w:val="24"/>
                <w:highlight w:val="none"/>
              </w:rPr>
              <w:t>支持二次鉴别功能。对于用户配置、权限配置、公钥导入等重要的管理操作，已登录用户应通过二次鉴别后，才能执行操作</w:t>
            </w:r>
          </w:p>
        </w:tc>
      </w:tr>
      <w:tr w14:paraId="5FE37790">
        <w:tblPrEx>
          <w:tblCellMar>
            <w:top w:w="0" w:type="dxa"/>
            <w:left w:w="108" w:type="dxa"/>
            <w:bottom w:w="0" w:type="dxa"/>
            <w:right w:w="108" w:type="dxa"/>
          </w:tblCellMar>
        </w:tblPrEx>
        <w:trPr>
          <w:trHeight w:val="948" w:hRule="atLeast"/>
        </w:trPr>
        <w:tc>
          <w:tcPr>
            <w:tcW w:w="980" w:type="dxa"/>
            <w:tcBorders>
              <w:top w:val="nil"/>
              <w:left w:val="single" w:color="auto" w:sz="8" w:space="0"/>
              <w:bottom w:val="single" w:color="auto" w:sz="8" w:space="0"/>
              <w:right w:val="nil"/>
            </w:tcBorders>
            <w:vAlign w:val="center"/>
          </w:tcPr>
          <w:p w14:paraId="2E17B94A">
            <w:pPr>
              <w:widowControl/>
              <w:adjustRightInd/>
              <w:jc w:val="center"/>
              <w:rPr>
                <w:rFonts w:ascii="宋体" w:hAnsi="宋体" w:cs="宋体"/>
                <w:kern w:val="0"/>
                <w:sz w:val="24"/>
                <w:highlight w:val="none"/>
              </w:rPr>
            </w:pPr>
            <w:r>
              <w:rPr>
                <w:rFonts w:ascii="宋体" w:hAnsi="宋体" w:cs="宋体"/>
                <w:kern w:val="0"/>
                <w:sz w:val="24"/>
                <w:highlight w:val="none"/>
              </w:rPr>
              <w:t>42</w:t>
            </w:r>
          </w:p>
        </w:tc>
        <w:tc>
          <w:tcPr>
            <w:tcW w:w="980" w:type="dxa"/>
            <w:vMerge w:val="continue"/>
            <w:tcBorders>
              <w:top w:val="nil"/>
              <w:left w:val="single" w:color="auto" w:sz="8" w:space="0"/>
              <w:bottom w:val="single" w:color="000000" w:sz="8" w:space="0"/>
              <w:right w:val="single" w:color="auto" w:sz="8" w:space="0"/>
            </w:tcBorders>
            <w:vAlign w:val="center"/>
          </w:tcPr>
          <w:p w14:paraId="367082F5">
            <w:pPr>
              <w:widowControl/>
              <w:adjustRightInd/>
              <w:jc w:val="left"/>
              <w:rPr>
                <w:rFonts w:ascii="宋体" w:hAnsi="宋体" w:cs="宋体"/>
                <w:kern w:val="0"/>
                <w:sz w:val="24"/>
                <w:highlight w:val="none"/>
              </w:rPr>
            </w:pPr>
          </w:p>
        </w:tc>
        <w:tc>
          <w:tcPr>
            <w:tcW w:w="1580" w:type="dxa"/>
            <w:tcBorders>
              <w:top w:val="nil"/>
              <w:left w:val="nil"/>
              <w:bottom w:val="single" w:color="auto" w:sz="8" w:space="0"/>
              <w:right w:val="single" w:color="auto" w:sz="8" w:space="0"/>
            </w:tcBorders>
            <w:vAlign w:val="center"/>
          </w:tcPr>
          <w:p w14:paraId="60331064">
            <w:pPr>
              <w:widowControl/>
              <w:adjustRightInd/>
              <w:jc w:val="center"/>
              <w:rPr>
                <w:rFonts w:ascii="宋体" w:hAnsi="宋体" w:cs="宋体"/>
                <w:kern w:val="0"/>
                <w:sz w:val="24"/>
                <w:highlight w:val="none"/>
              </w:rPr>
            </w:pPr>
            <w:r>
              <w:rPr>
                <w:rFonts w:hint="eastAsia" w:ascii="宋体" w:hAnsi="宋体" w:cs="宋体"/>
                <w:kern w:val="0"/>
                <w:sz w:val="24"/>
                <w:highlight w:val="none"/>
              </w:rPr>
              <w:t>▲密码证书安全加密存储</w:t>
            </w:r>
          </w:p>
        </w:tc>
        <w:tc>
          <w:tcPr>
            <w:tcW w:w="4760" w:type="dxa"/>
            <w:tcBorders>
              <w:top w:val="nil"/>
              <w:left w:val="nil"/>
              <w:bottom w:val="single" w:color="auto" w:sz="8" w:space="0"/>
              <w:right w:val="single" w:color="auto" w:sz="8" w:space="0"/>
            </w:tcBorders>
            <w:vAlign w:val="center"/>
          </w:tcPr>
          <w:p w14:paraId="1C9239DF">
            <w:pPr>
              <w:widowControl/>
              <w:adjustRightInd/>
              <w:rPr>
                <w:rFonts w:ascii="宋体" w:hAnsi="宋体" w:cs="宋体"/>
                <w:kern w:val="0"/>
                <w:sz w:val="24"/>
                <w:highlight w:val="none"/>
              </w:rPr>
            </w:pPr>
            <w:r>
              <w:rPr>
                <w:rFonts w:hint="eastAsia" w:ascii="宋体" w:hAnsi="宋体" w:cs="宋体"/>
                <w:kern w:val="0"/>
                <w:sz w:val="24"/>
                <w:highlight w:val="none"/>
              </w:rPr>
              <w:t>支持对带外管理系统中的用户口令和证书等敏感信息进行加密存储，禁止使用私有的和业界已知不安全的密码算法</w:t>
            </w:r>
          </w:p>
        </w:tc>
      </w:tr>
      <w:tr w14:paraId="1701EDB2">
        <w:tblPrEx>
          <w:tblCellMar>
            <w:top w:w="0" w:type="dxa"/>
            <w:left w:w="108" w:type="dxa"/>
            <w:bottom w:w="0" w:type="dxa"/>
            <w:right w:w="108" w:type="dxa"/>
          </w:tblCellMar>
        </w:tblPrEx>
        <w:trPr>
          <w:trHeight w:val="636" w:hRule="atLeast"/>
        </w:trPr>
        <w:tc>
          <w:tcPr>
            <w:tcW w:w="980" w:type="dxa"/>
            <w:tcBorders>
              <w:top w:val="nil"/>
              <w:left w:val="single" w:color="auto" w:sz="8" w:space="0"/>
              <w:bottom w:val="single" w:color="auto" w:sz="8" w:space="0"/>
              <w:right w:val="nil"/>
            </w:tcBorders>
            <w:vAlign w:val="center"/>
          </w:tcPr>
          <w:p w14:paraId="03F8B738">
            <w:pPr>
              <w:widowControl/>
              <w:adjustRightInd/>
              <w:jc w:val="center"/>
              <w:rPr>
                <w:rFonts w:ascii="宋体" w:hAnsi="宋体" w:cs="宋体"/>
                <w:kern w:val="0"/>
                <w:sz w:val="24"/>
                <w:highlight w:val="none"/>
              </w:rPr>
            </w:pPr>
            <w:r>
              <w:rPr>
                <w:rFonts w:ascii="宋体" w:hAnsi="宋体" w:cs="宋体"/>
                <w:kern w:val="0"/>
                <w:sz w:val="24"/>
                <w:highlight w:val="none"/>
              </w:rPr>
              <w:t>43</w:t>
            </w:r>
          </w:p>
        </w:tc>
        <w:tc>
          <w:tcPr>
            <w:tcW w:w="980" w:type="dxa"/>
            <w:vMerge w:val="continue"/>
            <w:tcBorders>
              <w:top w:val="nil"/>
              <w:left w:val="single" w:color="auto" w:sz="8" w:space="0"/>
              <w:bottom w:val="single" w:color="000000" w:sz="8" w:space="0"/>
              <w:right w:val="single" w:color="auto" w:sz="8" w:space="0"/>
            </w:tcBorders>
            <w:vAlign w:val="center"/>
          </w:tcPr>
          <w:p w14:paraId="06235FD4">
            <w:pPr>
              <w:widowControl/>
              <w:adjustRightInd/>
              <w:jc w:val="left"/>
              <w:rPr>
                <w:rFonts w:ascii="宋体" w:hAnsi="宋体" w:cs="宋体"/>
                <w:kern w:val="0"/>
                <w:sz w:val="24"/>
                <w:highlight w:val="none"/>
              </w:rPr>
            </w:pPr>
          </w:p>
        </w:tc>
        <w:tc>
          <w:tcPr>
            <w:tcW w:w="1580" w:type="dxa"/>
            <w:tcBorders>
              <w:top w:val="nil"/>
              <w:left w:val="nil"/>
              <w:bottom w:val="single" w:color="auto" w:sz="8" w:space="0"/>
              <w:right w:val="single" w:color="auto" w:sz="8" w:space="0"/>
            </w:tcBorders>
            <w:vAlign w:val="center"/>
          </w:tcPr>
          <w:p w14:paraId="53385577">
            <w:pPr>
              <w:widowControl/>
              <w:adjustRightInd/>
              <w:jc w:val="center"/>
              <w:rPr>
                <w:rFonts w:ascii="宋体" w:hAnsi="宋体" w:cs="宋体"/>
                <w:kern w:val="0"/>
                <w:sz w:val="24"/>
                <w:highlight w:val="none"/>
              </w:rPr>
            </w:pPr>
            <w:r>
              <w:rPr>
                <w:rFonts w:hint="eastAsia" w:ascii="宋体" w:hAnsi="宋体" w:cs="宋体"/>
                <w:kern w:val="0"/>
                <w:sz w:val="24"/>
                <w:highlight w:val="none"/>
              </w:rPr>
              <w:t>▲敏感信息安全加密传输</w:t>
            </w:r>
          </w:p>
        </w:tc>
        <w:tc>
          <w:tcPr>
            <w:tcW w:w="4760" w:type="dxa"/>
            <w:tcBorders>
              <w:top w:val="nil"/>
              <w:left w:val="nil"/>
              <w:bottom w:val="single" w:color="auto" w:sz="8" w:space="0"/>
              <w:right w:val="single" w:color="auto" w:sz="8" w:space="0"/>
            </w:tcBorders>
            <w:vAlign w:val="center"/>
          </w:tcPr>
          <w:p w14:paraId="39629BE9">
            <w:pPr>
              <w:widowControl/>
              <w:adjustRightInd/>
              <w:rPr>
                <w:rFonts w:ascii="宋体" w:hAnsi="宋体" w:cs="宋体"/>
                <w:kern w:val="0"/>
                <w:sz w:val="24"/>
                <w:highlight w:val="none"/>
              </w:rPr>
            </w:pPr>
            <w:r>
              <w:rPr>
                <w:rFonts w:hint="eastAsia" w:ascii="宋体" w:hAnsi="宋体" w:cs="宋体"/>
                <w:kern w:val="0"/>
                <w:sz w:val="24"/>
                <w:highlight w:val="none"/>
              </w:rPr>
              <w:t>支持使用安全的传输加密协议（如</w:t>
            </w:r>
            <w:r>
              <w:rPr>
                <w:rFonts w:ascii="宋体" w:hAnsi="宋体" w:cs="宋体"/>
                <w:kern w:val="0"/>
                <w:sz w:val="24"/>
                <w:highlight w:val="none"/>
              </w:rPr>
              <w:t xml:space="preserve">SSH </w:t>
            </w:r>
            <w:r>
              <w:rPr>
                <w:rFonts w:hint="eastAsia" w:ascii="宋体" w:hAnsi="宋体" w:cs="宋体"/>
                <w:kern w:val="0"/>
                <w:sz w:val="24"/>
                <w:highlight w:val="none"/>
              </w:rPr>
              <w:t>或</w:t>
            </w:r>
            <w:r>
              <w:rPr>
                <w:rFonts w:ascii="宋体" w:hAnsi="宋体" w:cs="宋体"/>
                <w:kern w:val="0"/>
                <w:sz w:val="24"/>
                <w:highlight w:val="none"/>
              </w:rPr>
              <w:t xml:space="preserve"> HTTPS </w:t>
            </w:r>
            <w:r>
              <w:rPr>
                <w:rFonts w:hint="eastAsia" w:ascii="宋体" w:hAnsi="宋体" w:cs="宋体"/>
                <w:kern w:val="0"/>
                <w:sz w:val="24"/>
                <w:highlight w:val="none"/>
              </w:rPr>
              <w:t>等）传输用户的敏感信息</w:t>
            </w:r>
          </w:p>
        </w:tc>
      </w:tr>
      <w:tr w14:paraId="55857D1E">
        <w:tblPrEx>
          <w:tblCellMar>
            <w:top w:w="0" w:type="dxa"/>
            <w:left w:w="108" w:type="dxa"/>
            <w:bottom w:w="0" w:type="dxa"/>
            <w:right w:w="108" w:type="dxa"/>
          </w:tblCellMar>
        </w:tblPrEx>
        <w:trPr>
          <w:trHeight w:val="1567" w:hRule="atLeast"/>
        </w:trPr>
        <w:tc>
          <w:tcPr>
            <w:tcW w:w="980" w:type="dxa"/>
            <w:tcBorders>
              <w:top w:val="nil"/>
              <w:left w:val="single" w:color="auto" w:sz="8" w:space="0"/>
              <w:bottom w:val="single" w:color="000000" w:sz="8" w:space="0"/>
              <w:right w:val="nil"/>
            </w:tcBorders>
            <w:vAlign w:val="center"/>
          </w:tcPr>
          <w:p w14:paraId="7E65FE45">
            <w:pPr>
              <w:widowControl/>
              <w:adjustRightInd/>
              <w:jc w:val="center"/>
              <w:rPr>
                <w:rFonts w:ascii="宋体" w:hAnsi="宋体" w:cs="宋体"/>
                <w:kern w:val="0"/>
                <w:sz w:val="24"/>
                <w:highlight w:val="none"/>
              </w:rPr>
            </w:pPr>
            <w:r>
              <w:rPr>
                <w:rFonts w:ascii="宋体" w:hAnsi="宋体" w:cs="宋体"/>
                <w:kern w:val="0"/>
                <w:sz w:val="24"/>
                <w:highlight w:val="none"/>
              </w:rPr>
              <w:t>44</w:t>
            </w:r>
          </w:p>
        </w:tc>
        <w:tc>
          <w:tcPr>
            <w:tcW w:w="980" w:type="dxa"/>
            <w:tcBorders>
              <w:top w:val="nil"/>
              <w:left w:val="single" w:color="auto" w:sz="8" w:space="0"/>
              <w:bottom w:val="single" w:color="000000" w:sz="8" w:space="0"/>
              <w:right w:val="single" w:color="auto" w:sz="8" w:space="0"/>
            </w:tcBorders>
            <w:vAlign w:val="center"/>
          </w:tcPr>
          <w:p w14:paraId="780F957F">
            <w:pPr>
              <w:widowControl/>
              <w:adjustRightInd/>
              <w:jc w:val="center"/>
              <w:rPr>
                <w:rFonts w:ascii="宋体" w:hAnsi="宋体" w:cs="宋体"/>
                <w:kern w:val="0"/>
                <w:sz w:val="24"/>
                <w:highlight w:val="none"/>
              </w:rPr>
            </w:pPr>
            <w:r>
              <w:rPr>
                <w:rFonts w:hint="eastAsia" w:ascii="宋体" w:hAnsi="宋体" w:cs="宋体"/>
                <w:kern w:val="0"/>
                <w:sz w:val="24"/>
                <w:highlight w:val="none"/>
              </w:rPr>
              <w:t>▲信息安全要求</w:t>
            </w:r>
          </w:p>
        </w:tc>
        <w:tc>
          <w:tcPr>
            <w:tcW w:w="1580" w:type="dxa"/>
            <w:tcBorders>
              <w:top w:val="nil"/>
              <w:left w:val="single" w:color="auto" w:sz="8" w:space="0"/>
              <w:bottom w:val="single" w:color="000000" w:sz="8" w:space="0"/>
              <w:right w:val="single" w:color="auto" w:sz="8" w:space="0"/>
            </w:tcBorders>
            <w:vAlign w:val="center"/>
          </w:tcPr>
          <w:p w14:paraId="3A711628">
            <w:pPr>
              <w:widowControl/>
              <w:adjustRightInd/>
              <w:jc w:val="center"/>
              <w:rPr>
                <w:rFonts w:ascii="宋体" w:hAnsi="宋体" w:cs="宋体"/>
                <w:kern w:val="0"/>
                <w:sz w:val="24"/>
                <w:highlight w:val="none"/>
              </w:rPr>
            </w:pPr>
            <w:r>
              <w:rPr>
                <w:rFonts w:hint="eastAsia" w:ascii="宋体" w:hAnsi="宋体" w:cs="宋体"/>
                <w:kern w:val="0"/>
                <w:sz w:val="24"/>
                <w:highlight w:val="none"/>
              </w:rPr>
              <w:t>▲研发过程安全</w:t>
            </w:r>
          </w:p>
        </w:tc>
        <w:tc>
          <w:tcPr>
            <w:tcW w:w="4760" w:type="dxa"/>
            <w:tcBorders>
              <w:top w:val="nil"/>
              <w:left w:val="nil"/>
              <w:bottom w:val="single" w:color="auto" w:sz="8" w:space="0"/>
              <w:right w:val="single" w:color="auto" w:sz="8" w:space="0"/>
            </w:tcBorders>
            <w:vAlign w:val="center"/>
          </w:tcPr>
          <w:p w14:paraId="5A55F2BF">
            <w:pPr>
              <w:widowControl/>
              <w:adjustRightInd/>
              <w:rPr>
                <w:rFonts w:ascii="宋体" w:hAnsi="宋体" w:cs="宋体"/>
                <w:kern w:val="0"/>
                <w:sz w:val="24"/>
                <w:highlight w:val="none"/>
              </w:rPr>
            </w:pPr>
            <w:r>
              <w:rPr>
                <w:rFonts w:hint="eastAsia" w:ascii="宋体" w:hAnsi="宋体" w:cs="宋体"/>
                <w:kern w:val="0"/>
                <w:sz w:val="24"/>
                <w:highlight w:val="none"/>
              </w:rPr>
              <w:t>供应商承诺，生产商已建立从需求、设计、开发、测试、维护端到端的开发流程管理机制，输出和保存开发流程中每个阶段的产品需求清单、设计文档、开发文档、测试记录等材料，保证各个流程可追溯；</w:t>
            </w:r>
          </w:p>
        </w:tc>
      </w:tr>
      <w:tr w14:paraId="77E2EF19">
        <w:tblPrEx>
          <w:tblCellMar>
            <w:top w:w="0" w:type="dxa"/>
            <w:left w:w="108" w:type="dxa"/>
            <w:bottom w:w="0" w:type="dxa"/>
            <w:right w:w="108" w:type="dxa"/>
          </w:tblCellMar>
        </w:tblPrEx>
        <w:trPr>
          <w:trHeight w:val="636" w:hRule="atLeast"/>
        </w:trPr>
        <w:tc>
          <w:tcPr>
            <w:tcW w:w="980" w:type="dxa"/>
            <w:tcBorders>
              <w:top w:val="nil"/>
              <w:left w:val="single" w:color="auto" w:sz="8" w:space="0"/>
              <w:bottom w:val="single" w:color="auto" w:sz="8" w:space="0"/>
              <w:right w:val="nil"/>
            </w:tcBorders>
            <w:vAlign w:val="center"/>
          </w:tcPr>
          <w:p w14:paraId="10BAE912">
            <w:pPr>
              <w:widowControl/>
              <w:adjustRightInd/>
              <w:jc w:val="center"/>
              <w:rPr>
                <w:rFonts w:ascii="宋体" w:hAnsi="宋体" w:cs="宋体"/>
                <w:kern w:val="0"/>
                <w:sz w:val="24"/>
                <w:highlight w:val="none"/>
              </w:rPr>
            </w:pPr>
            <w:r>
              <w:rPr>
                <w:rFonts w:ascii="宋体" w:hAnsi="宋体" w:cs="宋体"/>
                <w:kern w:val="0"/>
                <w:sz w:val="24"/>
                <w:highlight w:val="none"/>
              </w:rPr>
              <w:t>45</w:t>
            </w:r>
          </w:p>
        </w:tc>
        <w:tc>
          <w:tcPr>
            <w:tcW w:w="980" w:type="dxa"/>
            <w:tcBorders>
              <w:top w:val="nil"/>
              <w:left w:val="single" w:color="auto" w:sz="8" w:space="0"/>
              <w:bottom w:val="single" w:color="auto" w:sz="8" w:space="0"/>
              <w:right w:val="single" w:color="auto" w:sz="8" w:space="0"/>
            </w:tcBorders>
            <w:vAlign w:val="center"/>
          </w:tcPr>
          <w:p w14:paraId="4A6EDC16">
            <w:pPr>
              <w:widowControl/>
              <w:adjustRightInd/>
              <w:jc w:val="center"/>
              <w:rPr>
                <w:rFonts w:ascii="宋体" w:hAnsi="宋体" w:cs="宋体"/>
                <w:kern w:val="0"/>
                <w:sz w:val="24"/>
                <w:highlight w:val="none"/>
              </w:rPr>
            </w:pPr>
            <w:r>
              <w:rPr>
                <w:rFonts w:hint="eastAsia" w:ascii="宋体" w:hAnsi="宋体" w:cs="宋体"/>
                <w:kern w:val="0"/>
                <w:sz w:val="24"/>
                <w:highlight w:val="none"/>
              </w:rPr>
              <w:t>▲物理安全</w:t>
            </w:r>
          </w:p>
        </w:tc>
        <w:tc>
          <w:tcPr>
            <w:tcW w:w="1580" w:type="dxa"/>
            <w:tcBorders>
              <w:top w:val="nil"/>
              <w:left w:val="nil"/>
              <w:bottom w:val="single" w:color="auto" w:sz="8" w:space="0"/>
              <w:right w:val="single" w:color="auto" w:sz="8" w:space="0"/>
            </w:tcBorders>
            <w:vAlign w:val="center"/>
          </w:tcPr>
          <w:p w14:paraId="11B179A0">
            <w:pPr>
              <w:widowControl/>
              <w:adjustRightInd/>
              <w:jc w:val="center"/>
              <w:rPr>
                <w:rFonts w:ascii="宋体" w:hAnsi="宋体" w:cs="宋体"/>
                <w:kern w:val="0"/>
                <w:sz w:val="24"/>
                <w:highlight w:val="none"/>
              </w:rPr>
            </w:pPr>
            <w:r>
              <w:rPr>
                <w:rFonts w:hint="eastAsia" w:ascii="宋体" w:hAnsi="宋体" w:cs="宋体"/>
                <w:kern w:val="0"/>
                <w:sz w:val="24"/>
                <w:highlight w:val="none"/>
              </w:rPr>
              <w:t>▲物理安全</w:t>
            </w:r>
          </w:p>
        </w:tc>
        <w:tc>
          <w:tcPr>
            <w:tcW w:w="4760" w:type="dxa"/>
            <w:tcBorders>
              <w:top w:val="nil"/>
              <w:left w:val="nil"/>
              <w:bottom w:val="single" w:color="auto" w:sz="8" w:space="0"/>
              <w:right w:val="single" w:color="auto" w:sz="8" w:space="0"/>
            </w:tcBorders>
            <w:vAlign w:val="center"/>
          </w:tcPr>
          <w:p w14:paraId="1C721D29">
            <w:pPr>
              <w:widowControl/>
              <w:adjustRightInd/>
              <w:rPr>
                <w:rFonts w:ascii="宋体" w:hAnsi="宋体" w:cs="宋体"/>
                <w:kern w:val="0"/>
                <w:sz w:val="24"/>
                <w:highlight w:val="none"/>
              </w:rPr>
            </w:pPr>
            <w:r>
              <w:rPr>
                <w:rFonts w:hint="eastAsia" w:ascii="宋体" w:hAnsi="宋体" w:cs="宋体"/>
                <w:kern w:val="0"/>
                <w:sz w:val="24"/>
                <w:highlight w:val="none"/>
              </w:rPr>
              <w:t>安全要求应符合</w:t>
            </w:r>
            <w:r>
              <w:rPr>
                <w:rFonts w:ascii="宋体" w:hAnsi="宋体" w:cs="宋体"/>
                <w:kern w:val="0"/>
                <w:sz w:val="24"/>
                <w:highlight w:val="none"/>
              </w:rPr>
              <w:t xml:space="preserve"> GB 4943.1 </w:t>
            </w:r>
            <w:r>
              <w:rPr>
                <w:rFonts w:hint="eastAsia" w:ascii="宋体" w:hAnsi="宋体" w:cs="宋体"/>
                <w:kern w:val="0"/>
                <w:sz w:val="24"/>
                <w:highlight w:val="none"/>
              </w:rPr>
              <w:t>的规定</w:t>
            </w:r>
          </w:p>
        </w:tc>
      </w:tr>
      <w:tr w14:paraId="06ABA856">
        <w:tblPrEx>
          <w:tblCellMar>
            <w:top w:w="0" w:type="dxa"/>
            <w:left w:w="108" w:type="dxa"/>
            <w:bottom w:w="0" w:type="dxa"/>
            <w:right w:w="108" w:type="dxa"/>
          </w:tblCellMar>
        </w:tblPrEx>
        <w:trPr>
          <w:trHeight w:val="1260" w:hRule="atLeast"/>
        </w:trPr>
        <w:tc>
          <w:tcPr>
            <w:tcW w:w="980" w:type="dxa"/>
            <w:tcBorders>
              <w:top w:val="nil"/>
              <w:left w:val="single" w:color="auto" w:sz="8" w:space="0"/>
              <w:bottom w:val="single" w:color="auto" w:sz="8" w:space="0"/>
              <w:right w:val="nil"/>
            </w:tcBorders>
            <w:vAlign w:val="center"/>
          </w:tcPr>
          <w:p w14:paraId="7CD3D74D">
            <w:pPr>
              <w:widowControl/>
              <w:adjustRightInd/>
              <w:jc w:val="center"/>
              <w:rPr>
                <w:rFonts w:ascii="宋体" w:hAnsi="宋体" w:cs="宋体"/>
                <w:kern w:val="0"/>
                <w:sz w:val="24"/>
                <w:highlight w:val="none"/>
              </w:rPr>
            </w:pPr>
            <w:r>
              <w:rPr>
                <w:rFonts w:ascii="宋体" w:hAnsi="宋体" w:cs="宋体"/>
                <w:kern w:val="0"/>
                <w:sz w:val="24"/>
                <w:highlight w:val="none"/>
              </w:rPr>
              <w:t>46</w:t>
            </w:r>
          </w:p>
        </w:tc>
        <w:tc>
          <w:tcPr>
            <w:tcW w:w="980" w:type="dxa"/>
            <w:tcBorders>
              <w:top w:val="nil"/>
              <w:left w:val="single" w:color="auto" w:sz="8" w:space="0"/>
              <w:bottom w:val="single" w:color="auto" w:sz="8" w:space="0"/>
              <w:right w:val="single" w:color="auto" w:sz="8" w:space="0"/>
            </w:tcBorders>
            <w:vAlign w:val="center"/>
          </w:tcPr>
          <w:p w14:paraId="002C4E2F">
            <w:pPr>
              <w:widowControl/>
              <w:adjustRightInd/>
              <w:jc w:val="center"/>
              <w:rPr>
                <w:rFonts w:ascii="宋体" w:hAnsi="宋体" w:cs="宋体"/>
                <w:kern w:val="0"/>
                <w:sz w:val="24"/>
                <w:highlight w:val="none"/>
              </w:rPr>
            </w:pPr>
            <w:r>
              <w:rPr>
                <w:rFonts w:hint="eastAsia" w:ascii="宋体" w:hAnsi="宋体" w:cs="宋体"/>
                <w:kern w:val="0"/>
                <w:sz w:val="24"/>
                <w:highlight w:val="none"/>
              </w:rPr>
              <w:t>▲限用物质的限量要求</w:t>
            </w:r>
          </w:p>
        </w:tc>
        <w:tc>
          <w:tcPr>
            <w:tcW w:w="1580" w:type="dxa"/>
            <w:tcBorders>
              <w:top w:val="nil"/>
              <w:left w:val="nil"/>
              <w:bottom w:val="single" w:color="auto" w:sz="8" w:space="0"/>
              <w:right w:val="single" w:color="auto" w:sz="8" w:space="0"/>
            </w:tcBorders>
            <w:vAlign w:val="center"/>
          </w:tcPr>
          <w:p w14:paraId="441186EC">
            <w:pPr>
              <w:widowControl/>
              <w:adjustRightInd/>
              <w:jc w:val="center"/>
              <w:rPr>
                <w:rFonts w:ascii="宋体" w:hAnsi="宋体" w:cs="宋体"/>
                <w:kern w:val="0"/>
                <w:sz w:val="24"/>
                <w:highlight w:val="none"/>
              </w:rPr>
            </w:pPr>
            <w:r>
              <w:rPr>
                <w:rFonts w:hint="eastAsia" w:ascii="宋体" w:hAnsi="宋体" w:cs="宋体"/>
                <w:kern w:val="0"/>
                <w:sz w:val="24"/>
                <w:highlight w:val="none"/>
              </w:rPr>
              <w:t>▲限用物质的限量要求</w:t>
            </w:r>
          </w:p>
        </w:tc>
        <w:tc>
          <w:tcPr>
            <w:tcW w:w="4760" w:type="dxa"/>
            <w:tcBorders>
              <w:top w:val="nil"/>
              <w:left w:val="nil"/>
              <w:bottom w:val="single" w:color="auto" w:sz="8" w:space="0"/>
              <w:right w:val="single" w:color="auto" w:sz="8" w:space="0"/>
            </w:tcBorders>
            <w:vAlign w:val="center"/>
          </w:tcPr>
          <w:p w14:paraId="073A0A7E">
            <w:pPr>
              <w:widowControl/>
              <w:adjustRightInd/>
              <w:rPr>
                <w:rFonts w:ascii="宋体" w:hAnsi="宋体" w:cs="宋体"/>
                <w:kern w:val="0"/>
                <w:sz w:val="24"/>
                <w:highlight w:val="none"/>
              </w:rPr>
            </w:pPr>
            <w:r>
              <w:rPr>
                <w:rFonts w:hint="eastAsia" w:ascii="宋体" w:hAnsi="宋体" w:cs="宋体"/>
                <w:kern w:val="0"/>
                <w:sz w:val="24"/>
                <w:highlight w:val="none"/>
              </w:rPr>
              <w:t>限用物质的限量应符合</w:t>
            </w:r>
            <w:r>
              <w:rPr>
                <w:rFonts w:ascii="宋体" w:hAnsi="宋体" w:cs="宋体"/>
                <w:kern w:val="0"/>
                <w:sz w:val="24"/>
                <w:highlight w:val="none"/>
              </w:rPr>
              <w:t xml:space="preserve"> GB/T 26572的要求</w:t>
            </w:r>
          </w:p>
        </w:tc>
      </w:tr>
      <w:tr w14:paraId="0CBB2625">
        <w:tblPrEx>
          <w:tblCellMar>
            <w:top w:w="0" w:type="dxa"/>
            <w:left w:w="108" w:type="dxa"/>
            <w:bottom w:w="0" w:type="dxa"/>
            <w:right w:w="108" w:type="dxa"/>
          </w:tblCellMar>
        </w:tblPrEx>
        <w:trPr>
          <w:trHeight w:val="324" w:hRule="atLeast"/>
        </w:trPr>
        <w:tc>
          <w:tcPr>
            <w:tcW w:w="980" w:type="dxa"/>
            <w:tcBorders>
              <w:top w:val="nil"/>
              <w:left w:val="single" w:color="auto" w:sz="8" w:space="0"/>
              <w:bottom w:val="single" w:color="auto" w:sz="8" w:space="0"/>
              <w:right w:val="nil"/>
            </w:tcBorders>
            <w:vAlign w:val="center"/>
          </w:tcPr>
          <w:p w14:paraId="39185E52">
            <w:pPr>
              <w:widowControl/>
              <w:adjustRightInd/>
              <w:jc w:val="center"/>
              <w:rPr>
                <w:rFonts w:ascii="宋体" w:hAnsi="宋体" w:cs="宋体"/>
                <w:kern w:val="0"/>
                <w:sz w:val="24"/>
                <w:highlight w:val="none"/>
              </w:rPr>
            </w:pPr>
            <w:r>
              <w:rPr>
                <w:rFonts w:ascii="宋体" w:hAnsi="宋体" w:cs="宋体"/>
                <w:kern w:val="0"/>
                <w:sz w:val="24"/>
                <w:highlight w:val="none"/>
              </w:rPr>
              <w:t>47</w:t>
            </w:r>
          </w:p>
        </w:tc>
        <w:tc>
          <w:tcPr>
            <w:tcW w:w="980" w:type="dxa"/>
            <w:vMerge w:val="restart"/>
            <w:tcBorders>
              <w:top w:val="nil"/>
              <w:left w:val="single" w:color="auto" w:sz="8" w:space="0"/>
              <w:bottom w:val="single" w:color="000000" w:sz="8" w:space="0"/>
              <w:right w:val="single" w:color="auto" w:sz="8" w:space="0"/>
            </w:tcBorders>
            <w:vAlign w:val="center"/>
          </w:tcPr>
          <w:p w14:paraId="7B91FB71">
            <w:pPr>
              <w:widowControl/>
              <w:adjustRightInd/>
              <w:jc w:val="center"/>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CPU性能</w:t>
            </w:r>
          </w:p>
        </w:tc>
        <w:tc>
          <w:tcPr>
            <w:tcW w:w="1580" w:type="dxa"/>
            <w:tcBorders>
              <w:top w:val="nil"/>
              <w:left w:val="nil"/>
              <w:bottom w:val="single" w:color="auto" w:sz="8" w:space="0"/>
              <w:right w:val="single" w:color="auto" w:sz="8" w:space="0"/>
            </w:tcBorders>
            <w:vAlign w:val="center"/>
          </w:tcPr>
          <w:p w14:paraId="13295574">
            <w:pPr>
              <w:widowControl/>
              <w:adjustRightInd/>
              <w:jc w:val="center"/>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 xml:space="preserve">CPU </w:t>
            </w:r>
            <w:r>
              <w:rPr>
                <w:rFonts w:hint="eastAsia" w:ascii="宋体" w:hAnsi="宋体" w:cs="宋体"/>
                <w:kern w:val="0"/>
                <w:sz w:val="24"/>
                <w:highlight w:val="none"/>
              </w:rPr>
              <w:t>主频</w:t>
            </w:r>
          </w:p>
        </w:tc>
        <w:tc>
          <w:tcPr>
            <w:tcW w:w="4760" w:type="dxa"/>
            <w:tcBorders>
              <w:top w:val="nil"/>
              <w:left w:val="nil"/>
              <w:bottom w:val="single" w:color="auto" w:sz="8" w:space="0"/>
              <w:right w:val="single" w:color="auto" w:sz="8" w:space="0"/>
            </w:tcBorders>
            <w:vAlign w:val="center"/>
          </w:tcPr>
          <w:p w14:paraId="139E99CD">
            <w:pPr>
              <w:widowControl/>
              <w:adjustRightInd/>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2.2GHz</w:t>
            </w:r>
          </w:p>
        </w:tc>
      </w:tr>
      <w:tr w14:paraId="79F1E5EF">
        <w:tblPrEx>
          <w:tblCellMar>
            <w:top w:w="0" w:type="dxa"/>
            <w:left w:w="108" w:type="dxa"/>
            <w:bottom w:w="0" w:type="dxa"/>
            <w:right w:w="108" w:type="dxa"/>
          </w:tblCellMar>
        </w:tblPrEx>
        <w:trPr>
          <w:trHeight w:val="636" w:hRule="atLeast"/>
        </w:trPr>
        <w:tc>
          <w:tcPr>
            <w:tcW w:w="980" w:type="dxa"/>
            <w:tcBorders>
              <w:top w:val="nil"/>
              <w:left w:val="single" w:color="auto" w:sz="8" w:space="0"/>
              <w:bottom w:val="single" w:color="auto" w:sz="8" w:space="0"/>
              <w:right w:val="nil"/>
            </w:tcBorders>
            <w:vAlign w:val="center"/>
          </w:tcPr>
          <w:p w14:paraId="6FCF871E">
            <w:pPr>
              <w:widowControl/>
              <w:adjustRightInd/>
              <w:jc w:val="center"/>
              <w:rPr>
                <w:rFonts w:ascii="宋体" w:hAnsi="宋体" w:cs="宋体"/>
                <w:kern w:val="0"/>
                <w:sz w:val="24"/>
                <w:highlight w:val="none"/>
              </w:rPr>
            </w:pPr>
            <w:r>
              <w:rPr>
                <w:rFonts w:ascii="宋体" w:hAnsi="宋体" w:cs="宋体"/>
                <w:kern w:val="0"/>
                <w:sz w:val="24"/>
                <w:highlight w:val="none"/>
              </w:rPr>
              <w:t>48</w:t>
            </w:r>
          </w:p>
        </w:tc>
        <w:tc>
          <w:tcPr>
            <w:tcW w:w="980" w:type="dxa"/>
            <w:vMerge w:val="continue"/>
            <w:tcBorders>
              <w:top w:val="nil"/>
              <w:left w:val="single" w:color="auto" w:sz="8" w:space="0"/>
              <w:bottom w:val="single" w:color="000000" w:sz="8" w:space="0"/>
              <w:right w:val="single" w:color="auto" w:sz="8" w:space="0"/>
            </w:tcBorders>
            <w:vAlign w:val="center"/>
          </w:tcPr>
          <w:p w14:paraId="38590C8E">
            <w:pPr>
              <w:widowControl/>
              <w:adjustRightInd/>
              <w:jc w:val="left"/>
              <w:rPr>
                <w:rFonts w:ascii="宋体" w:hAnsi="宋体" w:cs="宋体"/>
                <w:kern w:val="0"/>
                <w:sz w:val="24"/>
                <w:highlight w:val="none"/>
              </w:rPr>
            </w:pPr>
          </w:p>
        </w:tc>
        <w:tc>
          <w:tcPr>
            <w:tcW w:w="1580" w:type="dxa"/>
            <w:tcBorders>
              <w:top w:val="nil"/>
              <w:left w:val="nil"/>
              <w:bottom w:val="single" w:color="auto" w:sz="8" w:space="0"/>
              <w:right w:val="single" w:color="auto" w:sz="8" w:space="0"/>
            </w:tcBorders>
            <w:vAlign w:val="center"/>
          </w:tcPr>
          <w:p w14:paraId="43E3D765">
            <w:pPr>
              <w:widowControl/>
              <w:adjustRightInd/>
              <w:jc w:val="center"/>
              <w:rPr>
                <w:rFonts w:ascii="宋体" w:hAnsi="宋体" w:cs="宋体"/>
                <w:kern w:val="0"/>
                <w:sz w:val="24"/>
                <w:highlight w:val="none"/>
              </w:rPr>
            </w:pPr>
            <w:r>
              <w:rPr>
                <w:rFonts w:hint="eastAsia" w:ascii="宋体" w:hAnsi="宋体" w:cs="宋体"/>
                <w:kern w:val="0"/>
                <w:sz w:val="24"/>
                <w:highlight w:val="none"/>
              </w:rPr>
              <w:t>▲单</w:t>
            </w:r>
            <w:r>
              <w:rPr>
                <w:rFonts w:ascii="宋体" w:hAnsi="宋体" w:cs="宋体"/>
                <w:kern w:val="0"/>
                <w:sz w:val="24"/>
                <w:highlight w:val="none"/>
              </w:rPr>
              <w:t xml:space="preserve"> CPU </w:t>
            </w:r>
            <w:r>
              <w:rPr>
                <w:rFonts w:hint="eastAsia" w:ascii="宋体" w:hAnsi="宋体" w:cs="宋体"/>
                <w:kern w:val="0"/>
                <w:sz w:val="24"/>
                <w:highlight w:val="none"/>
              </w:rPr>
              <w:t>核数</w:t>
            </w:r>
          </w:p>
        </w:tc>
        <w:tc>
          <w:tcPr>
            <w:tcW w:w="4760" w:type="dxa"/>
            <w:tcBorders>
              <w:top w:val="nil"/>
              <w:left w:val="nil"/>
              <w:bottom w:val="single" w:color="auto" w:sz="8" w:space="0"/>
              <w:right w:val="single" w:color="auto" w:sz="8" w:space="0"/>
            </w:tcBorders>
            <w:vAlign w:val="center"/>
          </w:tcPr>
          <w:p w14:paraId="51E7AE3F">
            <w:pPr>
              <w:widowControl/>
              <w:adjustRightInd/>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32</w:t>
            </w:r>
          </w:p>
        </w:tc>
      </w:tr>
      <w:tr w14:paraId="65356034">
        <w:tblPrEx>
          <w:tblCellMar>
            <w:top w:w="0" w:type="dxa"/>
            <w:left w:w="108" w:type="dxa"/>
            <w:bottom w:w="0" w:type="dxa"/>
            <w:right w:w="108" w:type="dxa"/>
          </w:tblCellMar>
        </w:tblPrEx>
        <w:trPr>
          <w:trHeight w:val="636" w:hRule="atLeast"/>
        </w:trPr>
        <w:tc>
          <w:tcPr>
            <w:tcW w:w="980" w:type="dxa"/>
            <w:tcBorders>
              <w:top w:val="nil"/>
              <w:left w:val="single" w:color="auto" w:sz="8" w:space="0"/>
              <w:bottom w:val="single" w:color="auto" w:sz="8" w:space="0"/>
              <w:right w:val="nil"/>
            </w:tcBorders>
            <w:vAlign w:val="center"/>
          </w:tcPr>
          <w:p w14:paraId="23749379">
            <w:pPr>
              <w:widowControl/>
              <w:adjustRightInd/>
              <w:jc w:val="center"/>
              <w:rPr>
                <w:rFonts w:ascii="宋体" w:hAnsi="宋体" w:cs="宋体"/>
                <w:kern w:val="0"/>
                <w:sz w:val="24"/>
                <w:highlight w:val="none"/>
              </w:rPr>
            </w:pPr>
            <w:r>
              <w:rPr>
                <w:rFonts w:ascii="宋体" w:hAnsi="宋体" w:cs="宋体"/>
                <w:kern w:val="0"/>
                <w:sz w:val="24"/>
                <w:highlight w:val="none"/>
              </w:rPr>
              <w:t>49</w:t>
            </w:r>
          </w:p>
        </w:tc>
        <w:tc>
          <w:tcPr>
            <w:tcW w:w="980" w:type="dxa"/>
            <w:vMerge w:val="continue"/>
            <w:tcBorders>
              <w:top w:val="nil"/>
              <w:left w:val="single" w:color="auto" w:sz="8" w:space="0"/>
              <w:bottom w:val="single" w:color="000000" w:sz="8" w:space="0"/>
              <w:right w:val="single" w:color="auto" w:sz="8" w:space="0"/>
            </w:tcBorders>
            <w:vAlign w:val="center"/>
          </w:tcPr>
          <w:p w14:paraId="5AC20503">
            <w:pPr>
              <w:widowControl/>
              <w:adjustRightInd/>
              <w:jc w:val="left"/>
              <w:rPr>
                <w:rFonts w:ascii="宋体" w:hAnsi="宋体" w:cs="宋体"/>
                <w:kern w:val="0"/>
                <w:sz w:val="24"/>
                <w:highlight w:val="none"/>
              </w:rPr>
            </w:pPr>
          </w:p>
        </w:tc>
        <w:tc>
          <w:tcPr>
            <w:tcW w:w="1580" w:type="dxa"/>
            <w:tcBorders>
              <w:top w:val="nil"/>
              <w:left w:val="nil"/>
              <w:bottom w:val="single" w:color="auto" w:sz="8" w:space="0"/>
              <w:right w:val="single" w:color="auto" w:sz="8" w:space="0"/>
            </w:tcBorders>
            <w:vAlign w:val="center"/>
          </w:tcPr>
          <w:p w14:paraId="6C1723CC">
            <w:pPr>
              <w:widowControl/>
              <w:adjustRightInd/>
              <w:jc w:val="center"/>
              <w:rPr>
                <w:rFonts w:ascii="宋体" w:hAnsi="宋体" w:cs="宋体"/>
                <w:kern w:val="0"/>
                <w:sz w:val="24"/>
                <w:highlight w:val="none"/>
              </w:rPr>
            </w:pPr>
            <w:r>
              <w:rPr>
                <w:rFonts w:hint="eastAsia" w:ascii="宋体" w:hAnsi="宋体" w:cs="宋体"/>
                <w:kern w:val="0"/>
                <w:sz w:val="24"/>
                <w:highlight w:val="none"/>
              </w:rPr>
              <w:t>▲单</w:t>
            </w:r>
            <w:r>
              <w:rPr>
                <w:rFonts w:ascii="宋体" w:hAnsi="宋体" w:cs="宋体"/>
                <w:kern w:val="0"/>
                <w:sz w:val="24"/>
                <w:highlight w:val="none"/>
              </w:rPr>
              <w:t xml:space="preserve"> CPU </w:t>
            </w:r>
            <w:r>
              <w:rPr>
                <w:rFonts w:hint="eastAsia" w:ascii="宋体" w:hAnsi="宋体" w:cs="宋体"/>
                <w:kern w:val="0"/>
                <w:sz w:val="24"/>
                <w:highlight w:val="none"/>
              </w:rPr>
              <w:t>末级缓存容量</w:t>
            </w:r>
          </w:p>
        </w:tc>
        <w:tc>
          <w:tcPr>
            <w:tcW w:w="4760" w:type="dxa"/>
            <w:tcBorders>
              <w:top w:val="nil"/>
              <w:left w:val="nil"/>
              <w:bottom w:val="single" w:color="auto" w:sz="8" w:space="0"/>
              <w:right w:val="single" w:color="auto" w:sz="8" w:space="0"/>
            </w:tcBorders>
            <w:vAlign w:val="center"/>
          </w:tcPr>
          <w:p w14:paraId="5C966BE3">
            <w:pPr>
              <w:widowControl/>
              <w:adjustRightInd/>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64MB</w:t>
            </w:r>
          </w:p>
        </w:tc>
      </w:tr>
      <w:tr w14:paraId="699B95F4">
        <w:tblPrEx>
          <w:tblCellMar>
            <w:top w:w="0" w:type="dxa"/>
            <w:left w:w="108" w:type="dxa"/>
            <w:bottom w:w="0" w:type="dxa"/>
            <w:right w:w="108" w:type="dxa"/>
          </w:tblCellMar>
        </w:tblPrEx>
        <w:trPr>
          <w:trHeight w:val="636" w:hRule="atLeast"/>
        </w:trPr>
        <w:tc>
          <w:tcPr>
            <w:tcW w:w="980" w:type="dxa"/>
            <w:tcBorders>
              <w:top w:val="nil"/>
              <w:left w:val="single" w:color="auto" w:sz="8" w:space="0"/>
              <w:bottom w:val="single" w:color="auto" w:sz="8" w:space="0"/>
              <w:right w:val="nil"/>
            </w:tcBorders>
            <w:vAlign w:val="center"/>
          </w:tcPr>
          <w:p w14:paraId="32131F42">
            <w:pPr>
              <w:widowControl/>
              <w:adjustRightInd/>
              <w:jc w:val="center"/>
              <w:rPr>
                <w:rFonts w:ascii="宋体" w:hAnsi="宋体" w:cs="宋体"/>
                <w:kern w:val="0"/>
                <w:sz w:val="24"/>
                <w:highlight w:val="none"/>
              </w:rPr>
            </w:pPr>
            <w:r>
              <w:rPr>
                <w:rFonts w:ascii="宋体" w:hAnsi="宋体" w:cs="宋体"/>
                <w:kern w:val="0"/>
                <w:sz w:val="24"/>
                <w:highlight w:val="none"/>
              </w:rPr>
              <w:t>50</w:t>
            </w:r>
          </w:p>
        </w:tc>
        <w:tc>
          <w:tcPr>
            <w:tcW w:w="980" w:type="dxa"/>
            <w:tcBorders>
              <w:top w:val="nil"/>
              <w:left w:val="single" w:color="auto" w:sz="8" w:space="0"/>
              <w:bottom w:val="single" w:color="auto" w:sz="8" w:space="0"/>
              <w:right w:val="single" w:color="auto" w:sz="8" w:space="0"/>
            </w:tcBorders>
            <w:vAlign w:val="center"/>
          </w:tcPr>
          <w:p w14:paraId="27FBB00C">
            <w:pPr>
              <w:widowControl/>
              <w:adjustRightInd/>
              <w:jc w:val="center"/>
              <w:rPr>
                <w:rFonts w:ascii="宋体" w:hAnsi="宋体" w:cs="宋体"/>
                <w:kern w:val="0"/>
                <w:sz w:val="24"/>
                <w:highlight w:val="none"/>
              </w:rPr>
            </w:pPr>
            <w:r>
              <w:rPr>
                <w:rFonts w:hint="eastAsia" w:ascii="宋体" w:hAnsi="宋体" w:cs="宋体"/>
                <w:kern w:val="0"/>
                <w:sz w:val="24"/>
                <w:highlight w:val="none"/>
              </w:rPr>
              <w:t>▲内存性能</w:t>
            </w:r>
          </w:p>
        </w:tc>
        <w:tc>
          <w:tcPr>
            <w:tcW w:w="1580" w:type="dxa"/>
            <w:tcBorders>
              <w:top w:val="nil"/>
              <w:left w:val="nil"/>
              <w:bottom w:val="single" w:color="auto" w:sz="8" w:space="0"/>
              <w:right w:val="single" w:color="auto" w:sz="8" w:space="0"/>
            </w:tcBorders>
            <w:vAlign w:val="center"/>
          </w:tcPr>
          <w:p w14:paraId="320BB897">
            <w:pPr>
              <w:widowControl/>
              <w:adjustRightInd/>
              <w:jc w:val="center"/>
              <w:rPr>
                <w:rFonts w:ascii="宋体" w:hAnsi="宋体" w:cs="宋体"/>
                <w:kern w:val="0"/>
                <w:sz w:val="24"/>
                <w:highlight w:val="none"/>
              </w:rPr>
            </w:pPr>
            <w:r>
              <w:rPr>
                <w:rFonts w:hint="eastAsia" w:ascii="宋体" w:hAnsi="宋体" w:cs="宋体"/>
                <w:kern w:val="0"/>
                <w:sz w:val="24"/>
                <w:highlight w:val="none"/>
              </w:rPr>
              <w:t>▲内存速率</w:t>
            </w:r>
          </w:p>
        </w:tc>
        <w:tc>
          <w:tcPr>
            <w:tcW w:w="4760" w:type="dxa"/>
            <w:tcBorders>
              <w:top w:val="nil"/>
              <w:left w:val="nil"/>
              <w:bottom w:val="single" w:color="auto" w:sz="8" w:space="0"/>
              <w:right w:val="single" w:color="auto" w:sz="8" w:space="0"/>
            </w:tcBorders>
            <w:vAlign w:val="center"/>
          </w:tcPr>
          <w:p w14:paraId="0D04EA42">
            <w:pPr>
              <w:widowControl/>
              <w:adjustRightInd/>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3200MT/s</w:t>
            </w:r>
          </w:p>
        </w:tc>
      </w:tr>
      <w:tr w14:paraId="77BC5A6B">
        <w:tblPrEx>
          <w:tblCellMar>
            <w:top w:w="0" w:type="dxa"/>
            <w:left w:w="108" w:type="dxa"/>
            <w:bottom w:w="0" w:type="dxa"/>
            <w:right w:w="108" w:type="dxa"/>
          </w:tblCellMar>
        </w:tblPrEx>
        <w:trPr>
          <w:trHeight w:val="636" w:hRule="atLeast"/>
        </w:trPr>
        <w:tc>
          <w:tcPr>
            <w:tcW w:w="980" w:type="dxa"/>
            <w:tcBorders>
              <w:top w:val="nil"/>
              <w:left w:val="single" w:color="auto" w:sz="8" w:space="0"/>
              <w:bottom w:val="single" w:color="auto" w:sz="8" w:space="0"/>
              <w:right w:val="nil"/>
            </w:tcBorders>
            <w:vAlign w:val="center"/>
          </w:tcPr>
          <w:p w14:paraId="17037F14">
            <w:pPr>
              <w:widowControl/>
              <w:adjustRightInd/>
              <w:jc w:val="center"/>
              <w:rPr>
                <w:rFonts w:ascii="宋体" w:hAnsi="宋体" w:cs="宋体"/>
                <w:kern w:val="0"/>
                <w:sz w:val="24"/>
                <w:highlight w:val="none"/>
              </w:rPr>
            </w:pPr>
            <w:r>
              <w:rPr>
                <w:rFonts w:ascii="宋体" w:hAnsi="宋体" w:cs="宋体"/>
                <w:kern w:val="0"/>
                <w:sz w:val="24"/>
                <w:highlight w:val="none"/>
              </w:rPr>
              <w:t>51</w:t>
            </w:r>
          </w:p>
        </w:tc>
        <w:tc>
          <w:tcPr>
            <w:tcW w:w="980" w:type="dxa"/>
            <w:tcBorders>
              <w:top w:val="nil"/>
              <w:left w:val="single" w:color="auto" w:sz="8" w:space="0"/>
              <w:bottom w:val="single" w:color="auto" w:sz="8" w:space="0"/>
              <w:right w:val="single" w:color="auto" w:sz="8" w:space="0"/>
            </w:tcBorders>
            <w:vAlign w:val="center"/>
          </w:tcPr>
          <w:p w14:paraId="32D2B98F">
            <w:pPr>
              <w:widowControl/>
              <w:adjustRightInd/>
              <w:jc w:val="center"/>
              <w:rPr>
                <w:rFonts w:ascii="宋体" w:hAnsi="宋体" w:cs="宋体"/>
                <w:kern w:val="0"/>
                <w:sz w:val="24"/>
                <w:highlight w:val="none"/>
              </w:rPr>
            </w:pPr>
            <w:r>
              <w:rPr>
                <w:rFonts w:hint="eastAsia" w:ascii="宋体" w:hAnsi="宋体" w:cs="宋体"/>
                <w:kern w:val="0"/>
                <w:sz w:val="24"/>
                <w:highlight w:val="none"/>
              </w:rPr>
              <w:t>▲电源能耗</w:t>
            </w:r>
          </w:p>
        </w:tc>
        <w:tc>
          <w:tcPr>
            <w:tcW w:w="1580" w:type="dxa"/>
            <w:tcBorders>
              <w:top w:val="nil"/>
              <w:left w:val="nil"/>
              <w:bottom w:val="single" w:color="auto" w:sz="8" w:space="0"/>
              <w:right w:val="single" w:color="auto" w:sz="8" w:space="0"/>
            </w:tcBorders>
            <w:vAlign w:val="center"/>
          </w:tcPr>
          <w:p w14:paraId="7560D1AF">
            <w:pPr>
              <w:widowControl/>
              <w:adjustRightInd/>
              <w:jc w:val="center"/>
              <w:rPr>
                <w:rFonts w:ascii="宋体" w:hAnsi="宋体" w:cs="宋体"/>
                <w:kern w:val="0"/>
                <w:sz w:val="24"/>
                <w:highlight w:val="none"/>
              </w:rPr>
            </w:pPr>
            <w:r>
              <w:rPr>
                <w:rFonts w:hint="eastAsia" w:ascii="宋体" w:hAnsi="宋体" w:cs="宋体"/>
                <w:kern w:val="0"/>
                <w:sz w:val="24"/>
                <w:highlight w:val="none"/>
              </w:rPr>
              <w:t>▲电源能耗</w:t>
            </w:r>
          </w:p>
        </w:tc>
        <w:tc>
          <w:tcPr>
            <w:tcW w:w="4760" w:type="dxa"/>
            <w:tcBorders>
              <w:top w:val="nil"/>
              <w:left w:val="nil"/>
              <w:bottom w:val="single" w:color="auto" w:sz="8" w:space="0"/>
              <w:right w:val="single" w:color="auto" w:sz="8" w:space="0"/>
            </w:tcBorders>
            <w:vAlign w:val="center"/>
          </w:tcPr>
          <w:p w14:paraId="404DDD0E">
            <w:pPr>
              <w:widowControl/>
              <w:adjustRightInd/>
              <w:rPr>
                <w:rFonts w:ascii="宋体" w:hAnsi="宋体" w:cs="宋体"/>
                <w:kern w:val="0"/>
                <w:sz w:val="24"/>
                <w:highlight w:val="none"/>
              </w:rPr>
            </w:pPr>
            <w:r>
              <w:rPr>
                <w:rFonts w:hint="eastAsia" w:ascii="宋体" w:hAnsi="宋体" w:cs="宋体"/>
                <w:kern w:val="0"/>
                <w:sz w:val="24"/>
                <w:highlight w:val="none"/>
              </w:rPr>
              <w:t>符合</w:t>
            </w:r>
            <w:r>
              <w:rPr>
                <w:rFonts w:ascii="宋体" w:hAnsi="宋体" w:cs="宋体"/>
                <w:kern w:val="0"/>
                <w:sz w:val="24"/>
                <w:highlight w:val="none"/>
              </w:rPr>
              <w:t xml:space="preserve"> GB/T 9813.3 </w:t>
            </w:r>
            <w:r>
              <w:rPr>
                <w:rFonts w:hint="eastAsia" w:ascii="宋体" w:hAnsi="宋体" w:cs="宋体"/>
                <w:kern w:val="0"/>
                <w:sz w:val="24"/>
                <w:highlight w:val="none"/>
              </w:rPr>
              <w:t>的有关规定</w:t>
            </w:r>
          </w:p>
        </w:tc>
      </w:tr>
      <w:tr w14:paraId="3D8AA6FD">
        <w:tblPrEx>
          <w:tblCellMar>
            <w:top w:w="0" w:type="dxa"/>
            <w:left w:w="108" w:type="dxa"/>
            <w:bottom w:w="0" w:type="dxa"/>
            <w:right w:w="108" w:type="dxa"/>
          </w:tblCellMar>
        </w:tblPrEx>
        <w:trPr>
          <w:trHeight w:val="636" w:hRule="atLeast"/>
        </w:trPr>
        <w:tc>
          <w:tcPr>
            <w:tcW w:w="980" w:type="dxa"/>
            <w:tcBorders>
              <w:top w:val="nil"/>
              <w:left w:val="single" w:color="auto" w:sz="8" w:space="0"/>
              <w:bottom w:val="single" w:color="auto" w:sz="8" w:space="0"/>
              <w:right w:val="nil"/>
            </w:tcBorders>
            <w:vAlign w:val="center"/>
          </w:tcPr>
          <w:p w14:paraId="724ADBD7">
            <w:pPr>
              <w:widowControl/>
              <w:adjustRightInd/>
              <w:jc w:val="center"/>
              <w:rPr>
                <w:rFonts w:ascii="宋体" w:hAnsi="宋体" w:cs="宋体"/>
                <w:kern w:val="0"/>
                <w:sz w:val="24"/>
                <w:highlight w:val="none"/>
              </w:rPr>
            </w:pPr>
            <w:r>
              <w:rPr>
                <w:rFonts w:ascii="宋体" w:hAnsi="宋体" w:cs="宋体"/>
                <w:kern w:val="0"/>
                <w:sz w:val="24"/>
                <w:highlight w:val="none"/>
              </w:rPr>
              <w:t>52</w:t>
            </w:r>
          </w:p>
        </w:tc>
        <w:tc>
          <w:tcPr>
            <w:tcW w:w="980" w:type="dxa"/>
            <w:vMerge w:val="restart"/>
            <w:tcBorders>
              <w:top w:val="nil"/>
              <w:left w:val="single" w:color="auto" w:sz="8" w:space="0"/>
              <w:bottom w:val="single" w:color="000000" w:sz="8" w:space="0"/>
              <w:right w:val="single" w:color="auto" w:sz="8" w:space="0"/>
            </w:tcBorders>
            <w:vAlign w:val="center"/>
          </w:tcPr>
          <w:p w14:paraId="2EEB4868">
            <w:pPr>
              <w:widowControl/>
              <w:adjustRightInd/>
              <w:jc w:val="center"/>
              <w:rPr>
                <w:rFonts w:ascii="宋体" w:hAnsi="宋体" w:cs="宋体"/>
                <w:kern w:val="0"/>
                <w:sz w:val="24"/>
                <w:highlight w:val="none"/>
              </w:rPr>
            </w:pPr>
            <w:r>
              <w:rPr>
                <w:rFonts w:hint="eastAsia" w:ascii="宋体" w:hAnsi="宋体" w:cs="宋体"/>
                <w:kern w:val="0"/>
                <w:sz w:val="24"/>
                <w:highlight w:val="none"/>
              </w:rPr>
              <w:t>▲部件兼容性要求</w:t>
            </w:r>
          </w:p>
        </w:tc>
        <w:tc>
          <w:tcPr>
            <w:tcW w:w="1580" w:type="dxa"/>
            <w:tcBorders>
              <w:top w:val="nil"/>
              <w:left w:val="nil"/>
              <w:bottom w:val="single" w:color="auto" w:sz="8" w:space="0"/>
              <w:right w:val="single" w:color="auto" w:sz="8" w:space="0"/>
            </w:tcBorders>
            <w:vAlign w:val="center"/>
          </w:tcPr>
          <w:p w14:paraId="3D505330">
            <w:pPr>
              <w:widowControl/>
              <w:adjustRightInd/>
              <w:jc w:val="center"/>
              <w:rPr>
                <w:rFonts w:ascii="宋体" w:hAnsi="宋体" w:cs="宋体"/>
                <w:kern w:val="0"/>
                <w:sz w:val="24"/>
                <w:highlight w:val="none"/>
              </w:rPr>
            </w:pPr>
            <w:r>
              <w:rPr>
                <w:rFonts w:hint="eastAsia" w:ascii="宋体" w:hAnsi="宋体" w:cs="宋体"/>
                <w:kern w:val="0"/>
                <w:sz w:val="24"/>
                <w:highlight w:val="none"/>
              </w:rPr>
              <w:t>▲内存兼容性</w:t>
            </w:r>
          </w:p>
        </w:tc>
        <w:tc>
          <w:tcPr>
            <w:tcW w:w="4760" w:type="dxa"/>
            <w:tcBorders>
              <w:top w:val="nil"/>
              <w:left w:val="nil"/>
              <w:bottom w:val="single" w:color="auto" w:sz="8" w:space="0"/>
              <w:right w:val="single" w:color="auto" w:sz="8" w:space="0"/>
            </w:tcBorders>
            <w:vAlign w:val="center"/>
          </w:tcPr>
          <w:p w14:paraId="0F2A9DEB">
            <w:pPr>
              <w:widowControl/>
              <w:adjustRightInd/>
              <w:rPr>
                <w:rFonts w:ascii="宋体" w:hAnsi="宋体" w:cs="宋体"/>
                <w:kern w:val="0"/>
                <w:sz w:val="24"/>
                <w:highlight w:val="none"/>
              </w:rPr>
            </w:pPr>
            <w:r>
              <w:rPr>
                <w:rFonts w:hint="eastAsia" w:ascii="宋体" w:hAnsi="宋体" w:cs="宋体"/>
                <w:kern w:val="0"/>
                <w:sz w:val="24"/>
                <w:highlight w:val="none"/>
              </w:rPr>
              <w:t>适配</w:t>
            </w:r>
            <w:r>
              <w:rPr>
                <w:rFonts w:ascii="宋体" w:hAnsi="宋体" w:cs="宋体"/>
                <w:kern w:val="0"/>
                <w:sz w:val="24"/>
                <w:highlight w:val="none"/>
              </w:rPr>
              <w:t xml:space="preserve"> 3 </w:t>
            </w:r>
            <w:r>
              <w:rPr>
                <w:rFonts w:hint="eastAsia" w:ascii="宋体" w:hAnsi="宋体" w:cs="宋体"/>
                <w:kern w:val="0"/>
                <w:sz w:val="24"/>
                <w:highlight w:val="none"/>
              </w:rPr>
              <w:t>种及以上厂商的内存产品，且均不低于产品支持的内存规格</w:t>
            </w:r>
          </w:p>
        </w:tc>
      </w:tr>
      <w:tr w14:paraId="054A3619">
        <w:tblPrEx>
          <w:tblCellMar>
            <w:top w:w="0" w:type="dxa"/>
            <w:left w:w="108" w:type="dxa"/>
            <w:bottom w:w="0" w:type="dxa"/>
            <w:right w:w="108" w:type="dxa"/>
          </w:tblCellMar>
        </w:tblPrEx>
        <w:trPr>
          <w:trHeight w:val="636" w:hRule="atLeast"/>
        </w:trPr>
        <w:tc>
          <w:tcPr>
            <w:tcW w:w="980" w:type="dxa"/>
            <w:tcBorders>
              <w:top w:val="nil"/>
              <w:left w:val="single" w:color="auto" w:sz="8" w:space="0"/>
              <w:bottom w:val="single" w:color="auto" w:sz="8" w:space="0"/>
              <w:right w:val="nil"/>
            </w:tcBorders>
            <w:vAlign w:val="center"/>
          </w:tcPr>
          <w:p w14:paraId="3625EBE8">
            <w:pPr>
              <w:widowControl/>
              <w:adjustRightInd/>
              <w:jc w:val="center"/>
              <w:rPr>
                <w:rFonts w:ascii="宋体" w:hAnsi="宋体" w:cs="宋体"/>
                <w:kern w:val="0"/>
                <w:sz w:val="24"/>
                <w:highlight w:val="none"/>
              </w:rPr>
            </w:pPr>
            <w:r>
              <w:rPr>
                <w:rFonts w:ascii="宋体" w:hAnsi="宋体" w:cs="宋体"/>
                <w:kern w:val="0"/>
                <w:sz w:val="24"/>
                <w:highlight w:val="none"/>
              </w:rPr>
              <w:t>53</w:t>
            </w:r>
          </w:p>
        </w:tc>
        <w:tc>
          <w:tcPr>
            <w:tcW w:w="980" w:type="dxa"/>
            <w:vMerge w:val="continue"/>
            <w:tcBorders>
              <w:top w:val="nil"/>
              <w:left w:val="single" w:color="auto" w:sz="8" w:space="0"/>
              <w:bottom w:val="single" w:color="000000" w:sz="8" w:space="0"/>
              <w:right w:val="single" w:color="auto" w:sz="8" w:space="0"/>
            </w:tcBorders>
            <w:vAlign w:val="center"/>
          </w:tcPr>
          <w:p w14:paraId="136E0807">
            <w:pPr>
              <w:widowControl/>
              <w:adjustRightInd/>
              <w:jc w:val="left"/>
              <w:rPr>
                <w:rFonts w:ascii="宋体" w:hAnsi="宋体" w:cs="宋体"/>
                <w:kern w:val="0"/>
                <w:sz w:val="24"/>
                <w:highlight w:val="none"/>
              </w:rPr>
            </w:pPr>
          </w:p>
        </w:tc>
        <w:tc>
          <w:tcPr>
            <w:tcW w:w="1580" w:type="dxa"/>
            <w:tcBorders>
              <w:top w:val="nil"/>
              <w:left w:val="nil"/>
              <w:bottom w:val="single" w:color="auto" w:sz="8" w:space="0"/>
              <w:right w:val="single" w:color="auto" w:sz="8" w:space="0"/>
            </w:tcBorders>
            <w:vAlign w:val="center"/>
          </w:tcPr>
          <w:p w14:paraId="41B8E5D0">
            <w:pPr>
              <w:widowControl/>
              <w:adjustRightInd/>
              <w:jc w:val="center"/>
              <w:rPr>
                <w:rFonts w:ascii="宋体" w:hAnsi="宋体" w:cs="宋体"/>
                <w:kern w:val="0"/>
                <w:sz w:val="24"/>
                <w:highlight w:val="none"/>
              </w:rPr>
            </w:pPr>
            <w:r>
              <w:rPr>
                <w:rFonts w:hint="eastAsia" w:ascii="宋体" w:hAnsi="宋体" w:cs="宋体"/>
                <w:kern w:val="0"/>
                <w:sz w:val="24"/>
                <w:highlight w:val="none"/>
              </w:rPr>
              <w:t>▲固态存储兼容性</w:t>
            </w:r>
          </w:p>
        </w:tc>
        <w:tc>
          <w:tcPr>
            <w:tcW w:w="4760" w:type="dxa"/>
            <w:tcBorders>
              <w:top w:val="nil"/>
              <w:left w:val="nil"/>
              <w:bottom w:val="single" w:color="auto" w:sz="8" w:space="0"/>
              <w:right w:val="single" w:color="auto" w:sz="8" w:space="0"/>
            </w:tcBorders>
            <w:vAlign w:val="center"/>
          </w:tcPr>
          <w:p w14:paraId="356F779C">
            <w:pPr>
              <w:widowControl/>
              <w:adjustRightInd/>
              <w:rPr>
                <w:rFonts w:ascii="宋体" w:hAnsi="宋体" w:cs="宋体"/>
                <w:kern w:val="0"/>
                <w:sz w:val="24"/>
                <w:highlight w:val="none"/>
              </w:rPr>
            </w:pPr>
            <w:r>
              <w:rPr>
                <w:rFonts w:hint="eastAsia" w:ascii="宋体" w:hAnsi="宋体" w:cs="宋体"/>
                <w:kern w:val="0"/>
                <w:sz w:val="24"/>
                <w:highlight w:val="none"/>
              </w:rPr>
              <w:t>适配</w:t>
            </w:r>
            <w:r>
              <w:rPr>
                <w:rFonts w:ascii="宋体" w:hAnsi="宋体" w:cs="宋体"/>
                <w:kern w:val="0"/>
                <w:sz w:val="24"/>
                <w:highlight w:val="none"/>
              </w:rPr>
              <w:t xml:space="preserve"> 3 </w:t>
            </w:r>
            <w:r>
              <w:rPr>
                <w:rFonts w:hint="eastAsia" w:ascii="宋体" w:hAnsi="宋体" w:cs="宋体"/>
                <w:kern w:val="0"/>
                <w:sz w:val="24"/>
                <w:highlight w:val="none"/>
              </w:rPr>
              <w:t>种或以上厂商的固态存储产品，且均不低于产品支持的固态存储设备规格</w:t>
            </w:r>
          </w:p>
        </w:tc>
      </w:tr>
      <w:tr w14:paraId="173C0011">
        <w:tblPrEx>
          <w:tblCellMar>
            <w:top w:w="0" w:type="dxa"/>
            <w:left w:w="108" w:type="dxa"/>
            <w:bottom w:w="0" w:type="dxa"/>
            <w:right w:w="108" w:type="dxa"/>
          </w:tblCellMar>
        </w:tblPrEx>
        <w:trPr>
          <w:trHeight w:val="324" w:hRule="atLeast"/>
        </w:trPr>
        <w:tc>
          <w:tcPr>
            <w:tcW w:w="980" w:type="dxa"/>
            <w:tcBorders>
              <w:top w:val="nil"/>
              <w:left w:val="single" w:color="auto" w:sz="8" w:space="0"/>
              <w:bottom w:val="single" w:color="auto" w:sz="8" w:space="0"/>
              <w:right w:val="nil"/>
            </w:tcBorders>
            <w:vAlign w:val="center"/>
          </w:tcPr>
          <w:p w14:paraId="2471F06E">
            <w:pPr>
              <w:widowControl/>
              <w:adjustRightInd/>
              <w:jc w:val="center"/>
              <w:rPr>
                <w:rFonts w:ascii="宋体" w:hAnsi="宋体" w:cs="宋体"/>
                <w:kern w:val="0"/>
                <w:sz w:val="24"/>
                <w:highlight w:val="none"/>
              </w:rPr>
            </w:pPr>
            <w:r>
              <w:rPr>
                <w:rFonts w:ascii="宋体" w:hAnsi="宋体" w:cs="宋体"/>
                <w:kern w:val="0"/>
                <w:sz w:val="24"/>
                <w:highlight w:val="none"/>
              </w:rPr>
              <w:t>54</w:t>
            </w:r>
          </w:p>
        </w:tc>
        <w:tc>
          <w:tcPr>
            <w:tcW w:w="980" w:type="dxa"/>
            <w:vMerge w:val="continue"/>
            <w:tcBorders>
              <w:top w:val="nil"/>
              <w:left w:val="single" w:color="auto" w:sz="8" w:space="0"/>
              <w:bottom w:val="single" w:color="000000" w:sz="8" w:space="0"/>
              <w:right w:val="single" w:color="auto" w:sz="8" w:space="0"/>
            </w:tcBorders>
            <w:vAlign w:val="center"/>
          </w:tcPr>
          <w:p w14:paraId="160DB03E">
            <w:pPr>
              <w:widowControl/>
              <w:adjustRightInd/>
              <w:jc w:val="left"/>
              <w:rPr>
                <w:rFonts w:ascii="宋体" w:hAnsi="宋体" w:cs="宋体"/>
                <w:kern w:val="0"/>
                <w:sz w:val="24"/>
                <w:highlight w:val="none"/>
              </w:rPr>
            </w:pPr>
          </w:p>
        </w:tc>
        <w:tc>
          <w:tcPr>
            <w:tcW w:w="1580" w:type="dxa"/>
            <w:tcBorders>
              <w:top w:val="nil"/>
              <w:left w:val="nil"/>
              <w:bottom w:val="single" w:color="auto" w:sz="8" w:space="0"/>
              <w:right w:val="single" w:color="auto" w:sz="8" w:space="0"/>
            </w:tcBorders>
            <w:vAlign w:val="center"/>
          </w:tcPr>
          <w:p w14:paraId="0B1EC465">
            <w:pPr>
              <w:widowControl/>
              <w:adjustRightInd/>
              <w:jc w:val="center"/>
              <w:rPr>
                <w:rFonts w:ascii="宋体" w:hAnsi="宋体" w:cs="宋体"/>
                <w:kern w:val="0"/>
                <w:sz w:val="24"/>
                <w:highlight w:val="none"/>
              </w:rPr>
            </w:pPr>
            <w:r>
              <w:rPr>
                <w:rFonts w:hint="eastAsia" w:ascii="宋体" w:hAnsi="宋体" w:cs="宋体"/>
                <w:kern w:val="0"/>
                <w:sz w:val="24"/>
                <w:highlight w:val="none"/>
              </w:rPr>
              <w:t>▲网卡兼容性</w:t>
            </w:r>
          </w:p>
        </w:tc>
        <w:tc>
          <w:tcPr>
            <w:tcW w:w="4760" w:type="dxa"/>
            <w:tcBorders>
              <w:top w:val="nil"/>
              <w:left w:val="nil"/>
              <w:bottom w:val="single" w:color="auto" w:sz="8" w:space="0"/>
              <w:right w:val="single" w:color="auto" w:sz="8" w:space="0"/>
            </w:tcBorders>
            <w:vAlign w:val="center"/>
          </w:tcPr>
          <w:p w14:paraId="511C3E58">
            <w:pPr>
              <w:widowControl/>
              <w:adjustRightInd/>
              <w:rPr>
                <w:rFonts w:ascii="宋体" w:hAnsi="宋体" w:cs="宋体"/>
                <w:kern w:val="0"/>
                <w:sz w:val="24"/>
                <w:highlight w:val="none"/>
              </w:rPr>
            </w:pPr>
            <w:r>
              <w:rPr>
                <w:rFonts w:hint="eastAsia" w:ascii="宋体" w:hAnsi="宋体" w:cs="宋体"/>
                <w:kern w:val="0"/>
                <w:sz w:val="24"/>
                <w:highlight w:val="none"/>
              </w:rPr>
              <w:t>网卡应适配两种或以上厂商产品</w:t>
            </w:r>
          </w:p>
        </w:tc>
      </w:tr>
      <w:tr w14:paraId="792D870F">
        <w:tblPrEx>
          <w:tblCellMar>
            <w:top w:w="0" w:type="dxa"/>
            <w:left w:w="108" w:type="dxa"/>
            <w:bottom w:w="0" w:type="dxa"/>
            <w:right w:w="108" w:type="dxa"/>
          </w:tblCellMar>
        </w:tblPrEx>
        <w:trPr>
          <w:trHeight w:val="636" w:hRule="atLeast"/>
        </w:trPr>
        <w:tc>
          <w:tcPr>
            <w:tcW w:w="980" w:type="dxa"/>
            <w:tcBorders>
              <w:top w:val="nil"/>
              <w:left w:val="single" w:color="auto" w:sz="8" w:space="0"/>
              <w:bottom w:val="single" w:color="auto" w:sz="8" w:space="0"/>
              <w:right w:val="nil"/>
            </w:tcBorders>
            <w:vAlign w:val="center"/>
          </w:tcPr>
          <w:p w14:paraId="3F2C5088">
            <w:pPr>
              <w:widowControl/>
              <w:adjustRightInd/>
              <w:jc w:val="center"/>
              <w:rPr>
                <w:rFonts w:ascii="宋体" w:hAnsi="宋体" w:cs="宋体"/>
                <w:kern w:val="0"/>
                <w:sz w:val="24"/>
                <w:highlight w:val="none"/>
              </w:rPr>
            </w:pPr>
            <w:r>
              <w:rPr>
                <w:rFonts w:ascii="宋体" w:hAnsi="宋体" w:cs="宋体"/>
                <w:kern w:val="0"/>
                <w:sz w:val="24"/>
                <w:highlight w:val="none"/>
              </w:rPr>
              <w:t>55</w:t>
            </w:r>
          </w:p>
        </w:tc>
        <w:tc>
          <w:tcPr>
            <w:tcW w:w="980" w:type="dxa"/>
            <w:vMerge w:val="continue"/>
            <w:tcBorders>
              <w:top w:val="nil"/>
              <w:left w:val="single" w:color="auto" w:sz="8" w:space="0"/>
              <w:bottom w:val="single" w:color="000000" w:sz="8" w:space="0"/>
              <w:right w:val="single" w:color="auto" w:sz="8" w:space="0"/>
            </w:tcBorders>
            <w:vAlign w:val="center"/>
          </w:tcPr>
          <w:p w14:paraId="588864B5">
            <w:pPr>
              <w:widowControl/>
              <w:adjustRightInd/>
              <w:jc w:val="left"/>
              <w:rPr>
                <w:rFonts w:ascii="宋体" w:hAnsi="宋体" w:cs="宋体"/>
                <w:kern w:val="0"/>
                <w:sz w:val="24"/>
                <w:highlight w:val="none"/>
              </w:rPr>
            </w:pPr>
          </w:p>
        </w:tc>
        <w:tc>
          <w:tcPr>
            <w:tcW w:w="1580" w:type="dxa"/>
            <w:tcBorders>
              <w:top w:val="nil"/>
              <w:left w:val="nil"/>
              <w:bottom w:val="single" w:color="auto" w:sz="8" w:space="0"/>
              <w:right w:val="single" w:color="auto" w:sz="8" w:space="0"/>
            </w:tcBorders>
            <w:vAlign w:val="center"/>
          </w:tcPr>
          <w:p w14:paraId="0A1A4DC9">
            <w:pPr>
              <w:widowControl/>
              <w:adjustRightInd/>
              <w:jc w:val="center"/>
              <w:rPr>
                <w:rFonts w:ascii="宋体" w:hAnsi="宋体" w:cs="宋体"/>
                <w:kern w:val="0"/>
                <w:sz w:val="24"/>
                <w:highlight w:val="none"/>
              </w:rPr>
            </w:pPr>
            <w:r>
              <w:rPr>
                <w:rFonts w:hint="eastAsia" w:ascii="宋体" w:hAnsi="宋体" w:cs="宋体"/>
                <w:kern w:val="0"/>
                <w:sz w:val="24"/>
                <w:highlight w:val="none"/>
              </w:rPr>
              <w:t>▲功能卡兼容性</w:t>
            </w:r>
          </w:p>
        </w:tc>
        <w:tc>
          <w:tcPr>
            <w:tcW w:w="4760" w:type="dxa"/>
            <w:tcBorders>
              <w:top w:val="nil"/>
              <w:left w:val="nil"/>
              <w:bottom w:val="single" w:color="auto" w:sz="8" w:space="0"/>
              <w:right w:val="single" w:color="auto" w:sz="8" w:space="0"/>
            </w:tcBorders>
            <w:vAlign w:val="center"/>
          </w:tcPr>
          <w:p w14:paraId="6C4FD9C2">
            <w:pPr>
              <w:widowControl/>
              <w:adjustRightInd/>
              <w:rPr>
                <w:rFonts w:ascii="宋体" w:hAnsi="宋体" w:cs="宋体"/>
                <w:kern w:val="0"/>
                <w:sz w:val="24"/>
                <w:highlight w:val="none"/>
              </w:rPr>
            </w:pPr>
            <w:r>
              <w:rPr>
                <w:rFonts w:hint="eastAsia" w:ascii="宋体" w:hAnsi="宋体" w:cs="宋体"/>
                <w:kern w:val="0"/>
                <w:sz w:val="24"/>
                <w:highlight w:val="none"/>
              </w:rPr>
              <w:t>内置或适配符合</w:t>
            </w:r>
            <w:r>
              <w:rPr>
                <w:rFonts w:ascii="宋体" w:hAnsi="宋体" w:cs="宋体"/>
                <w:kern w:val="0"/>
                <w:sz w:val="24"/>
                <w:highlight w:val="none"/>
              </w:rPr>
              <w:t xml:space="preserve"> PCIe </w:t>
            </w:r>
            <w:r>
              <w:rPr>
                <w:rFonts w:hint="eastAsia" w:ascii="宋体" w:hAnsi="宋体" w:cs="宋体"/>
                <w:kern w:val="0"/>
                <w:sz w:val="24"/>
                <w:highlight w:val="none"/>
              </w:rPr>
              <w:t>的功能卡，如：网络功能卡、存储功能卡及图形显示功能卡</w:t>
            </w:r>
          </w:p>
        </w:tc>
      </w:tr>
      <w:tr w14:paraId="0D8A0AC5">
        <w:tblPrEx>
          <w:tblCellMar>
            <w:top w:w="0" w:type="dxa"/>
            <w:left w:w="108" w:type="dxa"/>
            <w:bottom w:w="0" w:type="dxa"/>
            <w:right w:w="108" w:type="dxa"/>
          </w:tblCellMar>
        </w:tblPrEx>
        <w:trPr>
          <w:trHeight w:val="1260" w:hRule="atLeast"/>
        </w:trPr>
        <w:tc>
          <w:tcPr>
            <w:tcW w:w="980" w:type="dxa"/>
            <w:tcBorders>
              <w:top w:val="nil"/>
              <w:left w:val="single" w:color="auto" w:sz="8" w:space="0"/>
              <w:bottom w:val="single" w:color="auto" w:sz="8" w:space="0"/>
              <w:right w:val="nil"/>
            </w:tcBorders>
            <w:vAlign w:val="center"/>
          </w:tcPr>
          <w:p w14:paraId="0660EFB5">
            <w:pPr>
              <w:widowControl/>
              <w:adjustRightInd/>
              <w:jc w:val="center"/>
              <w:rPr>
                <w:rFonts w:ascii="宋体" w:hAnsi="宋体" w:cs="宋体"/>
                <w:kern w:val="0"/>
                <w:sz w:val="24"/>
                <w:highlight w:val="none"/>
              </w:rPr>
            </w:pPr>
            <w:r>
              <w:rPr>
                <w:rFonts w:ascii="宋体" w:hAnsi="宋体" w:cs="宋体"/>
                <w:kern w:val="0"/>
                <w:sz w:val="24"/>
                <w:highlight w:val="none"/>
              </w:rPr>
              <w:t>56</w:t>
            </w:r>
          </w:p>
        </w:tc>
        <w:tc>
          <w:tcPr>
            <w:tcW w:w="980" w:type="dxa"/>
            <w:tcBorders>
              <w:top w:val="nil"/>
              <w:left w:val="single" w:color="auto" w:sz="8" w:space="0"/>
              <w:bottom w:val="single" w:color="auto" w:sz="8" w:space="0"/>
              <w:right w:val="single" w:color="auto" w:sz="8" w:space="0"/>
            </w:tcBorders>
            <w:vAlign w:val="center"/>
          </w:tcPr>
          <w:p w14:paraId="090F5C60">
            <w:pPr>
              <w:widowControl/>
              <w:adjustRightInd/>
              <w:jc w:val="center"/>
              <w:rPr>
                <w:rFonts w:ascii="宋体" w:hAnsi="宋体" w:cs="宋体"/>
                <w:kern w:val="0"/>
                <w:sz w:val="24"/>
                <w:highlight w:val="none"/>
              </w:rPr>
            </w:pPr>
            <w:r>
              <w:rPr>
                <w:rFonts w:hint="eastAsia" w:ascii="宋体" w:hAnsi="宋体" w:cs="宋体"/>
                <w:kern w:val="0"/>
                <w:sz w:val="24"/>
                <w:highlight w:val="none"/>
              </w:rPr>
              <w:t>▲外设兼容性</w:t>
            </w:r>
          </w:p>
        </w:tc>
        <w:tc>
          <w:tcPr>
            <w:tcW w:w="1580" w:type="dxa"/>
            <w:tcBorders>
              <w:top w:val="nil"/>
              <w:left w:val="nil"/>
              <w:bottom w:val="single" w:color="auto" w:sz="8" w:space="0"/>
              <w:right w:val="single" w:color="auto" w:sz="8" w:space="0"/>
            </w:tcBorders>
            <w:vAlign w:val="center"/>
          </w:tcPr>
          <w:p w14:paraId="3398003E">
            <w:pPr>
              <w:widowControl/>
              <w:adjustRightInd/>
              <w:jc w:val="center"/>
              <w:rPr>
                <w:rFonts w:ascii="宋体" w:hAnsi="宋体" w:cs="宋体"/>
                <w:kern w:val="0"/>
                <w:sz w:val="24"/>
                <w:highlight w:val="none"/>
              </w:rPr>
            </w:pPr>
            <w:r>
              <w:rPr>
                <w:rFonts w:hint="eastAsia" w:ascii="宋体" w:hAnsi="宋体" w:cs="宋体"/>
                <w:kern w:val="0"/>
                <w:sz w:val="24"/>
                <w:highlight w:val="none"/>
              </w:rPr>
              <w:t>▲外设兼容性</w:t>
            </w:r>
          </w:p>
        </w:tc>
        <w:tc>
          <w:tcPr>
            <w:tcW w:w="4760" w:type="dxa"/>
            <w:tcBorders>
              <w:top w:val="nil"/>
              <w:left w:val="nil"/>
              <w:bottom w:val="single" w:color="auto" w:sz="8" w:space="0"/>
              <w:right w:val="single" w:color="auto" w:sz="8" w:space="0"/>
            </w:tcBorders>
            <w:vAlign w:val="center"/>
          </w:tcPr>
          <w:p w14:paraId="3B481AEE">
            <w:pPr>
              <w:widowControl/>
              <w:adjustRightInd/>
              <w:rPr>
                <w:rFonts w:ascii="宋体" w:hAnsi="宋体" w:cs="宋体"/>
                <w:kern w:val="0"/>
                <w:sz w:val="24"/>
                <w:highlight w:val="none"/>
              </w:rPr>
            </w:pPr>
            <w:r>
              <w:rPr>
                <w:rFonts w:hint="eastAsia" w:ascii="宋体" w:hAnsi="宋体" w:cs="宋体"/>
                <w:kern w:val="0"/>
                <w:sz w:val="24"/>
                <w:highlight w:val="none"/>
              </w:rPr>
              <w:t>兼容多种主流生产商的外部设备，包括显示器、键盘、鼠标、闪存盘、移动硬盘、</w:t>
            </w:r>
            <w:r>
              <w:rPr>
                <w:rFonts w:ascii="宋体" w:hAnsi="宋体" w:cs="宋体"/>
                <w:kern w:val="0"/>
                <w:sz w:val="24"/>
                <w:highlight w:val="none"/>
              </w:rPr>
              <w:t xml:space="preserve">USB </w:t>
            </w:r>
            <w:r>
              <w:rPr>
                <w:rFonts w:hint="eastAsia" w:ascii="宋体" w:hAnsi="宋体" w:cs="宋体"/>
                <w:kern w:val="0"/>
                <w:sz w:val="24"/>
                <w:highlight w:val="none"/>
              </w:rPr>
              <w:t>光驱及</w:t>
            </w:r>
            <w:r>
              <w:rPr>
                <w:rFonts w:ascii="宋体" w:hAnsi="宋体" w:cs="宋体"/>
                <w:kern w:val="0"/>
                <w:sz w:val="24"/>
                <w:highlight w:val="none"/>
              </w:rPr>
              <w:t xml:space="preserve"> KVM </w:t>
            </w:r>
            <w:r>
              <w:rPr>
                <w:rFonts w:hint="eastAsia" w:ascii="宋体" w:hAnsi="宋体" w:cs="宋体"/>
                <w:kern w:val="0"/>
                <w:sz w:val="24"/>
                <w:highlight w:val="none"/>
              </w:rPr>
              <w:t>等，要求使用不同厂商的外部设备时，系统均能正常识别和安装驱动</w:t>
            </w:r>
          </w:p>
        </w:tc>
      </w:tr>
      <w:tr w14:paraId="0F099087">
        <w:tblPrEx>
          <w:tblCellMar>
            <w:top w:w="0" w:type="dxa"/>
            <w:left w:w="108" w:type="dxa"/>
            <w:bottom w:w="0" w:type="dxa"/>
            <w:right w:w="108" w:type="dxa"/>
          </w:tblCellMar>
        </w:tblPrEx>
        <w:trPr>
          <w:trHeight w:val="636" w:hRule="atLeast"/>
        </w:trPr>
        <w:tc>
          <w:tcPr>
            <w:tcW w:w="980" w:type="dxa"/>
            <w:tcBorders>
              <w:top w:val="nil"/>
              <w:left w:val="single" w:color="auto" w:sz="8" w:space="0"/>
              <w:bottom w:val="single" w:color="auto" w:sz="8" w:space="0"/>
              <w:right w:val="nil"/>
            </w:tcBorders>
            <w:vAlign w:val="center"/>
          </w:tcPr>
          <w:p w14:paraId="4B915EBF">
            <w:pPr>
              <w:widowControl/>
              <w:adjustRightInd/>
              <w:jc w:val="center"/>
              <w:rPr>
                <w:rFonts w:ascii="宋体" w:hAnsi="宋体" w:cs="宋体"/>
                <w:kern w:val="0"/>
                <w:sz w:val="24"/>
                <w:highlight w:val="none"/>
              </w:rPr>
            </w:pPr>
            <w:r>
              <w:rPr>
                <w:rFonts w:ascii="宋体" w:hAnsi="宋体" w:cs="宋体"/>
                <w:kern w:val="0"/>
                <w:sz w:val="24"/>
                <w:highlight w:val="none"/>
              </w:rPr>
              <w:t>57</w:t>
            </w:r>
          </w:p>
        </w:tc>
        <w:tc>
          <w:tcPr>
            <w:tcW w:w="980" w:type="dxa"/>
            <w:vMerge w:val="restart"/>
            <w:tcBorders>
              <w:top w:val="nil"/>
              <w:left w:val="single" w:color="auto" w:sz="8" w:space="0"/>
              <w:bottom w:val="single" w:color="000000" w:sz="8" w:space="0"/>
              <w:right w:val="single" w:color="auto" w:sz="8" w:space="0"/>
            </w:tcBorders>
            <w:vAlign w:val="center"/>
          </w:tcPr>
          <w:p w14:paraId="1526165A">
            <w:pPr>
              <w:widowControl/>
              <w:adjustRightInd/>
              <w:jc w:val="center"/>
              <w:rPr>
                <w:rFonts w:ascii="宋体" w:hAnsi="宋体" w:cs="宋体"/>
                <w:kern w:val="0"/>
                <w:sz w:val="24"/>
                <w:highlight w:val="none"/>
              </w:rPr>
            </w:pPr>
            <w:r>
              <w:rPr>
                <w:rFonts w:hint="eastAsia" w:ascii="宋体" w:hAnsi="宋体" w:cs="宋体"/>
                <w:kern w:val="0"/>
                <w:sz w:val="24"/>
                <w:highlight w:val="none"/>
              </w:rPr>
              <w:t>▲软件兼容性</w:t>
            </w:r>
          </w:p>
        </w:tc>
        <w:tc>
          <w:tcPr>
            <w:tcW w:w="1580" w:type="dxa"/>
            <w:tcBorders>
              <w:top w:val="nil"/>
              <w:left w:val="nil"/>
              <w:bottom w:val="single" w:color="auto" w:sz="8" w:space="0"/>
              <w:right w:val="single" w:color="auto" w:sz="8" w:space="0"/>
            </w:tcBorders>
            <w:vAlign w:val="center"/>
          </w:tcPr>
          <w:p w14:paraId="3E2FFC2B">
            <w:pPr>
              <w:widowControl/>
              <w:adjustRightInd/>
              <w:jc w:val="center"/>
              <w:rPr>
                <w:rFonts w:ascii="宋体" w:hAnsi="宋体" w:cs="宋体"/>
                <w:kern w:val="0"/>
                <w:sz w:val="24"/>
                <w:highlight w:val="none"/>
              </w:rPr>
            </w:pPr>
            <w:r>
              <w:rPr>
                <w:rFonts w:hint="eastAsia" w:ascii="宋体" w:hAnsi="宋体" w:cs="宋体"/>
                <w:kern w:val="0"/>
                <w:sz w:val="24"/>
                <w:highlight w:val="none"/>
              </w:rPr>
              <w:t>▲数据库兼容</w:t>
            </w:r>
          </w:p>
        </w:tc>
        <w:tc>
          <w:tcPr>
            <w:tcW w:w="4760" w:type="dxa"/>
            <w:tcBorders>
              <w:top w:val="nil"/>
              <w:left w:val="nil"/>
              <w:bottom w:val="single" w:color="auto" w:sz="8" w:space="0"/>
              <w:right w:val="single" w:color="auto" w:sz="8" w:space="0"/>
            </w:tcBorders>
            <w:vAlign w:val="center"/>
          </w:tcPr>
          <w:p w14:paraId="36AD9C5A">
            <w:pPr>
              <w:widowControl/>
              <w:adjustRightInd/>
              <w:rPr>
                <w:rFonts w:ascii="宋体" w:hAnsi="宋体" w:cs="宋体"/>
                <w:kern w:val="0"/>
                <w:sz w:val="24"/>
                <w:highlight w:val="none"/>
              </w:rPr>
            </w:pPr>
            <w:r>
              <w:rPr>
                <w:rFonts w:hint="eastAsia" w:ascii="宋体" w:hAnsi="宋体" w:cs="宋体"/>
                <w:kern w:val="0"/>
                <w:sz w:val="24"/>
                <w:highlight w:val="none"/>
              </w:rPr>
              <w:t>兼容</w:t>
            </w:r>
            <w:r>
              <w:rPr>
                <w:rFonts w:ascii="宋体" w:hAnsi="宋体" w:cs="宋体"/>
                <w:kern w:val="0"/>
                <w:sz w:val="24"/>
                <w:highlight w:val="none"/>
              </w:rPr>
              <w:t>3个及以上厂商的数据库产品</w:t>
            </w:r>
            <w:r>
              <w:rPr>
                <w:rFonts w:hint="eastAsia" w:ascii="宋体" w:hAnsi="宋体" w:cs="宋体"/>
                <w:kern w:val="0"/>
                <w:sz w:val="24"/>
                <w:highlight w:val="none"/>
              </w:rPr>
              <w:t>；</w:t>
            </w:r>
          </w:p>
        </w:tc>
      </w:tr>
      <w:tr w14:paraId="1CF0260C">
        <w:tblPrEx>
          <w:tblCellMar>
            <w:top w:w="0" w:type="dxa"/>
            <w:left w:w="108" w:type="dxa"/>
            <w:bottom w:w="0" w:type="dxa"/>
            <w:right w:w="108" w:type="dxa"/>
          </w:tblCellMar>
        </w:tblPrEx>
        <w:trPr>
          <w:trHeight w:val="636" w:hRule="atLeast"/>
        </w:trPr>
        <w:tc>
          <w:tcPr>
            <w:tcW w:w="980" w:type="dxa"/>
            <w:tcBorders>
              <w:top w:val="nil"/>
              <w:left w:val="single" w:color="auto" w:sz="8" w:space="0"/>
              <w:bottom w:val="single" w:color="auto" w:sz="8" w:space="0"/>
              <w:right w:val="nil"/>
            </w:tcBorders>
            <w:vAlign w:val="center"/>
          </w:tcPr>
          <w:p w14:paraId="1F2D3F7B">
            <w:pPr>
              <w:widowControl/>
              <w:adjustRightInd/>
              <w:jc w:val="center"/>
              <w:rPr>
                <w:rFonts w:ascii="宋体" w:hAnsi="宋体" w:cs="宋体"/>
                <w:kern w:val="0"/>
                <w:sz w:val="24"/>
                <w:highlight w:val="none"/>
              </w:rPr>
            </w:pPr>
            <w:r>
              <w:rPr>
                <w:rFonts w:ascii="宋体" w:hAnsi="宋体" w:cs="宋体"/>
                <w:kern w:val="0"/>
                <w:sz w:val="24"/>
                <w:highlight w:val="none"/>
              </w:rPr>
              <w:t>58</w:t>
            </w:r>
          </w:p>
        </w:tc>
        <w:tc>
          <w:tcPr>
            <w:tcW w:w="980" w:type="dxa"/>
            <w:vMerge w:val="continue"/>
            <w:tcBorders>
              <w:top w:val="nil"/>
              <w:left w:val="single" w:color="auto" w:sz="8" w:space="0"/>
              <w:bottom w:val="single" w:color="000000" w:sz="8" w:space="0"/>
              <w:right w:val="single" w:color="auto" w:sz="8" w:space="0"/>
            </w:tcBorders>
            <w:vAlign w:val="center"/>
          </w:tcPr>
          <w:p w14:paraId="4EEC9A42">
            <w:pPr>
              <w:widowControl/>
              <w:adjustRightInd/>
              <w:jc w:val="left"/>
              <w:rPr>
                <w:rFonts w:ascii="宋体" w:hAnsi="宋体" w:cs="宋体"/>
                <w:kern w:val="0"/>
                <w:sz w:val="24"/>
                <w:highlight w:val="none"/>
              </w:rPr>
            </w:pPr>
          </w:p>
        </w:tc>
        <w:tc>
          <w:tcPr>
            <w:tcW w:w="1580" w:type="dxa"/>
            <w:tcBorders>
              <w:top w:val="nil"/>
              <w:left w:val="nil"/>
              <w:bottom w:val="single" w:color="auto" w:sz="8" w:space="0"/>
              <w:right w:val="single" w:color="auto" w:sz="8" w:space="0"/>
            </w:tcBorders>
            <w:vAlign w:val="center"/>
          </w:tcPr>
          <w:p w14:paraId="69098D29">
            <w:pPr>
              <w:widowControl/>
              <w:adjustRightInd/>
              <w:jc w:val="center"/>
              <w:rPr>
                <w:rFonts w:ascii="宋体" w:hAnsi="宋体" w:cs="宋体"/>
                <w:kern w:val="0"/>
                <w:sz w:val="24"/>
                <w:highlight w:val="none"/>
              </w:rPr>
            </w:pPr>
            <w:r>
              <w:rPr>
                <w:rFonts w:hint="eastAsia" w:ascii="宋体" w:hAnsi="宋体" w:cs="宋体"/>
                <w:kern w:val="0"/>
                <w:sz w:val="24"/>
                <w:highlight w:val="none"/>
              </w:rPr>
              <w:t>▲中间件兼容</w:t>
            </w:r>
          </w:p>
        </w:tc>
        <w:tc>
          <w:tcPr>
            <w:tcW w:w="4760" w:type="dxa"/>
            <w:tcBorders>
              <w:top w:val="nil"/>
              <w:left w:val="nil"/>
              <w:bottom w:val="single" w:color="auto" w:sz="8" w:space="0"/>
              <w:right w:val="single" w:color="auto" w:sz="8" w:space="0"/>
            </w:tcBorders>
            <w:vAlign w:val="center"/>
          </w:tcPr>
          <w:p w14:paraId="2E96CF6F">
            <w:pPr>
              <w:widowControl/>
              <w:adjustRightInd/>
              <w:rPr>
                <w:rFonts w:ascii="宋体" w:hAnsi="宋体" w:cs="宋体"/>
                <w:kern w:val="0"/>
                <w:sz w:val="24"/>
                <w:highlight w:val="none"/>
              </w:rPr>
            </w:pPr>
            <w:r>
              <w:rPr>
                <w:rFonts w:hint="eastAsia" w:ascii="宋体" w:hAnsi="宋体" w:cs="宋体"/>
                <w:kern w:val="0"/>
                <w:sz w:val="24"/>
                <w:highlight w:val="none"/>
              </w:rPr>
              <w:t>兼容</w:t>
            </w:r>
            <w:r>
              <w:rPr>
                <w:rFonts w:ascii="宋体" w:hAnsi="宋体" w:cs="宋体"/>
                <w:kern w:val="0"/>
                <w:sz w:val="24"/>
                <w:highlight w:val="none"/>
              </w:rPr>
              <w:t>3个及以上厂商的中间件产品</w:t>
            </w:r>
            <w:r>
              <w:rPr>
                <w:rFonts w:hint="eastAsia" w:ascii="宋体" w:hAnsi="宋体" w:cs="宋体"/>
                <w:kern w:val="0"/>
                <w:sz w:val="24"/>
                <w:highlight w:val="none"/>
              </w:rPr>
              <w:t>；</w:t>
            </w:r>
          </w:p>
        </w:tc>
      </w:tr>
      <w:tr w14:paraId="6496AB6D">
        <w:tblPrEx>
          <w:tblCellMar>
            <w:top w:w="0" w:type="dxa"/>
            <w:left w:w="108" w:type="dxa"/>
            <w:bottom w:w="0" w:type="dxa"/>
            <w:right w:w="108" w:type="dxa"/>
          </w:tblCellMar>
        </w:tblPrEx>
        <w:trPr>
          <w:trHeight w:val="636" w:hRule="atLeast"/>
        </w:trPr>
        <w:tc>
          <w:tcPr>
            <w:tcW w:w="980" w:type="dxa"/>
            <w:tcBorders>
              <w:top w:val="nil"/>
              <w:left w:val="single" w:color="auto" w:sz="8" w:space="0"/>
              <w:bottom w:val="single" w:color="auto" w:sz="8" w:space="0"/>
              <w:right w:val="nil"/>
            </w:tcBorders>
            <w:vAlign w:val="center"/>
          </w:tcPr>
          <w:p w14:paraId="34557FA6">
            <w:pPr>
              <w:widowControl/>
              <w:adjustRightInd/>
              <w:jc w:val="center"/>
              <w:rPr>
                <w:rFonts w:ascii="宋体" w:hAnsi="宋体" w:cs="宋体"/>
                <w:kern w:val="0"/>
                <w:sz w:val="24"/>
                <w:highlight w:val="none"/>
              </w:rPr>
            </w:pPr>
            <w:r>
              <w:rPr>
                <w:rFonts w:ascii="宋体" w:hAnsi="宋体" w:cs="宋体"/>
                <w:kern w:val="0"/>
                <w:sz w:val="24"/>
                <w:highlight w:val="none"/>
              </w:rPr>
              <w:t>59</w:t>
            </w:r>
          </w:p>
        </w:tc>
        <w:tc>
          <w:tcPr>
            <w:tcW w:w="980" w:type="dxa"/>
            <w:vMerge w:val="continue"/>
            <w:tcBorders>
              <w:top w:val="nil"/>
              <w:left w:val="single" w:color="auto" w:sz="8" w:space="0"/>
              <w:bottom w:val="single" w:color="000000" w:sz="8" w:space="0"/>
              <w:right w:val="single" w:color="auto" w:sz="8" w:space="0"/>
            </w:tcBorders>
            <w:vAlign w:val="center"/>
          </w:tcPr>
          <w:p w14:paraId="6FE4D9DB">
            <w:pPr>
              <w:widowControl/>
              <w:adjustRightInd/>
              <w:jc w:val="left"/>
              <w:rPr>
                <w:rFonts w:ascii="宋体" w:hAnsi="宋体" w:cs="宋体"/>
                <w:kern w:val="0"/>
                <w:sz w:val="24"/>
                <w:highlight w:val="none"/>
              </w:rPr>
            </w:pPr>
          </w:p>
        </w:tc>
        <w:tc>
          <w:tcPr>
            <w:tcW w:w="1580" w:type="dxa"/>
            <w:tcBorders>
              <w:top w:val="nil"/>
              <w:left w:val="nil"/>
              <w:bottom w:val="single" w:color="auto" w:sz="8" w:space="0"/>
              <w:right w:val="single" w:color="auto" w:sz="8" w:space="0"/>
            </w:tcBorders>
            <w:vAlign w:val="center"/>
          </w:tcPr>
          <w:p w14:paraId="2307F90E">
            <w:pPr>
              <w:widowControl/>
              <w:adjustRightInd/>
              <w:jc w:val="center"/>
              <w:rPr>
                <w:rFonts w:ascii="宋体" w:hAnsi="宋体" w:cs="宋体"/>
                <w:kern w:val="0"/>
                <w:sz w:val="24"/>
                <w:highlight w:val="none"/>
              </w:rPr>
            </w:pPr>
            <w:r>
              <w:rPr>
                <w:rFonts w:hint="eastAsia" w:ascii="宋体" w:hAnsi="宋体" w:cs="宋体"/>
                <w:kern w:val="0"/>
                <w:sz w:val="24"/>
                <w:highlight w:val="none"/>
              </w:rPr>
              <w:t>▲平台软件兼容</w:t>
            </w:r>
          </w:p>
        </w:tc>
        <w:tc>
          <w:tcPr>
            <w:tcW w:w="4760" w:type="dxa"/>
            <w:tcBorders>
              <w:top w:val="nil"/>
              <w:left w:val="nil"/>
              <w:bottom w:val="single" w:color="auto" w:sz="8" w:space="0"/>
              <w:right w:val="single" w:color="auto" w:sz="8" w:space="0"/>
            </w:tcBorders>
            <w:vAlign w:val="center"/>
          </w:tcPr>
          <w:p w14:paraId="5E19FBC2">
            <w:pPr>
              <w:widowControl/>
              <w:adjustRightInd/>
              <w:rPr>
                <w:rFonts w:ascii="宋体" w:hAnsi="宋体" w:cs="宋体"/>
                <w:kern w:val="0"/>
                <w:sz w:val="24"/>
                <w:highlight w:val="none"/>
              </w:rPr>
            </w:pPr>
            <w:r>
              <w:rPr>
                <w:rFonts w:hint="eastAsia" w:ascii="宋体" w:hAnsi="宋体" w:cs="宋体"/>
                <w:kern w:val="0"/>
                <w:sz w:val="24"/>
                <w:highlight w:val="none"/>
              </w:rPr>
              <w:t>兼容</w:t>
            </w:r>
            <w:r>
              <w:rPr>
                <w:rFonts w:ascii="宋体" w:hAnsi="宋体" w:cs="宋体"/>
                <w:kern w:val="0"/>
                <w:sz w:val="24"/>
                <w:highlight w:val="none"/>
              </w:rPr>
              <w:t>3个及以上厂商的大数据平台</w:t>
            </w:r>
            <w:r>
              <w:rPr>
                <w:rFonts w:hint="eastAsia" w:ascii="宋体" w:hAnsi="宋体" w:cs="宋体"/>
                <w:kern w:val="0"/>
                <w:sz w:val="24"/>
                <w:highlight w:val="none"/>
              </w:rPr>
              <w:t>；</w:t>
            </w:r>
          </w:p>
        </w:tc>
      </w:tr>
      <w:tr w14:paraId="03560C02">
        <w:tblPrEx>
          <w:tblCellMar>
            <w:top w:w="0" w:type="dxa"/>
            <w:left w:w="108" w:type="dxa"/>
            <w:bottom w:w="0" w:type="dxa"/>
            <w:right w:w="108" w:type="dxa"/>
          </w:tblCellMar>
        </w:tblPrEx>
        <w:trPr>
          <w:trHeight w:val="636" w:hRule="atLeast"/>
        </w:trPr>
        <w:tc>
          <w:tcPr>
            <w:tcW w:w="980" w:type="dxa"/>
            <w:tcBorders>
              <w:top w:val="nil"/>
              <w:left w:val="single" w:color="auto" w:sz="8" w:space="0"/>
              <w:bottom w:val="single" w:color="auto" w:sz="8" w:space="0"/>
              <w:right w:val="nil"/>
            </w:tcBorders>
            <w:vAlign w:val="center"/>
          </w:tcPr>
          <w:p w14:paraId="6FEE4D5E">
            <w:pPr>
              <w:widowControl/>
              <w:adjustRightInd/>
              <w:jc w:val="center"/>
              <w:rPr>
                <w:rFonts w:ascii="宋体" w:hAnsi="宋体" w:cs="宋体"/>
                <w:kern w:val="0"/>
                <w:sz w:val="24"/>
                <w:highlight w:val="none"/>
              </w:rPr>
            </w:pPr>
            <w:r>
              <w:rPr>
                <w:rFonts w:ascii="宋体" w:hAnsi="宋体" w:cs="宋体"/>
                <w:kern w:val="0"/>
                <w:sz w:val="24"/>
                <w:highlight w:val="none"/>
              </w:rPr>
              <w:t>60</w:t>
            </w:r>
          </w:p>
        </w:tc>
        <w:tc>
          <w:tcPr>
            <w:tcW w:w="980" w:type="dxa"/>
            <w:vMerge w:val="restart"/>
            <w:tcBorders>
              <w:top w:val="nil"/>
              <w:left w:val="single" w:color="auto" w:sz="8" w:space="0"/>
              <w:bottom w:val="single" w:color="000000" w:sz="8" w:space="0"/>
              <w:right w:val="single" w:color="auto" w:sz="8" w:space="0"/>
            </w:tcBorders>
            <w:vAlign w:val="center"/>
          </w:tcPr>
          <w:p w14:paraId="0411FEDD">
            <w:pPr>
              <w:widowControl/>
              <w:adjustRightInd/>
              <w:jc w:val="center"/>
              <w:rPr>
                <w:rFonts w:ascii="宋体" w:hAnsi="宋体" w:cs="宋体"/>
                <w:kern w:val="0"/>
                <w:sz w:val="24"/>
                <w:highlight w:val="none"/>
              </w:rPr>
            </w:pPr>
            <w:r>
              <w:rPr>
                <w:rFonts w:hint="eastAsia" w:ascii="宋体" w:hAnsi="宋体" w:cs="宋体"/>
                <w:kern w:val="0"/>
                <w:sz w:val="24"/>
                <w:highlight w:val="none"/>
              </w:rPr>
              <w:t>▲整机可靠性要求</w:t>
            </w:r>
          </w:p>
        </w:tc>
        <w:tc>
          <w:tcPr>
            <w:tcW w:w="1580" w:type="dxa"/>
            <w:tcBorders>
              <w:top w:val="nil"/>
              <w:left w:val="nil"/>
              <w:bottom w:val="single" w:color="auto" w:sz="8" w:space="0"/>
              <w:right w:val="single" w:color="auto" w:sz="8" w:space="0"/>
            </w:tcBorders>
            <w:vAlign w:val="center"/>
          </w:tcPr>
          <w:p w14:paraId="43806BE5">
            <w:pPr>
              <w:widowControl/>
              <w:adjustRightInd/>
              <w:jc w:val="center"/>
              <w:rPr>
                <w:rFonts w:ascii="宋体" w:hAnsi="宋体" w:cs="宋体"/>
                <w:kern w:val="0"/>
                <w:sz w:val="24"/>
                <w:highlight w:val="none"/>
              </w:rPr>
            </w:pPr>
            <w:r>
              <w:rPr>
                <w:rFonts w:hint="eastAsia" w:ascii="宋体" w:hAnsi="宋体" w:cs="宋体"/>
                <w:kern w:val="0"/>
                <w:sz w:val="24"/>
                <w:highlight w:val="none"/>
              </w:rPr>
              <w:t>▲整机可靠性</w:t>
            </w:r>
          </w:p>
        </w:tc>
        <w:tc>
          <w:tcPr>
            <w:tcW w:w="4760" w:type="dxa"/>
            <w:tcBorders>
              <w:top w:val="nil"/>
              <w:left w:val="nil"/>
              <w:bottom w:val="single" w:color="auto" w:sz="8" w:space="0"/>
              <w:right w:val="single" w:color="auto" w:sz="8" w:space="0"/>
            </w:tcBorders>
            <w:vAlign w:val="center"/>
          </w:tcPr>
          <w:p w14:paraId="4673D8BD">
            <w:pPr>
              <w:widowControl/>
              <w:adjustRightInd/>
              <w:rPr>
                <w:rFonts w:ascii="宋体" w:hAnsi="宋体" w:cs="宋体"/>
                <w:kern w:val="0"/>
                <w:sz w:val="24"/>
                <w:highlight w:val="none"/>
              </w:rPr>
            </w:pPr>
            <w:r>
              <w:rPr>
                <w:rFonts w:ascii="宋体" w:hAnsi="宋体" w:cs="宋体"/>
                <w:kern w:val="0"/>
                <w:sz w:val="24"/>
                <w:highlight w:val="none"/>
              </w:rPr>
              <w:t xml:space="preserve">m1 </w:t>
            </w:r>
            <w:r>
              <w:rPr>
                <w:rFonts w:hint="eastAsia" w:ascii="宋体" w:hAnsi="宋体" w:cs="宋体"/>
                <w:kern w:val="0"/>
                <w:sz w:val="24"/>
                <w:highlight w:val="none"/>
              </w:rPr>
              <w:t>值（</w:t>
            </w:r>
            <w:r>
              <w:rPr>
                <w:rFonts w:ascii="宋体" w:hAnsi="宋体" w:cs="宋体"/>
                <w:kern w:val="0"/>
                <w:sz w:val="24"/>
                <w:highlight w:val="none"/>
              </w:rPr>
              <w:t xml:space="preserve">MTBF </w:t>
            </w:r>
            <w:r>
              <w:rPr>
                <w:rFonts w:hint="eastAsia" w:ascii="宋体" w:hAnsi="宋体" w:cs="宋体"/>
                <w:kern w:val="0"/>
                <w:sz w:val="24"/>
                <w:highlight w:val="none"/>
              </w:rPr>
              <w:t>的不可接受值）≥</w:t>
            </w:r>
            <w:r>
              <w:rPr>
                <w:rFonts w:ascii="宋体" w:hAnsi="宋体" w:cs="宋体"/>
                <w:kern w:val="0"/>
                <w:sz w:val="24"/>
                <w:highlight w:val="none"/>
              </w:rPr>
              <w:t>100000h</w:t>
            </w:r>
            <w:r>
              <w:rPr>
                <w:rFonts w:hint="eastAsia" w:ascii="宋体" w:hAnsi="宋体" w:cs="宋体"/>
                <w:kern w:val="0"/>
                <w:sz w:val="24"/>
                <w:highlight w:val="none"/>
              </w:rPr>
              <w:t>；</w:t>
            </w:r>
          </w:p>
        </w:tc>
      </w:tr>
      <w:tr w14:paraId="799570D6">
        <w:tblPrEx>
          <w:tblCellMar>
            <w:top w:w="0" w:type="dxa"/>
            <w:left w:w="108" w:type="dxa"/>
            <w:bottom w:w="0" w:type="dxa"/>
            <w:right w:w="108" w:type="dxa"/>
          </w:tblCellMar>
        </w:tblPrEx>
        <w:trPr>
          <w:trHeight w:val="324" w:hRule="atLeast"/>
        </w:trPr>
        <w:tc>
          <w:tcPr>
            <w:tcW w:w="980" w:type="dxa"/>
            <w:tcBorders>
              <w:top w:val="nil"/>
              <w:left w:val="single" w:color="auto" w:sz="8" w:space="0"/>
              <w:bottom w:val="single" w:color="auto" w:sz="8" w:space="0"/>
              <w:right w:val="nil"/>
            </w:tcBorders>
            <w:vAlign w:val="center"/>
          </w:tcPr>
          <w:p w14:paraId="502CA8D9">
            <w:pPr>
              <w:widowControl/>
              <w:adjustRightInd/>
              <w:jc w:val="center"/>
              <w:rPr>
                <w:rFonts w:ascii="宋体" w:hAnsi="宋体" w:cs="宋体"/>
                <w:kern w:val="0"/>
                <w:sz w:val="24"/>
                <w:highlight w:val="none"/>
              </w:rPr>
            </w:pPr>
            <w:r>
              <w:rPr>
                <w:rFonts w:ascii="宋体" w:hAnsi="宋体" w:cs="宋体"/>
                <w:kern w:val="0"/>
                <w:sz w:val="24"/>
                <w:highlight w:val="none"/>
              </w:rPr>
              <w:t>61</w:t>
            </w:r>
          </w:p>
        </w:tc>
        <w:tc>
          <w:tcPr>
            <w:tcW w:w="980" w:type="dxa"/>
            <w:vMerge w:val="continue"/>
            <w:tcBorders>
              <w:top w:val="nil"/>
              <w:left w:val="single" w:color="auto" w:sz="8" w:space="0"/>
              <w:bottom w:val="single" w:color="000000" w:sz="8" w:space="0"/>
              <w:right w:val="single" w:color="auto" w:sz="8" w:space="0"/>
            </w:tcBorders>
            <w:vAlign w:val="center"/>
          </w:tcPr>
          <w:p w14:paraId="1D893B60">
            <w:pPr>
              <w:widowControl/>
              <w:adjustRightInd/>
              <w:jc w:val="left"/>
              <w:rPr>
                <w:rFonts w:ascii="宋体" w:hAnsi="宋体" w:cs="宋体"/>
                <w:kern w:val="0"/>
                <w:sz w:val="24"/>
                <w:highlight w:val="none"/>
              </w:rPr>
            </w:pPr>
          </w:p>
        </w:tc>
        <w:tc>
          <w:tcPr>
            <w:tcW w:w="1580" w:type="dxa"/>
            <w:tcBorders>
              <w:top w:val="nil"/>
              <w:left w:val="nil"/>
              <w:bottom w:val="single" w:color="auto" w:sz="8" w:space="0"/>
              <w:right w:val="single" w:color="auto" w:sz="8" w:space="0"/>
            </w:tcBorders>
            <w:vAlign w:val="center"/>
          </w:tcPr>
          <w:p w14:paraId="409AA914">
            <w:pPr>
              <w:widowControl/>
              <w:adjustRightInd/>
              <w:jc w:val="center"/>
              <w:rPr>
                <w:rFonts w:ascii="宋体" w:hAnsi="宋体" w:cs="宋体"/>
                <w:kern w:val="0"/>
                <w:sz w:val="24"/>
                <w:highlight w:val="none"/>
              </w:rPr>
            </w:pPr>
            <w:r>
              <w:rPr>
                <w:rFonts w:hint="eastAsia" w:ascii="宋体" w:hAnsi="宋体" w:cs="宋体"/>
                <w:kern w:val="0"/>
                <w:sz w:val="24"/>
                <w:highlight w:val="none"/>
              </w:rPr>
              <w:t>▲风扇可靠性</w:t>
            </w:r>
          </w:p>
        </w:tc>
        <w:tc>
          <w:tcPr>
            <w:tcW w:w="4760" w:type="dxa"/>
            <w:tcBorders>
              <w:top w:val="nil"/>
              <w:left w:val="nil"/>
              <w:bottom w:val="single" w:color="auto" w:sz="8" w:space="0"/>
              <w:right w:val="single" w:color="auto" w:sz="8" w:space="0"/>
            </w:tcBorders>
            <w:vAlign w:val="center"/>
          </w:tcPr>
          <w:p w14:paraId="44AAFCA0">
            <w:pPr>
              <w:widowControl/>
              <w:adjustRightInd/>
              <w:rPr>
                <w:rFonts w:ascii="宋体" w:hAnsi="宋体" w:cs="宋体"/>
                <w:kern w:val="0"/>
                <w:sz w:val="24"/>
                <w:highlight w:val="none"/>
              </w:rPr>
            </w:pPr>
            <w:r>
              <w:rPr>
                <w:rFonts w:hint="eastAsia" w:ascii="宋体" w:hAnsi="宋体" w:cs="宋体"/>
                <w:kern w:val="0"/>
                <w:sz w:val="24"/>
                <w:highlight w:val="none"/>
              </w:rPr>
              <w:t>风扇寿命≥</w:t>
            </w:r>
            <w:r>
              <w:rPr>
                <w:rFonts w:ascii="宋体" w:hAnsi="宋体" w:cs="宋体"/>
                <w:kern w:val="0"/>
                <w:sz w:val="24"/>
                <w:highlight w:val="none"/>
              </w:rPr>
              <w:t xml:space="preserve"> 100000h</w:t>
            </w:r>
          </w:p>
        </w:tc>
      </w:tr>
      <w:tr w14:paraId="6229E2FB">
        <w:tblPrEx>
          <w:tblCellMar>
            <w:top w:w="0" w:type="dxa"/>
            <w:left w:w="108" w:type="dxa"/>
            <w:bottom w:w="0" w:type="dxa"/>
            <w:right w:w="108" w:type="dxa"/>
          </w:tblCellMar>
        </w:tblPrEx>
        <w:trPr>
          <w:trHeight w:val="324" w:hRule="atLeast"/>
        </w:trPr>
        <w:tc>
          <w:tcPr>
            <w:tcW w:w="980" w:type="dxa"/>
            <w:tcBorders>
              <w:top w:val="nil"/>
              <w:left w:val="single" w:color="auto" w:sz="8" w:space="0"/>
              <w:bottom w:val="single" w:color="auto" w:sz="8" w:space="0"/>
              <w:right w:val="nil"/>
            </w:tcBorders>
            <w:vAlign w:val="center"/>
          </w:tcPr>
          <w:p w14:paraId="5AFE809F">
            <w:pPr>
              <w:widowControl/>
              <w:adjustRightInd/>
              <w:jc w:val="center"/>
              <w:rPr>
                <w:rFonts w:ascii="宋体" w:hAnsi="宋体" w:cs="宋体"/>
                <w:kern w:val="0"/>
                <w:sz w:val="24"/>
                <w:highlight w:val="none"/>
              </w:rPr>
            </w:pPr>
            <w:r>
              <w:rPr>
                <w:rFonts w:ascii="宋体" w:hAnsi="宋体" w:cs="宋体"/>
                <w:kern w:val="0"/>
                <w:sz w:val="24"/>
                <w:highlight w:val="none"/>
              </w:rPr>
              <w:t>62</w:t>
            </w:r>
          </w:p>
        </w:tc>
        <w:tc>
          <w:tcPr>
            <w:tcW w:w="980" w:type="dxa"/>
            <w:vMerge w:val="continue"/>
            <w:tcBorders>
              <w:top w:val="nil"/>
              <w:left w:val="single" w:color="auto" w:sz="8" w:space="0"/>
              <w:bottom w:val="single" w:color="000000" w:sz="8" w:space="0"/>
              <w:right w:val="single" w:color="auto" w:sz="8" w:space="0"/>
            </w:tcBorders>
            <w:vAlign w:val="center"/>
          </w:tcPr>
          <w:p w14:paraId="50B38D9F">
            <w:pPr>
              <w:widowControl/>
              <w:adjustRightInd/>
              <w:jc w:val="left"/>
              <w:rPr>
                <w:rFonts w:ascii="宋体" w:hAnsi="宋体" w:cs="宋体"/>
                <w:kern w:val="0"/>
                <w:sz w:val="24"/>
                <w:highlight w:val="none"/>
              </w:rPr>
            </w:pPr>
          </w:p>
        </w:tc>
        <w:tc>
          <w:tcPr>
            <w:tcW w:w="1580" w:type="dxa"/>
            <w:tcBorders>
              <w:top w:val="nil"/>
              <w:left w:val="nil"/>
              <w:bottom w:val="single" w:color="auto" w:sz="8" w:space="0"/>
              <w:right w:val="single" w:color="auto" w:sz="8" w:space="0"/>
            </w:tcBorders>
            <w:vAlign w:val="center"/>
          </w:tcPr>
          <w:p w14:paraId="19AB9AB5">
            <w:pPr>
              <w:widowControl/>
              <w:adjustRightInd/>
              <w:jc w:val="center"/>
              <w:rPr>
                <w:rFonts w:ascii="宋体" w:hAnsi="宋体" w:cs="宋体"/>
                <w:kern w:val="0"/>
                <w:sz w:val="24"/>
                <w:highlight w:val="none"/>
              </w:rPr>
            </w:pPr>
            <w:r>
              <w:rPr>
                <w:rFonts w:hint="eastAsia" w:ascii="宋体" w:hAnsi="宋体" w:cs="宋体"/>
                <w:kern w:val="0"/>
                <w:sz w:val="24"/>
                <w:highlight w:val="none"/>
              </w:rPr>
              <w:t>▲部件可靠性</w:t>
            </w:r>
          </w:p>
        </w:tc>
        <w:tc>
          <w:tcPr>
            <w:tcW w:w="4760" w:type="dxa"/>
            <w:tcBorders>
              <w:top w:val="nil"/>
              <w:left w:val="nil"/>
              <w:bottom w:val="single" w:color="auto" w:sz="8" w:space="0"/>
              <w:right w:val="single" w:color="auto" w:sz="8" w:space="0"/>
            </w:tcBorders>
            <w:vAlign w:val="center"/>
          </w:tcPr>
          <w:p w14:paraId="1D61AE3A">
            <w:pPr>
              <w:widowControl/>
              <w:adjustRightInd/>
              <w:rPr>
                <w:rFonts w:ascii="宋体" w:hAnsi="宋体" w:cs="宋体"/>
                <w:kern w:val="0"/>
                <w:sz w:val="24"/>
                <w:highlight w:val="none"/>
              </w:rPr>
            </w:pPr>
            <w:r>
              <w:rPr>
                <w:rFonts w:hint="eastAsia" w:ascii="宋体" w:hAnsi="宋体" w:cs="宋体"/>
                <w:kern w:val="0"/>
                <w:sz w:val="24"/>
                <w:highlight w:val="none"/>
              </w:rPr>
              <w:t>支持硬盘、电源、风扇热插拔</w:t>
            </w:r>
          </w:p>
        </w:tc>
      </w:tr>
      <w:tr w14:paraId="262AB8ED">
        <w:tblPrEx>
          <w:tblCellMar>
            <w:top w:w="0" w:type="dxa"/>
            <w:left w:w="108" w:type="dxa"/>
            <w:bottom w:w="0" w:type="dxa"/>
            <w:right w:w="108" w:type="dxa"/>
          </w:tblCellMar>
        </w:tblPrEx>
        <w:trPr>
          <w:trHeight w:val="948" w:hRule="atLeast"/>
        </w:trPr>
        <w:tc>
          <w:tcPr>
            <w:tcW w:w="980" w:type="dxa"/>
            <w:tcBorders>
              <w:top w:val="nil"/>
              <w:left w:val="single" w:color="auto" w:sz="8" w:space="0"/>
              <w:bottom w:val="single" w:color="auto" w:sz="8" w:space="0"/>
              <w:right w:val="nil"/>
            </w:tcBorders>
            <w:vAlign w:val="center"/>
          </w:tcPr>
          <w:p w14:paraId="344D3897">
            <w:pPr>
              <w:widowControl/>
              <w:adjustRightInd/>
              <w:jc w:val="center"/>
              <w:rPr>
                <w:rFonts w:ascii="宋体" w:hAnsi="宋体" w:cs="宋体"/>
                <w:kern w:val="0"/>
                <w:sz w:val="24"/>
                <w:highlight w:val="none"/>
              </w:rPr>
            </w:pPr>
            <w:r>
              <w:rPr>
                <w:rFonts w:ascii="宋体" w:hAnsi="宋体" w:cs="宋体"/>
                <w:kern w:val="0"/>
                <w:sz w:val="24"/>
                <w:highlight w:val="none"/>
              </w:rPr>
              <w:t>63</w:t>
            </w:r>
          </w:p>
        </w:tc>
        <w:tc>
          <w:tcPr>
            <w:tcW w:w="980" w:type="dxa"/>
            <w:tcBorders>
              <w:top w:val="nil"/>
              <w:left w:val="single" w:color="auto" w:sz="8" w:space="0"/>
              <w:bottom w:val="single" w:color="auto" w:sz="8" w:space="0"/>
              <w:right w:val="single" w:color="auto" w:sz="8" w:space="0"/>
            </w:tcBorders>
            <w:vAlign w:val="center"/>
          </w:tcPr>
          <w:p w14:paraId="6B1733F0">
            <w:pPr>
              <w:widowControl/>
              <w:adjustRightInd/>
              <w:jc w:val="center"/>
              <w:rPr>
                <w:rFonts w:ascii="宋体" w:hAnsi="宋体" w:cs="宋体"/>
                <w:kern w:val="0"/>
                <w:sz w:val="24"/>
                <w:highlight w:val="none"/>
              </w:rPr>
            </w:pPr>
            <w:r>
              <w:rPr>
                <w:rFonts w:hint="eastAsia" w:ascii="宋体" w:hAnsi="宋体" w:cs="宋体"/>
                <w:kern w:val="0"/>
                <w:sz w:val="24"/>
                <w:highlight w:val="none"/>
              </w:rPr>
              <w:t>▲包装及运输要求</w:t>
            </w:r>
          </w:p>
        </w:tc>
        <w:tc>
          <w:tcPr>
            <w:tcW w:w="1580" w:type="dxa"/>
            <w:tcBorders>
              <w:top w:val="nil"/>
              <w:left w:val="nil"/>
              <w:bottom w:val="single" w:color="auto" w:sz="8" w:space="0"/>
              <w:right w:val="single" w:color="auto" w:sz="8" w:space="0"/>
            </w:tcBorders>
            <w:vAlign w:val="center"/>
          </w:tcPr>
          <w:p w14:paraId="02B23BA8">
            <w:pPr>
              <w:widowControl/>
              <w:adjustRightInd/>
              <w:jc w:val="center"/>
              <w:rPr>
                <w:rFonts w:ascii="宋体" w:hAnsi="宋体" w:cs="宋体"/>
                <w:kern w:val="0"/>
                <w:sz w:val="24"/>
                <w:highlight w:val="none"/>
              </w:rPr>
            </w:pPr>
            <w:r>
              <w:rPr>
                <w:rFonts w:hint="eastAsia" w:ascii="宋体" w:hAnsi="宋体" w:cs="宋体"/>
                <w:kern w:val="0"/>
                <w:sz w:val="24"/>
                <w:highlight w:val="none"/>
              </w:rPr>
              <w:t>▲标志、包装、运输和贮存</w:t>
            </w:r>
          </w:p>
        </w:tc>
        <w:tc>
          <w:tcPr>
            <w:tcW w:w="4760" w:type="dxa"/>
            <w:tcBorders>
              <w:top w:val="nil"/>
              <w:left w:val="nil"/>
              <w:bottom w:val="single" w:color="auto" w:sz="8" w:space="0"/>
              <w:right w:val="single" w:color="auto" w:sz="8" w:space="0"/>
            </w:tcBorders>
            <w:vAlign w:val="center"/>
          </w:tcPr>
          <w:p w14:paraId="268731E4">
            <w:pPr>
              <w:widowControl/>
              <w:adjustRightInd/>
              <w:rPr>
                <w:rFonts w:ascii="宋体" w:hAnsi="宋体" w:cs="宋体"/>
                <w:kern w:val="0"/>
                <w:sz w:val="24"/>
                <w:highlight w:val="none"/>
              </w:rPr>
            </w:pPr>
            <w:r>
              <w:rPr>
                <w:rFonts w:hint="eastAsia" w:ascii="宋体" w:hAnsi="宋体" w:cs="宋体"/>
                <w:kern w:val="0"/>
                <w:sz w:val="24"/>
                <w:highlight w:val="none"/>
              </w:rPr>
              <w:t>符合</w:t>
            </w:r>
            <w:r>
              <w:rPr>
                <w:rFonts w:ascii="宋体" w:hAnsi="宋体" w:cs="宋体"/>
                <w:kern w:val="0"/>
                <w:sz w:val="24"/>
                <w:highlight w:val="none"/>
              </w:rPr>
              <w:t xml:space="preserve"> GB/T 9813.3 </w:t>
            </w:r>
            <w:r>
              <w:rPr>
                <w:rFonts w:hint="eastAsia" w:ascii="宋体" w:hAnsi="宋体" w:cs="宋体"/>
                <w:kern w:val="0"/>
                <w:sz w:val="24"/>
                <w:highlight w:val="none"/>
              </w:rPr>
              <w:t>和商品包装政府采购需求标准的相关规定</w:t>
            </w:r>
          </w:p>
        </w:tc>
      </w:tr>
      <w:tr w14:paraId="1B66DA2F">
        <w:tblPrEx>
          <w:tblCellMar>
            <w:top w:w="0" w:type="dxa"/>
            <w:left w:w="108" w:type="dxa"/>
            <w:bottom w:w="0" w:type="dxa"/>
            <w:right w:w="108" w:type="dxa"/>
          </w:tblCellMar>
        </w:tblPrEx>
        <w:trPr>
          <w:trHeight w:val="2508" w:hRule="atLeast"/>
        </w:trPr>
        <w:tc>
          <w:tcPr>
            <w:tcW w:w="980" w:type="dxa"/>
            <w:tcBorders>
              <w:top w:val="nil"/>
              <w:left w:val="single" w:color="auto" w:sz="8" w:space="0"/>
              <w:bottom w:val="single" w:color="auto" w:sz="8" w:space="0"/>
              <w:right w:val="nil"/>
            </w:tcBorders>
            <w:vAlign w:val="center"/>
          </w:tcPr>
          <w:p w14:paraId="411F83AE">
            <w:pPr>
              <w:widowControl/>
              <w:adjustRightInd/>
              <w:jc w:val="center"/>
              <w:rPr>
                <w:rFonts w:ascii="宋体" w:hAnsi="宋体" w:cs="宋体"/>
                <w:kern w:val="0"/>
                <w:sz w:val="24"/>
                <w:highlight w:val="none"/>
              </w:rPr>
            </w:pPr>
            <w:r>
              <w:rPr>
                <w:rFonts w:ascii="宋体" w:hAnsi="宋体" w:cs="宋体"/>
                <w:kern w:val="0"/>
                <w:sz w:val="24"/>
                <w:highlight w:val="none"/>
              </w:rPr>
              <w:t>64</w:t>
            </w:r>
          </w:p>
        </w:tc>
        <w:tc>
          <w:tcPr>
            <w:tcW w:w="980" w:type="dxa"/>
            <w:vMerge w:val="restart"/>
            <w:tcBorders>
              <w:top w:val="nil"/>
              <w:left w:val="single" w:color="auto" w:sz="8" w:space="0"/>
              <w:bottom w:val="nil"/>
              <w:right w:val="single" w:color="auto" w:sz="8" w:space="0"/>
            </w:tcBorders>
            <w:vAlign w:val="center"/>
          </w:tcPr>
          <w:p w14:paraId="7B9F5B79">
            <w:pPr>
              <w:widowControl/>
              <w:adjustRightInd/>
              <w:jc w:val="center"/>
              <w:rPr>
                <w:rFonts w:ascii="宋体" w:hAnsi="宋体" w:cs="宋体"/>
                <w:kern w:val="0"/>
                <w:sz w:val="24"/>
                <w:highlight w:val="none"/>
              </w:rPr>
            </w:pPr>
            <w:r>
              <w:rPr>
                <w:rFonts w:hint="eastAsia" w:ascii="宋体" w:hAnsi="宋体" w:cs="宋体"/>
                <w:kern w:val="0"/>
                <w:sz w:val="24"/>
                <w:highlight w:val="none"/>
              </w:rPr>
              <w:t>▲服务响应</w:t>
            </w:r>
          </w:p>
        </w:tc>
        <w:tc>
          <w:tcPr>
            <w:tcW w:w="1580" w:type="dxa"/>
            <w:tcBorders>
              <w:top w:val="nil"/>
              <w:left w:val="nil"/>
              <w:bottom w:val="single" w:color="auto" w:sz="8" w:space="0"/>
              <w:right w:val="single" w:color="auto" w:sz="8" w:space="0"/>
            </w:tcBorders>
            <w:vAlign w:val="center"/>
          </w:tcPr>
          <w:p w14:paraId="4C9E080D">
            <w:pPr>
              <w:widowControl/>
              <w:adjustRightInd/>
              <w:jc w:val="center"/>
              <w:rPr>
                <w:rFonts w:ascii="宋体" w:hAnsi="宋体" w:cs="宋体"/>
                <w:kern w:val="0"/>
                <w:sz w:val="24"/>
                <w:highlight w:val="none"/>
              </w:rPr>
            </w:pPr>
            <w:r>
              <w:rPr>
                <w:rFonts w:hint="eastAsia" w:ascii="宋体" w:hAnsi="宋体" w:cs="宋体"/>
                <w:kern w:val="0"/>
                <w:sz w:val="24"/>
                <w:highlight w:val="none"/>
              </w:rPr>
              <w:t>▲服务响应</w:t>
            </w:r>
          </w:p>
        </w:tc>
        <w:tc>
          <w:tcPr>
            <w:tcW w:w="4760" w:type="dxa"/>
            <w:tcBorders>
              <w:top w:val="nil"/>
              <w:left w:val="nil"/>
              <w:bottom w:val="single" w:color="auto" w:sz="8" w:space="0"/>
              <w:right w:val="single" w:color="auto" w:sz="8" w:space="0"/>
            </w:tcBorders>
            <w:vAlign w:val="center"/>
          </w:tcPr>
          <w:p w14:paraId="7C6B1BDE">
            <w:pPr>
              <w:widowControl/>
              <w:adjustRightInd/>
              <w:rPr>
                <w:rFonts w:ascii="宋体" w:hAnsi="宋体" w:cs="宋体"/>
                <w:kern w:val="0"/>
                <w:sz w:val="24"/>
                <w:highlight w:val="none"/>
              </w:rPr>
            </w:pPr>
            <w:r>
              <w:rPr>
                <w:rFonts w:ascii="宋体" w:hAnsi="宋体" w:cs="宋体"/>
                <w:kern w:val="0"/>
                <w:sz w:val="24"/>
                <w:highlight w:val="none"/>
              </w:rPr>
              <w:t xml:space="preserve">a) </w:t>
            </w:r>
            <w:r>
              <w:rPr>
                <w:rFonts w:hint="eastAsia" w:ascii="宋体" w:hAnsi="宋体" w:cs="宋体"/>
                <w:kern w:val="0"/>
                <w:sz w:val="24"/>
                <w:highlight w:val="none"/>
              </w:rPr>
              <w:t>提供电话、电子邮件、远程连接等多种形式服务；</w:t>
            </w:r>
            <w:r>
              <w:rPr>
                <w:rFonts w:ascii="宋体" w:hAnsi="宋体" w:cs="宋体"/>
                <w:kern w:val="0"/>
                <w:sz w:val="24"/>
                <w:highlight w:val="none"/>
              </w:rPr>
              <w:t xml:space="preserve">b) </w:t>
            </w:r>
            <w:r>
              <w:rPr>
                <w:rFonts w:hint="eastAsia" w:ascii="宋体" w:hAnsi="宋体" w:cs="宋体"/>
                <w:kern w:val="0"/>
                <w:sz w:val="24"/>
                <w:highlight w:val="none"/>
              </w:rPr>
              <w:t>提供同城</w:t>
            </w:r>
            <w:r>
              <w:rPr>
                <w:rFonts w:ascii="宋体" w:hAnsi="宋体" w:cs="宋体"/>
                <w:kern w:val="0"/>
                <w:sz w:val="24"/>
                <w:highlight w:val="none"/>
              </w:rPr>
              <w:t xml:space="preserve"> 4h、异地 12h </w:t>
            </w:r>
            <w:r>
              <w:rPr>
                <w:rFonts w:hint="eastAsia" w:ascii="宋体" w:hAnsi="宋体" w:cs="宋体"/>
                <w:kern w:val="0"/>
                <w:sz w:val="24"/>
                <w:highlight w:val="none"/>
              </w:rPr>
              <w:t>技术响应服务，</w:t>
            </w:r>
            <w:r>
              <w:rPr>
                <w:rFonts w:ascii="宋体" w:hAnsi="宋体" w:cs="宋体"/>
                <w:kern w:val="0"/>
                <w:sz w:val="24"/>
                <w:highlight w:val="none"/>
              </w:rPr>
              <w:t xml:space="preserve">2 </w:t>
            </w:r>
            <w:r>
              <w:rPr>
                <w:rFonts w:hint="eastAsia" w:ascii="宋体" w:hAnsi="宋体" w:cs="宋体"/>
                <w:kern w:val="0"/>
                <w:sz w:val="24"/>
                <w:highlight w:val="none"/>
              </w:rPr>
              <w:t>个工作日解决问题，对于未能解决的问题和故障应提供可行的升级方案，并提供周转设备；</w:t>
            </w:r>
            <w:r>
              <w:rPr>
                <w:rFonts w:ascii="宋体" w:hAnsi="宋体" w:cs="宋体"/>
                <w:kern w:val="0"/>
                <w:sz w:val="24"/>
                <w:highlight w:val="none"/>
              </w:rPr>
              <w:t xml:space="preserve">c) </w:t>
            </w:r>
            <w:r>
              <w:rPr>
                <w:rFonts w:hint="eastAsia" w:ascii="宋体" w:hAnsi="宋体" w:cs="宋体"/>
                <w:kern w:val="0"/>
                <w:sz w:val="24"/>
                <w:highlight w:val="none"/>
              </w:rPr>
              <w:t>建立全国技术服务体系和服务团体，符合专业服务体系标准要求，提供原厂中文服务；</w:t>
            </w:r>
            <w:r>
              <w:rPr>
                <w:rFonts w:ascii="宋体" w:hAnsi="宋体" w:cs="宋体"/>
                <w:kern w:val="0"/>
                <w:sz w:val="24"/>
                <w:highlight w:val="none"/>
              </w:rPr>
              <w:t xml:space="preserve">d) </w:t>
            </w:r>
            <w:r>
              <w:rPr>
                <w:rFonts w:hint="eastAsia" w:ascii="宋体" w:hAnsi="宋体" w:cs="宋体"/>
                <w:kern w:val="0"/>
                <w:sz w:val="24"/>
                <w:highlight w:val="none"/>
              </w:rPr>
              <w:t>服务周期内提供产品的维修、换件和升级服务</w:t>
            </w:r>
          </w:p>
        </w:tc>
      </w:tr>
      <w:tr w14:paraId="57ABD764">
        <w:tblPrEx>
          <w:tblCellMar>
            <w:top w:w="0" w:type="dxa"/>
            <w:left w:w="108" w:type="dxa"/>
            <w:bottom w:w="0" w:type="dxa"/>
            <w:right w:w="108" w:type="dxa"/>
          </w:tblCellMar>
        </w:tblPrEx>
        <w:trPr>
          <w:trHeight w:val="636" w:hRule="atLeast"/>
        </w:trPr>
        <w:tc>
          <w:tcPr>
            <w:tcW w:w="980" w:type="dxa"/>
            <w:tcBorders>
              <w:top w:val="nil"/>
              <w:left w:val="single" w:color="auto" w:sz="8" w:space="0"/>
              <w:bottom w:val="nil"/>
              <w:right w:val="nil"/>
            </w:tcBorders>
            <w:vAlign w:val="center"/>
          </w:tcPr>
          <w:p w14:paraId="041A2082">
            <w:pPr>
              <w:widowControl/>
              <w:adjustRightInd/>
              <w:jc w:val="center"/>
              <w:rPr>
                <w:rFonts w:ascii="宋体" w:hAnsi="宋体" w:cs="宋体"/>
                <w:kern w:val="0"/>
                <w:sz w:val="24"/>
                <w:highlight w:val="none"/>
              </w:rPr>
            </w:pPr>
            <w:r>
              <w:rPr>
                <w:rFonts w:ascii="宋体" w:hAnsi="宋体" w:cs="宋体"/>
                <w:kern w:val="0"/>
                <w:sz w:val="24"/>
                <w:highlight w:val="none"/>
              </w:rPr>
              <w:t>65</w:t>
            </w:r>
          </w:p>
        </w:tc>
        <w:tc>
          <w:tcPr>
            <w:tcW w:w="980" w:type="dxa"/>
            <w:vMerge w:val="continue"/>
            <w:tcBorders>
              <w:top w:val="nil"/>
              <w:left w:val="single" w:color="auto" w:sz="8" w:space="0"/>
              <w:bottom w:val="nil"/>
              <w:right w:val="single" w:color="auto" w:sz="8" w:space="0"/>
            </w:tcBorders>
            <w:vAlign w:val="center"/>
          </w:tcPr>
          <w:p w14:paraId="38A13270">
            <w:pPr>
              <w:widowControl/>
              <w:adjustRightInd/>
              <w:jc w:val="left"/>
              <w:rPr>
                <w:rFonts w:ascii="宋体" w:hAnsi="宋体" w:cs="宋体"/>
                <w:kern w:val="0"/>
                <w:sz w:val="24"/>
                <w:highlight w:val="none"/>
              </w:rPr>
            </w:pPr>
          </w:p>
        </w:tc>
        <w:tc>
          <w:tcPr>
            <w:tcW w:w="1580" w:type="dxa"/>
            <w:tcBorders>
              <w:top w:val="nil"/>
              <w:left w:val="nil"/>
              <w:bottom w:val="nil"/>
              <w:right w:val="single" w:color="auto" w:sz="8" w:space="0"/>
            </w:tcBorders>
            <w:vAlign w:val="center"/>
          </w:tcPr>
          <w:p w14:paraId="5D9DA06F">
            <w:pPr>
              <w:widowControl/>
              <w:adjustRightInd/>
              <w:jc w:val="center"/>
              <w:rPr>
                <w:rFonts w:ascii="宋体" w:hAnsi="宋体" w:cs="宋体"/>
                <w:kern w:val="0"/>
                <w:sz w:val="24"/>
                <w:highlight w:val="none"/>
              </w:rPr>
            </w:pPr>
            <w:r>
              <w:rPr>
                <w:rFonts w:hint="eastAsia" w:ascii="宋体" w:hAnsi="宋体" w:cs="宋体"/>
                <w:kern w:val="0"/>
                <w:sz w:val="24"/>
                <w:highlight w:val="none"/>
              </w:rPr>
              <w:t>▲培训服务</w:t>
            </w:r>
          </w:p>
        </w:tc>
        <w:tc>
          <w:tcPr>
            <w:tcW w:w="4760" w:type="dxa"/>
            <w:tcBorders>
              <w:top w:val="nil"/>
              <w:left w:val="nil"/>
              <w:bottom w:val="nil"/>
              <w:right w:val="single" w:color="auto" w:sz="8" w:space="0"/>
            </w:tcBorders>
            <w:vAlign w:val="center"/>
          </w:tcPr>
          <w:p w14:paraId="309F3D20">
            <w:pPr>
              <w:widowControl/>
              <w:adjustRightInd/>
              <w:rPr>
                <w:rFonts w:ascii="宋体" w:hAnsi="宋体" w:cs="宋体"/>
                <w:kern w:val="0"/>
                <w:sz w:val="24"/>
                <w:highlight w:val="none"/>
              </w:rPr>
            </w:pPr>
            <w:r>
              <w:rPr>
                <w:rFonts w:hint="eastAsia" w:ascii="宋体" w:hAnsi="宋体" w:cs="宋体"/>
                <w:kern w:val="0"/>
                <w:sz w:val="24"/>
                <w:highlight w:val="none"/>
              </w:rPr>
              <w:t>供应商提供培训材料、产品手册、培训视频等培训相关内容</w:t>
            </w:r>
          </w:p>
        </w:tc>
      </w:tr>
      <w:tr w14:paraId="4C08CF92">
        <w:tblPrEx>
          <w:tblCellMar>
            <w:top w:w="0" w:type="dxa"/>
            <w:left w:w="108" w:type="dxa"/>
            <w:bottom w:w="0" w:type="dxa"/>
            <w:right w:w="108" w:type="dxa"/>
          </w:tblCellMar>
        </w:tblPrEx>
        <w:trPr>
          <w:trHeight w:val="636" w:hRule="atLeast"/>
        </w:trPr>
        <w:tc>
          <w:tcPr>
            <w:tcW w:w="980" w:type="dxa"/>
            <w:vMerge w:val="restart"/>
            <w:tcBorders>
              <w:top w:val="single" w:color="auto" w:sz="8" w:space="0"/>
              <w:left w:val="single" w:color="auto" w:sz="8" w:space="0"/>
              <w:bottom w:val="single" w:color="000000" w:sz="8" w:space="0"/>
              <w:right w:val="nil"/>
            </w:tcBorders>
            <w:vAlign w:val="center"/>
          </w:tcPr>
          <w:p w14:paraId="2B3B7FE6">
            <w:pPr>
              <w:widowControl/>
              <w:adjustRightInd/>
              <w:jc w:val="center"/>
              <w:rPr>
                <w:rFonts w:ascii="宋体" w:hAnsi="宋体" w:cs="宋体"/>
                <w:kern w:val="0"/>
                <w:sz w:val="24"/>
                <w:highlight w:val="none"/>
              </w:rPr>
            </w:pPr>
            <w:r>
              <w:rPr>
                <w:rFonts w:ascii="宋体" w:hAnsi="宋体" w:cs="宋体"/>
                <w:kern w:val="0"/>
                <w:sz w:val="24"/>
                <w:highlight w:val="none"/>
              </w:rPr>
              <w:t>66</w:t>
            </w:r>
          </w:p>
        </w:tc>
        <w:tc>
          <w:tcPr>
            <w:tcW w:w="980" w:type="dxa"/>
            <w:vMerge w:val="restart"/>
            <w:tcBorders>
              <w:top w:val="single" w:color="auto" w:sz="8" w:space="0"/>
              <w:left w:val="single" w:color="auto" w:sz="8" w:space="0"/>
              <w:bottom w:val="single" w:color="000000" w:sz="8" w:space="0"/>
              <w:right w:val="single" w:color="auto" w:sz="8" w:space="0"/>
            </w:tcBorders>
            <w:vAlign w:val="center"/>
          </w:tcPr>
          <w:p w14:paraId="4B55581B">
            <w:pPr>
              <w:widowControl/>
              <w:adjustRightInd/>
              <w:jc w:val="center"/>
              <w:rPr>
                <w:rFonts w:ascii="宋体" w:hAnsi="宋体" w:cs="宋体"/>
                <w:kern w:val="0"/>
                <w:sz w:val="24"/>
                <w:highlight w:val="none"/>
              </w:rPr>
            </w:pPr>
            <w:r>
              <w:rPr>
                <w:rFonts w:hint="eastAsia" w:ascii="宋体" w:hAnsi="宋体" w:cs="宋体"/>
                <w:kern w:val="0"/>
                <w:sz w:val="24"/>
                <w:highlight w:val="none"/>
              </w:rPr>
              <w:t>▲服务周期</w:t>
            </w:r>
          </w:p>
        </w:tc>
        <w:tc>
          <w:tcPr>
            <w:tcW w:w="1580" w:type="dxa"/>
            <w:vMerge w:val="restart"/>
            <w:tcBorders>
              <w:top w:val="single" w:color="auto" w:sz="8" w:space="0"/>
              <w:left w:val="nil"/>
              <w:bottom w:val="single" w:color="000000" w:sz="8" w:space="0"/>
              <w:right w:val="single" w:color="auto" w:sz="8" w:space="0"/>
            </w:tcBorders>
            <w:vAlign w:val="center"/>
          </w:tcPr>
          <w:p w14:paraId="6CD178D0">
            <w:pPr>
              <w:widowControl/>
              <w:adjustRightInd/>
              <w:jc w:val="center"/>
              <w:rPr>
                <w:rFonts w:ascii="宋体" w:hAnsi="宋体" w:cs="宋体"/>
                <w:kern w:val="0"/>
                <w:sz w:val="24"/>
                <w:highlight w:val="none"/>
              </w:rPr>
            </w:pPr>
            <w:r>
              <w:rPr>
                <w:rFonts w:hint="eastAsia" w:ascii="宋体" w:hAnsi="宋体" w:cs="宋体"/>
                <w:kern w:val="0"/>
                <w:sz w:val="24"/>
                <w:highlight w:val="none"/>
              </w:rPr>
              <w:t>▲服务周期</w:t>
            </w:r>
          </w:p>
        </w:tc>
        <w:tc>
          <w:tcPr>
            <w:tcW w:w="4760" w:type="dxa"/>
            <w:tcBorders>
              <w:top w:val="single" w:color="auto" w:sz="8" w:space="0"/>
              <w:left w:val="nil"/>
              <w:bottom w:val="single" w:color="auto" w:sz="8" w:space="0"/>
              <w:right w:val="single" w:color="auto" w:sz="12" w:space="0"/>
            </w:tcBorders>
            <w:vAlign w:val="center"/>
          </w:tcPr>
          <w:p w14:paraId="70CA99B5">
            <w:pPr>
              <w:widowControl/>
              <w:adjustRightInd/>
              <w:rPr>
                <w:rFonts w:ascii="宋体" w:hAnsi="宋体" w:cs="宋体"/>
                <w:kern w:val="0"/>
                <w:sz w:val="24"/>
                <w:highlight w:val="none"/>
              </w:rPr>
            </w:pPr>
            <w:r>
              <w:rPr>
                <w:rFonts w:ascii="宋体" w:hAnsi="宋体" w:cs="宋体"/>
                <w:kern w:val="0"/>
                <w:sz w:val="24"/>
                <w:highlight w:val="none"/>
              </w:rPr>
              <w:t xml:space="preserve">a) </w:t>
            </w:r>
            <w:r>
              <w:rPr>
                <w:rFonts w:hint="eastAsia" w:ascii="宋体" w:hAnsi="宋体" w:cs="宋体"/>
                <w:kern w:val="0"/>
                <w:sz w:val="24"/>
                <w:highlight w:val="none"/>
              </w:rPr>
              <w:t>服务期内，提供服务（含换件和维修）；</w:t>
            </w:r>
          </w:p>
        </w:tc>
      </w:tr>
      <w:tr w14:paraId="6D600EF1">
        <w:tblPrEx>
          <w:tblCellMar>
            <w:top w:w="0" w:type="dxa"/>
            <w:left w:w="108" w:type="dxa"/>
            <w:bottom w:w="0" w:type="dxa"/>
            <w:right w:w="108" w:type="dxa"/>
          </w:tblCellMar>
        </w:tblPrEx>
        <w:trPr>
          <w:trHeight w:val="948" w:hRule="atLeast"/>
        </w:trPr>
        <w:tc>
          <w:tcPr>
            <w:tcW w:w="980" w:type="dxa"/>
            <w:vMerge w:val="continue"/>
            <w:tcBorders>
              <w:top w:val="single" w:color="auto" w:sz="8" w:space="0"/>
              <w:left w:val="single" w:color="auto" w:sz="8" w:space="0"/>
              <w:bottom w:val="single" w:color="000000" w:sz="8" w:space="0"/>
              <w:right w:val="nil"/>
            </w:tcBorders>
            <w:vAlign w:val="center"/>
          </w:tcPr>
          <w:p w14:paraId="2FF349AE">
            <w:pPr>
              <w:widowControl/>
              <w:adjustRightInd/>
              <w:jc w:val="left"/>
              <w:rPr>
                <w:rFonts w:ascii="宋体" w:hAnsi="宋体" w:cs="宋体"/>
                <w:kern w:val="0"/>
                <w:sz w:val="24"/>
                <w:highlight w:val="none"/>
              </w:rPr>
            </w:pPr>
          </w:p>
        </w:tc>
        <w:tc>
          <w:tcPr>
            <w:tcW w:w="980" w:type="dxa"/>
            <w:vMerge w:val="continue"/>
            <w:tcBorders>
              <w:top w:val="single" w:color="auto" w:sz="8" w:space="0"/>
              <w:left w:val="single" w:color="auto" w:sz="8" w:space="0"/>
              <w:bottom w:val="single" w:color="000000" w:sz="8" w:space="0"/>
              <w:right w:val="single" w:color="auto" w:sz="8" w:space="0"/>
            </w:tcBorders>
            <w:vAlign w:val="center"/>
          </w:tcPr>
          <w:p w14:paraId="60DF267C">
            <w:pPr>
              <w:widowControl/>
              <w:adjustRightInd/>
              <w:jc w:val="left"/>
              <w:rPr>
                <w:rFonts w:ascii="宋体" w:hAnsi="宋体" w:cs="宋体"/>
                <w:kern w:val="0"/>
                <w:sz w:val="24"/>
                <w:highlight w:val="none"/>
              </w:rPr>
            </w:pPr>
          </w:p>
        </w:tc>
        <w:tc>
          <w:tcPr>
            <w:tcW w:w="1580" w:type="dxa"/>
            <w:vMerge w:val="continue"/>
            <w:tcBorders>
              <w:top w:val="single" w:color="auto" w:sz="8" w:space="0"/>
              <w:left w:val="nil"/>
              <w:bottom w:val="single" w:color="000000" w:sz="8" w:space="0"/>
              <w:right w:val="single" w:color="auto" w:sz="8" w:space="0"/>
            </w:tcBorders>
            <w:vAlign w:val="center"/>
          </w:tcPr>
          <w:p w14:paraId="40EC2442">
            <w:pPr>
              <w:widowControl/>
              <w:adjustRightInd/>
              <w:jc w:val="left"/>
              <w:rPr>
                <w:rFonts w:ascii="宋体" w:hAnsi="宋体" w:cs="宋体"/>
                <w:kern w:val="0"/>
                <w:sz w:val="24"/>
                <w:highlight w:val="none"/>
              </w:rPr>
            </w:pPr>
          </w:p>
        </w:tc>
        <w:tc>
          <w:tcPr>
            <w:tcW w:w="4760" w:type="dxa"/>
            <w:tcBorders>
              <w:top w:val="nil"/>
              <w:left w:val="nil"/>
              <w:bottom w:val="single" w:color="auto" w:sz="8" w:space="0"/>
              <w:right w:val="single" w:color="auto" w:sz="12" w:space="0"/>
            </w:tcBorders>
            <w:vAlign w:val="center"/>
          </w:tcPr>
          <w:p w14:paraId="47A4871B">
            <w:pPr>
              <w:widowControl/>
              <w:adjustRightInd/>
              <w:rPr>
                <w:rFonts w:ascii="宋体" w:hAns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设备停产后继续提供质量保障服务（含备品备件），服务终止时间与最后一批设备交付时间间隔不低于</w:t>
            </w:r>
            <w:r>
              <w:rPr>
                <w:rFonts w:ascii="宋体" w:hAnsi="宋体" w:cs="宋体"/>
                <w:kern w:val="0"/>
                <w:sz w:val="24"/>
                <w:highlight w:val="none"/>
              </w:rPr>
              <w:t xml:space="preserve"> 6 </w:t>
            </w:r>
            <w:r>
              <w:rPr>
                <w:rFonts w:hint="eastAsia" w:ascii="宋体" w:hAnsi="宋体" w:cs="宋体"/>
                <w:kern w:val="0"/>
                <w:sz w:val="24"/>
                <w:highlight w:val="none"/>
              </w:rPr>
              <w:t>年；</w:t>
            </w:r>
          </w:p>
        </w:tc>
      </w:tr>
      <w:tr w14:paraId="67C8E4A9">
        <w:tblPrEx>
          <w:tblCellMar>
            <w:top w:w="0" w:type="dxa"/>
            <w:left w:w="108" w:type="dxa"/>
            <w:bottom w:w="0" w:type="dxa"/>
            <w:right w:w="108" w:type="dxa"/>
          </w:tblCellMar>
        </w:tblPrEx>
        <w:trPr>
          <w:trHeight w:val="636" w:hRule="atLeast"/>
        </w:trPr>
        <w:tc>
          <w:tcPr>
            <w:tcW w:w="980" w:type="dxa"/>
            <w:vMerge w:val="continue"/>
            <w:tcBorders>
              <w:top w:val="single" w:color="auto" w:sz="8" w:space="0"/>
              <w:left w:val="single" w:color="auto" w:sz="8" w:space="0"/>
              <w:bottom w:val="single" w:color="000000" w:sz="8" w:space="0"/>
              <w:right w:val="nil"/>
            </w:tcBorders>
            <w:vAlign w:val="center"/>
          </w:tcPr>
          <w:p w14:paraId="4EE7BFCE">
            <w:pPr>
              <w:widowControl/>
              <w:adjustRightInd/>
              <w:jc w:val="left"/>
              <w:rPr>
                <w:rFonts w:ascii="宋体" w:hAnsi="宋体" w:cs="宋体"/>
                <w:kern w:val="0"/>
                <w:sz w:val="24"/>
                <w:highlight w:val="none"/>
              </w:rPr>
            </w:pPr>
          </w:p>
        </w:tc>
        <w:tc>
          <w:tcPr>
            <w:tcW w:w="980" w:type="dxa"/>
            <w:vMerge w:val="continue"/>
            <w:tcBorders>
              <w:top w:val="single" w:color="auto" w:sz="8" w:space="0"/>
              <w:left w:val="single" w:color="auto" w:sz="8" w:space="0"/>
              <w:bottom w:val="single" w:color="000000" w:sz="8" w:space="0"/>
              <w:right w:val="single" w:color="auto" w:sz="8" w:space="0"/>
            </w:tcBorders>
            <w:vAlign w:val="center"/>
          </w:tcPr>
          <w:p w14:paraId="42A9E046">
            <w:pPr>
              <w:widowControl/>
              <w:adjustRightInd/>
              <w:jc w:val="left"/>
              <w:rPr>
                <w:rFonts w:ascii="宋体" w:hAnsi="宋体" w:cs="宋体"/>
                <w:kern w:val="0"/>
                <w:sz w:val="24"/>
                <w:highlight w:val="none"/>
              </w:rPr>
            </w:pPr>
          </w:p>
        </w:tc>
        <w:tc>
          <w:tcPr>
            <w:tcW w:w="1580" w:type="dxa"/>
            <w:vMerge w:val="continue"/>
            <w:tcBorders>
              <w:top w:val="single" w:color="auto" w:sz="8" w:space="0"/>
              <w:left w:val="nil"/>
              <w:bottom w:val="single" w:color="000000" w:sz="8" w:space="0"/>
              <w:right w:val="single" w:color="auto" w:sz="8" w:space="0"/>
            </w:tcBorders>
            <w:vAlign w:val="center"/>
          </w:tcPr>
          <w:p w14:paraId="4C0DF878">
            <w:pPr>
              <w:widowControl/>
              <w:adjustRightInd/>
              <w:jc w:val="left"/>
              <w:rPr>
                <w:rFonts w:ascii="宋体" w:hAnsi="宋体" w:cs="宋体"/>
                <w:kern w:val="0"/>
                <w:sz w:val="24"/>
                <w:highlight w:val="none"/>
              </w:rPr>
            </w:pPr>
          </w:p>
        </w:tc>
        <w:tc>
          <w:tcPr>
            <w:tcW w:w="4760" w:type="dxa"/>
            <w:tcBorders>
              <w:top w:val="nil"/>
              <w:left w:val="nil"/>
              <w:bottom w:val="single" w:color="auto" w:sz="8" w:space="0"/>
              <w:right w:val="single" w:color="auto" w:sz="12" w:space="0"/>
            </w:tcBorders>
            <w:vAlign w:val="center"/>
          </w:tcPr>
          <w:p w14:paraId="4A0967E7">
            <w:pPr>
              <w:widowControl/>
              <w:adjustRightInd/>
              <w:rPr>
                <w:rFonts w:ascii="宋体" w:hAnsi="宋体" w:cs="宋体"/>
                <w:kern w:val="0"/>
                <w:sz w:val="24"/>
                <w:highlight w:val="none"/>
              </w:rPr>
            </w:pPr>
            <w:r>
              <w:rPr>
                <w:rFonts w:ascii="宋体" w:hAnsi="宋体" w:cs="宋体"/>
                <w:kern w:val="0"/>
                <w:sz w:val="24"/>
                <w:highlight w:val="none"/>
              </w:rPr>
              <w:t xml:space="preserve">c) </w:t>
            </w:r>
            <w:r>
              <w:rPr>
                <w:rFonts w:hint="eastAsia" w:ascii="宋体" w:hAnsi="宋体" w:cs="宋体"/>
                <w:kern w:val="0"/>
                <w:sz w:val="24"/>
                <w:highlight w:val="none"/>
              </w:rPr>
              <w:t>产品停止服务时间应提前</w:t>
            </w:r>
            <w:r>
              <w:rPr>
                <w:rFonts w:ascii="宋体" w:hAnsi="宋体" w:cs="宋体"/>
                <w:kern w:val="0"/>
                <w:sz w:val="24"/>
                <w:highlight w:val="none"/>
              </w:rPr>
              <w:t xml:space="preserve"> 1 </w:t>
            </w:r>
            <w:r>
              <w:rPr>
                <w:rFonts w:hint="eastAsia" w:ascii="宋体" w:hAnsi="宋体" w:cs="宋体"/>
                <w:kern w:val="0"/>
                <w:sz w:val="24"/>
                <w:highlight w:val="none"/>
              </w:rPr>
              <w:t>年告知客户；</w:t>
            </w:r>
          </w:p>
        </w:tc>
      </w:tr>
      <w:tr w14:paraId="279AFC3E">
        <w:tblPrEx>
          <w:tblCellMar>
            <w:top w:w="0" w:type="dxa"/>
            <w:left w:w="108" w:type="dxa"/>
            <w:bottom w:w="0" w:type="dxa"/>
            <w:right w:w="108" w:type="dxa"/>
          </w:tblCellMar>
        </w:tblPrEx>
        <w:trPr>
          <w:trHeight w:val="324" w:hRule="atLeast"/>
        </w:trPr>
        <w:tc>
          <w:tcPr>
            <w:tcW w:w="980" w:type="dxa"/>
            <w:vMerge w:val="continue"/>
            <w:tcBorders>
              <w:top w:val="single" w:color="auto" w:sz="8" w:space="0"/>
              <w:left w:val="single" w:color="auto" w:sz="8" w:space="0"/>
              <w:bottom w:val="single" w:color="000000" w:sz="8" w:space="0"/>
              <w:right w:val="nil"/>
            </w:tcBorders>
            <w:vAlign w:val="center"/>
          </w:tcPr>
          <w:p w14:paraId="52024416">
            <w:pPr>
              <w:widowControl/>
              <w:adjustRightInd/>
              <w:jc w:val="left"/>
              <w:rPr>
                <w:rFonts w:ascii="宋体" w:hAnsi="宋体" w:cs="宋体"/>
                <w:kern w:val="0"/>
                <w:sz w:val="24"/>
                <w:highlight w:val="none"/>
              </w:rPr>
            </w:pPr>
          </w:p>
        </w:tc>
        <w:tc>
          <w:tcPr>
            <w:tcW w:w="980" w:type="dxa"/>
            <w:vMerge w:val="continue"/>
            <w:tcBorders>
              <w:top w:val="single" w:color="auto" w:sz="8" w:space="0"/>
              <w:left w:val="single" w:color="auto" w:sz="8" w:space="0"/>
              <w:bottom w:val="single" w:color="000000" w:sz="8" w:space="0"/>
              <w:right w:val="single" w:color="auto" w:sz="8" w:space="0"/>
            </w:tcBorders>
            <w:vAlign w:val="center"/>
          </w:tcPr>
          <w:p w14:paraId="21286A35">
            <w:pPr>
              <w:widowControl/>
              <w:adjustRightInd/>
              <w:jc w:val="left"/>
              <w:rPr>
                <w:rFonts w:ascii="宋体" w:hAnsi="宋体" w:cs="宋体"/>
                <w:kern w:val="0"/>
                <w:sz w:val="24"/>
                <w:highlight w:val="none"/>
              </w:rPr>
            </w:pPr>
          </w:p>
        </w:tc>
        <w:tc>
          <w:tcPr>
            <w:tcW w:w="1580" w:type="dxa"/>
            <w:vMerge w:val="continue"/>
            <w:tcBorders>
              <w:top w:val="single" w:color="auto" w:sz="8" w:space="0"/>
              <w:left w:val="nil"/>
              <w:bottom w:val="single" w:color="000000" w:sz="8" w:space="0"/>
              <w:right w:val="single" w:color="auto" w:sz="8" w:space="0"/>
            </w:tcBorders>
            <w:vAlign w:val="center"/>
          </w:tcPr>
          <w:p w14:paraId="5AC421EC">
            <w:pPr>
              <w:widowControl/>
              <w:adjustRightInd/>
              <w:jc w:val="left"/>
              <w:rPr>
                <w:rFonts w:ascii="宋体" w:hAnsi="宋体" w:cs="宋体"/>
                <w:kern w:val="0"/>
                <w:sz w:val="24"/>
                <w:highlight w:val="none"/>
              </w:rPr>
            </w:pPr>
          </w:p>
        </w:tc>
        <w:tc>
          <w:tcPr>
            <w:tcW w:w="4760" w:type="dxa"/>
            <w:tcBorders>
              <w:top w:val="nil"/>
              <w:left w:val="nil"/>
              <w:bottom w:val="nil"/>
              <w:right w:val="single" w:color="auto" w:sz="12" w:space="0"/>
            </w:tcBorders>
            <w:vAlign w:val="center"/>
          </w:tcPr>
          <w:p w14:paraId="4CDE4F7E">
            <w:pPr>
              <w:widowControl/>
              <w:adjustRightInd/>
              <w:rPr>
                <w:rFonts w:ascii="宋体" w:hAnsi="宋体" w:cs="宋体"/>
                <w:kern w:val="0"/>
                <w:sz w:val="24"/>
                <w:highlight w:val="none"/>
              </w:rPr>
            </w:pPr>
            <w:r>
              <w:rPr>
                <w:rFonts w:ascii="宋体" w:hAnsi="宋体" w:cs="宋体"/>
                <w:kern w:val="0"/>
                <w:sz w:val="24"/>
                <w:highlight w:val="none"/>
              </w:rPr>
              <w:t xml:space="preserve">d) </w:t>
            </w:r>
            <w:r>
              <w:rPr>
                <w:rFonts w:hint="eastAsia" w:ascii="宋体" w:hAnsi="宋体" w:cs="宋体"/>
                <w:kern w:val="0"/>
                <w:sz w:val="24"/>
                <w:highlight w:val="none"/>
              </w:rPr>
              <w:t>产品发布日期需在随机文件中明确</w:t>
            </w:r>
          </w:p>
        </w:tc>
      </w:tr>
      <w:tr w14:paraId="77742321">
        <w:tblPrEx>
          <w:tblCellMar>
            <w:top w:w="0" w:type="dxa"/>
            <w:left w:w="108" w:type="dxa"/>
            <w:bottom w:w="0" w:type="dxa"/>
            <w:right w:w="108" w:type="dxa"/>
          </w:tblCellMar>
        </w:tblPrEx>
        <w:trPr>
          <w:trHeight w:val="948" w:hRule="atLeast"/>
        </w:trPr>
        <w:tc>
          <w:tcPr>
            <w:tcW w:w="980" w:type="dxa"/>
            <w:tcBorders>
              <w:top w:val="nil"/>
              <w:left w:val="single" w:color="auto" w:sz="8" w:space="0"/>
              <w:bottom w:val="single" w:color="auto" w:sz="8" w:space="0"/>
              <w:right w:val="nil"/>
            </w:tcBorders>
            <w:vAlign w:val="center"/>
          </w:tcPr>
          <w:p w14:paraId="0529A41E">
            <w:pPr>
              <w:widowControl/>
              <w:adjustRightInd/>
              <w:jc w:val="center"/>
              <w:rPr>
                <w:rFonts w:ascii="宋体" w:hAnsi="宋体" w:cs="宋体"/>
                <w:kern w:val="0"/>
                <w:sz w:val="24"/>
                <w:highlight w:val="none"/>
              </w:rPr>
            </w:pPr>
            <w:r>
              <w:rPr>
                <w:rFonts w:ascii="宋体" w:hAnsi="宋体" w:cs="宋体"/>
                <w:kern w:val="0"/>
                <w:sz w:val="24"/>
                <w:highlight w:val="none"/>
              </w:rPr>
              <w:t>67</w:t>
            </w:r>
          </w:p>
        </w:tc>
        <w:tc>
          <w:tcPr>
            <w:tcW w:w="980" w:type="dxa"/>
            <w:vMerge w:val="restart"/>
            <w:tcBorders>
              <w:top w:val="nil"/>
              <w:left w:val="single" w:color="auto" w:sz="8" w:space="0"/>
              <w:bottom w:val="single" w:color="000000" w:sz="8" w:space="0"/>
              <w:right w:val="single" w:color="auto" w:sz="8" w:space="0"/>
            </w:tcBorders>
            <w:vAlign w:val="center"/>
          </w:tcPr>
          <w:p w14:paraId="33A234A2">
            <w:pPr>
              <w:widowControl/>
              <w:adjustRightInd/>
              <w:jc w:val="center"/>
              <w:rPr>
                <w:rFonts w:ascii="宋体" w:hAnsi="宋体" w:cs="宋体"/>
                <w:kern w:val="0"/>
                <w:sz w:val="24"/>
                <w:highlight w:val="none"/>
              </w:rPr>
            </w:pPr>
            <w:r>
              <w:rPr>
                <w:rFonts w:hint="eastAsia" w:ascii="宋体" w:hAnsi="宋体" w:cs="宋体"/>
                <w:kern w:val="0"/>
                <w:sz w:val="24"/>
                <w:highlight w:val="none"/>
              </w:rPr>
              <w:t>▲服务工具要求</w:t>
            </w:r>
          </w:p>
        </w:tc>
        <w:tc>
          <w:tcPr>
            <w:tcW w:w="1580" w:type="dxa"/>
            <w:tcBorders>
              <w:top w:val="nil"/>
              <w:left w:val="nil"/>
              <w:bottom w:val="single" w:color="auto" w:sz="8" w:space="0"/>
              <w:right w:val="single" w:color="auto" w:sz="8" w:space="0"/>
            </w:tcBorders>
            <w:vAlign w:val="center"/>
          </w:tcPr>
          <w:p w14:paraId="493B69AD">
            <w:pPr>
              <w:widowControl/>
              <w:adjustRightInd/>
              <w:jc w:val="center"/>
              <w:rPr>
                <w:rFonts w:ascii="宋体" w:hAnsi="宋体" w:cs="宋体"/>
                <w:kern w:val="0"/>
                <w:sz w:val="24"/>
                <w:highlight w:val="none"/>
              </w:rPr>
            </w:pPr>
            <w:r>
              <w:rPr>
                <w:rFonts w:hint="eastAsia" w:ascii="宋体" w:hAnsi="宋体" w:cs="宋体"/>
                <w:kern w:val="0"/>
                <w:sz w:val="24"/>
                <w:highlight w:val="none"/>
              </w:rPr>
              <w:t>▲工具要求</w:t>
            </w:r>
          </w:p>
        </w:tc>
        <w:tc>
          <w:tcPr>
            <w:tcW w:w="4760" w:type="dxa"/>
            <w:tcBorders>
              <w:top w:val="single" w:color="auto" w:sz="8" w:space="0"/>
              <w:left w:val="nil"/>
              <w:bottom w:val="single" w:color="auto" w:sz="8" w:space="0"/>
              <w:right w:val="single" w:color="auto" w:sz="8" w:space="0"/>
            </w:tcBorders>
            <w:vAlign w:val="center"/>
          </w:tcPr>
          <w:p w14:paraId="724395A0">
            <w:pPr>
              <w:widowControl/>
              <w:adjustRightInd/>
              <w:rPr>
                <w:rFonts w:ascii="宋体" w:hAnsi="宋体" w:cs="宋体"/>
                <w:kern w:val="0"/>
                <w:sz w:val="24"/>
                <w:highlight w:val="none"/>
              </w:rPr>
            </w:pPr>
            <w:r>
              <w:rPr>
                <w:rFonts w:hint="eastAsia" w:ascii="宋体" w:hAnsi="宋体" w:cs="宋体"/>
                <w:kern w:val="0"/>
                <w:sz w:val="24"/>
                <w:highlight w:val="none"/>
              </w:rPr>
              <w:t>提供设置服务器硬件、辅助操作系统安装等功能的辅助工具和管理软件。且随附软件应具有合法授权或版权</w:t>
            </w:r>
          </w:p>
        </w:tc>
      </w:tr>
      <w:tr w14:paraId="20A4A768">
        <w:tblPrEx>
          <w:tblCellMar>
            <w:top w:w="0" w:type="dxa"/>
            <w:left w:w="108" w:type="dxa"/>
            <w:bottom w:w="0" w:type="dxa"/>
            <w:right w:w="108" w:type="dxa"/>
          </w:tblCellMar>
        </w:tblPrEx>
        <w:trPr>
          <w:trHeight w:val="948" w:hRule="atLeast"/>
        </w:trPr>
        <w:tc>
          <w:tcPr>
            <w:tcW w:w="980" w:type="dxa"/>
            <w:tcBorders>
              <w:top w:val="nil"/>
              <w:left w:val="single" w:color="auto" w:sz="8" w:space="0"/>
              <w:bottom w:val="single" w:color="auto" w:sz="8" w:space="0"/>
              <w:right w:val="nil"/>
            </w:tcBorders>
            <w:vAlign w:val="center"/>
          </w:tcPr>
          <w:p w14:paraId="04088B32">
            <w:pPr>
              <w:widowControl/>
              <w:adjustRightInd/>
              <w:jc w:val="center"/>
              <w:rPr>
                <w:rFonts w:ascii="宋体" w:hAnsi="宋体" w:cs="宋体"/>
                <w:kern w:val="0"/>
                <w:sz w:val="24"/>
                <w:highlight w:val="none"/>
              </w:rPr>
            </w:pPr>
            <w:r>
              <w:rPr>
                <w:rFonts w:ascii="宋体" w:hAnsi="宋体" w:cs="宋体"/>
                <w:kern w:val="0"/>
                <w:sz w:val="24"/>
                <w:highlight w:val="none"/>
              </w:rPr>
              <w:t>68</w:t>
            </w:r>
          </w:p>
        </w:tc>
        <w:tc>
          <w:tcPr>
            <w:tcW w:w="980" w:type="dxa"/>
            <w:vMerge w:val="continue"/>
            <w:tcBorders>
              <w:top w:val="nil"/>
              <w:left w:val="single" w:color="auto" w:sz="8" w:space="0"/>
              <w:bottom w:val="single" w:color="000000" w:sz="8" w:space="0"/>
              <w:right w:val="single" w:color="auto" w:sz="8" w:space="0"/>
            </w:tcBorders>
            <w:vAlign w:val="center"/>
          </w:tcPr>
          <w:p w14:paraId="3175D5A0">
            <w:pPr>
              <w:widowControl/>
              <w:adjustRightInd/>
              <w:jc w:val="left"/>
              <w:rPr>
                <w:rFonts w:ascii="宋体" w:hAnsi="宋体" w:cs="宋体"/>
                <w:kern w:val="0"/>
                <w:sz w:val="24"/>
                <w:highlight w:val="none"/>
              </w:rPr>
            </w:pPr>
          </w:p>
        </w:tc>
        <w:tc>
          <w:tcPr>
            <w:tcW w:w="1580" w:type="dxa"/>
            <w:tcBorders>
              <w:top w:val="nil"/>
              <w:left w:val="nil"/>
              <w:bottom w:val="single" w:color="auto" w:sz="8" w:space="0"/>
              <w:right w:val="single" w:color="auto" w:sz="8" w:space="0"/>
            </w:tcBorders>
            <w:vAlign w:val="center"/>
          </w:tcPr>
          <w:p w14:paraId="0774AFF3">
            <w:pPr>
              <w:widowControl/>
              <w:adjustRightInd/>
              <w:jc w:val="center"/>
              <w:rPr>
                <w:rFonts w:ascii="宋体" w:hAnsi="宋体" w:cs="宋体"/>
                <w:kern w:val="0"/>
                <w:sz w:val="24"/>
                <w:highlight w:val="none"/>
              </w:rPr>
            </w:pPr>
            <w:r>
              <w:rPr>
                <w:rFonts w:hint="eastAsia" w:ascii="宋体" w:hAnsi="宋体" w:cs="宋体"/>
                <w:kern w:val="0"/>
                <w:sz w:val="24"/>
                <w:highlight w:val="none"/>
              </w:rPr>
              <w:t>▲驱动安装升级指引</w:t>
            </w:r>
          </w:p>
        </w:tc>
        <w:tc>
          <w:tcPr>
            <w:tcW w:w="4760" w:type="dxa"/>
            <w:tcBorders>
              <w:top w:val="nil"/>
              <w:left w:val="nil"/>
              <w:bottom w:val="single" w:color="auto" w:sz="8" w:space="0"/>
              <w:right w:val="single" w:color="auto" w:sz="8" w:space="0"/>
            </w:tcBorders>
            <w:vAlign w:val="center"/>
          </w:tcPr>
          <w:p w14:paraId="38372396">
            <w:pPr>
              <w:widowControl/>
              <w:adjustRightInd/>
              <w:rPr>
                <w:rFonts w:ascii="宋体" w:hAnsi="宋体" w:cs="宋体"/>
                <w:kern w:val="0"/>
                <w:sz w:val="24"/>
                <w:highlight w:val="none"/>
              </w:rPr>
            </w:pPr>
            <w:r>
              <w:rPr>
                <w:rFonts w:hint="eastAsia" w:ascii="宋体" w:hAnsi="宋体" w:cs="宋体"/>
                <w:kern w:val="0"/>
                <w:sz w:val="24"/>
                <w:highlight w:val="none"/>
              </w:rPr>
              <w:t>提供出厂安装的配件所需的驱动程序，形式包括但不限于驱动光盘、驱动下载链接等。其他配件应提供指引</w:t>
            </w:r>
          </w:p>
        </w:tc>
      </w:tr>
      <w:tr w14:paraId="66FC8DC1">
        <w:tblPrEx>
          <w:tblCellMar>
            <w:top w:w="0" w:type="dxa"/>
            <w:left w:w="108" w:type="dxa"/>
            <w:bottom w:w="0" w:type="dxa"/>
            <w:right w:w="108" w:type="dxa"/>
          </w:tblCellMar>
        </w:tblPrEx>
        <w:trPr>
          <w:trHeight w:val="636" w:hRule="atLeast"/>
        </w:trPr>
        <w:tc>
          <w:tcPr>
            <w:tcW w:w="980" w:type="dxa"/>
            <w:tcBorders>
              <w:top w:val="nil"/>
              <w:left w:val="single" w:color="auto" w:sz="8" w:space="0"/>
              <w:bottom w:val="single" w:color="auto" w:sz="8" w:space="0"/>
              <w:right w:val="nil"/>
            </w:tcBorders>
            <w:vAlign w:val="center"/>
          </w:tcPr>
          <w:p w14:paraId="7479B60F">
            <w:pPr>
              <w:widowControl/>
              <w:adjustRightInd/>
              <w:jc w:val="center"/>
              <w:rPr>
                <w:rFonts w:ascii="宋体" w:hAnsi="宋体" w:cs="宋体"/>
                <w:kern w:val="0"/>
                <w:sz w:val="24"/>
                <w:highlight w:val="none"/>
              </w:rPr>
            </w:pPr>
            <w:r>
              <w:rPr>
                <w:rFonts w:ascii="宋体" w:hAnsi="宋体" w:cs="宋体"/>
                <w:kern w:val="0"/>
                <w:sz w:val="24"/>
                <w:highlight w:val="none"/>
              </w:rPr>
              <w:t>69</w:t>
            </w:r>
          </w:p>
        </w:tc>
        <w:tc>
          <w:tcPr>
            <w:tcW w:w="980" w:type="dxa"/>
            <w:vMerge w:val="continue"/>
            <w:tcBorders>
              <w:top w:val="nil"/>
              <w:left w:val="single" w:color="auto" w:sz="8" w:space="0"/>
              <w:bottom w:val="single" w:color="000000" w:sz="8" w:space="0"/>
              <w:right w:val="single" w:color="auto" w:sz="8" w:space="0"/>
            </w:tcBorders>
            <w:vAlign w:val="center"/>
          </w:tcPr>
          <w:p w14:paraId="4D0E25AE">
            <w:pPr>
              <w:widowControl/>
              <w:adjustRightInd/>
              <w:jc w:val="left"/>
              <w:rPr>
                <w:rFonts w:ascii="宋体" w:hAnsi="宋体" w:cs="宋体"/>
                <w:kern w:val="0"/>
                <w:sz w:val="24"/>
                <w:highlight w:val="none"/>
              </w:rPr>
            </w:pPr>
          </w:p>
        </w:tc>
        <w:tc>
          <w:tcPr>
            <w:tcW w:w="1580" w:type="dxa"/>
            <w:tcBorders>
              <w:top w:val="nil"/>
              <w:left w:val="nil"/>
              <w:bottom w:val="single" w:color="auto" w:sz="8" w:space="0"/>
              <w:right w:val="single" w:color="auto" w:sz="8" w:space="0"/>
            </w:tcBorders>
            <w:vAlign w:val="center"/>
          </w:tcPr>
          <w:p w14:paraId="144C7D04">
            <w:pPr>
              <w:widowControl/>
              <w:adjustRightInd/>
              <w:jc w:val="center"/>
              <w:rPr>
                <w:rFonts w:ascii="宋体" w:hAnsi="宋体" w:cs="宋体"/>
                <w:kern w:val="0"/>
                <w:sz w:val="24"/>
                <w:highlight w:val="none"/>
              </w:rPr>
            </w:pPr>
            <w:r>
              <w:rPr>
                <w:rFonts w:hint="eastAsia" w:ascii="宋体" w:hAnsi="宋体" w:cs="宋体"/>
                <w:kern w:val="0"/>
                <w:sz w:val="24"/>
                <w:highlight w:val="none"/>
              </w:rPr>
              <w:t>▲管理软件</w:t>
            </w:r>
          </w:p>
        </w:tc>
        <w:tc>
          <w:tcPr>
            <w:tcW w:w="4760" w:type="dxa"/>
            <w:tcBorders>
              <w:top w:val="nil"/>
              <w:left w:val="nil"/>
              <w:bottom w:val="single" w:color="auto" w:sz="8" w:space="0"/>
              <w:right w:val="single" w:color="auto" w:sz="8" w:space="0"/>
            </w:tcBorders>
            <w:vAlign w:val="center"/>
          </w:tcPr>
          <w:p w14:paraId="5139CCCF">
            <w:pPr>
              <w:widowControl/>
              <w:adjustRightInd/>
              <w:rPr>
                <w:rFonts w:ascii="宋体" w:hAnsi="宋体" w:cs="宋体"/>
                <w:kern w:val="0"/>
                <w:sz w:val="24"/>
                <w:highlight w:val="none"/>
              </w:rPr>
            </w:pPr>
            <w:r>
              <w:rPr>
                <w:rFonts w:hint="eastAsia" w:ascii="宋体" w:hAnsi="宋体" w:cs="宋体"/>
                <w:kern w:val="0"/>
                <w:sz w:val="24"/>
                <w:highlight w:val="none"/>
              </w:rPr>
              <w:t>具备资源管理、系统管理、性能监控、健康监控、基于网络控制、报警设置功能</w:t>
            </w:r>
          </w:p>
        </w:tc>
      </w:tr>
      <w:tr w14:paraId="6653B0D8">
        <w:tblPrEx>
          <w:tblCellMar>
            <w:top w:w="0" w:type="dxa"/>
            <w:left w:w="108" w:type="dxa"/>
            <w:bottom w:w="0" w:type="dxa"/>
            <w:right w:w="108" w:type="dxa"/>
          </w:tblCellMar>
        </w:tblPrEx>
        <w:trPr>
          <w:trHeight w:val="948" w:hRule="atLeast"/>
        </w:trPr>
        <w:tc>
          <w:tcPr>
            <w:tcW w:w="980" w:type="dxa"/>
            <w:tcBorders>
              <w:top w:val="nil"/>
              <w:left w:val="single" w:color="auto" w:sz="8" w:space="0"/>
              <w:bottom w:val="single" w:color="auto" w:sz="8" w:space="0"/>
              <w:right w:val="nil"/>
            </w:tcBorders>
            <w:vAlign w:val="center"/>
          </w:tcPr>
          <w:p w14:paraId="4B762691">
            <w:pPr>
              <w:widowControl/>
              <w:adjustRightInd/>
              <w:jc w:val="center"/>
              <w:rPr>
                <w:rFonts w:ascii="宋体" w:hAnsi="宋体" w:cs="宋体"/>
                <w:kern w:val="0"/>
                <w:sz w:val="24"/>
                <w:highlight w:val="none"/>
              </w:rPr>
            </w:pPr>
            <w:r>
              <w:rPr>
                <w:rFonts w:ascii="宋体" w:hAnsi="宋体" w:cs="宋体"/>
                <w:kern w:val="0"/>
                <w:sz w:val="24"/>
                <w:highlight w:val="none"/>
              </w:rPr>
              <w:t>70</w:t>
            </w:r>
          </w:p>
        </w:tc>
        <w:tc>
          <w:tcPr>
            <w:tcW w:w="980" w:type="dxa"/>
            <w:vMerge w:val="restart"/>
            <w:tcBorders>
              <w:top w:val="nil"/>
              <w:left w:val="single" w:color="auto" w:sz="8" w:space="0"/>
              <w:bottom w:val="single" w:color="000000" w:sz="8" w:space="0"/>
              <w:right w:val="single" w:color="auto" w:sz="8" w:space="0"/>
            </w:tcBorders>
            <w:vAlign w:val="center"/>
          </w:tcPr>
          <w:p w14:paraId="43FC3077">
            <w:pPr>
              <w:widowControl/>
              <w:adjustRightInd/>
              <w:jc w:val="center"/>
              <w:rPr>
                <w:rFonts w:ascii="宋体" w:hAnsi="宋体" w:cs="宋体"/>
                <w:kern w:val="0"/>
                <w:sz w:val="24"/>
                <w:highlight w:val="none"/>
              </w:rPr>
            </w:pPr>
            <w:r>
              <w:rPr>
                <w:rFonts w:hint="eastAsia" w:ascii="宋体" w:hAnsi="宋体" w:cs="宋体"/>
                <w:kern w:val="0"/>
                <w:sz w:val="24"/>
                <w:highlight w:val="none"/>
              </w:rPr>
              <w:t>▲增值服务</w:t>
            </w:r>
          </w:p>
        </w:tc>
        <w:tc>
          <w:tcPr>
            <w:tcW w:w="1580" w:type="dxa"/>
            <w:tcBorders>
              <w:top w:val="nil"/>
              <w:left w:val="nil"/>
              <w:bottom w:val="single" w:color="auto" w:sz="8" w:space="0"/>
              <w:right w:val="single" w:color="auto" w:sz="8" w:space="0"/>
            </w:tcBorders>
            <w:vAlign w:val="center"/>
          </w:tcPr>
          <w:p w14:paraId="789410AE">
            <w:pPr>
              <w:widowControl/>
              <w:adjustRightInd/>
              <w:jc w:val="center"/>
              <w:rPr>
                <w:rFonts w:ascii="宋体" w:hAnsi="宋体" w:cs="宋体"/>
                <w:kern w:val="0"/>
                <w:sz w:val="24"/>
                <w:highlight w:val="none"/>
              </w:rPr>
            </w:pPr>
            <w:r>
              <w:rPr>
                <w:rFonts w:hint="eastAsia" w:ascii="宋体" w:hAnsi="宋体" w:cs="宋体"/>
                <w:kern w:val="0"/>
                <w:sz w:val="24"/>
                <w:highlight w:val="none"/>
              </w:rPr>
              <w:t>▲厂家升级产品软件与扩容服务</w:t>
            </w:r>
          </w:p>
        </w:tc>
        <w:tc>
          <w:tcPr>
            <w:tcW w:w="4760" w:type="dxa"/>
            <w:tcBorders>
              <w:top w:val="nil"/>
              <w:left w:val="nil"/>
              <w:bottom w:val="single" w:color="auto" w:sz="8" w:space="0"/>
              <w:right w:val="single" w:color="auto" w:sz="8" w:space="0"/>
            </w:tcBorders>
            <w:vAlign w:val="center"/>
          </w:tcPr>
          <w:p w14:paraId="3298CEDA">
            <w:pPr>
              <w:widowControl/>
              <w:adjustRightInd/>
              <w:rPr>
                <w:rFonts w:ascii="宋体" w:hAnsi="宋体" w:cs="宋体"/>
                <w:kern w:val="0"/>
                <w:sz w:val="24"/>
                <w:highlight w:val="none"/>
              </w:rPr>
            </w:pPr>
            <w:r>
              <w:rPr>
                <w:rFonts w:hint="eastAsia" w:ascii="宋体" w:hAnsi="宋体" w:cs="宋体"/>
                <w:kern w:val="0"/>
                <w:sz w:val="24"/>
                <w:highlight w:val="none"/>
              </w:rPr>
              <w:t>提供原厂级的部件</w:t>
            </w:r>
            <w:r>
              <w:rPr>
                <w:rFonts w:ascii="宋体" w:hAnsi="宋体" w:cs="宋体"/>
                <w:kern w:val="0"/>
                <w:sz w:val="24"/>
                <w:highlight w:val="none"/>
              </w:rPr>
              <w:t>/软件产品升级和扩容能力</w:t>
            </w:r>
          </w:p>
        </w:tc>
      </w:tr>
      <w:tr w14:paraId="0712E5E2">
        <w:tblPrEx>
          <w:tblCellMar>
            <w:top w:w="0" w:type="dxa"/>
            <w:left w:w="108" w:type="dxa"/>
            <w:bottom w:w="0" w:type="dxa"/>
            <w:right w:w="108" w:type="dxa"/>
          </w:tblCellMar>
        </w:tblPrEx>
        <w:trPr>
          <w:trHeight w:val="636" w:hRule="atLeast"/>
        </w:trPr>
        <w:tc>
          <w:tcPr>
            <w:tcW w:w="980" w:type="dxa"/>
            <w:tcBorders>
              <w:top w:val="nil"/>
              <w:left w:val="single" w:color="auto" w:sz="8" w:space="0"/>
              <w:bottom w:val="single" w:color="auto" w:sz="8" w:space="0"/>
              <w:right w:val="nil"/>
            </w:tcBorders>
            <w:vAlign w:val="center"/>
          </w:tcPr>
          <w:p w14:paraId="7E39F29D">
            <w:pPr>
              <w:widowControl/>
              <w:adjustRightInd/>
              <w:jc w:val="center"/>
              <w:rPr>
                <w:rFonts w:ascii="宋体" w:hAnsi="宋体" w:cs="宋体"/>
                <w:kern w:val="0"/>
                <w:sz w:val="24"/>
                <w:highlight w:val="none"/>
              </w:rPr>
            </w:pPr>
            <w:r>
              <w:rPr>
                <w:rFonts w:ascii="宋体" w:hAnsi="宋体" w:cs="宋体"/>
                <w:kern w:val="0"/>
                <w:sz w:val="24"/>
                <w:highlight w:val="none"/>
              </w:rPr>
              <w:t>71</w:t>
            </w:r>
          </w:p>
        </w:tc>
        <w:tc>
          <w:tcPr>
            <w:tcW w:w="980" w:type="dxa"/>
            <w:vMerge w:val="continue"/>
            <w:tcBorders>
              <w:top w:val="nil"/>
              <w:left w:val="single" w:color="auto" w:sz="8" w:space="0"/>
              <w:bottom w:val="single" w:color="000000" w:sz="8" w:space="0"/>
              <w:right w:val="single" w:color="auto" w:sz="8" w:space="0"/>
            </w:tcBorders>
            <w:vAlign w:val="center"/>
          </w:tcPr>
          <w:p w14:paraId="5E29C94E">
            <w:pPr>
              <w:widowControl/>
              <w:adjustRightInd/>
              <w:jc w:val="left"/>
              <w:rPr>
                <w:rFonts w:ascii="宋体" w:hAnsi="宋体" w:cs="宋体"/>
                <w:kern w:val="0"/>
                <w:sz w:val="24"/>
                <w:highlight w:val="none"/>
              </w:rPr>
            </w:pPr>
          </w:p>
        </w:tc>
        <w:tc>
          <w:tcPr>
            <w:tcW w:w="1580" w:type="dxa"/>
            <w:tcBorders>
              <w:top w:val="nil"/>
              <w:left w:val="nil"/>
              <w:bottom w:val="single" w:color="auto" w:sz="8" w:space="0"/>
              <w:right w:val="single" w:color="auto" w:sz="8" w:space="0"/>
            </w:tcBorders>
            <w:vAlign w:val="center"/>
          </w:tcPr>
          <w:p w14:paraId="419D7C89">
            <w:pPr>
              <w:widowControl/>
              <w:adjustRightInd/>
              <w:jc w:val="center"/>
              <w:rPr>
                <w:rFonts w:ascii="宋体" w:hAnsi="宋体" w:cs="宋体"/>
                <w:kern w:val="0"/>
                <w:sz w:val="24"/>
                <w:highlight w:val="none"/>
              </w:rPr>
            </w:pPr>
            <w:r>
              <w:rPr>
                <w:rFonts w:hint="eastAsia" w:ascii="宋体" w:hAnsi="宋体" w:cs="宋体"/>
                <w:kern w:val="0"/>
                <w:sz w:val="24"/>
                <w:highlight w:val="none"/>
              </w:rPr>
              <w:t>▲提供上门服务</w:t>
            </w:r>
          </w:p>
        </w:tc>
        <w:tc>
          <w:tcPr>
            <w:tcW w:w="4760" w:type="dxa"/>
            <w:tcBorders>
              <w:top w:val="nil"/>
              <w:left w:val="nil"/>
              <w:bottom w:val="single" w:color="auto" w:sz="8" w:space="0"/>
              <w:right w:val="single" w:color="auto" w:sz="8" w:space="0"/>
            </w:tcBorders>
            <w:vAlign w:val="center"/>
          </w:tcPr>
          <w:p w14:paraId="7D70FDBC">
            <w:pPr>
              <w:widowControl/>
              <w:adjustRightInd/>
              <w:rPr>
                <w:rFonts w:ascii="宋体" w:hAnsi="宋体" w:cs="宋体"/>
                <w:kern w:val="0"/>
                <w:sz w:val="24"/>
                <w:highlight w:val="none"/>
              </w:rPr>
            </w:pPr>
            <w:r>
              <w:rPr>
                <w:rFonts w:hint="eastAsia" w:ascii="宋体" w:hAnsi="宋体" w:cs="宋体"/>
                <w:kern w:val="0"/>
                <w:sz w:val="24"/>
                <w:highlight w:val="none"/>
              </w:rPr>
              <w:t>具备提供上门服务的能力</w:t>
            </w:r>
            <w:r>
              <w:rPr>
                <w:rFonts w:ascii="宋体" w:hAnsi="宋体" w:cs="宋体"/>
                <w:kern w:val="0"/>
                <w:sz w:val="24"/>
                <w:highlight w:val="none"/>
              </w:rPr>
              <w:t>(可收费)</w:t>
            </w:r>
          </w:p>
        </w:tc>
      </w:tr>
      <w:tr w14:paraId="622C1E17">
        <w:tblPrEx>
          <w:tblCellMar>
            <w:top w:w="0" w:type="dxa"/>
            <w:left w:w="108" w:type="dxa"/>
            <w:bottom w:w="0" w:type="dxa"/>
            <w:right w:w="108" w:type="dxa"/>
          </w:tblCellMar>
        </w:tblPrEx>
        <w:trPr>
          <w:trHeight w:val="948" w:hRule="atLeast"/>
        </w:trPr>
        <w:tc>
          <w:tcPr>
            <w:tcW w:w="980" w:type="dxa"/>
            <w:tcBorders>
              <w:top w:val="nil"/>
              <w:left w:val="single" w:color="auto" w:sz="8" w:space="0"/>
              <w:bottom w:val="single" w:color="auto" w:sz="8" w:space="0"/>
              <w:right w:val="nil"/>
            </w:tcBorders>
            <w:vAlign w:val="center"/>
          </w:tcPr>
          <w:p w14:paraId="382203CA">
            <w:pPr>
              <w:widowControl/>
              <w:adjustRightInd/>
              <w:jc w:val="center"/>
              <w:rPr>
                <w:rFonts w:ascii="宋体" w:hAnsi="宋体" w:cs="宋体"/>
                <w:kern w:val="0"/>
                <w:sz w:val="24"/>
                <w:highlight w:val="none"/>
              </w:rPr>
            </w:pPr>
            <w:r>
              <w:rPr>
                <w:rFonts w:ascii="宋体" w:hAnsi="宋体" w:cs="宋体"/>
                <w:kern w:val="0"/>
                <w:sz w:val="24"/>
                <w:highlight w:val="none"/>
              </w:rPr>
              <w:t>72</w:t>
            </w:r>
          </w:p>
        </w:tc>
        <w:tc>
          <w:tcPr>
            <w:tcW w:w="980" w:type="dxa"/>
            <w:vMerge w:val="restart"/>
            <w:tcBorders>
              <w:top w:val="nil"/>
              <w:left w:val="single" w:color="auto" w:sz="8" w:space="0"/>
              <w:bottom w:val="single" w:color="000000" w:sz="8" w:space="0"/>
              <w:right w:val="single" w:color="auto" w:sz="8" w:space="0"/>
            </w:tcBorders>
            <w:vAlign w:val="center"/>
          </w:tcPr>
          <w:p w14:paraId="3681AD7C">
            <w:pPr>
              <w:widowControl/>
              <w:adjustRightInd/>
              <w:jc w:val="center"/>
              <w:rPr>
                <w:rFonts w:ascii="宋体" w:hAnsi="宋体" w:cs="宋体"/>
                <w:kern w:val="0"/>
                <w:sz w:val="24"/>
                <w:highlight w:val="none"/>
              </w:rPr>
            </w:pPr>
            <w:r>
              <w:rPr>
                <w:rFonts w:hint="eastAsia" w:ascii="宋体" w:hAnsi="宋体" w:cs="宋体"/>
                <w:kern w:val="0"/>
                <w:sz w:val="24"/>
                <w:highlight w:val="none"/>
              </w:rPr>
              <w:t>▲供应链质量</w:t>
            </w:r>
          </w:p>
        </w:tc>
        <w:tc>
          <w:tcPr>
            <w:tcW w:w="1580" w:type="dxa"/>
            <w:tcBorders>
              <w:top w:val="nil"/>
              <w:left w:val="nil"/>
              <w:bottom w:val="single" w:color="auto" w:sz="8" w:space="0"/>
              <w:right w:val="single" w:color="auto" w:sz="8" w:space="0"/>
            </w:tcBorders>
            <w:vAlign w:val="center"/>
          </w:tcPr>
          <w:p w14:paraId="227DCABD">
            <w:pPr>
              <w:widowControl/>
              <w:adjustRightInd/>
              <w:jc w:val="center"/>
              <w:rPr>
                <w:rFonts w:ascii="宋体" w:hAnsi="宋体" w:cs="宋体"/>
                <w:kern w:val="0"/>
                <w:sz w:val="24"/>
                <w:highlight w:val="none"/>
              </w:rPr>
            </w:pPr>
            <w:r>
              <w:rPr>
                <w:rFonts w:hint="eastAsia" w:ascii="宋体" w:hAnsi="宋体" w:cs="宋体"/>
                <w:kern w:val="0"/>
                <w:sz w:val="24"/>
                <w:highlight w:val="none"/>
              </w:rPr>
              <w:t>▲抗干扰性</w:t>
            </w:r>
          </w:p>
        </w:tc>
        <w:tc>
          <w:tcPr>
            <w:tcW w:w="4760" w:type="dxa"/>
            <w:tcBorders>
              <w:top w:val="nil"/>
              <w:left w:val="nil"/>
              <w:bottom w:val="single" w:color="auto" w:sz="8" w:space="0"/>
              <w:right w:val="single" w:color="auto" w:sz="8" w:space="0"/>
            </w:tcBorders>
            <w:vAlign w:val="center"/>
          </w:tcPr>
          <w:p w14:paraId="6046CCE1">
            <w:pPr>
              <w:widowControl/>
              <w:adjustRightInd/>
              <w:rPr>
                <w:rFonts w:ascii="宋体" w:hAnsi="宋体" w:cs="宋体"/>
                <w:kern w:val="0"/>
                <w:sz w:val="24"/>
                <w:highlight w:val="none"/>
              </w:rPr>
            </w:pPr>
            <w:r>
              <w:rPr>
                <w:rFonts w:hint="eastAsia" w:ascii="宋体" w:hAnsi="宋体" w:cs="宋体"/>
                <w:kern w:val="0"/>
                <w:sz w:val="24"/>
                <w:highlight w:val="none"/>
              </w:rPr>
              <w:t>当产品部件出现供应风险时，应通知客户并提供风险应对方案确保产品的服务保障，必要时应停止相关受影响产品的销售</w:t>
            </w:r>
          </w:p>
        </w:tc>
      </w:tr>
      <w:tr w14:paraId="4C83702D">
        <w:tblPrEx>
          <w:tblCellMar>
            <w:top w:w="0" w:type="dxa"/>
            <w:left w:w="108" w:type="dxa"/>
            <w:bottom w:w="0" w:type="dxa"/>
            <w:right w:w="108" w:type="dxa"/>
          </w:tblCellMar>
        </w:tblPrEx>
        <w:trPr>
          <w:trHeight w:val="636" w:hRule="atLeast"/>
        </w:trPr>
        <w:tc>
          <w:tcPr>
            <w:tcW w:w="980" w:type="dxa"/>
            <w:tcBorders>
              <w:top w:val="nil"/>
              <w:left w:val="single" w:color="auto" w:sz="8" w:space="0"/>
              <w:bottom w:val="single" w:color="auto" w:sz="8" w:space="0"/>
              <w:right w:val="nil"/>
            </w:tcBorders>
            <w:vAlign w:val="center"/>
          </w:tcPr>
          <w:p w14:paraId="05C5B2A3">
            <w:pPr>
              <w:widowControl/>
              <w:adjustRightInd/>
              <w:jc w:val="center"/>
              <w:rPr>
                <w:rFonts w:ascii="宋体" w:hAnsi="宋体" w:cs="宋体"/>
                <w:kern w:val="0"/>
                <w:sz w:val="24"/>
                <w:highlight w:val="none"/>
              </w:rPr>
            </w:pPr>
            <w:r>
              <w:rPr>
                <w:rFonts w:ascii="宋体" w:hAnsi="宋体" w:cs="宋体"/>
                <w:kern w:val="0"/>
                <w:sz w:val="24"/>
                <w:highlight w:val="none"/>
              </w:rPr>
              <w:t>73</w:t>
            </w:r>
          </w:p>
        </w:tc>
        <w:tc>
          <w:tcPr>
            <w:tcW w:w="980" w:type="dxa"/>
            <w:vMerge w:val="continue"/>
            <w:tcBorders>
              <w:top w:val="nil"/>
              <w:left w:val="single" w:color="auto" w:sz="8" w:space="0"/>
              <w:bottom w:val="single" w:color="000000" w:sz="8" w:space="0"/>
              <w:right w:val="single" w:color="auto" w:sz="8" w:space="0"/>
            </w:tcBorders>
            <w:vAlign w:val="center"/>
          </w:tcPr>
          <w:p w14:paraId="4DF2793B">
            <w:pPr>
              <w:widowControl/>
              <w:adjustRightInd/>
              <w:jc w:val="left"/>
              <w:rPr>
                <w:rFonts w:ascii="宋体" w:hAnsi="宋体" w:cs="宋体"/>
                <w:kern w:val="0"/>
                <w:sz w:val="24"/>
                <w:highlight w:val="none"/>
              </w:rPr>
            </w:pPr>
          </w:p>
        </w:tc>
        <w:tc>
          <w:tcPr>
            <w:tcW w:w="1580" w:type="dxa"/>
            <w:tcBorders>
              <w:top w:val="nil"/>
              <w:left w:val="nil"/>
              <w:bottom w:val="single" w:color="auto" w:sz="8" w:space="0"/>
              <w:right w:val="single" w:color="auto" w:sz="8" w:space="0"/>
            </w:tcBorders>
            <w:vAlign w:val="center"/>
          </w:tcPr>
          <w:p w14:paraId="187C8305">
            <w:pPr>
              <w:widowControl/>
              <w:adjustRightInd/>
              <w:jc w:val="center"/>
              <w:rPr>
                <w:rFonts w:ascii="宋体" w:hAnsi="宋体" w:cs="宋体"/>
                <w:kern w:val="0"/>
                <w:sz w:val="24"/>
                <w:highlight w:val="none"/>
              </w:rPr>
            </w:pPr>
            <w:r>
              <w:rPr>
                <w:rFonts w:hint="eastAsia" w:ascii="宋体" w:hAnsi="宋体" w:cs="宋体"/>
                <w:kern w:val="0"/>
                <w:sz w:val="24"/>
                <w:highlight w:val="none"/>
              </w:rPr>
              <w:t>▲供应能力证明</w:t>
            </w:r>
          </w:p>
        </w:tc>
        <w:tc>
          <w:tcPr>
            <w:tcW w:w="4760" w:type="dxa"/>
            <w:tcBorders>
              <w:top w:val="nil"/>
              <w:left w:val="nil"/>
              <w:bottom w:val="single" w:color="auto" w:sz="8" w:space="0"/>
              <w:right w:val="single" w:color="auto" w:sz="8" w:space="0"/>
            </w:tcBorders>
            <w:vAlign w:val="center"/>
          </w:tcPr>
          <w:p w14:paraId="7ABAE8D0">
            <w:pPr>
              <w:widowControl/>
              <w:adjustRightInd/>
              <w:rPr>
                <w:rFonts w:ascii="宋体" w:hAnsi="宋体" w:cs="宋体"/>
                <w:kern w:val="0"/>
                <w:sz w:val="24"/>
                <w:highlight w:val="none"/>
              </w:rPr>
            </w:pPr>
            <w:r>
              <w:rPr>
                <w:rFonts w:hint="eastAsia" w:ascii="宋体" w:hAnsi="宋体" w:cs="宋体"/>
                <w:kern w:val="0"/>
                <w:sz w:val="24"/>
                <w:highlight w:val="none"/>
              </w:rPr>
              <w:t>供应商需提供供应链稳定承诺书，确保产品的部件在产品服务周期内稳定供货</w:t>
            </w:r>
          </w:p>
        </w:tc>
      </w:tr>
    </w:tbl>
    <w:p w14:paraId="2464EBF9">
      <w:pPr>
        <w:spacing w:line="360" w:lineRule="auto"/>
        <w:ind w:firstLine="480" w:firstLineChars="200"/>
        <w:rPr>
          <w:rFonts w:ascii="宋体" w:hAnsi="宋体" w:cs="宋体"/>
          <w:sz w:val="24"/>
          <w:highlight w:val="none"/>
        </w:rPr>
      </w:pPr>
    </w:p>
    <w:tbl>
      <w:tblPr>
        <w:tblStyle w:val="6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006"/>
        <w:gridCol w:w="5698"/>
      </w:tblGrid>
      <w:tr w14:paraId="5F11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33EF6FE6">
            <w:pPr>
              <w:jc w:val="center"/>
              <w:rPr>
                <w:rFonts w:ascii="宋体" w:hAnsi="宋体" w:cs="宋体"/>
                <w:sz w:val="24"/>
                <w:szCs w:val="20"/>
                <w:highlight w:val="none"/>
              </w:rPr>
            </w:pPr>
            <w:r>
              <w:rPr>
                <w:rFonts w:hint="eastAsia" w:ascii="宋体" w:hAnsi="宋体" w:cs="宋体"/>
                <w:sz w:val="24"/>
                <w:szCs w:val="20"/>
                <w:highlight w:val="none"/>
              </w:rPr>
              <w:t>序号</w:t>
            </w:r>
          </w:p>
        </w:tc>
        <w:tc>
          <w:tcPr>
            <w:tcW w:w="2006" w:type="dxa"/>
            <w:vAlign w:val="center"/>
          </w:tcPr>
          <w:p w14:paraId="3FBCB49A">
            <w:pPr>
              <w:jc w:val="center"/>
              <w:rPr>
                <w:rFonts w:ascii="宋体" w:hAnsi="宋体" w:cs="宋体"/>
                <w:sz w:val="24"/>
                <w:szCs w:val="20"/>
                <w:highlight w:val="none"/>
              </w:rPr>
            </w:pPr>
            <w:r>
              <w:rPr>
                <w:rFonts w:hint="eastAsia" w:ascii="宋体" w:hAnsi="宋体" w:cs="宋体"/>
                <w:sz w:val="24"/>
                <w:szCs w:val="20"/>
                <w:highlight w:val="none"/>
              </w:rPr>
              <w:t>服务</w:t>
            </w:r>
          </w:p>
        </w:tc>
        <w:tc>
          <w:tcPr>
            <w:tcW w:w="5698" w:type="dxa"/>
            <w:vAlign w:val="center"/>
          </w:tcPr>
          <w:p w14:paraId="0DC1E7C4">
            <w:pPr>
              <w:jc w:val="center"/>
              <w:rPr>
                <w:rFonts w:ascii="宋体" w:hAnsi="宋体" w:cs="宋体"/>
                <w:sz w:val="24"/>
                <w:szCs w:val="20"/>
                <w:highlight w:val="none"/>
              </w:rPr>
            </w:pPr>
            <w:r>
              <w:rPr>
                <w:rFonts w:hint="eastAsia" w:ascii="宋体" w:hAnsi="宋体" w:cs="宋体"/>
                <w:sz w:val="24"/>
                <w:szCs w:val="20"/>
                <w:highlight w:val="none"/>
              </w:rPr>
              <w:t>参数</w:t>
            </w:r>
          </w:p>
        </w:tc>
      </w:tr>
      <w:tr w14:paraId="7FEC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31BC4F4B">
            <w:pPr>
              <w:numPr>
                <w:ilvl w:val="0"/>
                <w:numId w:val="2"/>
              </w:numPr>
              <w:adjustRightInd/>
              <w:ind w:left="0" w:firstLine="0"/>
              <w:jc w:val="center"/>
              <w:rPr>
                <w:rFonts w:ascii="宋体" w:hAnsi="宋体" w:cs="宋体"/>
                <w:sz w:val="24"/>
                <w:szCs w:val="20"/>
                <w:highlight w:val="none"/>
              </w:rPr>
            </w:pPr>
          </w:p>
        </w:tc>
        <w:tc>
          <w:tcPr>
            <w:tcW w:w="2006" w:type="dxa"/>
            <w:vMerge w:val="restart"/>
            <w:vAlign w:val="center"/>
          </w:tcPr>
          <w:p w14:paraId="2D01C53A">
            <w:pPr>
              <w:jc w:val="left"/>
              <w:rPr>
                <w:rFonts w:ascii="宋体" w:hAnsi="宋体" w:cs="宋体"/>
                <w:sz w:val="24"/>
                <w:szCs w:val="20"/>
                <w:highlight w:val="none"/>
              </w:rPr>
            </w:pPr>
            <w:r>
              <w:rPr>
                <w:rFonts w:hint="eastAsia" w:ascii="宋体" w:hAnsi="宋体" w:cs="宋体"/>
                <w:sz w:val="24"/>
                <w:szCs w:val="20"/>
                <w:highlight w:val="none"/>
              </w:rPr>
              <w:t>部署</w:t>
            </w:r>
            <w:r>
              <w:rPr>
                <w:rFonts w:ascii="宋体" w:hAnsi="宋体" w:cs="宋体"/>
                <w:sz w:val="24"/>
                <w:szCs w:val="20"/>
                <w:highlight w:val="none"/>
              </w:rPr>
              <w:t>4节点图片分布式存储，2台光交换机，共提供1.18P的存储空间，支撑非现场违法图片和视频数据的保存</w:t>
            </w:r>
          </w:p>
        </w:tc>
        <w:tc>
          <w:tcPr>
            <w:tcW w:w="5698" w:type="dxa"/>
            <w:vAlign w:val="center"/>
          </w:tcPr>
          <w:p w14:paraId="4C2D6BD3">
            <w:pPr>
              <w:jc w:val="left"/>
              <w:rPr>
                <w:rFonts w:ascii="宋体" w:hAnsi="宋体" w:cs="宋体"/>
                <w:sz w:val="24"/>
                <w:szCs w:val="20"/>
                <w:highlight w:val="none"/>
              </w:rPr>
            </w:pPr>
            <w:r>
              <w:rPr>
                <w:rFonts w:ascii="宋体" w:hAnsi="宋体" w:cs="宋体"/>
                <w:sz w:val="24"/>
                <w:szCs w:val="20"/>
                <w:highlight w:val="none"/>
              </w:rPr>
              <w:t>1）分布式存储参数：</w:t>
            </w:r>
          </w:p>
          <w:p w14:paraId="42D9D147">
            <w:pPr>
              <w:jc w:val="left"/>
              <w:rPr>
                <w:rFonts w:ascii="宋体" w:hAnsi="宋体" w:cs="宋体"/>
                <w:sz w:val="24"/>
                <w:highlight w:val="none"/>
              </w:rPr>
            </w:pPr>
            <w:r>
              <w:rPr>
                <w:rFonts w:hint="eastAsia" w:ascii="宋体" w:hAnsi="宋体" w:cs="宋体"/>
                <w:sz w:val="24"/>
                <w:highlight w:val="none"/>
              </w:rPr>
              <w:t>（数据控制器）内嵌高性能数据存取引擎，用于并行处理所有客户端的数据访问请求，内嵌高性能数据恢复引擎，支持节点间replication（多副本）/N+M（纠删码）数据冗余方式；</w:t>
            </w:r>
          </w:p>
          <w:p w14:paraId="06103A2E">
            <w:pPr>
              <w:jc w:val="left"/>
              <w:rPr>
                <w:rFonts w:ascii="宋体" w:hAnsi="宋体" w:cs="宋体"/>
                <w:sz w:val="24"/>
                <w:highlight w:val="none"/>
              </w:rPr>
            </w:pPr>
            <w:r>
              <w:rPr>
                <w:rFonts w:hint="eastAsia" w:ascii="宋体" w:hAnsi="宋体" w:cs="宋体"/>
                <w:sz w:val="24"/>
                <w:highlight w:val="none"/>
              </w:rPr>
              <w:t>*存储支持SMB/CIFS、NFS、FTP/FTPS、HTTP/HTTPS、POSIX （MPI-IO）S3、.CSI、HDFS、ISCSI、FC、LocalSCSI、Lidrbd、XBD多种访问协议。支持文件、对象及HDFS协议互通，避免因访问协议不同造成的数据拷贝POSIX协议访问延时在10ms以内，支持多套集群挂载和数据一致性。；</w:t>
            </w:r>
          </w:p>
          <w:p w14:paraId="23031CC7">
            <w:pPr>
              <w:jc w:val="left"/>
              <w:rPr>
                <w:rFonts w:ascii="宋体" w:hAnsi="宋体" w:cs="宋体"/>
                <w:sz w:val="24"/>
                <w:highlight w:val="none"/>
              </w:rPr>
            </w:pPr>
            <w:r>
              <w:rPr>
                <w:rFonts w:hint="eastAsia" w:ascii="宋体" w:hAnsi="宋体" w:cs="宋体"/>
                <w:sz w:val="24"/>
                <w:highlight w:val="none"/>
              </w:rPr>
              <w:t>*单目录支持存放大于1000亿文件；单桶支持存放大于1000亿对象；文件系统数量大于4096个，单个文件大小大于256TB；</w:t>
            </w:r>
          </w:p>
          <w:p w14:paraId="11BF71C2">
            <w:pPr>
              <w:jc w:val="left"/>
              <w:rPr>
                <w:rFonts w:ascii="宋体" w:hAnsi="宋体" w:cs="宋体"/>
                <w:sz w:val="24"/>
                <w:highlight w:val="none"/>
              </w:rPr>
            </w:pPr>
            <w:r>
              <w:rPr>
                <w:rFonts w:hint="eastAsia" w:ascii="宋体" w:hAnsi="宋体" w:cs="宋体"/>
                <w:sz w:val="24"/>
                <w:highlight w:val="none"/>
              </w:rPr>
              <w:t>*存储支持多租户特性，单个集群内可以划分为多个节点池，不同节点池可设置不同的数据保护策略（动态EC，支持双副本、三副本、4+2、8+2、10+2、12+2、22+2数据保护策略），实现节点池之间数据隔离；对节点池设置不同访问分区，为不同用户或应用提供不同的存储服务，实现数据访问的相互隔离；</w:t>
            </w:r>
          </w:p>
          <w:p w14:paraId="421BA7D4">
            <w:pPr>
              <w:jc w:val="left"/>
              <w:rPr>
                <w:rFonts w:ascii="宋体" w:hAnsi="宋体" w:cs="宋体"/>
                <w:sz w:val="24"/>
                <w:highlight w:val="none"/>
              </w:rPr>
            </w:pPr>
            <w:r>
              <w:rPr>
                <w:rFonts w:hint="eastAsia" w:ascii="宋体" w:hAnsi="宋体" w:cs="宋体"/>
                <w:sz w:val="24"/>
                <w:highlight w:val="none"/>
              </w:rPr>
              <w:t>*分布式存储支持分级存储和数据生命周期管理功能。文件接口分级存储和生命周期管理支持文件名过滤规则、文件大小、元数据的创建时间/修改时间；块接口分级存储支持IO监控策略（周期性/定时监控）；桶的生命周期作用于桶内特定对象、桶内所有对象和应用到整个桶，可设置分级存储策略、过期删除策略和过期删除未合并的多段任务策略。分级存储支持四级存储介质，各层级容量均可作为实际容量使用；</w:t>
            </w:r>
          </w:p>
          <w:p w14:paraId="7187EEB1">
            <w:pPr>
              <w:jc w:val="left"/>
              <w:rPr>
                <w:rFonts w:ascii="宋体" w:hAnsi="宋体" w:cs="宋体"/>
                <w:sz w:val="24"/>
                <w:highlight w:val="none"/>
              </w:rPr>
            </w:pPr>
            <w:r>
              <w:rPr>
                <w:rFonts w:hint="eastAsia" w:ascii="宋体" w:hAnsi="宋体" w:cs="宋体"/>
                <w:sz w:val="24"/>
                <w:highlight w:val="none"/>
              </w:rPr>
              <w:t>*分布式存储支持目录级的远程复制功能，过滤条件包括文件名、文件大小、文件的访问时间/修改时间/元数据修改时间，支持主从切换、分裂和取消分裂操作以及最大带宽限制；分布式存储支持块接口的远程复制功能，支持可选一致性组复制和LUN复制，支持异步和同步远程复制。分布式存储支持对象接口的远程复制功能，支持桶内所有对象和按照条件筛选（对象名称前缀、对象标签、对象名称前缀及对象标签），支持同步QoS策略（设置传输带宽及TPS上限）以及主从切换；</w:t>
            </w:r>
          </w:p>
          <w:p w14:paraId="1393D093">
            <w:pPr>
              <w:jc w:val="left"/>
              <w:rPr>
                <w:rFonts w:ascii="宋体" w:hAnsi="宋体" w:cs="宋体"/>
                <w:sz w:val="24"/>
                <w:highlight w:val="none"/>
              </w:rPr>
            </w:pPr>
            <w:r>
              <w:rPr>
                <w:rFonts w:hint="eastAsia" w:ascii="宋体" w:hAnsi="宋体" w:cs="宋体"/>
                <w:sz w:val="24"/>
                <w:highlight w:val="none"/>
              </w:rPr>
              <w:t>*分布式存储系统支持多版本、WORM、对象锁定、追加写、对象加密、重删及压缩、文件迁移至对象特性；</w:t>
            </w:r>
          </w:p>
          <w:p w14:paraId="59748717">
            <w:pPr>
              <w:jc w:val="left"/>
              <w:rPr>
                <w:rFonts w:ascii="宋体" w:hAnsi="宋体" w:cs="宋体"/>
                <w:sz w:val="24"/>
                <w:highlight w:val="none"/>
              </w:rPr>
            </w:pPr>
            <w:r>
              <w:rPr>
                <w:rFonts w:hint="eastAsia" w:ascii="宋体" w:hAnsi="宋体" w:cs="宋体"/>
                <w:sz w:val="24"/>
                <w:highlight w:val="none"/>
              </w:rPr>
              <w:t>*分布式存储磁盘或节点故障后，自动触发数据重建修复，1TB数据修复时间小于10分钟；支持调整数据重建QoS策略；</w:t>
            </w:r>
          </w:p>
          <w:p w14:paraId="59FF389E">
            <w:pPr>
              <w:jc w:val="left"/>
              <w:rPr>
                <w:rFonts w:ascii="宋体" w:hAnsi="宋体" w:cs="宋体"/>
                <w:sz w:val="24"/>
                <w:highlight w:val="none"/>
              </w:rPr>
            </w:pPr>
            <w:r>
              <w:rPr>
                <w:rFonts w:hint="eastAsia" w:ascii="宋体" w:hAnsi="宋体" w:cs="宋体"/>
                <w:sz w:val="24"/>
                <w:highlight w:val="none"/>
              </w:rPr>
              <w:t>*分布式存储系统支持文件回收站、块回收站、对象回收站功能，支持文件/对象/存储卷删除后自动保存一段时间，可以从回收站恢复，支持文件过期后自动删除。</w:t>
            </w:r>
          </w:p>
          <w:p w14:paraId="2B9DEC48">
            <w:pPr>
              <w:jc w:val="left"/>
              <w:rPr>
                <w:rFonts w:ascii="宋体" w:hAnsi="宋体" w:cs="宋体"/>
                <w:sz w:val="24"/>
                <w:highlight w:val="none"/>
              </w:rPr>
            </w:pPr>
            <w:r>
              <w:rPr>
                <w:rFonts w:hint="eastAsia" w:ascii="宋体" w:hAnsi="宋体" w:cs="宋体"/>
                <w:sz w:val="24"/>
                <w:highlight w:val="none"/>
              </w:rPr>
              <w:t>*分布式存储支持原生HDFS接口语义，可对接Hadoop大数据平台并提供存储空间，支持接管Hadoop已有HDFS存储资源。</w:t>
            </w:r>
          </w:p>
          <w:p w14:paraId="6F4B5540">
            <w:pPr>
              <w:jc w:val="left"/>
              <w:rPr>
                <w:rFonts w:ascii="宋体" w:hAnsi="宋体" w:cs="宋体"/>
                <w:sz w:val="24"/>
                <w:szCs w:val="20"/>
                <w:highlight w:val="none"/>
              </w:rPr>
            </w:pPr>
            <w:r>
              <w:rPr>
                <w:rFonts w:hint="eastAsia" w:ascii="宋体" w:hAnsi="宋体" w:cs="宋体"/>
                <w:sz w:val="24"/>
                <w:highlight w:val="none"/>
              </w:rPr>
              <w:t>硬件要求：不低于板载双口千兆RJ45网卡/128G缓存/600G 2.5吋10K 12Gb SAS硬盘*2 /3.84T 2.5 SATA 6G R SSD*2 /双口万兆网卡（含模块）</w:t>
            </w:r>
            <w:r>
              <w:rPr>
                <w:rFonts w:ascii="宋体" w:hAnsi="宋体" w:cs="宋体"/>
                <w:sz w:val="24"/>
                <w:highlight w:val="none"/>
              </w:rPr>
              <w:t>*2</w:t>
            </w:r>
            <w:r>
              <w:rPr>
                <w:rFonts w:hint="eastAsia" w:ascii="宋体" w:hAnsi="宋体" w:cs="宋体"/>
                <w:sz w:val="24"/>
                <w:highlight w:val="none"/>
              </w:rPr>
              <w:t xml:space="preserve"> /冗余电源</w:t>
            </w:r>
          </w:p>
        </w:tc>
      </w:tr>
      <w:tr w14:paraId="76ABA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38C4792A">
            <w:pPr>
              <w:numPr>
                <w:ilvl w:val="0"/>
                <w:numId w:val="2"/>
              </w:numPr>
              <w:adjustRightInd/>
              <w:ind w:left="0" w:firstLine="0"/>
              <w:jc w:val="center"/>
              <w:rPr>
                <w:rFonts w:ascii="宋体" w:hAnsi="宋体" w:cs="宋体"/>
                <w:sz w:val="24"/>
                <w:szCs w:val="20"/>
                <w:highlight w:val="none"/>
              </w:rPr>
            </w:pPr>
          </w:p>
        </w:tc>
        <w:tc>
          <w:tcPr>
            <w:tcW w:w="2006" w:type="dxa"/>
            <w:vMerge w:val="continue"/>
            <w:vAlign w:val="center"/>
          </w:tcPr>
          <w:p w14:paraId="5DE69300">
            <w:pPr>
              <w:jc w:val="left"/>
              <w:rPr>
                <w:rFonts w:ascii="宋体" w:hAnsi="宋体" w:cs="宋体"/>
                <w:sz w:val="24"/>
                <w:szCs w:val="20"/>
                <w:highlight w:val="none"/>
              </w:rPr>
            </w:pPr>
          </w:p>
        </w:tc>
        <w:tc>
          <w:tcPr>
            <w:tcW w:w="5698" w:type="dxa"/>
            <w:vAlign w:val="center"/>
          </w:tcPr>
          <w:p w14:paraId="5DBD5670">
            <w:pPr>
              <w:jc w:val="left"/>
              <w:rPr>
                <w:rFonts w:ascii="宋体" w:hAnsi="宋体" w:cs="宋体"/>
                <w:sz w:val="24"/>
                <w:szCs w:val="20"/>
                <w:highlight w:val="none"/>
              </w:rPr>
            </w:pPr>
            <w:r>
              <w:rPr>
                <w:rFonts w:ascii="宋体" w:hAnsi="宋体" w:cs="宋体"/>
                <w:sz w:val="24"/>
                <w:szCs w:val="20"/>
                <w:highlight w:val="none"/>
              </w:rPr>
              <w:t>2）存储硬盘</w:t>
            </w:r>
          </w:p>
          <w:p w14:paraId="23223909">
            <w:pPr>
              <w:jc w:val="left"/>
              <w:rPr>
                <w:rFonts w:ascii="宋体" w:hAnsi="宋体" w:cs="宋体"/>
                <w:sz w:val="24"/>
                <w:szCs w:val="20"/>
                <w:highlight w:val="none"/>
              </w:rPr>
            </w:pPr>
            <w:r>
              <w:rPr>
                <w:rFonts w:hint="eastAsia" w:ascii="宋体" w:hAnsi="宋体" w:cs="宋体"/>
                <w:sz w:val="24"/>
                <w:szCs w:val="20"/>
                <w:highlight w:val="none"/>
              </w:rPr>
              <w:t>不低于</w:t>
            </w:r>
            <w:r>
              <w:rPr>
                <w:rFonts w:ascii="宋体" w:hAnsi="宋体" w:cs="宋体"/>
                <w:sz w:val="24"/>
                <w:szCs w:val="20"/>
                <w:highlight w:val="none"/>
              </w:rPr>
              <w:t xml:space="preserve">16TB 3.5吋7.2k 6Gb SATA硬盘*120 </w:t>
            </w:r>
          </w:p>
        </w:tc>
      </w:tr>
      <w:tr w14:paraId="5E74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44116FBD">
            <w:pPr>
              <w:numPr>
                <w:ilvl w:val="0"/>
                <w:numId w:val="2"/>
              </w:numPr>
              <w:adjustRightInd/>
              <w:ind w:left="0" w:firstLine="0"/>
              <w:jc w:val="center"/>
              <w:rPr>
                <w:rFonts w:ascii="宋体" w:hAnsi="宋体" w:cs="宋体"/>
                <w:sz w:val="24"/>
                <w:szCs w:val="20"/>
                <w:highlight w:val="none"/>
              </w:rPr>
            </w:pPr>
          </w:p>
        </w:tc>
        <w:tc>
          <w:tcPr>
            <w:tcW w:w="2006" w:type="dxa"/>
            <w:vMerge w:val="continue"/>
            <w:vAlign w:val="center"/>
          </w:tcPr>
          <w:p w14:paraId="33FE9942">
            <w:pPr>
              <w:jc w:val="left"/>
              <w:rPr>
                <w:rFonts w:ascii="宋体" w:hAnsi="宋体" w:cs="宋体"/>
                <w:sz w:val="24"/>
                <w:szCs w:val="20"/>
                <w:highlight w:val="none"/>
              </w:rPr>
            </w:pPr>
          </w:p>
        </w:tc>
        <w:tc>
          <w:tcPr>
            <w:tcW w:w="5698" w:type="dxa"/>
            <w:vAlign w:val="center"/>
          </w:tcPr>
          <w:p w14:paraId="0304E2CE">
            <w:pPr>
              <w:jc w:val="left"/>
              <w:rPr>
                <w:rFonts w:ascii="宋体" w:hAnsi="宋体" w:cs="宋体"/>
                <w:sz w:val="24"/>
                <w:szCs w:val="20"/>
                <w:highlight w:val="none"/>
              </w:rPr>
            </w:pPr>
            <w:r>
              <w:rPr>
                <w:rFonts w:ascii="宋体" w:hAnsi="宋体" w:cs="宋体"/>
                <w:sz w:val="24"/>
                <w:szCs w:val="20"/>
                <w:highlight w:val="none"/>
              </w:rPr>
              <w:t>3）光交换机参数：</w:t>
            </w:r>
          </w:p>
          <w:p w14:paraId="612F73AE">
            <w:pPr>
              <w:jc w:val="left"/>
              <w:rPr>
                <w:rFonts w:ascii="宋体" w:hAnsi="宋体" w:cs="宋体"/>
                <w:sz w:val="24"/>
                <w:szCs w:val="20"/>
                <w:highlight w:val="none"/>
              </w:rPr>
            </w:pPr>
            <w:r>
              <w:rPr>
                <w:rFonts w:hint="eastAsia" w:ascii="宋体" w:hAnsi="宋体" w:cs="宋体"/>
                <w:sz w:val="24"/>
                <w:szCs w:val="20"/>
                <w:highlight w:val="none"/>
              </w:rPr>
              <w:t>不低于</w:t>
            </w:r>
            <w:r>
              <w:rPr>
                <w:rFonts w:ascii="宋体" w:hAnsi="宋体" w:cs="宋体"/>
                <w:sz w:val="24"/>
                <w:szCs w:val="20"/>
                <w:highlight w:val="none"/>
              </w:rPr>
              <w:t>48个万兆光口（含光模块）+8个100G端口交换机</w:t>
            </w:r>
          </w:p>
        </w:tc>
      </w:tr>
    </w:tbl>
    <w:p w14:paraId="45BA0D5D">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备注：</w:t>
      </w:r>
      <w:r>
        <w:rPr>
          <w:rFonts w:hint="eastAsia" w:ascii="宋体" w:hAnsi="宋体" w:cs="仿宋"/>
          <w:b/>
          <w:bCs/>
          <w:sz w:val="24"/>
          <w:highlight w:val="none"/>
        </w:rPr>
        <w:t>标</w:t>
      </w:r>
      <w:r>
        <w:rPr>
          <w:rFonts w:ascii="宋体" w:hAnsi="宋体" w:cs="仿宋"/>
          <w:b/>
          <w:bCs/>
          <w:sz w:val="24"/>
          <w:highlight w:val="none"/>
        </w:rPr>
        <w:t>*</w:t>
      </w:r>
      <w:r>
        <w:rPr>
          <w:rFonts w:hint="eastAsia" w:ascii="宋体" w:hAnsi="宋体" w:cs="仿宋"/>
          <w:b/>
          <w:bCs/>
          <w:sz w:val="24"/>
          <w:highlight w:val="none"/>
        </w:rPr>
        <w:t>项参数以第三方检测机构出具的具备</w:t>
      </w:r>
      <w:r>
        <w:rPr>
          <w:rFonts w:ascii="宋体" w:hAnsi="宋体" w:cs="仿宋"/>
          <w:b/>
          <w:bCs/>
          <w:sz w:val="24"/>
          <w:highlight w:val="none"/>
        </w:rPr>
        <w:t>CMA</w:t>
      </w:r>
      <w:r>
        <w:rPr>
          <w:rFonts w:hint="eastAsia" w:ascii="宋体" w:hAnsi="宋体" w:cs="仿宋"/>
          <w:b/>
          <w:bCs/>
          <w:sz w:val="24"/>
          <w:highlight w:val="none"/>
        </w:rPr>
        <w:t>标识的检测报告。</w:t>
      </w:r>
    </w:p>
    <w:tbl>
      <w:tblPr>
        <w:tblStyle w:val="6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006"/>
        <w:gridCol w:w="5698"/>
      </w:tblGrid>
      <w:tr w14:paraId="0258F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21A3E4FD">
            <w:pPr>
              <w:keepNext/>
              <w:keepLines/>
              <w:spacing w:before="160" w:after="160" w:line="720" w:lineRule="exact"/>
              <w:jc w:val="center"/>
              <w:outlineLvl w:val="1"/>
              <w:rPr>
                <w:rFonts w:ascii="宋体" w:hAnsi="宋体" w:cs="宋体"/>
                <w:sz w:val="24"/>
                <w:szCs w:val="20"/>
                <w:highlight w:val="none"/>
              </w:rPr>
            </w:pPr>
            <w:r>
              <w:rPr>
                <w:rFonts w:hint="eastAsia" w:ascii="宋体" w:hAnsi="宋体" w:cs="宋体"/>
                <w:sz w:val="24"/>
                <w:szCs w:val="20"/>
                <w:highlight w:val="none"/>
              </w:rPr>
              <w:t>序号</w:t>
            </w:r>
          </w:p>
        </w:tc>
        <w:tc>
          <w:tcPr>
            <w:tcW w:w="2006" w:type="dxa"/>
            <w:vAlign w:val="center"/>
          </w:tcPr>
          <w:p w14:paraId="54E5769B">
            <w:pPr>
              <w:keepNext/>
              <w:keepLines/>
              <w:spacing w:before="160" w:after="160" w:line="720" w:lineRule="exact"/>
              <w:jc w:val="center"/>
              <w:outlineLvl w:val="1"/>
              <w:rPr>
                <w:rFonts w:ascii="宋体" w:hAnsi="宋体" w:cs="宋体"/>
                <w:sz w:val="24"/>
                <w:szCs w:val="20"/>
                <w:highlight w:val="none"/>
              </w:rPr>
            </w:pPr>
            <w:r>
              <w:rPr>
                <w:rFonts w:hint="eastAsia" w:ascii="宋体" w:hAnsi="宋体" w:cs="宋体"/>
                <w:sz w:val="24"/>
                <w:szCs w:val="20"/>
                <w:highlight w:val="none"/>
              </w:rPr>
              <w:t>服务</w:t>
            </w:r>
          </w:p>
        </w:tc>
        <w:tc>
          <w:tcPr>
            <w:tcW w:w="5698" w:type="dxa"/>
            <w:vAlign w:val="center"/>
          </w:tcPr>
          <w:p w14:paraId="20E5E21D">
            <w:pPr>
              <w:keepNext/>
              <w:keepLines/>
              <w:spacing w:before="160" w:after="160" w:line="720" w:lineRule="exact"/>
              <w:jc w:val="center"/>
              <w:outlineLvl w:val="1"/>
              <w:rPr>
                <w:rFonts w:ascii="宋体" w:hAnsi="宋体" w:cs="宋体"/>
                <w:sz w:val="24"/>
                <w:szCs w:val="20"/>
                <w:highlight w:val="none"/>
              </w:rPr>
            </w:pPr>
            <w:r>
              <w:rPr>
                <w:rFonts w:hint="eastAsia" w:ascii="宋体" w:hAnsi="宋体" w:cs="宋体"/>
                <w:sz w:val="24"/>
                <w:szCs w:val="20"/>
                <w:highlight w:val="none"/>
              </w:rPr>
              <w:t>参数</w:t>
            </w:r>
          </w:p>
        </w:tc>
      </w:tr>
      <w:tr w14:paraId="5CBD5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4AE28802">
            <w:pPr>
              <w:numPr>
                <w:ilvl w:val="0"/>
                <w:numId w:val="2"/>
              </w:numPr>
              <w:adjustRightInd/>
              <w:ind w:left="0" w:firstLine="0"/>
              <w:jc w:val="center"/>
              <w:rPr>
                <w:rFonts w:ascii="宋体" w:hAnsi="宋体" w:cs="宋体"/>
                <w:sz w:val="24"/>
                <w:szCs w:val="20"/>
                <w:highlight w:val="none"/>
              </w:rPr>
            </w:pPr>
          </w:p>
        </w:tc>
        <w:tc>
          <w:tcPr>
            <w:tcW w:w="2006" w:type="dxa"/>
            <w:vAlign w:val="center"/>
          </w:tcPr>
          <w:p w14:paraId="0BF8022B">
            <w:pPr>
              <w:jc w:val="left"/>
              <w:rPr>
                <w:rFonts w:ascii="宋体" w:hAnsi="宋体" w:cs="宋体"/>
                <w:sz w:val="24"/>
                <w:szCs w:val="20"/>
                <w:highlight w:val="none"/>
              </w:rPr>
            </w:pPr>
            <w:r>
              <w:rPr>
                <w:rFonts w:hint="eastAsia" w:ascii="宋体" w:hAnsi="宋体" w:cs="宋体"/>
                <w:sz w:val="24"/>
                <w:szCs w:val="20"/>
                <w:highlight w:val="none"/>
              </w:rPr>
              <w:t>部署</w:t>
            </w:r>
            <w:r>
              <w:rPr>
                <w:rFonts w:ascii="宋体" w:hAnsi="宋体" w:cs="宋体"/>
                <w:sz w:val="24"/>
                <w:szCs w:val="20"/>
                <w:highlight w:val="none"/>
              </w:rPr>
              <w:t>1套国产化数据库支撑业务的正常运转</w:t>
            </w:r>
          </w:p>
        </w:tc>
        <w:tc>
          <w:tcPr>
            <w:tcW w:w="5698" w:type="dxa"/>
            <w:vAlign w:val="center"/>
          </w:tcPr>
          <w:p w14:paraId="344141F4">
            <w:pPr>
              <w:rPr>
                <w:rFonts w:ascii="宋体" w:hAnsi="宋体" w:cs="宋体"/>
                <w:sz w:val="24"/>
                <w:szCs w:val="20"/>
                <w:highlight w:val="none"/>
              </w:rPr>
            </w:pPr>
            <w:r>
              <w:rPr>
                <w:rFonts w:hint="eastAsia" w:ascii="宋体" w:hAnsi="宋体" w:cs="宋体"/>
                <w:sz w:val="24"/>
                <w:szCs w:val="20"/>
                <w:highlight w:val="none"/>
              </w:rPr>
              <w:t>信创国产关系型数据库软件，产品需兼容主流信创</w:t>
            </w:r>
            <w:r>
              <w:rPr>
                <w:rFonts w:ascii="宋体" w:hAnsi="宋体" w:cs="宋体"/>
                <w:sz w:val="24"/>
                <w:szCs w:val="20"/>
                <w:highlight w:val="none"/>
              </w:rPr>
              <w:t>CPU芯片和主流信创操作系统。</w:t>
            </w:r>
          </w:p>
          <w:p w14:paraId="089762BD">
            <w:pPr>
              <w:rPr>
                <w:rFonts w:ascii="宋体" w:hAnsi="宋体" w:cs="宋体"/>
                <w:sz w:val="24"/>
                <w:szCs w:val="20"/>
                <w:highlight w:val="none"/>
              </w:rPr>
            </w:pPr>
            <w:r>
              <w:rPr>
                <w:rFonts w:hint="eastAsia" w:ascii="宋体" w:hAnsi="宋体" w:cs="宋体"/>
                <w:sz w:val="24"/>
                <w:szCs w:val="20"/>
                <w:highlight w:val="none"/>
              </w:rPr>
              <w:t>提供联机交易处理能力，能够通过</w:t>
            </w:r>
            <w:r>
              <w:rPr>
                <w:rFonts w:ascii="宋体" w:hAnsi="宋体" w:cs="宋体"/>
                <w:sz w:val="24"/>
                <w:szCs w:val="20"/>
                <w:highlight w:val="none"/>
              </w:rPr>
              <w:t>TPC-C基准测试，测试中3000仓数据量性能达到200万tpmC以上。</w:t>
            </w:r>
          </w:p>
          <w:p w14:paraId="311E830D">
            <w:pPr>
              <w:rPr>
                <w:rFonts w:ascii="宋体" w:hAnsi="宋体" w:cs="宋体"/>
                <w:sz w:val="24"/>
                <w:szCs w:val="20"/>
                <w:highlight w:val="none"/>
              </w:rPr>
            </w:pPr>
            <w:r>
              <w:rPr>
                <w:rFonts w:hint="eastAsia" w:ascii="宋体" w:hAnsi="宋体" w:cs="宋体"/>
                <w:sz w:val="24"/>
                <w:szCs w:val="20"/>
                <w:highlight w:val="none"/>
              </w:rPr>
              <w:t>数据库在两亿条数据场景下，执行三次前后模糊查询操作，平均查询时间小于</w:t>
            </w:r>
            <w:r>
              <w:rPr>
                <w:rFonts w:ascii="宋体" w:hAnsi="宋体" w:cs="宋体"/>
                <w:sz w:val="24"/>
                <w:szCs w:val="20"/>
                <w:highlight w:val="none"/>
              </w:rPr>
              <w:t>0.2毫秒。支持按照全库、用户(模式)和数据表多级的备份和恢复方式。</w:t>
            </w:r>
          </w:p>
          <w:p w14:paraId="23B29CD2">
            <w:pPr>
              <w:rPr>
                <w:rFonts w:ascii="宋体" w:hAnsi="宋体" w:cs="宋体"/>
                <w:sz w:val="24"/>
                <w:szCs w:val="20"/>
                <w:highlight w:val="none"/>
              </w:rPr>
            </w:pPr>
            <w:r>
              <w:rPr>
                <w:rFonts w:hint="eastAsia" w:ascii="宋体" w:hAnsi="宋体" w:cs="宋体"/>
                <w:sz w:val="24"/>
                <w:szCs w:val="20"/>
                <w:highlight w:val="none"/>
              </w:rPr>
              <w:t>支持位图索引，索引中存储了表中各列值的位图信息。当列取值少时，位图索引的占用空间要比</w:t>
            </w:r>
            <w:r>
              <w:rPr>
                <w:rFonts w:ascii="宋体" w:hAnsi="宋体" w:cs="宋体"/>
                <w:sz w:val="24"/>
                <w:szCs w:val="20"/>
                <w:highlight w:val="none"/>
              </w:rPr>
              <w:t>B树索引更小。</w:t>
            </w:r>
          </w:p>
          <w:p w14:paraId="666181EB">
            <w:pPr>
              <w:rPr>
                <w:rFonts w:ascii="宋体" w:hAnsi="宋体" w:cs="宋体"/>
                <w:sz w:val="24"/>
                <w:szCs w:val="20"/>
                <w:highlight w:val="none"/>
              </w:rPr>
            </w:pPr>
            <w:r>
              <w:rPr>
                <w:rFonts w:hint="eastAsia" w:ascii="宋体" w:hAnsi="宋体" w:cs="宋体"/>
                <w:sz w:val="24"/>
                <w:szCs w:val="20"/>
                <w:highlight w:val="none"/>
              </w:rPr>
              <w:t>支持</w:t>
            </w:r>
            <w:r>
              <w:rPr>
                <w:rFonts w:ascii="宋体" w:hAnsi="宋体" w:cs="宋体"/>
                <w:sz w:val="24"/>
                <w:szCs w:val="20"/>
                <w:highlight w:val="none"/>
              </w:rPr>
              <w:t>RANGE数据类型、表继承、Listen、Notify、混合分区等功能。</w:t>
            </w:r>
          </w:p>
          <w:p w14:paraId="7AE60522">
            <w:pPr>
              <w:jc w:val="left"/>
              <w:rPr>
                <w:rFonts w:ascii="宋体" w:hAnsi="宋体" w:cs="宋体"/>
                <w:sz w:val="24"/>
                <w:szCs w:val="20"/>
                <w:highlight w:val="none"/>
              </w:rPr>
            </w:pPr>
            <w:r>
              <w:rPr>
                <w:rFonts w:hint="eastAsia" w:ascii="宋体" w:hAnsi="宋体" w:cs="宋体"/>
                <w:sz w:val="24"/>
                <w:szCs w:val="20"/>
                <w:highlight w:val="none"/>
              </w:rPr>
              <w:t>为保护业务的连续性，数据库支持高可用集群部署架构，高可用组件，支持双机热备、读写分离、级联复制等数据可靠性的多重保障，对运行态实时保护，健康检查运行监控，一致性校验，控制文件多副本等多重保障；</w:t>
            </w:r>
          </w:p>
          <w:p w14:paraId="1EEB7B12">
            <w:pPr>
              <w:jc w:val="left"/>
              <w:rPr>
                <w:rFonts w:ascii="宋体" w:hAnsi="宋体" w:cs="宋体"/>
                <w:sz w:val="24"/>
                <w:szCs w:val="20"/>
                <w:highlight w:val="none"/>
              </w:rPr>
            </w:pPr>
            <w:r>
              <w:rPr>
                <w:rFonts w:hint="eastAsia" w:ascii="宋体" w:hAnsi="宋体" w:cs="宋体"/>
                <w:sz w:val="24"/>
                <w:highlight w:val="none"/>
              </w:rPr>
              <w:t>详细参数见“国产化数据库详细参数要求”</w:t>
            </w:r>
          </w:p>
        </w:tc>
      </w:tr>
    </w:tbl>
    <w:p w14:paraId="5CB4160F">
      <w:pPr>
        <w:spacing w:line="360" w:lineRule="auto"/>
        <w:ind w:firstLine="480" w:firstLineChars="200"/>
        <w:rPr>
          <w:rFonts w:ascii="宋体" w:hAnsi="宋体" w:cs="宋体"/>
          <w:sz w:val="24"/>
          <w:highlight w:val="none"/>
        </w:rPr>
      </w:pPr>
      <w:r>
        <w:rPr>
          <w:rFonts w:hint="eastAsia" w:ascii="宋体" w:hAnsi="宋体" w:cs="宋体"/>
          <w:sz w:val="24"/>
          <w:highlight w:val="none"/>
        </w:rPr>
        <w:t>国产化数据库详细参数如下：</w:t>
      </w:r>
    </w:p>
    <w:tbl>
      <w:tblPr>
        <w:tblStyle w:val="62"/>
        <w:tblW w:w="8420" w:type="dxa"/>
        <w:tblInd w:w="0" w:type="dxa"/>
        <w:tblLayout w:type="fixed"/>
        <w:tblCellMar>
          <w:top w:w="0" w:type="dxa"/>
          <w:left w:w="108" w:type="dxa"/>
          <w:bottom w:w="0" w:type="dxa"/>
          <w:right w:w="108" w:type="dxa"/>
        </w:tblCellMar>
      </w:tblPr>
      <w:tblGrid>
        <w:gridCol w:w="740"/>
        <w:gridCol w:w="1420"/>
        <w:gridCol w:w="1580"/>
        <w:gridCol w:w="4680"/>
      </w:tblGrid>
      <w:tr w14:paraId="222FB9DB">
        <w:tblPrEx>
          <w:tblCellMar>
            <w:top w:w="0" w:type="dxa"/>
            <w:left w:w="108" w:type="dxa"/>
            <w:bottom w:w="0" w:type="dxa"/>
            <w:right w:w="108" w:type="dxa"/>
          </w:tblCellMar>
        </w:tblPrEx>
        <w:trPr>
          <w:trHeight w:val="312" w:hRule="atLeast"/>
        </w:trPr>
        <w:tc>
          <w:tcPr>
            <w:tcW w:w="740" w:type="dxa"/>
            <w:tcBorders>
              <w:top w:val="single" w:color="auto" w:sz="4" w:space="0"/>
              <w:left w:val="single" w:color="auto" w:sz="4" w:space="0"/>
              <w:bottom w:val="single" w:color="auto" w:sz="4" w:space="0"/>
              <w:right w:val="single" w:color="auto" w:sz="4" w:space="0"/>
            </w:tcBorders>
            <w:vAlign w:val="center"/>
          </w:tcPr>
          <w:p w14:paraId="64936D40">
            <w:pPr>
              <w:keepNext/>
              <w:keepLines/>
              <w:widowControl/>
              <w:adjustRightInd/>
              <w:spacing w:before="160" w:after="160" w:line="720" w:lineRule="exact"/>
              <w:jc w:val="center"/>
              <w:outlineLvl w:val="1"/>
              <w:rPr>
                <w:rFonts w:ascii="宋体" w:hAnsi="宋体" w:cs="宋体"/>
                <w:b/>
                <w:bCs/>
                <w:kern w:val="0"/>
                <w:sz w:val="24"/>
                <w:highlight w:val="none"/>
              </w:rPr>
            </w:pPr>
            <w:r>
              <w:rPr>
                <w:rFonts w:hint="eastAsia" w:ascii="宋体" w:hAnsi="宋体" w:cs="宋体"/>
                <w:b/>
                <w:bCs/>
                <w:kern w:val="0"/>
                <w:sz w:val="24"/>
                <w:highlight w:val="none"/>
              </w:rPr>
              <w:t>序号</w:t>
            </w:r>
          </w:p>
        </w:tc>
        <w:tc>
          <w:tcPr>
            <w:tcW w:w="1420" w:type="dxa"/>
            <w:tcBorders>
              <w:top w:val="single" w:color="auto" w:sz="4" w:space="0"/>
              <w:left w:val="nil"/>
              <w:bottom w:val="single" w:color="auto" w:sz="4" w:space="0"/>
              <w:right w:val="single" w:color="auto" w:sz="4" w:space="0"/>
            </w:tcBorders>
            <w:vAlign w:val="center"/>
          </w:tcPr>
          <w:p w14:paraId="2F614A49">
            <w:pPr>
              <w:keepNext/>
              <w:keepLines/>
              <w:widowControl/>
              <w:adjustRightInd/>
              <w:spacing w:before="160" w:after="160" w:line="720" w:lineRule="exact"/>
              <w:jc w:val="center"/>
              <w:outlineLvl w:val="1"/>
              <w:rPr>
                <w:rFonts w:ascii="宋体" w:hAnsi="宋体" w:cs="宋体"/>
                <w:b/>
                <w:bCs/>
                <w:kern w:val="0"/>
                <w:sz w:val="24"/>
                <w:highlight w:val="none"/>
              </w:rPr>
            </w:pPr>
            <w:r>
              <w:rPr>
                <w:rFonts w:hint="eastAsia" w:ascii="宋体" w:hAnsi="宋体" w:cs="宋体"/>
                <w:b/>
                <w:bCs/>
                <w:kern w:val="0"/>
                <w:sz w:val="24"/>
                <w:highlight w:val="none"/>
              </w:rPr>
              <w:t>一级指标</w:t>
            </w:r>
          </w:p>
        </w:tc>
        <w:tc>
          <w:tcPr>
            <w:tcW w:w="1580" w:type="dxa"/>
            <w:tcBorders>
              <w:top w:val="single" w:color="auto" w:sz="4" w:space="0"/>
              <w:left w:val="nil"/>
              <w:bottom w:val="single" w:color="auto" w:sz="4" w:space="0"/>
              <w:right w:val="single" w:color="auto" w:sz="4" w:space="0"/>
            </w:tcBorders>
            <w:vAlign w:val="center"/>
          </w:tcPr>
          <w:p w14:paraId="1F57F0F4">
            <w:pPr>
              <w:keepNext/>
              <w:keepLines/>
              <w:widowControl/>
              <w:adjustRightInd/>
              <w:spacing w:before="160" w:after="160" w:line="720" w:lineRule="exact"/>
              <w:jc w:val="center"/>
              <w:outlineLvl w:val="1"/>
              <w:rPr>
                <w:rFonts w:ascii="宋体" w:hAnsi="宋体" w:cs="宋体"/>
                <w:b/>
                <w:bCs/>
                <w:kern w:val="0"/>
                <w:sz w:val="24"/>
                <w:highlight w:val="none"/>
              </w:rPr>
            </w:pPr>
            <w:r>
              <w:rPr>
                <w:rFonts w:hint="eastAsia" w:ascii="宋体" w:hAnsi="宋体" w:cs="宋体"/>
                <w:b/>
                <w:bCs/>
                <w:kern w:val="0"/>
                <w:sz w:val="24"/>
                <w:highlight w:val="none"/>
              </w:rPr>
              <w:t>二级指标</w:t>
            </w:r>
          </w:p>
        </w:tc>
        <w:tc>
          <w:tcPr>
            <w:tcW w:w="4680" w:type="dxa"/>
            <w:tcBorders>
              <w:top w:val="single" w:color="auto" w:sz="4" w:space="0"/>
              <w:left w:val="nil"/>
              <w:bottom w:val="single" w:color="auto" w:sz="4" w:space="0"/>
              <w:right w:val="single" w:color="auto" w:sz="4" w:space="0"/>
            </w:tcBorders>
            <w:vAlign w:val="center"/>
          </w:tcPr>
          <w:p w14:paraId="57D10789">
            <w:pPr>
              <w:keepNext/>
              <w:keepLines/>
              <w:widowControl/>
              <w:adjustRightInd/>
              <w:spacing w:before="160" w:after="160" w:line="720" w:lineRule="exact"/>
              <w:jc w:val="center"/>
              <w:outlineLvl w:val="1"/>
              <w:rPr>
                <w:rFonts w:ascii="宋体" w:hAnsi="宋体" w:cs="宋体"/>
                <w:b/>
                <w:bCs/>
                <w:kern w:val="0"/>
                <w:sz w:val="24"/>
                <w:highlight w:val="none"/>
              </w:rPr>
            </w:pPr>
            <w:r>
              <w:rPr>
                <w:rFonts w:hint="eastAsia" w:ascii="宋体" w:hAnsi="宋体" w:cs="宋体"/>
                <w:b/>
                <w:bCs/>
                <w:kern w:val="0"/>
                <w:sz w:val="24"/>
                <w:highlight w:val="none"/>
              </w:rPr>
              <w:t>指标要求</w:t>
            </w:r>
          </w:p>
        </w:tc>
      </w:tr>
      <w:tr w14:paraId="375CAD8D">
        <w:tblPrEx>
          <w:tblCellMar>
            <w:top w:w="0" w:type="dxa"/>
            <w:left w:w="108" w:type="dxa"/>
            <w:bottom w:w="0" w:type="dxa"/>
            <w:right w:w="108" w:type="dxa"/>
          </w:tblCellMar>
        </w:tblPrEx>
        <w:trPr>
          <w:trHeight w:val="1872" w:hRule="atLeast"/>
        </w:trPr>
        <w:tc>
          <w:tcPr>
            <w:tcW w:w="740" w:type="dxa"/>
            <w:tcBorders>
              <w:top w:val="nil"/>
              <w:left w:val="single" w:color="auto" w:sz="4" w:space="0"/>
              <w:bottom w:val="single" w:color="auto" w:sz="4" w:space="0"/>
              <w:right w:val="single" w:color="auto" w:sz="4" w:space="0"/>
            </w:tcBorders>
            <w:vAlign w:val="center"/>
          </w:tcPr>
          <w:p w14:paraId="45F867A4">
            <w:pPr>
              <w:keepNext/>
              <w:keepLines/>
              <w:widowControl/>
              <w:adjustRightInd/>
              <w:spacing w:before="160" w:after="160" w:line="720" w:lineRule="exact"/>
              <w:jc w:val="center"/>
              <w:outlineLvl w:val="1"/>
              <w:rPr>
                <w:rFonts w:ascii="宋体" w:hAnsi="宋体" w:cs="宋体"/>
                <w:kern w:val="0"/>
                <w:sz w:val="24"/>
                <w:highlight w:val="none"/>
              </w:rPr>
            </w:pPr>
            <w:r>
              <w:rPr>
                <w:rFonts w:ascii="宋体" w:hAnsi="宋体" w:cs="宋体"/>
                <w:kern w:val="0"/>
                <w:sz w:val="24"/>
                <w:highlight w:val="none"/>
              </w:rPr>
              <w:t>1</w:t>
            </w:r>
          </w:p>
        </w:tc>
        <w:tc>
          <w:tcPr>
            <w:tcW w:w="1420" w:type="dxa"/>
            <w:vMerge w:val="restart"/>
            <w:tcBorders>
              <w:top w:val="nil"/>
              <w:left w:val="single" w:color="auto" w:sz="4" w:space="0"/>
              <w:bottom w:val="single" w:color="000000" w:sz="4" w:space="0"/>
              <w:right w:val="single" w:color="auto" w:sz="4" w:space="0"/>
            </w:tcBorders>
            <w:vAlign w:val="center"/>
          </w:tcPr>
          <w:p w14:paraId="3AF64B33">
            <w:pPr>
              <w:keepNext/>
              <w:keepLines/>
              <w:widowControl/>
              <w:adjustRightInd/>
              <w:spacing w:before="160" w:after="160" w:line="720" w:lineRule="exact"/>
              <w:jc w:val="center"/>
              <w:outlineLvl w:val="1"/>
              <w:rPr>
                <w:rFonts w:ascii="宋体" w:hAnsi="宋体" w:cs="宋体"/>
                <w:kern w:val="0"/>
                <w:sz w:val="24"/>
                <w:highlight w:val="none"/>
              </w:rPr>
            </w:pPr>
            <w:r>
              <w:rPr>
                <w:rFonts w:hint="eastAsia" w:ascii="宋体" w:hAnsi="宋体" w:cs="宋体"/>
                <w:kern w:val="0"/>
                <w:sz w:val="24"/>
                <w:highlight w:val="none"/>
              </w:rPr>
              <w:t>▲安装与升级</w:t>
            </w:r>
          </w:p>
        </w:tc>
        <w:tc>
          <w:tcPr>
            <w:tcW w:w="1580" w:type="dxa"/>
            <w:tcBorders>
              <w:top w:val="nil"/>
              <w:left w:val="nil"/>
              <w:bottom w:val="single" w:color="auto" w:sz="4" w:space="0"/>
              <w:right w:val="single" w:color="auto" w:sz="4" w:space="0"/>
            </w:tcBorders>
            <w:vAlign w:val="center"/>
          </w:tcPr>
          <w:p w14:paraId="1D81D5A4">
            <w:pPr>
              <w:keepNext/>
              <w:keepLines/>
              <w:widowControl/>
              <w:adjustRightInd/>
              <w:spacing w:before="160" w:after="160" w:line="720" w:lineRule="exact"/>
              <w:jc w:val="left"/>
              <w:outlineLvl w:val="1"/>
              <w:rPr>
                <w:rFonts w:ascii="宋体" w:hAnsi="宋体" w:cs="宋体"/>
                <w:kern w:val="0"/>
                <w:sz w:val="24"/>
                <w:highlight w:val="none"/>
              </w:rPr>
            </w:pPr>
            <w:r>
              <w:rPr>
                <w:rFonts w:hint="eastAsia" w:ascii="宋体" w:hAnsi="宋体" w:cs="宋体"/>
                <w:kern w:val="0"/>
                <w:sz w:val="24"/>
                <w:highlight w:val="none"/>
              </w:rPr>
              <w:t>▲数据库安装</w:t>
            </w:r>
          </w:p>
        </w:tc>
        <w:tc>
          <w:tcPr>
            <w:tcW w:w="4680" w:type="dxa"/>
            <w:tcBorders>
              <w:top w:val="nil"/>
              <w:left w:val="nil"/>
              <w:bottom w:val="single" w:color="auto" w:sz="4" w:space="0"/>
              <w:right w:val="single" w:color="auto" w:sz="4" w:space="0"/>
            </w:tcBorders>
            <w:vAlign w:val="center"/>
          </w:tcPr>
          <w:p w14:paraId="35F56646">
            <w:pPr>
              <w:widowControl/>
              <w:adjustRightInd/>
              <w:jc w:val="left"/>
              <w:rPr>
                <w:rFonts w:ascii="宋体" w:hAnsi="宋体" w:cs="宋体"/>
                <w:kern w:val="0"/>
                <w:sz w:val="24"/>
                <w:highlight w:val="none"/>
              </w:rPr>
            </w:pPr>
            <w:r>
              <w:rPr>
                <w:rFonts w:ascii="宋体" w:hAnsi="宋体" w:cs="宋体"/>
                <w:kern w:val="0"/>
                <w:sz w:val="24"/>
                <w:highlight w:val="none"/>
              </w:rPr>
              <w:t xml:space="preserve">a) </w:t>
            </w:r>
            <w:r>
              <w:rPr>
                <w:rFonts w:hint="eastAsia" w:ascii="宋体" w:hAnsi="宋体" w:cs="宋体"/>
                <w:kern w:val="0"/>
                <w:sz w:val="24"/>
                <w:highlight w:val="none"/>
              </w:rPr>
              <w:t>支持命令行或图形化的安装；</w:t>
            </w:r>
          </w:p>
          <w:p w14:paraId="30F727F8">
            <w:pPr>
              <w:widowControl/>
              <w:adjustRightInd/>
              <w:jc w:val="left"/>
              <w:rPr>
                <w:rFonts w:ascii="宋体" w:hAns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支持命令行或图形化的可配置安装能力；</w:t>
            </w:r>
          </w:p>
          <w:p w14:paraId="2C688DC7">
            <w:pPr>
              <w:widowControl/>
              <w:adjustRightInd/>
              <w:jc w:val="left"/>
              <w:rPr>
                <w:rFonts w:ascii="宋体" w:hAnsi="宋体" w:cs="宋体"/>
                <w:kern w:val="0"/>
                <w:sz w:val="24"/>
                <w:highlight w:val="none"/>
              </w:rPr>
            </w:pPr>
            <w:r>
              <w:rPr>
                <w:rFonts w:ascii="宋体" w:hAnsi="宋体" w:cs="宋体"/>
                <w:kern w:val="0"/>
                <w:sz w:val="24"/>
                <w:highlight w:val="none"/>
              </w:rPr>
              <w:t xml:space="preserve">c) </w:t>
            </w:r>
            <w:r>
              <w:rPr>
                <w:rFonts w:hint="eastAsia" w:ascii="宋体" w:hAnsi="宋体" w:cs="宋体"/>
                <w:kern w:val="0"/>
                <w:sz w:val="24"/>
                <w:highlight w:val="none"/>
              </w:rPr>
              <w:t>依据安装环境提供相应的初始化参数配置值；</w:t>
            </w:r>
          </w:p>
          <w:p w14:paraId="36DF890F">
            <w:pPr>
              <w:widowControl/>
              <w:adjustRightInd/>
              <w:jc w:val="left"/>
              <w:rPr>
                <w:rFonts w:ascii="宋体" w:hAnsi="宋体" w:cs="宋体"/>
                <w:kern w:val="0"/>
                <w:sz w:val="24"/>
                <w:highlight w:val="none"/>
              </w:rPr>
            </w:pPr>
            <w:r>
              <w:rPr>
                <w:rFonts w:ascii="宋体" w:hAnsi="宋体" w:cs="宋体"/>
                <w:kern w:val="0"/>
                <w:sz w:val="24"/>
                <w:highlight w:val="none"/>
              </w:rPr>
              <w:t xml:space="preserve">d) </w:t>
            </w:r>
            <w:r>
              <w:rPr>
                <w:rFonts w:hint="eastAsia" w:ascii="宋体" w:hAnsi="宋体" w:cs="宋体"/>
                <w:kern w:val="0"/>
                <w:sz w:val="24"/>
                <w:highlight w:val="none"/>
              </w:rPr>
              <w:t>提供图形化软件组件管理向导工具；</w:t>
            </w:r>
          </w:p>
        </w:tc>
      </w:tr>
      <w:tr w14:paraId="7B10E31C">
        <w:tblPrEx>
          <w:tblCellMar>
            <w:top w:w="0" w:type="dxa"/>
            <w:left w:w="108" w:type="dxa"/>
            <w:bottom w:w="0" w:type="dxa"/>
            <w:right w:w="108" w:type="dxa"/>
          </w:tblCellMar>
        </w:tblPrEx>
        <w:trPr>
          <w:trHeight w:val="936" w:hRule="atLeast"/>
        </w:trPr>
        <w:tc>
          <w:tcPr>
            <w:tcW w:w="740" w:type="dxa"/>
            <w:tcBorders>
              <w:top w:val="nil"/>
              <w:left w:val="single" w:color="auto" w:sz="4" w:space="0"/>
              <w:bottom w:val="single" w:color="auto" w:sz="4" w:space="0"/>
              <w:right w:val="single" w:color="auto" w:sz="4" w:space="0"/>
            </w:tcBorders>
            <w:vAlign w:val="center"/>
          </w:tcPr>
          <w:p w14:paraId="1A177FFD">
            <w:pPr>
              <w:widowControl/>
              <w:adjustRightInd/>
              <w:jc w:val="center"/>
              <w:rPr>
                <w:rFonts w:ascii="宋体" w:hAnsi="宋体" w:cs="宋体"/>
                <w:kern w:val="0"/>
                <w:sz w:val="24"/>
                <w:highlight w:val="none"/>
              </w:rPr>
            </w:pPr>
            <w:r>
              <w:rPr>
                <w:rFonts w:ascii="宋体" w:hAnsi="宋体" w:cs="宋体"/>
                <w:kern w:val="0"/>
                <w:sz w:val="24"/>
                <w:highlight w:val="none"/>
              </w:rPr>
              <w:t>2</w:t>
            </w:r>
          </w:p>
        </w:tc>
        <w:tc>
          <w:tcPr>
            <w:tcW w:w="1420" w:type="dxa"/>
            <w:vMerge w:val="continue"/>
            <w:tcBorders>
              <w:top w:val="nil"/>
              <w:left w:val="single" w:color="auto" w:sz="4" w:space="0"/>
              <w:bottom w:val="single" w:color="000000" w:sz="4" w:space="0"/>
              <w:right w:val="single" w:color="auto" w:sz="4" w:space="0"/>
            </w:tcBorders>
            <w:vAlign w:val="center"/>
          </w:tcPr>
          <w:p w14:paraId="4BB82E32">
            <w:pPr>
              <w:widowControl/>
              <w:adjustRightInd/>
              <w:jc w:val="left"/>
              <w:rPr>
                <w:rFonts w:ascii="宋体" w:hAnsi="宋体" w:cs="宋体"/>
                <w:kern w:val="0"/>
                <w:sz w:val="24"/>
                <w:highlight w:val="none"/>
              </w:rPr>
            </w:pPr>
          </w:p>
        </w:tc>
        <w:tc>
          <w:tcPr>
            <w:tcW w:w="1580" w:type="dxa"/>
            <w:tcBorders>
              <w:top w:val="nil"/>
              <w:left w:val="nil"/>
              <w:bottom w:val="single" w:color="auto" w:sz="4" w:space="0"/>
              <w:right w:val="single" w:color="auto" w:sz="4" w:space="0"/>
            </w:tcBorders>
            <w:vAlign w:val="center"/>
          </w:tcPr>
          <w:p w14:paraId="76A93CB9">
            <w:pPr>
              <w:widowControl/>
              <w:adjustRightInd/>
              <w:jc w:val="left"/>
              <w:rPr>
                <w:rFonts w:ascii="宋体" w:hAnsi="宋体" w:cs="宋体"/>
                <w:kern w:val="0"/>
                <w:sz w:val="24"/>
                <w:highlight w:val="none"/>
              </w:rPr>
            </w:pPr>
            <w:r>
              <w:rPr>
                <w:rFonts w:hint="eastAsia" w:ascii="宋体" w:hAnsi="宋体" w:cs="宋体"/>
                <w:kern w:val="0"/>
                <w:sz w:val="24"/>
                <w:highlight w:val="none"/>
              </w:rPr>
              <w:t>▲数据库重启</w:t>
            </w:r>
          </w:p>
        </w:tc>
        <w:tc>
          <w:tcPr>
            <w:tcW w:w="4680" w:type="dxa"/>
            <w:tcBorders>
              <w:top w:val="nil"/>
              <w:left w:val="nil"/>
              <w:bottom w:val="single" w:color="auto" w:sz="4" w:space="0"/>
              <w:right w:val="single" w:color="auto" w:sz="4" w:space="0"/>
            </w:tcBorders>
            <w:vAlign w:val="center"/>
          </w:tcPr>
          <w:p w14:paraId="33D0DF2D">
            <w:pPr>
              <w:widowControl/>
              <w:adjustRightInd/>
              <w:jc w:val="left"/>
              <w:rPr>
                <w:rFonts w:ascii="宋体" w:hAnsi="宋体" w:cs="宋体"/>
                <w:kern w:val="0"/>
                <w:sz w:val="24"/>
                <w:highlight w:val="none"/>
              </w:rPr>
            </w:pPr>
            <w:r>
              <w:rPr>
                <w:rFonts w:ascii="宋体" w:hAnsi="宋体" w:cs="宋体"/>
                <w:kern w:val="0"/>
                <w:sz w:val="24"/>
                <w:highlight w:val="none"/>
              </w:rPr>
              <w:t xml:space="preserve">a) </w:t>
            </w:r>
            <w:r>
              <w:rPr>
                <w:rFonts w:hint="eastAsia" w:ascii="宋体" w:hAnsi="宋体" w:cs="宋体"/>
                <w:kern w:val="0"/>
                <w:sz w:val="24"/>
                <w:highlight w:val="none"/>
              </w:rPr>
              <w:t>支持命令行或图形化的方式关闭和启动服务；</w:t>
            </w:r>
          </w:p>
          <w:p w14:paraId="543E8048">
            <w:pPr>
              <w:widowControl/>
              <w:adjustRightInd/>
              <w:jc w:val="left"/>
              <w:rPr>
                <w:rFonts w:ascii="宋体" w:hAns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关闭服务后，再启动服务，服务正常；</w:t>
            </w:r>
          </w:p>
        </w:tc>
      </w:tr>
      <w:tr w14:paraId="265BAF54">
        <w:tblPrEx>
          <w:tblCellMar>
            <w:top w:w="0" w:type="dxa"/>
            <w:left w:w="108" w:type="dxa"/>
            <w:bottom w:w="0" w:type="dxa"/>
            <w:right w:w="108" w:type="dxa"/>
          </w:tblCellMar>
        </w:tblPrEx>
        <w:trPr>
          <w:trHeight w:val="1248" w:hRule="atLeast"/>
        </w:trPr>
        <w:tc>
          <w:tcPr>
            <w:tcW w:w="740" w:type="dxa"/>
            <w:tcBorders>
              <w:top w:val="nil"/>
              <w:left w:val="single" w:color="auto" w:sz="4" w:space="0"/>
              <w:bottom w:val="single" w:color="auto" w:sz="4" w:space="0"/>
              <w:right w:val="single" w:color="auto" w:sz="4" w:space="0"/>
            </w:tcBorders>
            <w:vAlign w:val="center"/>
          </w:tcPr>
          <w:p w14:paraId="3B5DBE31">
            <w:pPr>
              <w:widowControl/>
              <w:adjustRightInd/>
              <w:jc w:val="center"/>
              <w:rPr>
                <w:rFonts w:ascii="宋体" w:hAnsi="宋体" w:cs="宋体"/>
                <w:kern w:val="0"/>
                <w:sz w:val="24"/>
                <w:highlight w:val="none"/>
              </w:rPr>
            </w:pPr>
            <w:r>
              <w:rPr>
                <w:rFonts w:ascii="宋体" w:hAnsi="宋体" w:cs="宋体"/>
                <w:kern w:val="0"/>
                <w:sz w:val="24"/>
                <w:highlight w:val="none"/>
              </w:rPr>
              <w:t>3</w:t>
            </w:r>
          </w:p>
        </w:tc>
        <w:tc>
          <w:tcPr>
            <w:tcW w:w="1420" w:type="dxa"/>
            <w:vMerge w:val="continue"/>
            <w:tcBorders>
              <w:top w:val="nil"/>
              <w:left w:val="single" w:color="auto" w:sz="4" w:space="0"/>
              <w:bottom w:val="single" w:color="000000" w:sz="4" w:space="0"/>
              <w:right w:val="single" w:color="auto" w:sz="4" w:space="0"/>
            </w:tcBorders>
            <w:vAlign w:val="center"/>
          </w:tcPr>
          <w:p w14:paraId="5DE5491E">
            <w:pPr>
              <w:widowControl/>
              <w:adjustRightInd/>
              <w:jc w:val="left"/>
              <w:rPr>
                <w:rFonts w:ascii="宋体" w:hAnsi="宋体" w:cs="宋体"/>
                <w:kern w:val="0"/>
                <w:sz w:val="24"/>
                <w:highlight w:val="none"/>
              </w:rPr>
            </w:pPr>
          </w:p>
        </w:tc>
        <w:tc>
          <w:tcPr>
            <w:tcW w:w="1580" w:type="dxa"/>
            <w:tcBorders>
              <w:top w:val="nil"/>
              <w:left w:val="nil"/>
              <w:bottom w:val="single" w:color="auto" w:sz="4" w:space="0"/>
              <w:right w:val="single" w:color="auto" w:sz="4" w:space="0"/>
            </w:tcBorders>
            <w:vAlign w:val="center"/>
          </w:tcPr>
          <w:p w14:paraId="7F7EF320">
            <w:pPr>
              <w:widowControl/>
              <w:adjustRightInd/>
              <w:jc w:val="left"/>
              <w:rPr>
                <w:rFonts w:ascii="宋体" w:hAnsi="宋体" w:cs="宋体"/>
                <w:kern w:val="0"/>
                <w:sz w:val="24"/>
                <w:highlight w:val="none"/>
              </w:rPr>
            </w:pPr>
            <w:r>
              <w:rPr>
                <w:rFonts w:hint="eastAsia" w:ascii="宋体" w:hAnsi="宋体" w:cs="宋体"/>
                <w:kern w:val="0"/>
                <w:sz w:val="24"/>
                <w:highlight w:val="none"/>
              </w:rPr>
              <w:t>▲安装配置日志</w:t>
            </w:r>
          </w:p>
        </w:tc>
        <w:tc>
          <w:tcPr>
            <w:tcW w:w="4680" w:type="dxa"/>
            <w:tcBorders>
              <w:top w:val="nil"/>
              <w:left w:val="nil"/>
              <w:bottom w:val="single" w:color="auto" w:sz="4" w:space="0"/>
              <w:right w:val="single" w:color="auto" w:sz="4" w:space="0"/>
            </w:tcBorders>
            <w:vAlign w:val="center"/>
          </w:tcPr>
          <w:p w14:paraId="16669DD4">
            <w:pPr>
              <w:widowControl/>
              <w:adjustRightInd/>
              <w:jc w:val="left"/>
              <w:rPr>
                <w:rFonts w:ascii="宋体" w:hAnsi="宋体" w:cs="宋体"/>
                <w:kern w:val="0"/>
                <w:sz w:val="24"/>
                <w:highlight w:val="none"/>
              </w:rPr>
            </w:pPr>
            <w:r>
              <w:rPr>
                <w:rFonts w:ascii="宋体" w:hAnsi="宋体" w:cs="宋体"/>
                <w:kern w:val="0"/>
                <w:sz w:val="24"/>
                <w:highlight w:val="none"/>
              </w:rPr>
              <w:t xml:space="preserve">a) 提供软件安装的日志记录功能； </w:t>
            </w:r>
          </w:p>
          <w:p w14:paraId="1710344C">
            <w:pPr>
              <w:widowControl/>
              <w:adjustRightInd/>
              <w:jc w:val="left"/>
              <w:rPr>
                <w:rFonts w:ascii="宋体" w:hAns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记录的软件安装信息完整正确；</w:t>
            </w:r>
          </w:p>
          <w:p w14:paraId="749B4327">
            <w:pPr>
              <w:widowControl/>
              <w:adjustRightInd/>
              <w:jc w:val="left"/>
              <w:rPr>
                <w:rFonts w:ascii="宋体" w:hAnsi="宋体" w:cs="宋体"/>
                <w:kern w:val="0"/>
                <w:sz w:val="24"/>
                <w:highlight w:val="none"/>
              </w:rPr>
            </w:pPr>
            <w:r>
              <w:rPr>
                <w:rFonts w:ascii="宋体" w:hAnsi="宋体" w:cs="宋体"/>
                <w:kern w:val="0"/>
                <w:sz w:val="24"/>
                <w:highlight w:val="none"/>
              </w:rPr>
              <w:t xml:space="preserve">c) </w:t>
            </w:r>
            <w:r>
              <w:rPr>
                <w:rFonts w:hint="eastAsia" w:ascii="宋体" w:hAnsi="宋体" w:cs="宋体"/>
                <w:kern w:val="0"/>
                <w:sz w:val="24"/>
                <w:highlight w:val="none"/>
              </w:rPr>
              <w:t>提供安装配置操作的日志记录功能；</w:t>
            </w:r>
          </w:p>
          <w:p w14:paraId="45CDE4A0">
            <w:pPr>
              <w:widowControl/>
              <w:adjustRightInd/>
              <w:jc w:val="left"/>
              <w:rPr>
                <w:rFonts w:ascii="宋体" w:hAnsi="宋体" w:cs="宋体"/>
                <w:kern w:val="0"/>
                <w:sz w:val="24"/>
                <w:highlight w:val="none"/>
              </w:rPr>
            </w:pPr>
            <w:r>
              <w:rPr>
                <w:rFonts w:ascii="宋体" w:hAnsi="宋体" w:cs="宋体"/>
                <w:kern w:val="0"/>
                <w:sz w:val="24"/>
                <w:highlight w:val="none"/>
              </w:rPr>
              <w:t xml:space="preserve">d) </w:t>
            </w:r>
            <w:r>
              <w:rPr>
                <w:rFonts w:hint="eastAsia" w:ascii="宋体" w:hAnsi="宋体" w:cs="宋体"/>
                <w:kern w:val="0"/>
                <w:sz w:val="24"/>
                <w:highlight w:val="none"/>
              </w:rPr>
              <w:t>记录的配置操作信息完整正确；</w:t>
            </w:r>
          </w:p>
        </w:tc>
      </w:tr>
      <w:tr w14:paraId="50D2720A">
        <w:tblPrEx>
          <w:tblCellMar>
            <w:top w:w="0" w:type="dxa"/>
            <w:left w:w="108" w:type="dxa"/>
            <w:bottom w:w="0" w:type="dxa"/>
            <w:right w:w="108" w:type="dxa"/>
          </w:tblCellMar>
        </w:tblPrEx>
        <w:trPr>
          <w:trHeight w:val="1560" w:hRule="atLeast"/>
        </w:trPr>
        <w:tc>
          <w:tcPr>
            <w:tcW w:w="740" w:type="dxa"/>
            <w:tcBorders>
              <w:top w:val="nil"/>
              <w:left w:val="single" w:color="auto" w:sz="4" w:space="0"/>
              <w:bottom w:val="single" w:color="auto" w:sz="4" w:space="0"/>
              <w:right w:val="single" w:color="auto" w:sz="4" w:space="0"/>
            </w:tcBorders>
            <w:vAlign w:val="center"/>
          </w:tcPr>
          <w:p w14:paraId="79B5D183">
            <w:pPr>
              <w:widowControl/>
              <w:adjustRightInd/>
              <w:jc w:val="center"/>
              <w:rPr>
                <w:rFonts w:ascii="宋体" w:hAnsi="宋体" w:cs="宋体"/>
                <w:kern w:val="0"/>
                <w:sz w:val="24"/>
                <w:highlight w:val="none"/>
              </w:rPr>
            </w:pPr>
            <w:r>
              <w:rPr>
                <w:rFonts w:ascii="宋体" w:hAnsi="宋体" w:cs="宋体"/>
                <w:kern w:val="0"/>
                <w:sz w:val="24"/>
                <w:highlight w:val="none"/>
              </w:rPr>
              <w:t>4</w:t>
            </w:r>
          </w:p>
        </w:tc>
        <w:tc>
          <w:tcPr>
            <w:tcW w:w="1420" w:type="dxa"/>
            <w:vMerge w:val="continue"/>
            <w:tcBorders>
              <w:top w:val="nil"/>
              <w:left w:val="single" w:color="auto" w:sz="4" w:space="0"/>
              <w:bottom w:val="single" w:color="000000" w:sz="4" w:space="0"/>
              <w:right w:val="single" w:color="auto" w:sz="4" w:space="0"/>
            </w:tcBorders>
            <w:vAlign w:val="center"/>
          </w:tcPr>
          <w:p w14:paraId="087B6F8B">
            <w:pPr>
              <w:widowControl/>
              <w:adjustRightInd/>
              <w:jc w:val="left"/>
              <w:rPr>
                <w:rFonts w:ascii="宋体" w:hAnsi="宋体" w:cs="宋体"/>
                <w:kern w:val="0"/>
                <w:sz w:val="24"/>
                <w:highlight w:val="none"/>
              </w:rPr>
            </w:pPr>
          </w:p>
        </w:tc>
        <w:tc>
          <w:tcPr>
            <w:tcW w:w="1580" w:type="dxa"/>
            <w:tcBorders>
              <w:top w:val="nil"/>
              <w:left w:val="nil"/>
              <w:bottom w:val="single" w:color="auto" w:sz="4" w:space="0"/>
              <w:right w:val="single" w:color="auto" w:sz="4" w:space="0"/>
            </w:tcBorders>
            <w:vAlign w:val="center"/>
          </w:tcPr>
          <w:p w14:paraId="18D9300C">
            <w:pPr>
              <w:widowControl/>
              <w:adjustRightInd/>
              <w:jc w:val="left"/>
              <w:rPr>
                <w:rFonts w:ascii="宋体" w:hAnsi="宋体" w:cs="宋体"/>
                <w:kern w:val="0"/>
                <w:sz w:val="24"/>
                <w:highlight w:val="none"/>
              </w:rPr>
            </w:pPr>
            <w:r>
              <w:rPr>
                <w:rFonts w:hint="eastAsia" w:ascii="宋体" w:hAnsi="宋体" w:cs="宋体"/>
                <w:kern w:val="0"/>
                <w:sz w:val="24"/>
                <w:highlight w:val="none"/>
              </w:rPr>
              <w:t>▲升级维护</w:t>
            </w:r>
          </w:p>
        </w:tc>
        <w:tc>
          <w:tcPr>
            <w:tcW w:w="4680" w:type="dxa"/>
            <w:tcBorders>
              <w:top w:val="nil"/>
              <w:left w:val="nil"/>
              <w:bottom w:val="single" w:color="auto" w:sz="4" w:space="0"/>
              <w:right w:val="single" w:color="auto" w:sz="4" w:space="0"/>
            </w:tcBorders>
            <w:vAlign w:val="center"/>
          </w:tcPr>
          <w:p w14:paraId="2D64C769">
            <w:pPr>
              <w:widowControl/>
              <w:adjustRightInd/>
              <w:jc w:val="left"/>
              <w:rPr>
                <w:rFonts w:ascii="宋体" w:hAnsi="宋体" w:cs="宋体"/>
                <w:kern w:val="0"/>
                <w:sz w:val="24"/>
                <w:highlight w:val="none"/>
              </w:rPr>
            </w:pPr>
            <w:r>
              <w:rPr>
                <w:rFonts w:ascii="宋体" w:hAnsi="宋体" w:cs="宋体"/>
                <w:kern w:val="0"/>
                <w:sz w:val="24"/>
                <w:highlight w:val="none"/>
              </w:rPr>
              <w:t xml:space="preserve">a) </w:t>
            </w:r>
            <w:r>
              <w:rPr>
                <w:rFonts w:hint="eastAsia" w:ascii="宋体" w:hAnsi="宋体" w:cs="宋体"/>
                <w:kern w:val="0"/>
                <w:sz w:val="24"/>
                <w:highlight w:val="none"/>
              </w:rPr>
              <w:t>支持版本升级，保证版本间功能和数据的兼容性；</w:t>
            </w:r>
          </w:p>
          <w:p w14:paraId="0B69A98F">
            <w:pPr>
              <w:widowControl/>
              <w:adjustRightInd/>
              <w:jc w:val="left"/>
              <w:rPr>
                <w:rFonts w:ascii="宋体" w:hAns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厂商提供当前版本与历史版本的差异说明文档，包含新版本对软件和硬件的支持情况</w:t>
            </w:r>
          </w:p>
        </w:tc>
      </w:tr>
      <w:tr w14:paraId="3FAD5CAC">
        <w:tblPrEx>
          <w:tblCellMar>
            <w:top w:w="0" w:type="dxa"/>
            <w:left w:w="108" w:type="dxa"/>
            <w:bottom w:w="0" w:type="dxa"/>
            <w:right w:w="108" w:type="dxa"/>
          </w:tblCellMar>
        </w:tblPrEx>
        <w:trPr>
          <w:trHeight w:val="1872" w:hRule="atLeast"/>
        </w:trPr>
        <w:tc>
          <w:tcPr>
            <w:tcW w:w="740" w:type="dxa"/>
            <w:tcBorders>
              <w:top w:val="nil"/>
              <w:left w:val="single" w:color="auto" w:sz="4" w:space="0"/>
              <w:bottom w:val="single" w:color="auto" w:sz="4" w:space="0"/>
              <w:right w:val="single" w:color="auto" w:sz="4" w:space="0"/>
            </w:tcBorders>
            <w:vAlign w:val="center"/>
          </w:tcPr>
          <w:p w14:paraId="26E735C4">
            <w:pPr>
              <w:widowControl/>
              <w:adjustRightInd/>
              <w:jc w:val="center"/>
              <w:rPr>
                <w:rFonts w:ascii="宋体" w:hAnsi="宋体" w:cs="宋体"/>
                <w:kern w:val="0"/>
                <w:sz w:val="24"/>
                <w:highlight w:val="none"/>
              </w:rPr>
            </w:pPr>
            <w:r>
              <w:rPr>
                <w:rFonts w:ascii="宋体" w:hAnsi="宋体" w:cs="宋体"/>
                <w:kern w:val="0"/>
                <w:sz w:val="24"/>
                <w:highlight w:val="none"/>
              </w:rPr>
              <w:t>5</w:t>
            </w:r>
          </w:p>
        </w:tc>
        <w:tc>
          <w:tcPr>
            <w:tcW w:w="1420" w:type="dxa"/>
            <w:tcBorders>
              <w:top w:val="nil"/>
              <w:left w:val="nil"/>
              <w:bottom w:val="single" w:color="auto" w:sz="4" w:space="0"/>
              <w:right w:val="single" w:color="auto" w:sz="4" w:space="0"/>
            </w:tcBorders>
            <w:vAlign w:val="center"/>
          </w:tcPr>
          <w:p w14:paraId="45BB907F">
            <w:pPr>
              <w:widowControl/>
              <w:adjustRightInd/>
              <w:jc w:val="center"/>
              <w:rPr>
                <w:rFonts w:ascii="宋体" w:hAnsi="宋体" w:cs="宋体"/>
                <w:kern w:val="0"/>
                <w:sz w:val="24"/>
                <w:highlight w:val="none"/>
              </w:rPr>
            </w:pPr>
            <w:r>
              <w:rPr>
                <w:rFonts w:hint="eastAsia" w:ascii="宋体" w:hAnsi="宋体" w:cs="宋体"/>
                <w:kern w:val="0"/>
                <w:sz w:val="24"/>
                <w:highlight w:val="none"/>
              </w:rPr>
              <w:t>▲数据配置</w:t>
            </w:r>
          </w:p>
        </w:tc>
        <w:tc>
          <w:tcPr>
            <w:tcW w:w="1580" w:type="dxa"/>
            <w:tcBorders>
              <w:top w:val="nil"/>
              <w:left w:val="nil"/>
              <w:bottom w:val="single" w:color="auto" w:sz="4" w:space="0"/>
              <w:right w:val="single" w:color="auto" w:sz="4" w:space="0"/>
            </w:tcBorders>
            <w:vAlign w:val="center"/>
          </w:tcPr>
          <w:p w14:paraId="4D4E0187">
            <w:pPr>
              <w:widowControl/>
              <w:adjustRightInd/>
              <w:jc w:val="left"/>
              <w:rPr>
                <w:rFonts w:ascii="宋体" w:hAnsi="宋体" w:cs="宋体"/>
                <w:kern w:val="0"/>
                <w:sz w:val="24"/>
                <w:highlight w:val="none"/>
              </w:rPr>
            </w:pPr>
            <w:r>
              <w:rPr>
                <w:rFonts w:hint="eastAsia" w:ascii="宋体" w:hAnsi="宋体" w:cs="宋体"/>
                <w:kern w:val="0"/>
                <w:sz w:val="24"/>
                <w:highlight w:val="none"/>
              </w:rPr>
              <w:t>▲参数配置</w:t>
            </w:r>
          </w:p>
        </w:tc>
        <w:tc>
          <w:tcPr>
            <w:tcW w:w="4680" w:type="dxa"/>
            <w:tcBorders>
              <w:top w:val="nil"/>
              <w:left w:val="nil"/>
              <w:bottom w:val="single" w:color="auto" w:sz="4" w:space="0"/>
              <w:right w:val="single" w:color="auto" w:sz="4" w:space="0"/>
            </w:tcBorders>
            <w:vAlign w:val="center"/>
          </w:tcPr>
          <w:p w14:paraId="77C81217">
            <w:pPr>
              <w:widowControl/>
              <w:adjustRightInd/>
              <w:jc w:val="left"/>
              <w:rPr>
                <w:rFonts w:ascii="宋体" w:hAnsi="宋体" w:cs="宋体"/>
                <w:kern w:val="0"/>
                <w:sz w:val="24"/>
                <w:highlight w:val="none"/>
              </w:rPr>
            </w:pPr>
            <w:r>
              <w:rPr>
                <w:rFonts w:ascii="宋体" w:hAnsi="宋体" w:cs="宋体"/>
                <w:kern w:val="0"/>
                <w:sz w:val="24"/>
                <w:highlight w:val="none"/>
              </w:rPr>
              <w:t xml:space="preserve">a) </w:t>
            </w:r>
            <w:r>
              <w:rPr>
                <w:rFonts w:hint="eastAsia" w:ascii="宋体" w:hAnsi="宋体" w:cs="宋体"/>
                <w:kern w:val="0"/>
                <w:sz w:val="24"/>
                <w:highlight w:val="none"/>
              </w:rPr>
              <w:t>依据工作负载和运行环境，提供配置参数修改的能力</w:t>
            </w:r>
          </w:p>
          <w:p w14:paraId="14ABD78B">
            <w:pPr>
              <w:widowControl/>
              <w:adjustRightInd/>
              <w:jc w:val="left"/>
              <w:rPr>
                <w:rFonts w:ascii="宋体" w:hAns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修改数据库配置参数后，配置参数立即生效或数据库重新启动生效，立即生效的配置参数和需要数据库重新启动方可生效的配置参数在相关文档中明确；</w:t>
            </w:r>
          </w:p>
        </w:tc>
      </w:tr>
      <w:tr w14:paraId="1B1698A9">
        <w:tblPrEx>
          <w:tblCellMar>
            <w:top w:w="0" w:type="dxa"/>
            <w:left w:w="108" w:type="dxa"/>
            <w:bottom w:w="0" w:type="dxa"/>
            <w:right w:w="108" w:type="dxa"/>
          </w:tblCellMar>
        </w:tblPrEx>
        <w:trPr>
          <w:trHeight w:val="2184" w:hRule="atLeast"/>
        </w:trPr>
        <w:tc>
          <w:tcPr>
            <w:tcW w:w="740" w:type="dxa"/>
            <w:tcBorders>
              <w:top w:val="nil"/>
              <w:left w:val="single" w:color="auto" w:sz="4" w:space="0"/>
              <w:bottom w:val="single" w:color="auto" w:sz="4" w:space="0"/>
              <w:right w:val="single" w:color="auto" w:sz="4" w:space="0"/>
            </w:tcBorders>
            <w:vAlign w:val="center"/>
          </w:tcPr>
          <w:p w14:paraId="196A8BF9">
            <w:pPr>
              <w:widowControl/>
              <w:adjustRightInd/>
              <w:jc w:val="center"/>
              <w:rPr>
                <w:rFonts w:ascii="宋体" w:hAnsi="宋体" w:cs="宋体"/>
                <w:kern w:val="0"/>
                <w:sz w:val="24"/>
                <w:highlight w:val="none"/>
              </w:rPr>
            </w:pPr>
            <w:r>
              <w:rPr>
                <w:rFonts w:ascii="宋体" w:hAnsi="宋体" w:cs="宋体"/>
                <w:kern w:val="0"/>
                <w:sz w:val="24"/>
                <w:highlight w:val="none"/>
              </w:rPr>
              <w:t>6</w:t>
            </w:r>
          </w:p>
        </w:tc>
        <w:tc>
          <w:tcPr>
            <w:tcW w:w="1420" w:type="dxa"/>
            <w:vMerge w:val="restart"/>
            <w:tcBorders>
              <w:top w:val="nil"/>
              <w:left w:val="single" w:color="auto" w:sz="4" w:space="0"/>
              <w:bottom w:val="single" w:color="000000" w:sz="4" w:space="0"/>
              <w:right w:val="single" w:color="auto" w:sz="4" w:space="0"/>
            </w:tcBorders>
            <w:vAlign w:val="center"/>
          </w:tcPr>
          <w:p w14:paraId="6ACAC294">
            <w:pPr>
              <w:widowControl/>
              <w:adjustRightInd/>
              <w:jc w:val="center"/>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 xml:space="preserve">SQL </w:t>
            </w:r>
            <w:r>
              <w:rPr>
                <w:rFonts w:hint="eastAsia" w:ascii="宋体" w:hAnsi="宋体" w:cs="宋体"/>
                <w:kern w:val="0"/>
                <w:sz w:val="24"/>
                <w:highlight w:val="none"/>
              </w:rPr>
              <w:t>功能</w:t>
            </w:r>
          </w:p>
        </w:tc>
        <w:tc>
          <w:tcPr>
            <w:tcW w:w="1580" w:type="dxa"/>
            <w:tcBorders>
              <w:top w:val="nil"/>
              <w:left w:val="nil"/>
              <w:bottom w:val="single" w:color="auto" w:sz="4" w:space="0"/>
              <w:right w:val="single" w:color="auto" w:sz="4" w:space="0"/>
            </w:tcBorders>
            <w:vAlign w:val="center"/>
          </w:tcPr>
          <w:p w14:paraId="5EEDCE47">
            <w:pPr>
              <w:widowControl/>
              <w:adjustRightInd/>
              <w:jc w:val="left"/>
              <w:rPr>
                <w:rFonts w:ascii="宋体" w:hAnsi="宋体" w:cs="宋体"/>
                <w:kern w:val="0"/>
                <w:sz w:val="24"/>
                <w:highlight w:val="none"/>
              </w:rPr>
            </w:pPr>
            <w:r>
              <w:rPr>
                <w:rFonts w:hint="eastAsia" w:ascii="宋体" w:hAnsi="宋体" w:cs="宋体"/>
                <w:kern w:val="0"/>
                <w:sz w:val="24"/>
                <w:highlight w:val="none"/>
              </w:rPr>
              <w:t>▲基础数据类型</w:t>
            </w:r>
          </w:p>
        </w:tc>
        <w:tc>
          <w:tcPr>
            <w:tcW w:w="4680" w:type="dxa"/>
            <w:tcBorders>
              <w:top w:val="nil"/>
              <w:left w:val="nil"/>
              <w:bottom w:val="single" w:color="auto" w:sz="4" w:space="0"/>
              <w:right w:val="single" w:color="auto" w:sz="4" w:space="0"/>
            </w:tcBorders>
            <w:vAlign w:val="center"/>
          </w:tcPr>
          <w:p w14:paraId="34F154F9">
            <w:pPr>
              <w:widowControl/>
              <w:adjustRightInd/>
              <w:jc w:val="left"/>
              <w:rPr>
                <w:rFonts w:ascii="宋体" w:hAnsi="宋体" w:cs="宋体"/>
                <w:kern w:val="0"/>
                <w:sz w:val="24"/>
                <w:highlight w:val="none"/>
              </w:rPr>
            </w:pPr>
            <w:r>
              <w:rPr>
                <w:rFonts w:ascii="宋体" w:hAnsi="宋体" w:cs="宋体"/>
                <w:kern w:val="0"/>
                <w:sz w:val="24"/>
                <w:highlight w:val="none"/>
              </w:rPr>
              <w:t xml:space="preserve">a) 支持数值类型； </w:t>
            </w:r>
          </w:p>
          <w:p w14:paraId="051853B8">
            <w:pPr>
              <w:widowControl/>
              <w:adjustRightInd/>
              <w:jc w:val="left"/>
              <w:rPr>
                <w:rFonts w:ascii="宋体" w:hAns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支持字符类型；</w:t>
            </w:r>
          </w:p>
          <w:p w14:paraId="31A19F27">
            <w:pPr>
              <w:widowControl/>
              <w:adjustRightInd/>
              <w:jc w:val="left"/>
              <w:rPr>
                <w:rFonts w:ascii="宋体" w:hAnsi="宋体" w:cs="宋体"/>
                <w:kern w:val="0"/>
                <w:sz w:val="24"/>
                <w:highlight w:val="none"/>
              </w:rPr>
            </w:pPr>
            <w:r>
              <w:rPr>
                <w:rFonts w:ascii="宋体" w:hAnsi="宋体" w:cs="宋体"/>
                <w:kern w:val="0"/>
                <w:sz w:val="24"/>
                <w:highlight w:val="none"/>
              </w:rPr>
              <w:t xml:space="preserve">c) </w:t>
            </w:r>
            <w:r>
              <w:rPr>
                <w:rFonts w:hint="eastAsia" w:ascii="宋体" w:hAnsi="宋体" w:cs="宋体"/>
                <w:kern w:val="0"/>
                <w:sz w:val="24"/>
                <w:highlight w:val="none"/>
              </w:rPr>
              <w:t>支持二进制类型；</w:t>
            </w:r>
          </w:p>
          <w:p w14:paraId="4DADF598">
            <w:pPr>
              <w:widowControl/>
              <w:adjustRightInd/>
              <w:jc w:val="left"/>
              <w:rPr>
                <w:rFonts w:ascii="宋体" w:hAnsi="宋体" w:cs="宋体"/>
                <w:kern w:val="0"/>
                <w:sz w:val="24"/>
                <w:highlight w:val="none"/>
              </w:rPr>
            </w:pPr>
            <w:r>
              <w:rPr>
                <w:rFonts w:ascii="宋体" w:hAnsi="宋体" w:cs="宋体"/>
                <w:kern w:val="0"/>
                <w:sz w:val="24"/>
                <w:highlight w:val="none"/>
              </w:rPr>
              <w:t xml:space="preserve">d) </w:t>
            </w:r>
            <w:r>
              <w:rPr>
                <w:rFonts w:hint="eastAsia" w:ascii="宋体" w:hAnsi="宋体" w:cs="宋体"/>
                <w:kern w:val="0"/>
                <w:sz w:val="24"/>
                <w:highlight w:val="none"/>
              </w:rPr>
              <w:t>支持日期和时间类型；</w:t>
            </w:r>
          </w:p>
          <w:p w14:paraId="2385FE61">
            <w:pPr>
              <w:widowControl/>
              <w:adjustRightInd/>
              <w:jc w:val="left"/>
              <w:rPr>
                <w:rFonts w:ascii="宋体" w:hAnsi="宋体" w:cs="宋体"/>
                <w:kern w:val="0"/>
                <w:sz w:val="24"/>
                <w:highlight w:val="none"/>
              </w:rPr>
            </w:pPr>
            <w:r>
              <w:rPr>
                <w:rFonts w:ascii="宋体" w:hAnsi="宋体" w:cs="宋体"/>
                <w:kern w:val="0"/>
                <w:sz w:val="24"/>
                <w:highlight w:val="none"/>
              </w:rPr>
              <w:t xml:space="preserve">e) </w:t>
            </w:r>
            <w:r>
              <w:rPr>
                <w:rFonts w:hint="eastAsia" w:ascii="宋体" w:hAnsi="宋体" w:cs="宋体"/>
                <w:kern w:val="0"/>
                <w:sz w:val="24"/>
                <w:highlight w:val="none"/>
              </w:rPr>
              <w:t>支持布尔类型；</w:t>
            </w:r>
          </w:p>
          <w:p w14:paraId="4BBCF1E2">
            <w:pPr>
              <w:widowControl/>
              <w:adjustRightInd/>
              <w:jc w:val="left"/>
              <w:rPr>
                <w:rFonts w:ascii="宋体" w:hAnsi="宋体" w:cs="宋体"/>
                <w:kern w:val="0"/>
                <w:sz w:val="24"/>
                <w:highlight w:val="none"/>
              </w:rPr>
            </w:pPr>
            <w:r>
              <w:rPr>
                <w:rFonts w:ascii="宋体" w:hAnsi="宋体" w:cs="宋体"/>
                <w:kern w:val="0"/>
                <w:sz w:val="24"/>
                <w:highlight w:val="none"/>
              </w:rPr>
              <w:t xml:space="preserve">f) </w:t>
            </w:r>
            <w:r>
              <w:rPr>
                <w:rFonts w:hint="eastAsia" w:ascii="宋体" w:hAnsi="宋体" w:cs="宋体"/>
                <w:kern w:val="0"/>
                <w:sz w:val="24"/>
                <w:highlight w:val="none"/>
              </w:rPr>
              <w:t>支持（大）文本类型；</w:t>
            </w:r>
          </w:p>
          <w:p w14:paraId="5693C9E2">
            <w:pPr>
              <w:widowControl/>
              <w:adjustRightInd/>
              <w:jc w:val="left"/>
              <w:rPr>
                <w:rFonts w:ascii="宋体" w:hAnsi="宋体" w:cs="宋体"/>
                <w:kern w:val="0"/>
                <w:sz w:val="24"/>
                <w:highlight w:val="none"/>
              </w:rPr>
            </w:pPr>
            <w:r>
              <w:rPr>
                <w:rFonts w:ascii="宋体" w:hAnsi="宋体" w:cs="宋体"/>
                <w:kern w:val="0"/>
                <w:sz w:val="24"/>
                <w:highlight w:val="none"/>
              </w:rPr>
              <w:t xml:space="preserve">g) </w:t>
            </w:r>
            <w:r>
              <w:rPr>
                <w:rFonts w:hint="eastAsia" w:ascii="宋体" w:hAnsi="宋体" w:cs="宋体"/>
                <w:kern w:val="0"/>
                <w:sz w:val="24"/>
                <w:highlight w:val="none"/>
              </w:rPr>
              <w:t>支持大对象类型</w:t>
            </w:r>
          </w:p>
        </w:tc>
      </w:tr>
      <w:tr w14:paraId="532D2637">
        <w:tblPrEx>
          <w:tblCellMar>
            <w:top w:w="0" w:type="dxa"/>
            <w:left w:w="108" w:type="dxa"/>
            <w:bottom w:w="0" w:type="dxa"/>
            <w:right w:w="108" w:type="dxa"/>
          </w:tblCellMar>
        </w:tblPrEx>
        <w:trPr>
          <w:trHeight w:val="624" w:hRule="atLeast"/>
        </w:trPr>
        <w:tc>
          <w:tcPr>
            <w:tcW w:w="740" w:type="dxa"/>
            <w:tcBorders>
              <w:top w:val="nil"/>
              <w:left w:val="single" w:color="auto" w:sz="4" w:space="0"/>
              <w:bottom w:val="single" w:color="auto" w:sz="4" w:space="0"/>
              <w:right w:val="single" w:color="auto" w:sz="4" w:space="0"/>
            </w:tcBorders>
            <w:vAlign w:val="center"/>
          </w:tcPr>
          <w:p w14:paraId="6AE89972">
            <w:pPr>
              <w:widowControl/>
              <w:adjustRightInd/>
              <w:jc w:val="center"/>
              <w:rPr>
                <w:rFonts w:ascii="宋体" w:hAnsi="宋体" w:cs="宋体"/>
                <w:kern w:val="0"/>
                <w:sz w:val="24"/>
                <w:highlight w:val="none"/>
              </w:rPr>
            </w:pPr>
            <w:r>
              <w:rPr>
                <w:rFonts w:ascii="宋体" w:hAnsi="宋体" w:cs="宋体"/>
                <w:kern w:val="0"/>
                <w:sz w:val="24"/>
                <w:highlight w:val="none"/>
              </w:rPr>
              <w:t>7</w:t>
            </w:r>
          </w:p>
        </w:tc>
        <w:tc>
          <w:tcPr>
            <w:tcW w:w="1420" w:type="dxa"/>
            <w:vMerge w:val="continue"/>
            <w:tcBorders>
              <w:top w:val="nil"/>
              <w:left w:val="single" w:color="auto" w:sz="4" w:space="0"/>
              <w:bottom w:val="single" w:color="000000" w:sz="4" w:space="0"/>
              <w:right w:val="single" w:color="auto" w:sz="4" w:space="0"/>
            </w:tcBorders>
            <w:vAlign w:val="center"/>
          </w:tcPr>
          <w:p w14:paraId="37701D14">
            <w:pPr>
              <w:widowControl/>
              <w:adjustRightInd/>
              <w:jc w:val="left"/>
              <w:rPr>
                <w:rFonts w:ascii="宋体" w:hAnsi="宋体" w:cs="宋体"/>
                <w:kern w:val="0"/>
                <w:sz w:val="24"/>
                <w:highlight w:val="none"/>
              </w:rPr>
            </w:pPr>
          </w:p>
        </w:tc>
        <w:tc>
          <w:tcPr>
            <w:tcW w:w="1580" w:type="dxa"/>
            <w:tcBorders>
              <w:top w:val="nil"/>
              <w:left w:val="nil"/>
              <w:bottom w:val="single" w:color="auto" w:sz="4" w:space="0"/>
              <w:right w:val="single" w:color="auto" w:sz="4" w:space="0"/>
            </w:tcBorders>
            <w:vAlign w:val="center"/>
          </w:tcPr>
          <w:p w14:paraId="70A48F2D">
            <w:pPr>
              <w:widowControl/>
              <w:adjustRightInd/>
              <w:jc w:val="left"/>
              <w:rPr>
                <w:rFonts w:ascii="宋体" w:hAnsi="宋体" w:cs="宋体"/>
                <w:kern w:val="0"/>
                <w:sz w:val="24"/>
                <w:highlight w:val="none"/>
              </w:rPr>
            </w:pPr>
            <w:r>
              <w:rPr>
                <w:rFonts w:hint="eastAsia" w:ascii="宋体" w:hAnsi="宋体" w:cs="宋体"/>
                <w:kern w:val="0"/>
                <w:sz w:val="24"/>
                <w:highlight w:val="none"/>
              </w:rPr>
              <w:t>▲数据存储基础功能</w:t>
            </w:r>
          </w:p>
        </w:tc>
        <w:tc>
          <w:tcPr>
            <w:tcW w:w="4680" w:type="dxa"/>
            <w:tcBorders>
              <w:top w:val="nil"/>
              <w:left w:val="nil"/>
              <w:bottom w:val="single" w:color="auto" w:sz="4" w:space="0"/>
              <w:right w:val="single" w:color="auto" w:sz="4" w:space="0"/>
            </w:tcBorders>
            <w:vAlign w:val="center"/>
          </w:tcPr>
          <w:p w14:paraId="2D259FAC">
            <w:pPr>
              <w:widowControl/>
              <w:adjustRightInd/>
              <w:jc w:val="left"/>
              <w:rPr>
                <w:rFonts w:ascii="宋体" w:hAnsi="宋体" w:cs="宋体"/>
                <w:kern w:val="0"/>
                <w:sz w:val="24"/>
                <w:highlight w:val="none"/>
              </w:rPr>
            </w:pPr>
            <w:r>
              <w:rPr>
                <w:rFonts w:hint="eastAsia" w:ascii="宋体" w:hAnsi="宋体" w:cs="宋体"/>
                <w:kern w:val="0"/>
                <w:sz w:val="24"/>
                <w:highlight w:val="none"/>
              </w:rPr>
              <w:t>支持基础数据类型</w:t>
            </w:r>
          </w:p>
        </w:tc>
      </w:tr>
      <w:tr w14:paraId="299FC91F">
        <w:tblPrEx>
          <w:tblCellMar>
            <w:top w:w="0" w:type="dxa"/>
            <w:left w:w="108" w:type="dxa"/>
            <w:bottom w:w="0" w:type="dxa"/>
            <w:right w:w="108" w:type="dxa"/>
          </w:tblCellMar>
        </w:tblPrEx>
        <w:trPr>
          <w:trHeight w:val="624" w:hRule="atLeast"/>
        </w:trPr>
        <w:tc>
          <w:tcPr>
            <w:tcW w:w="740" w:type="dxa"/>
            <w:tcBorders>
              <w:top w:val="nil"/>
              <w:left w:val="single" w:color="auto" w:sz="4" w:space="0"/>
              <w:bottom w:val="single" w:color="auto" w:sz="4" w:space="0"/>
              <w:right w:val="single" w:color="auto" w:sz="4" w:space="0"/>
            </w:tcBorders>
            <w:vAlign w:val="center"/>
          </w:tcPr>
          <w:p w14:paraId="2FBC5EFB">
            <w:pPr>
              <w:widowControl/>
              <w:adjustRightInd/>
              <w:jc w:val="center"/>
              <w:rPr>
                <w:rFonts w:ascii="宋体" w:hAnsi="宋体" w:cs="宋体"/>
                <w:kern w:val="0"/>
                <w:sz w:val="24"/>
                <w:highlight w:val="none"/>
              </w:rPr>
            </w:pPr>
            <w:r>
              <w:rPr>
                <w:rFonts w:ascii="宋体" w:hAnsi="宋体" w:cs="宋体"/>
                <w:kern w:val="0"/>
                <w:sz w:val="24"/>
                <w:highlight w:val="none"/>
              </w:rPr>
              <w:t>8</w:t>
            </w:r>
          </w:p>
        </w:tc>
        <w:tc>
          <w:tcPr>
            <w:tcW w:w="1420" w:type="dxa"/>
            <w:vMerge w:val="continue"/>
            <w:tcBorders>
              <w:top w:val="nil"/>
              <w:left w:val="single" w:color="auto" w:sz="4" w:space="0"/>
              <w:bottom w:val="single" w:color="000000" w:sz="4" w:space="0"/>
              <w:right w:val="single" w:color="auto" w:sz="4" w:space="0"/>
            </w:tcBorders>
            <w:vAlign w:val="center"/>
          </w:tcPr>
          <w:p w14:paraId="74D324AB">
            <w:pPr>
              <w:widowControl/>
              <w:adjustRightInd/>
              <w:jc w:val="left"/>
              <w:rPr>
                <w:rFonts w:ascii="宋体" w:hAnsi="宋体" w:cs="宋体"/>
                <w:kern w:val="0"/>
                <w:sz w:val="24"/>
                <w:highlight w:val="none"/>
              </w:rPr>
            </w:pPr>
          </w:p>
        </w:tc>
        <w:tc>
          <w:tcPr>
            <w:tcW w:w="1580" w:type="dxa"/>
            <w:tcBorders>
              <w:top w:val="nil"/>
              <w:left w:val="nil"/>
              <w:bottom w:val="single" w:color="auto" w:sz="4" w:space="0"/>
              <w:right w:val="single" w:color="auto" w:sz="4" w:space="0"/>
            </w:tcBorders>
            <w:vAlign w:val="center"/>
          </w:tcPr>
          <w:p w14:paraId="1CD77228">
            <w:pPr>
              <w:widowControl/>
              <w:adjustRightInd/>
              <w:jc w:val="left"/>
              <w:rPr>
                <w:rFonts w:ascii="宋体" w:hAnsi="宋体" w:cs="宋体"/>
                <w:kern w:val="0"/>
                <w:sz w:val="24"/>
                <w:highlight w:val="none"/>
              </w:rPr>
            </w:pPr>
            <w:r>
              <w:rPr>
                <w:rFonts w:hint="eastAsia" w:ascii="宋体" w:hAnsi="宋体" w:cs="宋体"/>
                <w:kern w:val="0"/>
                <w:sz w:val="24"/>
                <w:highlight w:val="none"/>
              </w:rPr>
              <w:t>▲数据检索基础功能</w:t>
            </w:r>
          </w:p>
        </w:tc>
        <w:tc>
          <w:tcPr>
            <w:tcW w:w="4680" w:type="dxa"/>
            <w:tcBorders>
              <w:top w:val="nil"/>
              <w:left w:val="nil"/>
              <w:bottom w:val="single" w:color="auto" w:sz="4" w:space="0"/>
              <w:right w:val="single" w:color="auto" w:sz="4" w:space="0"/>
            </w:tcBorders>
            <w:vAlign w:val="center"/>
          </w:tcPr>
          <w:p w14:paraId="17CFCF46">
            <w:pPr>
              <w:widowControl/>
              <w:adjustRightInd/>
              <w:jc w:val="left"/>
              <w:rPr>
                <w:rFonts w:ascii="宋体" w:hAnsi="宋体" w:cs="宋体"/>
                <w:kern w:val="0"/>
                <w:sz w:val="24"/>
                <w:highlight w:val="none"/>
              </w:rPr>
            </w:pPr>
            <w:r>
              <w:rPr>
                <w:rFonts w:hint="eastAsia" w:ascii="宋体" w:hAnsi="宋体" w:cs="宋体"/>
                <w:kern w:val="0"/>
                <w:sz w:val="24"/>
                <w:highlight w:val="none"/>
              </w:rPr>
              <w:t>支持基础数据类型</w:t>
            </w:r>
          </w:p>
        </w:tc>
      </w:tr>
      <w:tr w14:paraId="41A5ADAC">
        <w:tblPrEx>
          <w:tblCellMar>
            <w:top w:w="0" w:type="dxa"/>
            <w:left w:w="108" w:type="dxa"/>
            <w:bottom w:w="0" w:type="dxa"/>
            <w:right w:w="108" w:type="dxa"/>
          </w:tblCellMar>
        </w:tblPrEx>
        <w:trPr>
          <w:trHeight w:val="1248" w:hRule="atLeast"/>
        </w:trPr>
        <w:tc>
          <w:tcPr>
            <w:tcW w:w="740" w:type="dxa"/>
            <w:tcBorders>
              <w:top w:val="nil"/>
              <w:left w:val="single" w:color="auto" w:sz="4" w:space="0"/>
              <w:bottom w:val="single" w:color="auto" w:sz="4" w:space="0"/>
              <w:right w:val="single" w:color="auto" w:sz="4" w:space="0"/>
            </w:tcBorders>
            <w:vAlign w:val="center"/>
          </w:tcPr>
          <w:p w14:paraId="3C3A746E">
            <w:pPr>
              <w:widowControl/>
              <w:adjustRightInd/>
              <w:jc w:val="center"/>
              <w:rPr>
                <w:rFonts w:ascii="宋体" w:hAnsi="宋体" w:cs="宋体"/>
                <w:kern w:val="0"/>
                <w:sz w:val="24"/>
                <w:highlight w:val="none"/>
              </w:rPr>
            </w:pPr>
            <w:r>
              <w:rPr>
                <w:rFonts w:ascii="宋体" w:hAnsi="宋体" w:cs="宋体"/>
                <w:kern w:val="0"/>
                <w:sz w:val="24"/>
                <w:highlight w:val="none"/>
              </w:rPr>
              <w:t>9</w:t>
            </w:r>
          </w:p>
        </w:tc>
        <w:tc>
          <w:tcPr>
            <w:tcW w:w="1420" w:type="dxa"/>
            <w:vMerge w:val="continue"/>
            <w:tcBorders>
              <w:top w:val="nil"/>
              <w:left w:val="single" w:color="auto" w:sz="4" w:space="0"/>
              <w:bottom w:val="single" w:color="000000" w:sz="4" w:space="0"/>
              <w:right w:val="single" w:color="auto" w:sz="4" w:space="0"/>
            </w:tcBorders>
            <w:vAlign w:val="center"/>
          </w:tcPr>
          <w:p w14:paraId="129E9436">
            <w:pPr>
              <w:widowControl/>
              <w:adjustRightInd/>
              <w:jc w:val="left"/>
              <w:rPr>
                <w:rFonts w:ascii="宋体" w:hAnsi="宋体" w:cs="宋体"/>
                <w:kern w:val="0"/>
                <w:sz w:val="24"/>
                <w:highlight w:val="none"/>
              </w:rPr>
            </w:pPr>
          </w:p>
        </w:tc>
        <w:tc>
          <w:tcPr>
            <w:tcW w:w="1580" w:type="dxa"/>
            <w:tcBorders>
              <w:top w:val="nil"/>
              <w:left w:val="nil"/>
              <w:bottom w:val="single" w:color="auto" w:sz="4" w:space="0"/>
              <w:right w:val="single" w:color="auto" w:sz="4" w:space="0"/>
            </w:tcBorders>
            <w:vAlign w:val="center"/>
          </w:tcPr>
          <w:p w14:paraId="12E4130A">
            <w:pPr>
              <w:widowControl/>
              <w:adjustRightInd/>
              <w:jc w:val="left"/>
              <w:rPr>
                <w:rFonts w:ascii="宋体" w:hAnsi="宋体" w:cs="宋体"/>
                <w:kern w:val="0"/>
                <w:sz w:val="24"/>
                <w:highlight w:val="none"/>
              </w:rPr>
            </w:pPr>
            <w:r>
              <w:rPr>
                <w:rFonts w:hint="eastAsia" w:ascii="宋体" w:hAnsi="宋体" w:cs="宋体"/>
                <w:kern w:val="0"/>
                <w:sz w:val="24"/>
                <w:highlight w:val="none"/>
              </w:rPr>
              <w:t>▲核心</w:t>
            </w:r>
            <w:r>
              <w:rPr>
                <w:rFonts w:ascii="宋体" w:hAnsi="宋体" w:cs="宋体"/>
                <w:kern w:val="0"/>
                <w:sz w:val="24"/>
                <w:highlight w:val="none"/>
              </w:rPr>
              <w:t>SQL能力</w:t>
            </w:r>
          </w:p>
        </w:tc>
        <w:tc>
          <w:tcPr>
            <w:tcW w:w="4680" w:type="dxa"/>
            <w:tcBorders>
              <w:top w:val="nil"/>
              <w:left w:val="nil"/>
              <w:bottom w:val="single" w:color="auto" w:sz="4" w:space="0"/>
              <w:right w:val="single" w:color="auto" w:sz="4" w:space="0"/>
            </w:tcBorders>
            <w:vAlign w:val="center"/>
          </w:tcPr>
          <w:p w14:paraId="2A9CBDD1">
            <w:pPr>
              <w:widowControl/>
              <w:adjustRightInd/>
              <w:jc w:val="left"/>
              <w:rPr>
                <w:rFonts w:ascii="宋体" w:hAnsi="宋体" w:cs="宋体"/>
                <w:kern w:val="0"/>
                <w:sz w:val="24"/>
                <w:highlight w:val="none"/>
              </w:rPr>
            </w:pPr>
            <w:r>
              <w:rPr>
                <w:rFonts w:ascii="宋体" w:hAnsi="宋体" w:cs="宋体"/>
                <w:kern w:val="0"/>
                <w:sz w:val="24"/>
                <w:highlight w:val="none"/>
              </w:rPr>
              <w:t xml:space="preserve">a) </w:t>
            </w:r>
            <w:r>
              <w:rPr>
                <w:rFonts w:hint="eastAsia" w:ascii="宋体" w:hAnsi="宋体" w:cs="宋体"/>
                <w:kern w:val="0"/>
                <w:sz w:val="24"/>
                <w:highlight w:val="none"/>
              </w:rPr>
              <w:t>支持左外连接；</w:t>
            </w:r>
          </w:p>
          <w:p w14:paraId="6436C297">
            <w:pPr>
              <w:widowControl/>
              <w:adjustRightInd/>
              <w:jc w:val="left"/>
              <w:rPr>
                <w:rFonts w:ascii="宋体" w:hAns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支持右外连接；</w:t>
            </w:r>
          </w:p>
          <w:p w14:paraId="1B7BEEA1">
            <w:pPr>
              <w:widowControl/>
              <w:adjustRightInd/>
              <w:jc w:val="left"/>
              <w:rPr>
                <w:rFonts w:ascii="宋体" w:hAnsi="宋体" w:cs="宋体"/>
                <w:kern w:val="0"/>
                <w:sz w:val="24"/>
                <w:highlight w:val="none"/>
              </w:rPr>
            </w:pPr>
            <w:r>
              <w:rPr>
                <w:rFonts w:ascii="宋体" w:hAnsi="宋体" w:cs="宋体"/>
                <w:kern w:val="0"/>
                <w:sz w:val="24"/>
                <w:highlight w:val="none"/>
              </w:rPr>
              <w:t xml:space="preserve">c) </w:t>
            </w:r>
            <w:r>
              <w:rPr>
                <w:rFonts w:hint="eastAsia" w:ascii="宋体" w:hAnsi="宋体" w:cs="宋体"/>
                <w:kern w:val="0"/>
                <w:sz w:val="24"/>
                <w:highlight w:val="none"/>
              </w:rPr>
              <w:t>支持内连接；</w:t>
            </w:r>
          </w:p>
          <w:p w14:paraId="2F85A25E">
            <w:pPr>
              <w:widowControl/>
              <w:adjustRightInd/>
              <w:jc w:val="left"/>
              <w:rPr>
                <w:rFonts w:ascii="宋体" w:hAnsi="宋体" w:cs="宋体"/>
                <w:kern w:val="0"/>
                <w:sz w:val="24"/>
                <w:highlight w:val="none"/>
              </w:rPr>
            </w:pPr>
            <w:r>
              <w:rPr>
                <w:rFonts w:ascii="宋体" w:hAnsi="宋体" w:cs="宋体"/>
                <w:kern w:val="0"/>
                <w:sz w:val="24"/>
                <w:highlight w:val="none"/>
              </w:rPr>
              <w:t xml:space="preserve">d) </w:t>
            </w:r>
            <w:r>
              <w:rPr>
                <w:rFonts w:hint="eastAsia" w:ascii="宋体" w:hAnsi="宋体" w:cs="宋体"/>
                <w:kern w:val="0"/>
                <w:sz w:val="24"/>
                <w:highlight w:val="none"/>
              </w:rPr>
              <w:t>支持全连接</w:t>
            </w:r>
          </w:p>
        </w:tc>
      </w:tr>
      <w:tr w14:paraId="5E2854E0">
        <w:tblPrEx>
          <w:tblCellMar>
            <w:top w:w="0" w:type="dxa"/>
            <w:left w:w="108" w:type="dxa"/>
            <w:bottom w:w="0" w:type="dxa"/>
            <w:right w:w="108" w:type="dxa"/>
          </w:tblCellMar>
        </w:tblPrEx>
        <w:trPr>
          <w:trHeight w:val="312" w:hRule="atLeast"/>
        </w:trPr>
        <w:tc>
          <w:tcPr>
            <w:tcW w:w="740" w:type="dxa"/>
            <w:tcBorders>
              <w:top w:val="nil"/>
              <w:left w:val="single" w:color="auto" w:sz="4" w:space="0"/>
              <w:bottom w:val="single" w:color="auto" w:sz="4" w:space="0"/>
              <w:right w:val="single" w:color="auto" w:sz="4" w:space="0"/>
            </w:tcBorders>
            <w:vAlign w:val="center"/>
          </w:tcPr>
          <w:p w14:paraId="11C5507B">
            <w:pPr>
              <w:widowControl/>
              <w:adjustRightInd/>
              <w:jc w:val="center"/>
              <w:rPr>
                <w:rFonts w:ascii="宋体" w:hAnsi="宋体" w:cs="宋体"/>
                <w:kern w:val="0"/>
                <w:sz w:val="24"/>
                <w:highlight w:val="none"/>
              </w:rPr>
            </w:pPr>
            <w:r>
              <w:rPr>
                <w:rFonts w:ascii="宋体" w:hAnsi="宋体" w:cs="宋体"/>
                <w:kern w:val="0"/>
                <w:sz w:val="24"/>
                <w:highlight w:val="none"/>
              </w:rPr>
              <w:t>10</w:t>
            </w:r>
          </w:p>
        </w:tc>
        <w:tc>
          <w:tcPr>
            <w:tcW w:w="1420" w:type="dxa"/>
            <w:vMerge w:val="continue"/>
            <w:tcBorders>
              <w:top w:val="nil"/>
              <w:left w:val="single" w:color="auto" w:sz="4" w:space="0"/>
              <w:bottom w:val="single" w:color="000000" w:sz="4" w:space="0"/>
              <w:right w:val="single" w:color="auto" w:sz="4" w:space="0"/>
            </w:tcBorders>
            <w:vAlign w:val="center"/>
          </w:tcPr>
          <w:p w14:paraId="0E91E40D">
            <w:pPr>
              <w:widowControl/>
              <w:adjustRightInd/>
              <w:jc w:val="left"/>
              <w:rPr>
                <w:rFonts w:ascii="宋体" w:hAnsi="宋体" w:cs="宋体"/>
                <w:kern w:val="0"/>
                <w:sz w:val="24"/>
                <w:highlight w:val="none"/>
              </w:rPr>
            </w:pPr>
          </w:p>
        </w:tc>
        <w:tc>
          <w:tcPr>
            <w:tcW w:w="1580" w:type="dxa"/>
            <w:tcBorders>
              <w:top w:val="nil"/>
              <w:left w:val="nil"/>
              <w:bottom w:val="single" w:color="auto" w:sz="4" w:space="0"/>
              <w:right w:val="single" w:color="auto" w:sz="4" w:space="0"/>
            </w:tcBorders>
            <w:vAlign w:val="center"/>
          </w:tcPr>
          <w:p w14:paraId="462F9D4A">
            <w:pPr>
              <w:widowControl/>
              <w:adjustRightInd/>
              <w:jc w:val="left"/>
              <w:rPr>
                <w:rFonts w:ascii="宋体" w:hAnsi="宋体" w:cs="宋体"/>
                <w:kern w:val="0"/>
                <w:sz w:val="24"/>
                <w:highlight w:val="none"/>
              </w:rPr>
            </w:pPr>
            <w:r>
              <w:rPr>
                <w:rFonts w:hint="eastAsia" w:ascii="宋体" w:hAnsi="宋体" w:cs="宋体"/>
                <w:kern w:val="0"/>
                <w:sz w:val="24"/>
                <w:highlight w:val="none"/>
              </w:rPr>
              <w:t>▲字符集</w:t>
            </w:r>
          </w:p>
        </w:tc>
        <w:tc>
          <w:tcPr>
            <w:tcW w:w="4680" w:type="dxa"/>
            <w:tcBorders>
              <w:top w:val="nil"/>
              <w:left w:val="nil"/>
              <w:bottom w:val="single" w:color="auto" w:sz="4" w:space="0"/>
              <w:right w:val="single" w:color="auto" w:sz="4" w:space="0"/>
            </w:tcBorders>
            <w:vAlign w:val="center"/>
          </w:tcPr>
          <w:p w14:paraId="6EC71B97">
            <w:pPr>
              <w:widowControl/>
              <w:adjustRightInd/>
              <w:jc w:val="left"/>
              <w:rPr>
                <w:rFonts w:ascii="宋体" w:hAnsi="宋体" w:cs="宋体"/>
                <w:kern w:val="0"/>
                <w:sz w:val="24"/>
                <w:highlight w:val="none"/>
              </w:rPr>
            </w:pPr>
            <w:r>
              <w:rPr>
                <w:rFonts w:hint="eastAsia" w:ascii="宋体" w:hAnsi="宋体" w:cs="宋体"/>
                <w:kern w:val="0"/>
                <w:sz w:val="24"/>
                <w:highlight w:val="none"/>
              </w:rPr>
              <w:t>中文字符集符合</w:t>
            </w:r>
            <w:r>
              <w:rPr>
                <w:rFonts w:ascii="宋体" w:hAnsi="宋体" w:cs="宋体"/>
                <w:kern w:val="0"/>
                <w:sz w:val="24"/>
                <w:highlight w:val="none"/>
              </w:rPr>
              <w:t xml:space="preserve"> GB 18030 </w:t>
            </w:r>
            <w:r>
              <w:rPr>
                <w:rFonts w:hint="eastAsia" w:ascii="宋体" w:hAnsi="宋体" w:cs="宋体"/>
                <w:kern w:val="0"/>
                <w:sz w:val="24"/>
                <w:highlight w:val="none"/>
              </w:rPr>
              <w:t>的要求</w:t>
            </w:r>
          </w:p>
        </w:tc>
      </w:tr>
      <w:tr w14:paraId="3B70C0AC">
        <w:tblPrEx>
          <w:tblCellMar>
            <w:top w:w="0" w:type="dxa"/>
            <w:left w:w="108" w:type="dxa"/>
            <w:bottom w:w="0" w:type="dxa"/>
            <w:right w:w="108" w:type="dxa"/>
          </w:tblCellMar>
        </w:tblPrEx>
        <w:trPr>
          <w:trHeight w:val="936" w:hRule="atLeast"/>
        </w:trPr>
        <w:tc>
          <w:tcPr>
            <w:tcW w:w="740" w:type="dxa"/>
            <w:tcBorders>
              <w:top w:val="nil"/>
              <w:left w:val="single" w:color="auto" w:sz="4" w:space="0"/>
              <w:bottom w:val="single" w:color="auto" w:sz="4" w:space="0"/>
              <w:right w:val="single" w:color="auto" w:sz="4" w:space="0"/>
            </w:tcBorders>
            <w:vAlign w:val="center"/>
          </w:tcPr>
          <w:p w14:paraId="2803F713">
            <w:pPr>
              <w:widowControl/>
              <w:adjustRightInd/>
              <w:jc w:val="center"/>
              <w:rPr>
                <w:rFonts w:ascii="宋体" w:hAnsi="宋体" w:cs="宋体"/>
                <w:kern w:val="0"/>
                <w:sz w:val="24"/>
                <w:highlight w:val="none"/>
              </w:rPr>
            </w:pPr>
            <w:r>
              <w:rPr>
                <w:rFonts w:ascii="宋体" w:hAnsi="宋体" w:cs="宋体"/>
                <w:kern w:val="0"/>
                <w:sz w:val="24"/>
                <w:highlight w:val="none"/>
              </w:rPr>
              <w:t>11</w:t>
            </w:r>
          </w:p>
        </w:tc>
        <w:tc>
          <w:tcPr>
            <w:tcW w:w="1420" w:type="dxa"/>
            <w:vMerge w:val="continue"/>
            <w:tcBorders>
              <w:top w:val="nil"/>
              <w:left w:val="single" w:color="auto" w:sz="4" w:space="0"/>
              <w:bottom w:val="single" w:color="000000" w:sz="4" w:space="0"/>
              <w:right w:val="single" w:color="auto" w:sz="4" w:space="0"/>
            </w:tcBorders>
            <w:vAlign w:val="center"/>
          </w:tcPr>
          <w:p w14:paraId="5F6DE0E8">
            <w:pPr>
              <w:widowControl/>
              <w:adjustRightInd/>
              <w:jc w:val="left"/>
              <w:rPr>
                <w:rFonts w:ascii="宋体" w:hAnsi="宋体" w:cs="宋体"/>
                <w:kern w:val="0"/>
                <w:sz w:val="24"/>
                <w:highlight w:val="none"/>
              </w:rPr>
            </w:pPr>
          </w:p>
        </w:tc>
        <w:tc>
          <w:tcPr>
            <w:tcW w:w="1580" w:type="dxa"/>
            <w:tcBorders>
              <w:top w:val="nil"/>
              <w:left w:val="nil"/>
              <w:bottom w:val="single" w:color="auto" w:sz="4" w:space="0"/>
              <w:right w:val="single" w:color="auto" w:sz="4" w:space="0"/>
            </w:tcBorders>
            <w:vAlign w:val="center"/>
          </w:tcPr>
          <w:p w14:paraId="25D60512">
            <w:pPr>
              <w:widowControl/>
              <w:adjustRightInd/>
              <w:jc w:val="left"/>
              <w:rPr>
                <w:rFonts w:ascii="宋体" w:hAnsi="宋体" w:cs="宋体"/>
                <w:kern w:val="0"/>
                <w:sz w:val="24"/>
                <w:highlight w:val="none"/>
              </w:rPr>
            </w:pPr>
            <w:r>
              <w:rPr>
                <w:rFonts w:hint="eastAsia" w:ascii="宋体" w:hAnsi="宋体" w:cs="宋体"/>
                <w:kern w:val="0"/>
                <w:sz w:val="24"/>
                <w:highlight w:val="none"/>
              </w:rPr>
              <w:t>▲常用操作符</w:t>
            </w:r>
          </w:p>
        </w:tc>
        <w:tc>
          <w:tcPr>
            <w:tcW w:w="4680" w:type="dxa"/>
            <w:tcBorders>
              <w:top w:val="nil"/>
              <w:left w:val="nil"/>
              <w:bottom w:val="single" w:color="auto" w:sz="4" w:space="0"/>
              <w:right w:val="single" w:color="auto" w:sz="4" w:space="0"/>
            </w:tcBorders>
            <w:vAlign w:val="center"/>
          </w:tcPr>
          <w:p w14:paraId="60022ADC">
            <w:pPr>
              <w:widowControl/>
              <w:adjustRightInd/>
              <w:jc w:val="left"/>
              <w:rPr>
                <w:rFonts w:ascii="宋体" w:hAnsi="宋体" w:cs="宋体"/>
                <w:kern w:val="0"/>
                <w:sz w:val="24"/>
                <w:highlight w:val="none"/>
              </w:rPr>
            </w:pPr>
            <w:r>
              <w:rPr>
                <w:rFonts w:ascii="宋体" w:hAnsi="宋体" w:cs="宋体"/>
                <w:kern w:val="0"/>
                <w:sz w:val="24"/>
                <w:highlight w:val="none"/>
              </w:rPr>
              <w:t xml:space="preserve">a) 支持逻辑操作符及相关运算； </w:t>
            </w:r>
          </w:p>
          <w:p w14:paraId="079051A5">
            <w:pPr>
              <w:widowControl/>
              <w:adjustRightInd/>
              <w:jc w:val="left"/>
              <w:rPr>
                <w:rFonts w:ascii="宋体" w:hAns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支持比较操作符及相关运算；</w:t>
            </w:r>
          </w:p>
          <w:p w14:paraId="070EBE2F">
            <w:pPr>
              <w:widowControl/>
              <w:adjustRightInd/>
              <w:jc w:val="left"/>
              <w:rPr>
                <w:rFonts w:ascii="宋体" w:hAnsi="宋体" w:cs="宋体"/>
                <w:kern w:val="0"/>
                <w:sz w:val="24"/>
                <w:highlight w:val="none"/>
              </w:rPr>
            </w:pPr>
            <w:r>
              <w:rPr>
                <w:rFonts w:ascii="宋体" w:hAnsi="宋体" w:cs="宋体"/>
                <w:kern w:val="0"/>
                <w:sz w:val="24"/>
                <w:highlight w:val="none"/>
              </w:rPr>
              <w:t xml:space="preserve">c) </w:t>
            </w:r>
            <w:r>
              <w:rPr>
                <w:rFonts w:hint="eastAsia" w:ascii="宋体" w:hAnsi="宋体" w:cs="宋体"/>
                <w:kern w:val="0"/>
                <w:sz w:val="24"/>
                <w:highlight w:val="none"/>
              </w:rPr>
              <w:t>支持算术运算符及相关运算；</w:t>
            </w:r>
          </w:p>
        </w:tc>
      </w:tr>
      <w:tr w14:paraId="28C1D5F1">
        <w:tblPrEx>
          <w:tblCellMar>
            <w:top w:w="0" w:type="dxa"/>
            <w:left w:w="108" w:type="dxa"/>
            <w:bottom w:w="0" w:type="dxa"/>
            <w:right w:w="108" w:type="dxa"/>
          </w:tblCellMar>
        </w:tblPrEx>
        <w:trPr>
          <w:trHeight w:val="2808" w:hRule="atLeast"/>
        </w:trPr>
        <w:tc>
          <w:tcPr>
            <w:tcW w:w="740" w:type="dxa"/>
            <w:tcBorders>
              <w:top w:val="nil"/>
              <w:left w:val="single" w:color="auto" w:sz="4" w:space="0"/>
              <w:bottom w:val="single" w:color="auto" w:sz="4" w:space="0"/>
              <w:right w:val="single" w:color="auto" w:sz="4" w:space="0"/>
            </w:tcBorders>
            <w:vAlign w:val="center"/>
          </w:tcPr>
          <w:p w14:paraId="1583ED9E">
            <w:pPr>
              <w:widowControl/>
              <w:adjustRightInd/>
              <w:jc w:val="center"/>
              <w:rPr>
                <w:rFonts w:ascii="宋体" w:hAnsi="宋体" w:cs="宋体"/>
                <w:kern w:val="0"/>
                <w:sz w:val="24"/>
                <w:highlight w:val="none"/>
              </w:rPr>
            </w:pPr>
            <w:r>
              <w:rPr>
                <w:rFonts w:ascii="宋体" w:hAnsi="宋体" w:cs="宋体"/>
                <w:kern w:val="0"/>
                <w:sz w:val="24"/>
                <w:highlight w:val="none"/>
              </w:rPr>
              <w:t>12</w:t>
            </w:r>
          </w:p>
        </w:tc>
        <w:tc>
          <w:tcPr>
            <w:tcW w:w="1420" w:type="dxa"/>
            <w:vMerge w:val="continue"/>
            <w:tcBorders>
              <w:top w:val="nil"/>
              <w:left w:val="single" w:color="auto" w:sz="4" w:space="0"/>
              <w:bottom w:val="single" w:color="000000" w:sz="4" w:space="0"/>
              <w:right w:val="single" w:color="auto" w:sz="4" w:space="0"/>
            </w:tcBorders>
            <w:vAlign w:val="center"/>
          </w:tcPr>
          <w:p w14:paraId="09CCA5A9">
            <w:pPr>
              <w:widowControl/>
              <w:adjustRightInd/>
              <w:jc w:val="left"/>
              <w:rPr>
                <w:rFonts w:ascii="宋体" w:hAnsi="宋体" w:cs="宋体"/>
                <w:kern w:val="0"/>
                <w:sz w:val="24"/>
                <w:highlight w:val="none"/>
              </w:rPr>
            </w:pPr>
          </w:p>
        </w:tc>
        <w:tc>
          <w:tcPr>
            <w:tcW w:w="1580" w:type="dxa"/>
            <w:tcBorders>
              <w:top w:val="nil"/>
              <w:left w:val="nil"/>
              <w:bottom w:val="single" w:color="auto" w:sz="4" w:space="0"/>
              <w:right w:val="single" w:color="auto" w:sz="4" w:space="0"/>
            </w:tcBorders>
            <w:vAlign w:val="center"/>
          </w:tcPr>
          <w:p w14:paraId="3D737E2E">
            <w:pPr>
              <w:widowControl/>
              <w:adjustRightInd/>
              <w:jc w:val="left"/>
              <w:rPr>
                <w:rFonts w:ascii="宋体" w:hAnsi="宋体" w:cs="宋体"/>
                <w:kern w:val="0"/>
                <w:sz w:val="24"/>
                <w:highlight w:val="none"/>
              </w:rPr>
            </w:pPr>
            <w:r>
              <w:rPr>
                <w:rFonts w:hint="eastAsia" w:ascii="宋体" w:hAnsi="宋体" w:cs="宋体"/>
                <w:kern w:val="0"/>
                <w:sz w:val="24"/>
                <w:highlight w:val="none"/>
              </w:rPr>
              <w:t>▲条件表达式</w:t>
            </w:r>
          </w:p>
        </w:tc>
        <w:tc>
          <w:tcPr>
            <w:tcW w:w="4680" w:type="dxa"/>
            <w:tcBorders>
              <w:top w:val="nil"/>
              <w:left w:val="nil"/>
              <w:bottom w:val="single" w:color="auto" w:sz="4" w:space="0"/>
              <w:right w:val="single" w:color="auto" w:sz="4" w:space="0"/>
            </w:tcBorders>
            <w:vAlign w:val="center"/>
          </w:tcPr>
          <w:p w14:paraId="52BB3959">
            <w:pPr>
              <w:widowControl/>
              <w:adjustRightInd/>
              <w:jc w:val="left"/>
              <w:rPr>
                <w:rFonts w:ascii="宋体" w:hAnsi="宋体" w:cs="宋体"/>
                <w:kern w:val="0"/>
                <w:sz w:val="24"/>
                <w:highlight w:val="none"/>
              </w:rPr>
            </w:pPr>
            <w:r>
              <w:rPr>
                <w:rFonts w:ascii="宋体" w:hAnsi="宋体" w:cs="宋体"/>
                <w:kern w:val="0"/>
                <w:sz w:val="24"/>
                <w:highlight w:val="none"/>
              </w:rPr>
              <w:t xml:space="preserve">a) 支持对比条件表达式； </w:t>
            </w:r>
          </w:p>
          <w:p w14:paraId="3C25F9AC">
            <w:pPr>
              <w:widowControl/>
              <w:adjustRightInd/>
              <w:jc w:val="left"/>
              <w:rPr>
                <w:rFonts w:ascii="宋体" w:hAns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支持逻辑条件表达式；</w:t>
            </w:r>
          </w:p>
          <w:p w14:paraId="219C8D30">
            <w:pPr>
              <w:widowControl/>
              <w:adjustRightInd/>
              <w:jc w:val="left"/>
              <w:rPr>
                <w:rFonts w:ascii="宋体" w:hAnsi="宋体" w:cs="宋体"/>
                <w:kern w:val="0"/>
                <w:sz w:val="24"/>
                <w:highlight w:val="none"/>
              </w:rPr>
            </w:pPr>
            <w:r>
              <w:rPr>
                <w:rFonts w:ascii="宋体" w:hAnsi="宋体" w:cs="宋体"/>
                <w:kern w:val="0"/>
                <w:sz w:val="24"/>
                <w:highlight w:val="none"/>
              </w:rPr>
              <w:t xml:space="preserve">c) 支持空值条件表达式； </w:t>
            </w:r>
          </w:p>
          <w:p w14:paraId="7540EE73">
            <w:pPr>
              <w:widowControl/>
              <w:adjustRightInd/>
              <w:jc w:val="left"/>
              <w:rPr>
                <w:rFonts w:ascii="宋体" w:hAnsi="宋体" w:cs="宋体"/>
                <w:kern w:val="0"/>
                <w:sz w:val="24"/>
                <w:highlight w:val="none"/>
              </w:rPr>
            </w:pPr>
            <w:r>
              <w:rPr>
                <w:rFonts w:ascii="宋体" w:hAnsi="宋体" w:cs="宋体"/>
                <w:kern w:val="0"/>
                <w:sz w:val="24"/>
                <w:highlight w:val="none"/>
              </w:rPr>
              <w:t xml:space="preserve">d) </w:t>
            </w:r>
            <w:r>
              <w:rPr>
                <w:rFonts w:hint="eastAsia" w:ascii="宋体" w:hAnsi="宋体" w:cs="宋体"/>
                <w:kern w:val="0"/>
                <w:sz w:val="24"/>
                <w:highlight w:val="none"/>
              </w:rPr>
              <w:t>支持等于条件表达式；</w:t>
            </w:r>
          </w:p>
          <w:p w14:paraId="2FDB2A25">
            <w:pPr>
              <w:widowControl/>
              <w:adjustRightInd/>
              <w:jc w:val="left"/>
              <w:rPr>
                <w:rFonts w:ascii="宋体" w:hAnsi="宋体" w:cs="宋体"/>
                <w:kern w:val="0"/>
                <w:sz w:val="24"/>
                <w:highlight w:val="none"/>
              </w:rPr>
            </w:pPr>
            <w:r>
              <w:rPr>
                <w:rFonts w:ascii="宋体" w:hAnsi="宋体" w:cs="宋体"/>
                <w:kern w:val="0"/>
                <w:sz w:val="24"/>
                <w:highlight w:val="none"/>
              </w:rPr>
              <w:t xml:space="preserve">e) </w:t>
            </w:r>
            <w:r>
              <w:rPr>
                <w:rFonts w:hint="eastAsia" w:ascii="宋体" w:hAnsi="宋体" w:cs="宋体"/>
                <w:kern w:val="0"/>
                <w:sz w:val="24"/>
                <w:highlight w:val="none"/>
              </w:rPr>
              <w:t>支持模式匹配条件表达式；</w:t>
            </w:r>
          </w:p>
          <w:p w14:paraId="46921A82">
            <w:pPr>
              <w:widowControl/>
              <w:adjustRightInd/>
              <w:jc w:val="left"/>
              <w:rPr>
                <w:rFonts w:ascii="宋体" w:hAnsi="宋体" w:cs="宋体"/>
                <w:kern w:val="0"/>
                <w:sz w:val="24"/>
                <w:highlight w:val="none"/>
              </w:rPr>
            </w:pPr>
            <w:r>
              <w:rPr>
                <w:rFonts w:ascii="宋体" w:hAnsi="宋体" w:cs="宋体"/>
                <w:kern w:val="0"/>
                <w:sz w:val="24"/>
                <w:highlight w:val="none"/>
              </w:rPr>
              <w:t xml:space="preserve">f) </w:t>
            </w:r>
            <w:r>
              <w:rPr>
                <w:rFonts w:hint="eastAsia" w:ascii="宋体" w:hAnsi="宋体" w:cs="宋体"/>
                <w:kern w:val="0"/>
                <w:sz w:val="24"/>
                <w:highlight w:val="none"/>
              </w:rPr>
              <w:t>支持区间条件表达式；</w:t>
            </w:r>
          </w:p>
          <w:p w14:paraId="3BAF5486">
            <w:pPr>
              <w:widowControl/>
              <w:adjustRightInd/>
              <w:jc w:val="left"/>
              <w:rPr>
                <w:rFonts w:ascii="宋体" w:hAnsi="宋体" w:cs="宋体"/>
                <w:kern w:val="0"/>
                <w:sz w:val="24"/>
                <w:highlight w:val="none"/>
              </w:rPr>
            </w:pPr>
            <w:r>
              <w:rPr>
                <w:rFonts w:ascii="宋体" w:hAnsi="宋体" w:cs="宋体"/>
                <w:kern w:val="0"/>
                <w:sz w:val="24"/>
                <w:highlight w:val="none"/>
              </w:rPr>
              <w:t xml:space="preserve">g) </w:t>
            </w:r>
            <w:r>
              <w:rPr>
                <w:rFonts w:hint="eastAsia" w:ascii="宋体" w:hAnsi="宋体" w:cs="宋体"/>
                <w:kern w:val="0"/>
                <w:sz w:val="24"/>
                <w:highlight w:val="none"/>
              </w:rPr>
              <w:t>支持</w:t>
            </w:r>
            <w:r>
              <w:rPr>
                <w:rFonts w:ascii="宋体" w:hAnsi="宋体" w:cs="宋体"/>
                <w:kern w:val="0"/>
                <w:sz w:val="24"/>
                <w:highlight w:val="none"/>
              </w:rPr>
              <w:t>IN条件表达式；</w:t>
            </w:r>
          </w:p>
          <w:p w14:paraId="570ACA0D">
            <w:pPr>
              <w:widowControl/>
              <w:adjustRightInd/>
              <w:jc w:val="left"/>
              <w:rPr>
                <w:rFonts w:ascii="宋体" w:hAnsi="宋体" w:cs="宋体"/>
                <w:kern w:val="0"/>
                <w:sz w:val="24"/>
                <w:highlight w:val="none"/>
              </w:rPr>
            </w:pPr>
            <w:r>
              <w:rPr>
                <w:rFonts w:ascii="宋体" w:hAnsi="宋体" w:cs="宋体"/>
                <w:kern w:val="0"/>
                <w:sz w:val="24"/>
                <w:highlight w:val="none"/>
              </w:rPr>
              <w:t xml:space="preserve">h) </w:t>
            </w:r>
            <w:r>
              <w:rPr>
                <w:rFonts w:hint="eastAsia" w:ascii="宋体" w:hAnsi="宋体" w:cs="宋体"/>
                <w:kern w:val="0"/>
                <w:sz w:val="24"/>
                <w:highlight w:val="none"/>
              </w:rPr>
              <w:t>支持存在条件表达式；</w:t>
            </w:r>
          </w:p>
          <w:p w14:paraId="0CD774D6">
            <w:pPr>
              <w:widowControl/>
              <w:adjustRightInd/>
              <w:jc w:val="left"/>
              <w:rPr>
                <w:rFonts w:ascii="宋体" w:hAnsi="宋体" w:cs="宋体"/>
                <w:kern w:val="0"/>
                <w:sz w:val="24"/>
                <w:highlight w:val="none"/>
              </w:rPr>
            </w:pPr>
            <w:r>
              <w:rPr>
                <w:rFonts w:ascii="宋体" w:hAnsi="宋体" w:cs="宋体"/>
                <w:kern w:val="0"/>
                <w:sz w:val="24"/>
                <w:highlight w:val="none"/>
              </w:rPr>
              <w:t xml:space="preserve">i) </w:t>
            </w:r>
            <w:r>
              <w:rPr>
                <w:rFonts w:hint="eastAsia" w:ascii="宋体" w:hAnsi="宋体" w:cs="宋体"/>
                <w:kern w:val="0"/>
                <w:sz w:val="24"/>
                <w:highlight w:val="none"/>
              </w:rPr>
              <w:t>支持以上条件表达式的复合表达式；</w:t>
            </w:r>
          </w:p>
        </w:tc>
      </w:tr>
      <w:tr w14:paraId="54B18FA2">
        <w:tblPrEx>
          <w:tblCellMar>
            <w:top w:w="0" w:type="dxa"/>
            <w:left w:w="108" w:type="dxa"/>
            <w:bottom w:w="0" w:type="dxa"/>
            <w:right w:w="108" w:type="dxa"/>
          </w:tblCellMar>
        </w:tblPrEx>
        <w:trPr>
          <w:trHeight w:val="624" w:hRule="atLeast"/>
        </w:trPr>
        <w:tc>
          <w:tcPr>
            <w:tcW w:w="740" w:type="dxa"/>
            <w:tcBorders>
              <w:top w:val="nil"/>
              <w:left w:val="single" w:color="auto" w:sz="4" w:space="0"/>
              <w:bottom w:val="single" w:color="auto" w:sz="4" w:space="0"/>
              <w:right w:val="single" w:color="auto" w:sz="4" w:space="0"/>
            </w:tcBorders>
            <w:vAlign w:val="center"/>
          </w:tcPr>
          <w:p w14:paraId="4F0CF795">
            <w:pPr>
              <w:widowControl/>
              <w:adjustRightInd/>
              <w:jc w:val="center"/>
              <w:rPr>
                <w:rFonts w:ascii="宋体" w:hAnsi="宋体" w:cs="宋体"/>
                <w:kern w:val="0"/>
                <w:sz w:val="24"/>
                <w:highlight w:val="none"/>
              </w:rPr>
            </w:pPr>
            <w:r>
              <w:rPr>
                <w:rFonts w:ascii="宋体" w:hAnsi="宋体" w:cs="宋体"/>
                <w:kern w:val="0"/>
                <w:sz w:val="24"/>
                <w:highlight w:val="none"/>
              </w:rPr>
              <w:t>13</w:t>
            </w:r>
          </w:p>
        </w:tc>
        <w:tc>
          <w:tcPr>
            <w:tcW w:w="1420" w:type="dxa"/>
            <w:vMerge w:val="continue"/>
            <w:tcBorders>
              <w:top w:val="nil"/>
              <w:left w:val="single" w:color="auto" w:sz="4" w:space="0"/>
              <w:bottom w:val="single" w:color="000000" w:sz="4" w:space="0"/>
              <w:right w:val="single" w:color="auto" w:sz="4" w:space="0"/>
            </w:tcBorders>
            <w:vAlign w:val="center"/>
          </w:tcPr>
          <w:p w14:paraId="24FDF192">
            <w:pPr>
              <w:widowControl/>
              <w:adjustRightInd/>
              <w:jc w:val="left"/>
              <w:rPr>
                <w:rFonts w:ascii="宋体" w:hAnsi="宋体" w:cs="宋体"/>
                <w:kern w:val="0"/>
                <w:sz w:val="24"/>
                <w:highlight w:val="none"/>
              </w:rPr>
            </w:pPr>
          </w:p>
        </w:tc>
        <w:tc>
          <w:tcPr>
            <w:tcW w:w="1580" w:type="dxa"/>
            <w:tcBorders>
              <w:top w:val="nil"/>
              <w:left w:val="nil"/>
              <w:bottom w:val="single" w:color="auto" w:sz="4" w:space="0"/>
              <w:right w:val="single" w:color="auto" w:sz="4" w:space="0"/>
            </w:tcBorders>
            <w:vAlign w:val="center"/>
          </w:tcPr>
          <w:p w14:paraId="6A5E4DF4">
            <w:pPr>
              <w:widowControl/>
              <w:adjustRightInd/>
              <w:jc w:val="left"/>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SQL执行计划</w:t>
            </w:r>
          </w:p>
        </w:tc>
        <w:tc>
          <w:tcPr>
            <w:tcW w:w="4680" w:type="dxa"/>
            <w:tcBorders>
              <w:top w:val="nil"/>
              <w:left w:val="nil"/>
              <w:bottom w:val="single" w:color="auto" w:sz="4" w:space="0"/>
              <w:right w:val="single" w:color="auto" w:sz="4" w:space="0"/>
            </w:tcBorders>
            <w:vAlign w:val="center"/>
          </w:tcPr>
          <w:p w14:paraId="569A4F88">
            <w:pPr>
              <w:widowControl/>
              <w:adjustRightInd/>
              <w:jc w:val="left"/>
              <w:rPr>
                <w:rFonts w:ascii="宋体" w:hAnsi="宋体" w:cs="宋体"/>
                <w:kern w:val="0"/>
                <w:sz w:val="24"/>
                <w:highlight w:val="none"/>
              </w:rPr>
            </w:pPr>
            <w:r>
              <w:rPr>
                <w:rFonts w:hint="eastAsia" w:ascii="宋体" w:hAnsi="宋体" w:cs="宋体"/>
                <w:kern w:val="0"/>
                <w:sz w:val="24"/>
                <w:highlight w:val="none"/>
              </w:rPr>
              <w:t>支持</w:t>
            </w:r>
            <w:r>
              <w:rPr>
                <w:rFonts w:ascii="宋体" w:hAnsi="宋体" w:cs="宋体"/>
                <w:kern w:val="0"/>
                <w:sz w:val="24"/>
                <w:highlight w:val="none"/>
              </w:rPr>
              <w:t>SQL计划，使SQL按照指定的语句执行，并实现预期结果</w:t>
            </w:r>
          </w:p>
        </w:tc>
      </w:tr>
      <w:tr w14:paraId="0589F53B">
        <w:tblPrEx>
          <w:tblCellMar>
            <w:top w:w="0" w:type="dxa"/>
            <w:left w:w="108" w:type="dxa"/>
            <w:bottom w:w="0" w:type="dxa"/>
            <w:right w:w="108" w:type="dxa"/>
          </w:tblCellMar>
        </w:tblPrEx>
        <w:trPr>
          <w:trHeight w:val="4056" w:hRule="atLeast"/>
        </w:trPr>
        <w:tc>
          <w:tcPr>
            <w:tcW w:w="740" w:type="dxa"/>
            <w:tcBorders>
              <w:top w:val="nil"/>
              <w:left w:val="single" w:color="auto" w:sz="4" w:space="0"/>
              <w:bottom w:val="single" w:color="auto" w:sz="4" w:space="0"/>
              <w:right w:val="single" w:color="auto" w:sz="4" w:space="0"/>
            </w:tcBorders>
            <w:vAlign w:val="center"/>
          </w:tcPr>
          <w:p w14:paraId="2322E8A8">
            <w:pPr>
              <w:widowControl/>
              <w:adjustRightInd/>
              <w:jc w:val="center"/>
              <w:rPr>
                <w:rFonts w:ascii="宋体" w:hAnsi="宋体" w:cs="宋体"/>
                <w:kern w:val="0"/>
                <w:sz w:val="24"/>
                <w:highlight w:val="none"/>
              </w:rPr>
            </w:pPr>
            <w:r>
              <w:rPr>
                <w:rFonts w:ascii="宋体" w:hAnsi="宋体" w:cs="宋体"/>
                <w:kern w:val="0"/>
                <w:sz w:val="24"/>
                <w:highlight w:val="none"/>
              </w:rPr>
              <w:t>14</w:t>
            </w:r>
          </w:p>
        </w:tc>
        <w:tc>
          <w:tcPr>
            <w:tcW w:w="1420" w:type="dxa"/>
            <w:vMerge w:val="restart"/>
            <w:tcBorders>
              <w:top w:val="nil"/>
              <w:left w:val="single" w:color="auto" w:sz="4" w:space="0"/>
              <w:bottom w:val="single" w:color="000000" w:sz="4" w:space="0"/>
              <w:right w:val="single" w:color="auto" w:sz="4" w:space="0"/>
            </w:tcBorders>
            <w:vAlign w:val="center"/>
          </w:tcPr>
          <w:p w14:paraId="79C452AD">
            <w:pPr>
              <w:widowControl/>
              <w:adjustRightInd/>
              <w:jc w:val="center"/>
              <w:rPr>
                <w:rFonts w:ascii="宋体" w:hAnsi="宋体" w:cs="宋体"/>
                <w:kern w:val="0"/>
                <w:sz w:val="24"/>
                <w:highlight w:val="none"/>
              </w:rPr>
            </w:pPr>
            <w:r>
              <w:rPr>
                <w:rFonts w:hint="eastAsia" w:ascii="宋体" w:hAnsi="宋体" w:cs="宋体"/>
                <w:kern w:val="0"/>
                <w:sz w:val="24"/>
                <w:highlight w:val="none"/>
              </w:rPr>
              <w:t>▲数据库对象</w:t>
            </w:r>
          </w:p>
        </w:tc>
        <w:tc>
          <w:tcPr>
            <w:tcW w:w="1580" w:type="dxa"/>
            <w:tcBorders>
              <w:top w:val="nil"/>
              <w:left w:val="nil"/>
              <w:bottom w:val="single" w:color="auto" w:sz="4" w:space="0"/>
              <w:right w:val="single" w:color="auto" w:sz="4" w:space="0"/>
            </w:tcBorders>
            <w:vAlign w:val="center"/>
          </w:tcPr>
          <w:p w14:paraId="284E2BD0">
            <w:pPr>
              <w:widowControl/>
              <w:adjustRightInd/>
              <w:jc w:val="left"/>
              <w:rPr>
                <w:rFonts w:ascii="宋体" w:hAnsi="宋体" w:cs="宋体"/>
                <w:kern w:val="0"/>
                <w:sz w:val="24"/>
                <w:highlight w:val="none"/>
              </w:rPr>
            </w:pPr>
            <w:r>
              <w:rPr>
                <w:rFonts w:hint="eastAsia" w:ascii="宋体" w:hAnsi="宋体" w:cs="宋体"/>
                <w:kern w:val="0"/>
                <w:sz w:val="24"/>
                <w:highlight w:val="none"/>
              </w:rPr>
              <w:t>▲基础对象类型</w:t>
            </w:r>
          </w:p>
        </w:tc>
        <w:tc>
          <w:tcPr>
            <w:tcW w:w="4680" w:type="dxa"/>
            <w:tcBorders>
              <w:top w:val="nil"/>
              <w:left w:val="nil"/>
              <w:bottom w:val="single" w:color="auto" w:sz="4" w:space="0"/>
              <w:right w:val="single" w:color="auto" w:sz="4" w:space="0"/>
            </w:tcBorders>
            <w:vAlign w:val="center"/>
          </w:tcPr>
          <w:p w14:paraId="3B87DE51">
            <w:pPr>
              <w:widowControl/>
              <w:adjustRightInd/>
              <w:jc w:val="left"/>
              <w:rPr>
                <w:rFonts w:ascii="宋体" w:hAnsi="宋体" w:cs="宋体"/>
                <w:kern w:val="0"/>
                <w:sz w:val="24"/>
                <w:highlight w:val="none"/>
              </w:rPr>
            </w:pPr>
            <w:r>
              <w:rPr>
                <w:rFonts w:ascii="宋体" w:hAnsi="宋体" w:cs="宋体"/>
                <w:kern w:val="0"/>
                <w:sz w:val="24"/>
                <w:highlight w:val="none"/>
              </w:rPr>
              <w:t xml:space="preserve">a) </w:t>
            </w:r>
            <w:r>
              <w:rPr>
                <w:rFonts w:hint="eastAsia" w:ascii="宋体" w:hAnsi="宋体" w:cs="宋体"/>
                <w:kern w:val="0"/>
                <w:sz w:val="24"/>
                <w:highlight w:val="none"/>
              </w:rPr>
              <w:t>支持用户的创建、删除、修改；</w:t>
            </w:r>
          </w:p>
          <w:p w14:paraId="5FE3386C">
            <w:pPr>
              <w:widowControl/>
              <w:adjustRightInd/>
              <w:jc w:val="left"/>
              <w:rPr>
                <w:rFonts w:ascii="宋体" w:hAns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支持角色的创建、删除、修改；</w:t>
            </w:r>
          </w:p>
          <w:p w14:paraId="1DF91AB6">
            <w:pPr>
              <w:widowControl/>
              <w:adjustRightInd/>
              <w:jc w:val="left"/>
              <w:rPr>
                <w:rFonts w:ascii="宋体" w:hAnsi="宋体" w:cs="宋体"/>
                <w:kern w:val="0"/>
                <w:sz w:val="24"/>
                <w:highlight w:val="none"/>
              </w:rPr>
            </w:pPr>
            <w:r>
              <w:rPr>
                <w:rFonts w:ascii="宋体" w:hAnsi="宋体" w:cs="宋体"/>
                <w:kern w:val="0"/>
                <w:sz w:val="24"/>
                <w:highlight w:val="none"/>
              </w:rPr>
              <w:t xml:space="preserve">c) </w:t>
            </w:r>
            <w:r>
              <w:rPr>
                <w:rFonts w:hint="eastAsia" w:ascii="宋体" w:hAnsi="宋体" w:cs="宋体"/>
                <w:kern w:val="0"/>
                <w:sz w:val="24"/>
                <w:highlight w:val="none"/>
              </w:rPr>
              <w:t>支持存储过程的创建、删除、修改；</w:t>
            </w:r>
          </w:p>
          <w:p w14:paraId="207EA8BC">
            <w:pPr>
              <w:widowControl/>
              <w:adjustRightInd/>
              <w:jc w:val="left"/>
              <w:rPr>
                <w:rFonts w:ascii="宋体" w:hAnsi="宋体" w:cs="宋体"/>
                <w:kern w:val="0"/>
                <w:sz w:val="24"/>
                <w:highlight w:val="none"/>
              </w:rPr>
            </w:pPr>
            <w:r>
              <w:rPr>
                <w:rFonts w:ascii="宋体" w:hAnsi="宋体" w:cs="宋体"/>
                <w:kern w:val="0"/>
                <w:sz w:val="24"/>
                <w:highlight w:val="none"/>
              </w:rPr>
              <w:t xml:space="preserve">d) </w:t>
            </w:r>
            <w:r>
              <w:rPr>
                <w:rFonts w:hint="eastAsia" w:ascii="宋体" w:hAnsi="宋体" w:cs="宋体"/>
                <w:kern w:val="0"/>
                <w:sz w:val="24"/>
                <w:highlight w:val="none"/>
              </w:rPr>
              <w:t>支持表操作功能；</w:t>
            </w:r>
          </w:p>
          <w:p w14:paraId="6E5310EE">
            <w:pPr>
              <w:widowControl/>
              <w:adjustRightInd/>
              <w:jc w:val="left"/>
              <w:rPr>
                <w:rFonts w:ascii="宋体" w:hAnsi="宋体" w:cs="宋体"/>
                <w:kern w:val="0"/>
                <w:sz w:val="24"/>
                <w:highlight w:val="none"/>
              </w:rPr>
            </w:pPr>
            <w:r>
              <w:rPr>
                <w:rFonts w:ascii="宋体" w:hAnsi="宋体" w:cs="宋体"/>
                <w:kern w:val="0"/>
                <w:sz w:val="24"/>
                <w:highlight w:val="none"/>
              </w:rPr>
              <w:t xml:space="preserve">e) </w:t>
            </w:r>
            <w:r>
              <w:rPr>
                <w:rFonts w:hint="eastAsia" w:ascii="宋体" w:hAnsi="宋体" w:cs="宋体"/>
                <w:kern w:val="0"/>
                <w:sz w:val="24"/>
                <w:highlight w:val="none"/>
              </w:rPr>
              <w:t>支持自增序列；</w:t>
            </w:r>
          </w:p>
          <w:p w14:paraId="0C1A872B">
            <w:pPr>
              <w:widowControl/>
              <w:adjustRightInd/>
              <w:jc w:val="left"/>
              <w:rPr>
                <w:rFonts w:ascii="宋体" w:hAnsi="宋体" w:cs="宋体"/>
                <w:kern w:val="0"/>
                <w:sz w:val="24"/>
                <w:highlight w:val="none"/>
              </w:rPr>
            </w:pPr>
            <w:r>
              <w:rPr>
                <w:rFonts w:ascii="宋体" w:hAnsi="宋体" w:cs="宋体"/>
                <w:kern w:val="0"/>
                <w:sz w:val="24"/>
                <w:highlight w:val="none"/>
              </w:rPr>
              <w:t xml:space="preserve">f) </w:t>
            </w:r>
            <w:r>
              <w:rPr>
                <w:rFonts w:hint="eastAsia" w:ascii="宋体" w:hAnsi="宋体" w:cs="宋体"/>
                <w:kern w:val="0"/>
                <w:sz w:val="24"/>
                <w:highlight w:val="none"/>
              </w:rPr>
              <w:t>支持主键约束、外键约束、唯一性约束、检查约束和联合主键约束；</w:t>
            </w:r>
          </w:p>
          <w:p w14:paraId="5678E711">
            <w:pPr>
              <w:widowControl/>
              <w:adjustRightInd/>
              <w:jc w:val="left"/>
              <w:rPr>
                <w:rFonts w:ascii="宋体" w:hAnsi="宋体" w:cs="宋体"/>
                <w:kern w:val="0"/>
                <w:sz w:val="24"/>
                <w:highlight w:val="none"/>
              </w:rPr>
            </w:pPr>
            <w:r>
              <w:rPr>
                <w:rFonts w:ascii="宋体" w:hAnsi="宋体" w:cs="宋体"/>
                <w:kern w:val="0"/>
                <w:sz w:val="24"/>
                <w:highlight w:val="none"/>
              </w:rPr>
              <w:t xml:space="preserve">g) </w:t>
            </w:r>
            <w:r>
              <w:rPr>
                <w:rFonts w:hint="eastAsia" w:ascii="宋体" w:hAnsi="宋体" w:cs="宋体"/>
                <w:kern w:val="0"/>
                <w:sz w:val="24"/>
                <w:highlight w:val="none"/>
              </w:rPr>
              <w:t>支持游标功能；</w:t>
            </w:r>
          </w:p>
          <w:p w14:paraId="060C9BBF">
            <w:pPr>
              <w:widowControl/>
              <w:adjustRightInd/>
              <w:jc w:val="left"/>
              <w:rPr>
                <w:rFonts w:ascii="宋体" w:hAnsi="宋体" w:cs="宋体"/>
                <w:kern w:val="0"/>
                <w:sz w:val="24"/>
                <w:highlight w:val="none"/>
              </w:rPr>
            </w:pPr>
            <w:r>
              <w:rPr>
                <w:rFonts w:ascii="宋体" w:hAnsi="宋体" w:cs="宋体"/>
                <w:kern w:val="0"/>
                <w:sz w:val="24"/>
                <w:highlight w:val="none"/>
              </w:rPr>
              <w:t xml:space="preserve">h) </w:t>
            </w:r>
            <w:r>
              <w:rPr>
                <w:rFonts w:hint="eastAsia" w:ascii="宋体" w:hAnsi="宋体" w:cs="宋体"/>
                <w:kern w:val="0"/>
                <w:sz w:val="24"/>
                <w:highlight w:val="none"/>
              </w:rPr>
              <w:t>支持视图的创建、删除、修改；</w:t>
            </w:r>
          </w:p>
          <w:p w14:paraId="4A93EB7C">
            <w:pPr>
              <w:widowControl/>
              <w:adjustRightInd/>
              <w:jc w:val="left"/>
              <w:rPr>
                <w:rFonts w:ascii="宋体" w:hAnsi="宋体" w:cs="宋体"/>
                <w:kern w:val="0"/>
                <w:sz w:val="24"/>
                <w:highlight w:val="none"/>
              </w:rPr>
            </w:pPr>
            <w:r>
              <w:rPr>
                <w:rFonts w:ascii="宋体" w:hAnsi="宋体" w:cs="宋体"/>
                <w:kern w:val="0"/>
                <w:sz w:val="24"/>
                <w:highlight w:val="none"/>
              </w:rPr>
              <w:t xml:space="preserve">i) </w:t>
            </w:r>
            <w:r>
              <w:rPr>
                <w:rFonts w:hint="eastAsia" w:ascii="宋体" w:hAnsi="宋体" w:cs="宋体"/>
                <w:kern w:val="0"/>
                <w:sz w:val="24"/>
                <w:highlight w:val="none"/>
              </w:rPr>
              <w:t>支持数值计算函数、字符处理函数、日期时间值函数、间隔函数、类型转换</w:t>
            </w:r>
            <w:r>
              <w:rPr>
                <w:rFonts w:ascii="宋体" w:hAnsi="宋体" w:cs="宋体"/>
                <w:kern w:val="0"/>
                <w:sz w:val="24"/>
                <w:highlight w:val="none"/>
              </w:rPr>
              <w:t xml:space="preserve"> </w:t>
            </w:r>
            <w:r>
              <w:rPr>
                <w:rFonts w:hint="eastAsia" w:ascii="宋体" w:hAnsi="宋体" w:cs="宋体"/>
                <w:kern w:val="0"/>
                <w:sz w:val="24"/>
                <w:highlight w:val="none"/>
              </w:rPr>
              <w:t>函数、位运算函数、聚合函数、格式化、系统信息等常用函数</w:t>
            </w:r>
          </w:p>
        </w:tc>
      </w:tr>
      <w:tr w14:paraId="5939CE29">
        <w:tblPrEx>
          <w:tblCellMar>
            <w:top w:w="0" w:type="dxa"/>
            <w:left w:w="108" w:type="dxa"/>
            <w:bottom w:w="0" w:type="dxa"/>
            <w:right w:w="108" w:type="dxa"/>
          </w:tblCellMar>
        </w:tblPrEx>
        <w:trPr>
          <w:trHeight w:val="624" w:hRule="atLeast"/>
        </w:trPr>
        <w:tc>
          <w:tcPr>
            <w:tcW w:w="740" w:type="dxa"/>
            <w:tcBorders>
              <w:top w:val="nil"/>
              <w:left w:val="single" w:color="auto" w:sz="4" w:space="0"/>
              <w:bottom w:val="single" w:color="auto" w:sz="4" w:space="0"/>
              <w:right w:val="single" w:color="auto" w:sz="4" w:space="0"/>
            </w:tcBorders>
            <w:vAlign w:val="center"/>
          </w:tcPr>
          <w:p w14:paraId="279CED75">
            <w:pPr>
              <w:widowControl/>
              <w:adjustRightInd/>
              <w:jc w:val="center"/>
              <w:rPr>
                <w:rFonts w:ascii="宋体" w:hAnsi="宋体" w:cs="宋体"/>
                <w:kern w:val="0"/>
                <w:sz w:val="24"/>
                <w:highlight w:val="none"/>
              </w:rPr>
            </w:pPr>
            <w:r>
              <w:rPr>
                <w:rFonts w:ascii="宋体" w:hAnsi="宋体" w:cs="宋体"/>
                <w:kern w:val="0"/>
                <w:sz w:val="24"/>
                <w:highlight w:val="none"/>
              </w:rPr>
              <w:t>15</w:t>
            </w:r>
          </w:p>
        </w:tc>
        <w:tc>
          <w:tcPr>
            <w:tcW w:w="1420" w:type="dxa"/>
            <w:vMerge w:val="continue"/>
            <w:tcBorders>
              <w:top w:val="nil"/>
              <w:left w:val="single" w:color="auto" w:sz="4" w:space="0"/>
              <w:bottom w:val="single" w:color="000000" w:sz="4" w:space="0"/>
              <w:right w:val="single" w:color="auto" w:sz="4" w:space="0"/>
            </w:tcBorders>
            <w:vAlign w:val="center"/>
          </w:tcPr>
          <w:p w14:paraId="6D1BBC75">
            <w:pPr>
              <w:widowControl/>
              <w:adjustRightInd/>
              <w:jc w:val="left"/>
              <w:rPr>
                <w:rFonts w:ascii="宋体" w:hAnsi="宋体" w:cs="宋体"/>
                <w:kern w:val="0"/>
                <w:sz w:val="24"/>
                <w:highlight w:val="none"/>
              </w:rPr>
            </w:pPr>
          </w:p>
        </w:tc>
        <w:tc>
          <w:tcPr>
            <w:tcW w:w="1580" w:type="dxa"/>
            <w:tcBorders>
              <w:top w:val="nil"/>
              <w:left w:val="nil"/>
              <w:bottom w:val="single" w:color="auto" w:sz="4" w:space="0"/>
              <w:right w:val="single" w:color="auto" w:sz="4" w:space="0"/>
            </w:tcBorders>
            <w:vAlign w:val="center"/>
          </w:tcPr>
          <w:p w14:paraId="456B4D38">
            <w:pPr>
              <w:widowControl/>
              <w:adjustRightInd/>
              <w:jc w:val="left"/>
              <w:rPr>
                <w:rFonts w:ascii="宋体" w:hAnsi="宋体" w:cs="宋体"/>
                <w:kern w:val="0"/>
                <w:sz w:val="24"/>
                <w:highlight w:val="none"/>
              </w:rPr>
            </w:pPr>
            <w:r>
              <w:rPr>
                <w:rFonts w:hint="eastAsia" w:ascii="宋体" w:hAnsi="宋体" w:cs="宋体"/>
                <w:kern w:val="0"/>
                <w:sz w:val="24"/>
                <w:highlight w:val="none"/>
              </w:rPr>
              <w:t>▲基础表分区管理</w:t>
            </w:r>
          </w:p>
        </w:tc>
        <w:tc>
          <w:tcPr>
            <w:tcW w:w="4680" w:type="dxa"/>
            <w:tcBorders>
              <w:top w:val="nil"/>
              <w:left w:val="nil"/>
              <w:bottom w:val="single" w:color="auto" w:sz="4" w:space="0"/>
              <w:right w:val="single" w:color="auto" w:sz="4" w:space="0"/>
            </w:tcBorders>
            <w:vAlign w:val="center"/>
          </w:tcPr>
          <w:p w14:paraId="3B1DD1A9">
            <w:pPr>
              <w:widowControl/>
              <w:adjustRightInd/>
              <w:jc w:val="left"/>
              <w:rPr>
                <w:rFonts w:ascii="宋体" w:hAnsi="宋体" w:cs="宋体"/>
                <w:kern w:val="0"/>
                <w:sz w:val="24"/>
                <w:highlight w:val="none"/>
              </w:rPr>
            </w:pPr>
            <w:r>
              <w:rPr>
                <w:rFonts w:ascii="宋体" w:hAnsi="宋体" w:cs="宋体"/>
                <w:kern w:val="0"/>
                <w:sz w:val="24"/>
                <w:highlight w:val="none"/>
              </w:rPr>
              <w:t xml:space="preserve">a) </w:t>
            </w:r>
            <w:r>
              <w:rPr>
                <w:rFonts w:hint="eastAsia" w:ascii="宋体" w:hAnsi="宋体" w:cs="宋体"/>
                <w:kern w:val="0"/>
                <w:sz w:val="24"/>
                <w:highlight w:val="none"/>
              </w:rPr>
              <w:t>哈希分区方式；</w:t>
            </w:r>
            <w:r>
              <w:rPr>
                <w:rFonts w:ascii="宋体" w:hAnsi="宋体" w:cs="宋体"/>
                <w:kern w:val="0"/>
                <w:sz w:val="24"/>
                <w:highlight w:val="none"/>
              </w:rPr>
              <w:t xml:space="preserve">b) </w:t>
            </w:r>
            <w:r>
              <w:rPr>
                <w:rFonts w:hint="eastAsia" w:ascii="宋体" w:hAnsi="宋体" w:cs="宋体"/>
                <w:kern w:val="0"/>
                <w:sz w:val="24"/>
                <w:highlight w:val="none"/>
              </w:rPr>
              <w:t>范围分区方式；</w:t>
            </w:r>
            <w:r>
              <w:rPr>
                <w:rFonts w:ascii="宋体" w:hAnsi="宋体" w:cs="宋体"/>
                <w:kern w:val="0"/>
                <w:sz w:val="24"/>
                <w:highlight w:val="none"/>
              </w:rPr>
              <w:t xml:space="preserve"> c) </w:t>
            </w:r>
            <w:r>
              <w:rPr>
                <w:rFonts w:hint="eastAsia" w:ascii="宋体" w:hAnsi="宋体" w:cs="宋体"/>
                <w:kern w:val="0"/>
                <w:sz w:val="24"/>
                <w:highlight w:val="none"/>
              </w:rPr>
              <w:t>列表分区方式</w:t>
            </w:r>
          </w:p>
        </w:tc>
      </w:tr>
      <w:tr w14:paraId="05C8CAD1">
        <w:tblPrEx>
          <w:tblCellMar>
            <w:top w:w="0" w:type="dxa"/>
            <w:left w:w="108" w:type="dxa"/>
            <w:bottom w:w="0" w:type="dxa"/>
            <w:right w:w="108" w:type="dxa"/>
          </w:tblCellMar>
        </w:tblPrEx>
        <w:trPr>
          <w:trHeight w:val="936" w:hRule="atLeast"/>
        </w:trPr>
        <w:tc>
          <w:tcPr>
            <w:tcW w:w="740" w:type="dxa"/>
            <w:tcBorders>
              <w:top w:val="nil"/>
              <w:left w:val="single" w:color="auto" w:sz="4" w:space="0"/>
              <w:bottom w:val="single" w:color="auto" w:sz="4" w:space="0"/>
              <w:right w:val="single" w:color="auto" w:sz="4" w:space="0"/>
            </w:tcBorders>
            <w:vAlign w:val="center"/>
          </w:tcPr>
          <w:p w14:paraId="1BD83021">
            <w:pPr>
              <w:widowControl/>
              <w:adjustRightInd/>
              <w:jc w:val="center"/>
              <w:rPr>
                <w:rFonts w:ascii="宋体" w:hAnsi="宋体" w:cs="宋体"/>
                <w:kern w:val="0"/>
                <w:sz w:val="24"/>
                <w:highlight w:val="none"/>
              </w:rPr>
            </w:pPr>
            <w:r>
              <w:rPr>
                <w:rFonts w:ascii="宋体" w:hAnsi="宋体" w:cs="宋体"/>
                <w:kern w:val="0"/>
                <w:sz w:val="24"/>
                <w:highlight w:val="none"/>
              </w:rPr>
              <w:t>16</w:t>
            </w:r>
          </w:p>
        </w:tc>
        <w:tc>
          <w:tcPr>
            <w:tcW w:w="1420" w:type="dxa"/>
            <w:vMerge w:val="continue"/>
            <w:tcBorders>
              <w:top w:val="nil"/>
              <w:left w:val="single" w:color="auto" w:sz="4" w:space="0"/>
              <w:bottom w:val="single" w:color="000000" w:sz="4" w:space="0"/>
              <w:right w:val="single" w:color="auto" w:sz="4" w:space="0"/>
            </w:tcBorders>
            <w:vAlign w:val="center"/>
          </w:tcPr>
          <w:p w14:paraId="7D6C6FE3">
            <w:pPr>
              <w:widowControl/>
              <w:adjustRightInd/>
              <w:jc w:val="left"/>
              <w:rPr>
                <w:rFonts w:ascii="宋体" w:hAnsi="宋体" w:cs="宋体"/>
                <w:kern w:val="0"/>
                <w:sz w:val="24"/>
                <w:highlight w:val="none"/>
              </w:rPr>
            </w:pPr>
          </w:p>
        </w:tc>
        <w:tc>
          <w:tcPr>
            <w:tcW w:w="1580" w:type="dxa"/>
            <w:tcBorders>
              <w:top w:val="nil"/>
              <w:left w:val="nil"/>
              <w:bottom w:val="single" w:color="auto" w:sz="4" w:space="0"/>
              <w:right w:val="single" w:color="auto" w:sz="4" w:space="0"/>
            </w:tcBorders>
            <w:vAlign w:val="center"/>
          </w:tcPr>
          <w:p w14:paraId="35C065B1">
            <w:pPr>
              <w:widowControl/>
              <w:adjustRightInd/>
              <w:jc w:val="left"/>
              <w:rPr>
                <w:rFonts w:ascii="宋体" w:hAnsi="宋体" w:cs="宋体"/>
                <w:kern w:val="0"/>
                <w:sz w:val="24"/>
                <w:highlight w:val="none"/>
              </w:rPr>
            </w:pPr>
            <w:r>
              <w:rPr>
                <w:rFonts w:hint="eastAsia" w:ascii="宋体" w:hAnsi="宋体" w:cs="宋体"/>
                <w:kern w:val="0"/>
                <w:sz w:val="24"/>
                <w:highlight w:val="none"/>
              </w:rPr>
              <w:t>▲对象变更</w:t>
            </w:r>
          </w:p>
        </w:tc>
        <w:tc>
          <w:tcPr>
            <w:tcW w:w="4680" w:type="dxa"/>
            <w:tcBorders>
              <w:top w:val="nil"/>
              <w:left w:val="nil"/>
              <w:bottom w:val="single" w:color="auto" w:sz="4" w:space="0"/>
              <w:right w:val="single" w:color="auto" w:sz="4" w:space="0"/>
            </w:tcBorders>
            <w:vAlign w:val="center"/>
          </w:tcPr>
          <w:p w14:paraId="4A50524C">
            <w:pPr>
              <w:widowControl/>
              <w:adjustRightInd/>
              <w:jc w:val="left"/>
              <w:rPr>
                <w:rFonts w:ascii="宋体" w:hAnsi="宋体" w:cs="宋体"/>
                <w:kern w:val="0"/>
                <w:sz w:val="24"/>
                <w:highlight w:val="none"/>
              </w:rPr>
            </w:pPr>
            <w:r>
              <w:rPr>
                <w:rFonts w:ascii="宋体" w:hAnsi="宋体" w:cs="宋体"/>
                <w:kern w:val="0"/>
                <w:sz w:val="24"/>
                <w:highlight w:val="none"/>
              </w:rPr>
              <w:t>a)支持数据库的创建、删除、更新以及数据库属性的查询；b)支持在线变更表结构、索引；c)支持数据的增加、删除、修改和查询</w:t>
            </w:r>
          </w:p>
        </w:tc>
      </w:tr>
      <w:tr w14:paraId="1BE92B59">
        <w:tblPrEx>
          <w:tblCellMar>
            <w:top w:w="0" w:type="dxa"/>
            <w:left w:w="108" w:type="dxa"/>
            <w:bottom w:w="0" w:type="dxa"/>
            <w:right w:w="108" w:type="dxa"/>
          </w:tblCellMar>
        </w:tblPrEx>
        <w:trPr>
          <w:trHeight w:val="624" w:hRule="atLeast"/>
        </w:trPr>
        <w:tc>
          <w:tcPr>
            <w:tcW w:w="740" w:type="dxa"/>
            <w:tcBorders>
              <w:top w:val="nil"/>
              <w:left w:val="single" w:color="auto" w:sz="4" w:space="0"/>
              <w:bottom w:val="single" w:color="auto" w:sz="4" w:space="0"/>
              <w:right w:val="single" w:color="auto" w:sz="4" w:space="0"/>
            </w:tcBorders>
            <w:vAlign w:val="center"/>
          </w:tcPr>
          <w:p w14:paraId="446B2FB5">
            <w:pPr>
              <w:widowControl/>
              <w:adjustRightInd/>
              <w:jc w:val="center"/>
              <w:rPr>
                <w:rFonts w:ascii="宋体" w:hAnsi="宋体" w:cs="宋体"/>
                <w:kern w:val="0"/>
                <w:sz w:val="24"/>
                <w:highlight w:val="none"/>
              </w:rPr>
            </w:pPr>
            <w:r>
              <w:rPr>
                <w:rFonts w:ascii="宋体" w:hAnsi="宋体" w:cs="宋体"/>
                <w:kern w:val="0"/>
                <w:sz w:val="24"/>
                <w:highlight w:val="none"/>
              </w:rPr>
              <w:t>17</w:t>
            </w:r>
          </w:p>
        </w:tc>
        <w:tc>
          <w:tcPr>
            <w:tcW w:w="1420" w:type="dxa"/>
            <w:vMerge w:val="restart"/>
            <w:tcBorders>
              <w:top w:val="nil"/>
              <w:left w:val="single" w:color="auto" w:sz="4" w:space="0"/>
              <w:bottom w:val="single" w:color="000000" w:sz="4" w:space="0"/>
              <w:right w:val="single" w:color="auto" w:sz="4" w:space="0"/>
            </w:tcBorders>
            <w:vAlign w:val="center"/>
          </w:tcPr>
          <w:p w14:paraId="674F3198">
            <w:pPr>
              <w:widowControl/>
              <w:adjustRightInd/>
              <w:jc w:val="center"/>
              <w:rPr>
                <w:rFonts w:ascii="宋体" w:hAnsi="宋体" w:cs="宋体"/>
                <w:kern w:val="0"/>
                <w:sz w:val="24"/>
                <w:highlight w:val="none"/>
              </w:rPr>
            </w:pPr>
            <w:r>
              <w:rPr>
                <w:rFonts w:hint="eastAsia" w:ascii="宋体" w:hAnsi="宋体" w:cs="宋体"/>
                <w:kern w:val="0"/>
                <w:sz w:val="24"/>
                <w:highlight w:val="none"/>
              </w:rPr>
              <w:t>▲事务能力</w:t>
            </w:r>
          </w:p>
        </w:tc>
        <w:tc>
          <w:tcPr>
            <w:tcW w:w="1580" w:type="dxa"/>
            <w:tcBorders>
              <w:top w:val="nil"/>
              <w:left w:val="nil"/>
              <w:bottom w:val="single" w:color="auto" w:sz="4" w:space="0"/>
              <w:right w:val="single" w:color="auto" w:sz="4" w:space="0"/>
            </w:tcBorders>
            <w:vAlign w:val="center"/>
          </w:tcPr>
          <w:p w14:paraId="2494A686">
            <w:pPr>
              <w:widowControl/>
              <w:adjustRightInd/>
              <w:jc w:val="left"/>
              <w:rPr>
                <w:rFonts w:ascii="宋体" w:hAnsi="宋体" w:cs="宋体"/>
                <w:kern w:val="0"/>
                <w:sz w:val="24"/>
                <w:highlight w:val="none"/>
              </w:rPr>
            </w:pPr>
            <w:r>
              <w:rPr>
                <w:rFonts w:hint="eastAsia" w:ascii="宋体" w:hAnsi="宋体" w:cs="宋体"/>
                <w:kern w:val="0"/>
                <w:sz w:val="24"/>
                <w:highlight w:val="none"/>
              </w:rPr>
              <w:t>▲事务基础特性</w:t>
            </w:r>
          </w:p>
        </w:tc>
        <w:tc>
          <w:tcPr>
            <w:tcW w:w="4680" w:type="dxa"/>
            <w:tcBorders>
              <w:top w:val="nil"/>
              <w:left w:val="nil"/>
              <w:bottom w:val="single" w:color="auto" w:sz="4" w:space="0"/>
              <w:right w:val="single" w:color="auto" w:sz="4" w:space="0"/>
            </w:tcBorders>
            <w:vAlign w:val="center"/>
          </w:tcPr>
          <w:p w14:paraId="1280BA34">
            <w:pPr>
              <w:widowControl/>
              <w:adjustRightInd/>
              <w:jc w:val="left"/>
              <w:rPr>
                <w:rFonts w:ascii="宋体" w:hAnsi="宋体" w:cs="宋体"/>
                <w:kern w:val="0"/>
                <w:sz w:val="24"/>
                <w:highlight w:val="none"/>
              </w:rPr>
            </w:pPr>
            <w:r>
              <w:rPr>
                <w:rFonts w:hint="eastAsia" w:ascii="宋体" w:hAnsi="宋体" w:cs="宋体"/>
                <w:kern w:val="0"/>
                <w:sz w:val="24"/>
                <w:highlight w:val="none"/>
              </w:rPr>
              <w:t>支持事务的</w:t>
            </w:r>
            <w:r>
              <w:rPr>
                <w:rFonts w:ascii="宋体" w:hAnsi="宋体" w:cs="宋体"/>
                <w:kern w:val="0"/>
                <w:sz w:val="24"/>
                <w:highlight w:val="none"/>
              </w:rPr>
              <w:t>ACID</w:t>
            </w:r>
          </w:p>
        </w:tc>
      </w:tr>
      <w:tr w14:paraId="42AB585D">
        <w:tblPrEx>
          <w:tblCellMar>
            <w:top w:w="0" w:type="dxa"/>
            <w:left w:w="108" w:type="dxa"/>
            <w:bottom w:w="0" w:type="dxa"/>
            <w:right w:w="108" w:type="dxa"/>
          </w:tblCellMar>
        </w:tblPrEx>
        <w:trPr>
          <w:trHeight w:val="1560" w:hRule="atLeast"/>
        </w:trPr>
        <w:tc>
          <w:tcPr>
            <w:tcW w:w="740" w:type="dxa"/>
            <w:tcBorders>
              <w:top w:val="nil"/>
              <w:left w:val="single" w:color="auto" w:sz="4" w:space="0"/>
              <w:bottom w:val="single" w:color="auto" w:sz="4" w:space="0"/>
              <w:right w:val="single" w:color="auto" w:sz="4" w:space="0"/>
            </w:tcBorders>
            <w:vAlign w:val="center"/>
          </w:tcPr>
          <w:p w14:paraId="4C4A465A">
            <w:pPr>
              <w:widowControl/>
              <w:adjustRightInd/>
              <w:jc w:val="center"/>
              <w:rPr>
                <w:rFonts w:ascii="宋体" w:hAnsi="宋体" w:cs="宋体"/>
                <w:kern w:val="0"/>
                <w:sz w:val="24"/>
                <w:highlight w:val="none"/>
              </w:rPr>
            </w:pPr>
            <w:r>
              <w:rPr>
                <w:rFonts w:ascii="宋体" w:hAnsi="宋体" w:cs="宋体"/>
                <w:kern w:val="0"/>
                <w:sz w:val="24"/>
                <w:highlight w:val="none"/>
              </w:rPr>
              <w:t>18</w:t>
            </w:r>
          </w:p>
        </w:tc>
        <w:tc>
          <w:tcPr>
            <w:tcW w:w="1420" w:type="dxa"/>
            <w:vMerge w:val="continue"/>
            <w:tcBorders>
              <w:top w:val="nil"/>
              <w:left w:val="single" w:color="auto" w:sz="4" w:space="0"/>
              <w:bottom w:val="single" w:color="000000" w:sz="4" w:space="0"/>
              <w:right w:val="single" w:color="auto" w:sz="4" w:space="0"/>
            </w:tcBorders>
            <w:vAlign w:val="center"/>
          </w:tcPr>
          <w:p w14:paraId="227C493D">
            <w:pPr>
              <w:widowControl/>
              <w:adjustRightInd/>
              <w:jc w:val="left"/>
              <w:rPr>
                <w:rFonts w:ascii="宋体" w:hAnsi="宋体" w:cs="宋体"/>
                <w:kern w:val="0"/>
                <w:sz w:val="24"/>
                <w:highlight w:val="none"/>
              </w:rPr>
            </w:pPr>
          </w:p>
        </w:tc>
        <w:tc>
          <w:tcPr>
            <w:tcW w:w="1580" w:type="dxa"/>
            <w:tcBorders>
              <w:top w:val="nil"/>
              <w:left w:val="nil"/>
              <w:bottom w:val="single" w:color="auto" w:sz="4" w:space="0"/>
              <w:right w:val="single" w:color="auto" w:sz="4" w:space="0"/>
            </w:tcBorders>
            <w:vAlign w:val="center"/>
          </w:tcPr>
          <w:p w14:paraId="770DD8E6">
            <w:pPr>
              <w:widowControl/>
              <w:adjustRightInd/>
              <w:jc w:val="left"/>
              <w:rPr>
                <w:rFonts w:ascii="宋体" w:hAnsi="宋体" w:cs="宋体"/>
                <w:kern w:val="0"/>
                <w:sz w:val="24"/>
                <w:highlight w:val="none"/>
              </w:rPr>
            </w:pPr>
            <w:r>
              <w:rPr>
                <w:rFonts w:hint="eastAsia" w:ascii="宋体" w:hAnsi="宋体" w:cs="宋体"/>
                <w:kern w:val="0"/>
                <w:sz w:val="24"/>
                <w:highlight w:val="none"/>
              </w:rPr>
              <w:t>▲死锁检测与处理</w:t>
            </w:r>
          </w:p>
        </w:tc>
        <w:tc>
          <w:tcPr>
            <w:tcW w:w="4680" w:type="dxa"/>
            <w:tcBorders>
              <w:top w:val="nil"/>
              <w:left w:val="nil"/>
              <w:bottom w:val="single" w:color="auto" w:sz="4" w:space="0"/>
              <w:right w:val="single" w:color="auto" w:sz="4" w:space="0"/>
            </w:tcBorders>
            <w:vAlign w:val="center"/>
          </w:tcPr>
          <w:p w14:paraId="5213E807">
            <w:pPr>
              <w:widowControl/>
              <w:adjustRightInd/>
              <w:jc w:val="left"/>
              <w:rPr>
                <w:rFonts w:ascii="宋体" w:hAnsi="宋体" w:cs="宋体"/>
                <w:kern w:val="0"/>
                <w:sz w:val="24"/>
                <w:highlight w:val="none"/>
              </w:rPr>
            </w:pPr>
            <w:r>
              <w:rPr>
                <w:rFonts w:ascii="宋体" w:hAnsi="宋体" w:cs="宋体"/>
                <w:kern w:val="0"/>
                <w:sz w:val="24"/>
                <w:highlight w:val="none"/>
              </w:rPr>
              <w:t xml:space="preserve">a) </w:t>
            </w:r>
            <w:r>
              <w:rPr>
                <w:rFonts w:hint="eastAsia" w:ascii="宋体" w:hAnsi="宋体" w:cs="宋体"/>
                <w:kern w:val="0"/>
                <w:sz w:val="24"/>
                <w:highlight w:val="none"/>
              </w:rPr>
              <w:t>在并发执行过程中，能检测到死锁；</w:t>
            </w:r>
          </w:p>
          <w:p w14:paraId="5596C2C0">
            <w:pPr>
              <w:widowControl/>
              <w:adjustRightInd/>
              <w:jc w:val="left"/>
              <w:rPr>
                <w:rFonts w:ascii="宋体" w:hAns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提供解决全局死锁的机制；</w:t>
            </w:r>
          </w:p>
          <w:p w14:paraId="446376DF">
            <w:pPr>
              <w:widowControl/>
              <w:adjustRightInd/>
              <w:jc w:val="left"/>
              <w:rPr>
                <w:rFonts w:ascii="宋体" w:hAnsi="宋体" w:cs="宋体"/>
                <w:kern w:val="0"/>
                <w:sz w:val="24"/>
                <w:highlight w:val="none"/>
              </w:rPr>
            </w:pPr>
            <w:r>
              <w:rPr>
                <w:rFonts w:ascii="宋体" w:hAnsi="宋体" w:cs="宋体"/>
                <w:kern w:val="0"/>
                <w:sz w:val="24"/>
                <w:highlight w:val="none"/>
              </w:rPr>
              <w:t xml:space="preserve">c) </w:t>
            </w:r>
            <w:r>
              <w:rPr>
                <w:rFonts w:hint="eastAsia" w:ascii="宋体" w:hAnsi="宋体" w:cs="宋体"/>
                <w:kern w:val="0"/>
                <w:sz w:val="24"/>
                <w:highlight w:val="none"/>
              </w:rPr>
              <w:t>具备死锁处理能力；</w:t>
            </w:r>
          </w:p>
          <w:p w14:paraId="791D336C">
            <w:pPr>
              <w:widowControl/>
              <w:adjustRightInd/>
              <w:jc w:val="left"/>
              <w:rPr>
                <w:rFonts w:ascii="宋体" w:hAnsi="宋体" w:cs="宋体"/>
                <w:kern w:val="0"/>
                <w:sz w:val="24"/>
                <w:highlight w:val="none"/>
              </w:rPr>
            </w:pPr>
            <w:r>
              <w:rPr>
                <w:rFonts w:ascii="宋体" w:hAnsi="宋体" w:cs="宋体"/>
                <w:kern w:val="0"/>
                <w:sz w:val="24"/>
                <w:highlight w:val="none"/>
              </w:rPr>
              <w:t xml:space="preserve">d) </w:t>
            </w:r>
            <w:r>
              <w:rPr>
                <w:rFonts w:hint="eastAsia" w:ascii="宋体" w:hAnsi="宋体" w:cs="宋体"/>
                <w:kern w:val="0"/>
                <w:sz w:val="24"/>
                <w:highlight w:val="none"/>
              </w:rPr>
              <w:t>具备死锁超时回滚的能力；</w:t>
            </w:r>
          </w:p>
          <w:p w14:paraId="11D0937C">
            <w:pPr>
              <w:widowControl/>
              <w:adjustRightInd/>
              <w:jc w:val="left"/>
              <w:rPr>
                <w:rFonts w:ascii="宋体" w:hAnsi="宋体" w:cs="宋体"/>
                <w:kern w:val="0"/>
                <w:sz w:val="24"/>
                <w:highlight w:val="none"/>
              </w:rPr>
            </w:pPr>
            <w:r>
              <w:rPr>
                <w:rFonts w:ascii="宋体" w:hAnsi="宋体" w:cs="宋体"/>
                <w:kern w:val="0"/>
                <w:sz w:val="24"/>
                <w:highlight w:val="none"/>
              </w:rPr>
              <w:t xml:space="preserve">e) </w:t>
            </w:r>
            <w:r>
              <w:rPr>
                <w:rFonts w:hint="eastAsia" w:ascii="宋体" w:hAnsi="宋体" w:cs="宋体"/>
                <w:kern w:val="0"/>
                <w:sz w:val="24"/>
                <w:highlight w:val="none"/>
              </w:rPr>
              <w:t>具备死锁检测与处理记录功能</w:t>
            </w:r>
          </w:p>
        </w:tc>
      </w:tr>
      <w:tr w14:paraId="3AC732AE">
        <w:tblPrEx>
          <w:tblCellMar>
            <w:top w:w="0" w:type="dxa"/>
            <w:left w:w="108" w:type="dxa"/>
            <w:bottom w:w="0" w:type="dxa"/>
            <w:right w:w="108" w:type="dxa"/>
          </w:tblCellMar>
        </w:tblPrEx>
        <w:trPr>
          <w:trHeight w:val="2808" w:hRule="atLeast"/>
        </w:trPr>
        <w:tc>
          <w:tcPr>
            <w:tcW w:w="740" w:type="dxa"/>
            <w:tcBorders>
              <w:top w:val="nil"/>
              <w:left w:val="single" w:color="auto" w:sz="4" w:space="0"/>
              <w:bottom w:val="single" w:color="auto" w:sz="4" w:space="0"/>
              <w:right w:val="single" w:color="auto" w:sz="4" w:space="0"/>
            </w:tcBorders>
            <w:vAlign w:val="center"/>
          </w:tcPr>
          <w:p w14:paraId="39CC6F6D">
            <w:pPr>
              <w:widowControl/>
              <w:adjustRightInd/>
              <w:jc w:val="center"/>
              <w:rPr>
                <w:rFonts w:ascii="宋体" w:hAnsi="宋体" w:cs="宋体"/>
                <w:kern w:val="0"/>
                <w:sz w:val="24"/>
                <w:highlight w:val="none"/>
              </w:rPr>
            </w:pPr>
            <w:r>
              <w:rPr>
                <w:rFonts w:ascii="宋体" w:hAnsi="宋体" w:cs="宋体"/>
                <w:kern w:val="0"/>
                <w:sz w:val="24"/>
                <w:highlight w:val="none"/>
              </w:rPr>
              <w:t>19</w:t>
            </w:r>
          </w:p>
        </w:tc>
        <w:tc>
          <w:tcPr>
            <w:tcW w:w="1420" w:type="dxa"/>
            <w:vMerge w:val="restart"/>
            <w:tcBorders>
              <w:top w:val="nil"/>
              <w:left w:val="single" w:color="auto" w:sz="4" w:space="0"/>
              <w:bottom w:val="single" w:color="000000" w:sz="4" w:space="0"/>
              <w:right w:val="single" w:color="auto" w:sz="4" w:space="0"/>
            </w:tcBorders>
            <w:vAlign w:val="center"/>
          </w:tcPr>
          <w:p w14:paraId="7CF3CFE7">
            <w:pPr>
              <w:widowControl/>
              <w:adjustRightInd/>
              <w:jc w:val="center"/>
              <w:rPr>
                <w:rFonts w:ascii="宋体" w:hAnsi="宋体" w:cs="宋体"/>
                <w:kern w:val="0"/>
                <w:sz w:val="24"/>
                <w:highlight w:val="none"/>
              </w:rPr>
            </w:pPr>
            <w:r>
              <w:rPr>
                <w:rFonts w:hint="eastAsia" w:ascii="宋体" w:hAnsi="宋体" w:cs="宋体"/>
                <w:kern w:val="0"/>
                <w:sz w:val="24"/>
                <w:highlight w:val="none"/>
              </w:rPr>
              <w:t>▲运维</w:t>
            </w:r>
          </w:p>
        </w:tc>
        <w:tc>
          <w:tcPr>
            <w:tcW w:w="1580" w:type="dxa"/>
            <w:tcBorders>
              <w:top w:val="nil"/>
              <w:left w:val="nil"/>
              <w:bottom w:val="single" w:color="auto" w:sz="4" w:space="0"/>
              <w:right w:val="single" w:color="auto" w:sz="4" w:space="0"/>
            </w:tcBorders>
            <w:vAlign w:val="center"/>
          </w:tcPr>
          <w:p w14:paraId="23FD0005">
            <w:pPr>
              <w:widowControl/>
              <w:adjustRightInd/>
              <w:jc w:val="left"/>
              <w:rPr>
                <w:rFonts w:ascii="宋体" w:hAnsi="宋体" w:cs="宋体"/>
                <w:kern w:val="0"/>
                <w:sz w:val="24"/>
                <w:highlight w:val="none"/>
              </w:rPr>
            </w:pPr>
            <w:r>
              <w:rPr>
                <w:rFonts w:hint="eastAsia" w:ascii="宋体" w:hAnsi="宋体" w:cs="宋体"/>
                <w:kern w:val="0"/>
                <w:sz w:val="24"/>
                <w:highlight w:val="none"/>
              </w:rPr>
              <w:t>▲运行时统计信息基础</w:t>
            </w:r>
            <w:r>
              <w:rPr>
                <w:rFonts w:ascii="宋体" w:hAnsi="宋体" w:cs="宋体"/>
                <w:kern w:val="0"/>
                <w:sz w:val="24"/>
                <w:highlight w:val="none"/>
              </w:rPr>
              <w:t xml:space="preserve"> </w:t>
            </w:r>
            <w:r>
              <w:rPr>
                <w:rFonts w:hint="eastAsia" w:ascii="宋体" w:hAnsi="宋体" w:cs="宋体"/>
                <w:kern w:val="0"/>
                <w:sz w:val="24"/>
                <w:highlight w:val="none"/>
              </w:rPr>
              <w:t>功能</w:t>
            </w:r>
          </w:p>
        </w:tc>
        <w:tc>
          <w:tcPr>
            <w:tcW w:w="4680" w:type="dxa"/>
            <w:tcBorders>
              <w:top w:val="nil"/>
              <w:left w:val="nil"/>
              <w:bottom w:val="single" w:color="auto" w:sz="4" w:space="0"/>
              <w:right w:val="single" w:color="auto" w:sz="4" w:space="0"/>
            </w:tcBorders>
            <w:vAlign w:val="center"/>
          </w:tcPr>
          <w:p w14:paraId="112B1C7F">
            <w:pPr>
              <w:widowControl/>
              <w:adjustRightInd/>
              <w:jc w:val="left"/>
              <w:rPr>
                <w:rFonts w:ascii="宋体" w:hAnsi="宋体" w:cs="宋体"/>
                <w:kern w:val="0"/>
                <w:sz w:val="24"/>
                <w:highlight w:val="none"/>
              </w:rPr>
            </w:pPr>
            <w:r>
              <w:rPr>
                <w:rFonts w:ascii="宋体" w:hAnsi="宋体" w:cs="宋体"/>
                <w:kern w:val="0"/>
                <w:sz w:val="24"/>
                <w:highlight w:val="none"/>
              </w:rPr>
              <w:t>a）数据库慢SQL统计：</w:t>
            </w:r>
          </w:p>
          <w:p w14:paraId="023C1E85">
            <w:pPr>
              <w:widowControl/>
              <w:adjustRightInd/>
              <w:jc w:val="left"/>
              <w:rPr>
                <w:rFonts w:ascii="宋体" w:hAnsi="宋体" w:cs="宋体"/>
                <w:kern w:val="0"/>
                <w:sz w:val="24"/>
                <w:highlight w:val="none"/>
              </w:rPr>
            </w:pPr>
            <w:r>
              <w:rPr>
                <w:rFonts w:ascii="宋体" w:hAnsi="宋体" w:cs="宋体"/>
                <w:kern w:val="0"/>
                <w:sz w:val="24"/>
                <w:highlight w:val="none"/>
              </w:rPr>
              <w:t xml:space="preserve">1）支持统计 SQL </w:t>
            </w:r>
            <w:r>
              <w:rPr>
                <w:rFonts w:hint="eastAsia" w:ascii="宋体" w:hAnsi="宋体" w:cs="宋体"/>
                <w:kern w:val="0"/>
                <w:sz w:val="24"/>
                <w:highlight w:val="none"/>
              </w:rPr>
              <w:t>语句；</w:t>
            </w:r>
          </w:p>
          <w:p w14:paraId="66AA1133">
            <w:pPr>
              <w:widowControl/>
              <w:adjustRightInd/>
              <w:jc w:val="left"/>
              <w:rPr>
                <w:rFonts w:ascii="宋体" w:hAnsi="宋体" w:cs="宋体"/>
                <w:kern w:val="0"/>
                <w:sz w:val="24"/>
                <w:highlight w:val="none"/>
              </w:rPr>
            </w:pPr>
            <w:r>
              <w:rPr>
                <w:rFonts w:ascii="宋体" w:hAnsi="宋体" w:cs="宋体"/>
                <w:kern w:val="0"/>
                <w:sz w:val="24"/>
                <w:highlight w:val="none"/>
              </w:rPr>
              <w:t>2）支持统计用户名；</w:t>
            </w:r>
          </w:p>
          <w:p w14:paraId="6FCF7CFF">
            <w:pPr>
              <w:widowControl/>
              <w:adjustRightInd/>
              <w:jc w:val="left"/>
              <w:rPr>
                <w:rFonts w:ascii="宋体" w:hAnsi="宋体" w:cs="宋体"/>
                <w:kern w:val="0"/>
                <w:sz w:val="24"/>
                <w:highlight w:val="none"/>
              </w:rPr>
            </w:pPr>
            <w:r>
              <w:rPr>
                <w:rFonts w:ascii="宋体" w:hAnsi="宋体" w:cs="宋体"/>
                <w:kern w:val="0"/>
                <w:sz w:val="24"/>
                <w:highlight w:val="none"/>
              </w:rPr>
              <w:t>3）支持统计数据库名；</w:t>
            </w:r>
          </w:p>
          <w:p w14:paraId="06CDFC5E">
            <w:pPr>
              <w:widowControl/>
              <w:adjustRightInd/>
              <w:jc w:val="left"/>
              <w:rPr>
                <w:rFonts w:ascii="宋体" w:hAnsi="宋体" w:cs="宋体"/>
                <w:kern w:val="0"/>
                <w:sz w:val="24"/>
                <w:highlight w:val="none"/>
              </w:rPr>
            </w:pPr>
            <w:r>
              <w:rPr>
                <w:rFonts w:ascii="宋体" w:hAnsi="宋体" w:cs="宋体"/>
                <w:kern w:val="0"/>
                <w:sz w:val="24"/>
                <w:highlight w:val="none"/>
              </w:rPr>
              <w:t>4）支持统计执行时长；</w:t>
            </w:r>
          </w:p>
          <w:p w14:paraId="605A662D">
            <w:pPr>
              <w:widowControl/>
              <w:adjustRightInd/>
              <w:jc w:val="left"/>
              <w:rPr>
                <w:rFonts w:ascii="宋体" w:hAnsi="宋体" w:cs="宋体"/>
                <w:kern w:val="0"/>
                <w:sz w:val="24"/>
                <w:highlight w:val="none"/>
              </w:rPr>
            </w:pPr>
            <w:r>
              <w:rPr>
                <w:rFonts w:ascii="宋体" w:hAnsi="宋体" w:cs="宋体"/>
                <w:kern w:val="0"/>
                <w:sz w:val="24"/>
                <w:highlight w:val="none"/>
              </w:rPr>
              <w:t>b）数据库性能状态统计：</w:t>
            </w:r>
          </w:p>
          <w:p w14:paraId="06752C83">
            <w:pPr>
              <w:widowControl/>
              <w:adjustRightInd/>
              <w:jc w:val="left"/>
              <w:rPr>
                <w:rFonts w:ascii="宋体" w:hAnsi="宋体" w:cs="宋体"/>
                <w:kern w:val="0"/>
                <w:sz w:val="24"/>
                <w:highlight w:val="none"/>
              </w:rPr>
            </w:pPr>
            <w:r>
              <w:rPr>
                <w:rFonts w:ascii="宋体" w:hAnsi="宋体" w:cs="宋体"/>
                <w:kern w:val="0"/>
                <w:sz w:val="24"/>
                <w:highlight w:val="none"/>
              </w:rPr>
              <w:t>1）支持统计每秒事务数和查询数；</w:t>
            </w:r>
          </w:p>
          <w:p w14:paraId="237B9BAA">
            <w:pPr>
              <w:widowControl/>
              <w:adjustRightInd/>
              <w:jc w:val="left"/>
              <w:rPr>
                <w:rFonts w:ascii="宋体" w:hAnsi="宋体" w:cs="宋体"/>
                <w:kern w:val="0"/>
                <w:sz w:val="24"/>
                <w:highlight w:val="none"/>
              </w:rPr>
            </w:pPr>
            <w:r>
              <w:rPr>
                <w:rFonts w:ascii="宋体" w:hAnsi="宋体" w:cs="宋体"/>
                <w:kern w:val="0"/>
                <w:sz w:val="24"/>
                <w:highlight w:val="none"/>
              </w:rPr>
              <w:t xml:space="preserve">2）支持统计 SQL </w:t>
            </w:r>
            <w:r>
              <w:rPr>
                <w:rFonts w:hint="eastAsia" w:ascii="宋体" w:hAnsi="宋体" w:cs="宋体"/>
                <w:kern w:val="0"/>
                <w:sz w:val="24"/>
                <w:highlight w:val="none"/>
              </w:rPr>
              <w:t>平均响应时间；</w:t>
            </w:r>
          </w:p>
          <w:p w14:paraId="3F8AF96A">
            <w:pPr>
              <w:widowControl/>
              <w:adjustRightInd/>
              <w:jc w:val="left"/>
              <w:rPr>
                <w:rFonts w:ascii="宋体" w:hAnsi="宋体" w:cs="宋体"/>
                <w:kern w:val="0"/>
                <w:sz w:val="24"/>
                <w:highlight w:val="none"/>
              </w:rPr>
            </w:pPr>
            <w:r>
              <w:rPr>
                <w:rFonts w:ascii="宋体" w:hAnsi="宋体" w:cs="宋体"/>
                <w:kern w:val="0"/>
                <w:sz w:val="24"/>
                <w:highlight w:val="none"/>
              </w:rPr>
              <w:t>3）支持统计高频 SQL</w:t>
            </w:r>
          </w:p>
        </w:tc>
      </w:tr>
      <w:tr w14:paraId="3A27B017">
        <w:tblPrEx>
          <w:tblCellMar>
            <w:top w:w="0" w:type="dxa"/>
            <w:left w:w="108" w:type="dxa"/>
            <w:bottom w:w="0" w:type="dxa"/>
            <w:right w:w="108" w:type="dxa"/>
          </w:tblCellMar>
        </w:tblPrEx>
        <w:trPr>
          <w:trHeight w:val="2808" w:hRule="atLeast"/>
        </w:trPr>
        <w:tc>
          <w:tcPr>
            <w:tcW w:w="740" w:type="dxa"/>
            <w:tcBorders>
              <w:top w:val="nil"/>
              <w:left w:val="single" w:color="auto" w:sz="4" w:space="0"/>
              <w:bottom w:val="single" w:color="auto" w:sz="4" w:space="0"/>
              <w:right w:val="single" w:color="auto" w:sz="4" w:space="0"/>
            </w:tcBorders>
            <w:vAlign w:val="center"/>
          </w:tcPr>
          <w:p w14:paraId="713FAC30">
            <w:pPr>
              <w:widowControl/>
              <w:adjustRightInd/>
              <w:jc w:val="center"/>
              <w:rPr>
                <w:rFonts w:ascii="宋体" w:hAnsi="宋体" w:cs="宋体"/>
                <w:kern w:val="0"/>
                <w:sz w:val="24"/>
                <w:highlight w:val="none"/>
              </w:rPr>
            </w:pPr>
            <w:r>
              <w:rPr>
                <w:rFonts w:ascii="宋体" w:hAnsi="宋体" w:cs="宋体"/>
                <w:kern w:val="0"/>
                <w:sz w:val="24"/>
                <w:highlight w:val="none"/>
              </w:rPr>
              <w:t>20</w:t>
            </w:r>
          </w:p>
        </w:tc>
        <w:tc>
          <w:tcPr>
            <w:tcW w:w="1420" w:type="dxa"/>
            <w:vMerge w:val="continue"/>
            <w:tcBorders>
              <w:top w:val="nil"/>
              <w:left w:val="single" w:color="auto" w:sz="4" w:space="0"/>
              <w:bottom w:val="single" w:color="000000" w:sz="4" w:space="0"/>
              <w:right w:val="single" w:color="auto" w:sz="4" w:space="0"/>
            </w:tcBorders>
            <w:vAlign w:val="center"/>
          </w:tcPr>
          <w:p w14:paraId="457D00B7">
            <w:pPr>
              <w:widowControl/>
              <w:adjustRightInd/>
              <w:jc w:val="left"/>
              <w:rPr>
                <w:rFonts w:ascii="宋体" w:hAnsi="宋体" w:cs="宋体"/>
                <w:kern w:val="0"/>
                <w:sz w:val="24"/>
                <w:highlight w:val="none"/>
              </w:rPr>
            </w:pPr>
          </w:p>
        </w:tc>
        <w:tc>
          <w:tcPr>
            <w:tcW w:w="1580" w:type="dxa"/>
            <w:tcBorders>
              <w:top w:val="nil"/>
              <w:left w:val="nil"/>
              <w:bottom w:val="single" w:color="auto" w:sz="4" w:space="0"/>
              <w:right w:val="single" w:color="auto" w:sz="4" w:space="0"/>
            </w:tcBorders>
            <w:vAlign w:val="center"/>
          </w:tcPr>
          <w:p w14:paraId="45970390">
            <w:pPr>
              <w:widowControl/>
              <w:adjustRightInd/>
              <w:jc w:val="left"/>
              <w:rPr>
                <w:rFonts w:ascii="宋体" w:hAnsi="宋体" w:cs="宋体"/>
                <w:kern w:val="0"/>
                <w:sz w:val="24"/>
                <w:highlight w:val="none"/>
              </w:rPr>
            </w:pPr>
            <w:r>
              <w:rPr>
                <w:rFonts w:hint="eastAsia" w:ascii="宋体" w:hAnsi="宋体" w:cs="宋体"/>
                <w:kern w:val="0"/>
                <w:sz w:val="24"/>
                <w:highlight w:val="none"/>
              </w:rPr>
              <w:t>▲日志</w:t>
            </w:r>
          </w:p>
        </w:tc>
        <w:tc>
          <w:tcPr>
            <w:tcW w:w="4680" w:type="dxa"/>
            <w:tcBorders>
              <w:top w:val="nil"/>
              <w:left w:val="nil"/>
              <w:bottom w:val="single" w:color="auto" w:sz="4" w:space="0"/>
              <w:right w:val="single" w:color="auto" w:sz="4" w:space="0"/>
            </w:tcBorders>
            <w:vAlign w:val="center"/>
          </w:tcPr>
          <w:p w14:paraId="59D935CD">
            <w:pPr>
              <w:widowControl/>
              <w:adjustRightInd/>
              <w:jc w:val="left"/>
              <w:rPr>
                <w:rFonts w:ascii="宋体" w:hAnsi="宋体" w:cs="宋体"/>
                <w:kern w:val="0"/>
                <w:sz w:val="24"/>
                <w:highlight w:val="none"/>
              </w:rPr>
            </w:pPr>
            <w:r>
              <w:rPr>
                <w:rFonts w:ascii="宋体" w:hAnsi="宋体" w:cs="宋体"/>
                <w:kern w:val="0"/>
                <w:sz w:val="24"/>
                <w:highlight w:val="none"/>
              </w:rPr>
              <w:t xml:space="preserve">a) </w:t>
            </w:r>
            <w:r>
              <w:rPr>
                <w:rFonts w:hint="eastAsia" w:ascii="宋体" w:hAnsi="宋体" w:cs="宋体"/>
                <w:kern w:val="0"/>
                <w:sz w:val="24"/>
                <w:highlight w:val="none"/>
              </w:rPr>
              <w:t>具备对各类事件进行日志记录的功能，可通过日志查看操作内容、执行过程和结果；</w:t>
            </w:r>
          </w:p>
          <w:p w14:paraId="6648A871">
            <w:pPr>
              <w:widowControl/>
              <w:adjustRightInd/>
              <w:jc w:val="left"/>
              <w:rPr>
                <w:rFonts w:ascii="宋体" w:hAns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具备提示和警告功能，提示或警告数据库结构修改、数据库运行配置修改等重要操作；</w:t>
            </w:r>
          </w:p>
          <w:p w14:paraId="0ED1ABBE">
            <w:pPr>
              <w:widowControl/>
              <w:adjustRightInd/>
              <w:jc w:val="left"/>
              <w:rPr>
                <w:rFonts w:ascii="宋体" w:hAnsi="宋体" w:cs="宋体"/>
                <w:kern w:val="0"/>
                <w:sz w:val="24"/>
                <w:highlight w:val="none"/>
              </w:rPr>
            </w:pPr>
            <w:r>
              <w:rPr>
                <w:rFonts w:ascii="宋体" w:hAnsi="宋体" w:cs="宋体"/>
                <w:kern w:val="0"/>
                <w:sz w:val="24"/>
                <w:highlight w:val="none"/>
              </w:rPr>
              <w:t xml:space="preserve">c) </w:t>
            </w:r>
            <w:r>
              <w:rPr>
                <w:rFonts w:hint="eastAsia" w:ascii="宋体" w:hAnsi="宋体" w:cs="宋体"/>
                <w:kern w:val="0"/>
                <w:sz w:val="24"/>
                <w:highlight w:val="none"/>
              </w:rPr>
              <w:t>日志完整正确，并且提供可读文本的形式；</w:t>
            </w:r>
          </w:p>
          <w:p w14:paraId="07AABEBE">
            <w:pPr>
              <w:widowControl/>
              <w:adjustRightInd/>
              <w:jc w:val="left"/>
              <w:rPr>
                <w:rFonts w:ascii="宋体" w:hAnsi="宋体" w:cs="宋体"/>
                <w:kern w:val="0"/>
                <w:sz w:val="24"/>
                <w:highlight w:val="none"/>
              </w:rPr>
            </w:pPr>
            <w:r>
              <w:rPr>
                <w:rFonts w:ascii="宋体" w:hAnsi="宋体" w:cs="宋体"/>
                <w:kern w:val="0"/>
                <w:sz w:val="24"/>
                <w:highlight w:val="none"/>
              </w:rPr>
              <w:t xml:space="preserve">d) </w:t>
            </w:r>
            <w:r>
              <w:rPr>
                <w:rFonts w:hint="eastAsia" w:ascii="宋体" w:hAnsi="宋体" w:cs="宋体"/>
                <w:kern w:val="0"/>
                <w:sz w:val="24"/>
                <w:highlight w:val="none"/>
              </w:rPr>
              <w:t>支持中文日志</w:t>
            </w:r>
          </w:p>
        </w:tc>
      </w:tr>
      <w:tr w14:paraId="56B78830">
        <w:tblPrEx>
          <w:tblCellMar>
            <w:top w:w="0" w:type="dxa"/>
            <w:left w:w="108" w:type="dxa"/>
            <w:bottom w:w="0" w:type="dxa"/>
            <w:right w:w="108" w:type="dxa"/>
          </w:tblCellMar>
        </w:tblPrEx>
        <w:trPr>
          <w:trHeight w:val="312" w:hRule="atLeast"/>
        </w:trPr>
        <w:tc>
          <w:tcPr>
            <w:tcW w:w="740" w:type="dxa"/>
            <w:tcBorders>
              <w:top w:val="nil"/>
              <w:left w:val="single" w:color="auto" w:sz="4" w:space="0"/>
              <w:bottom w:val="single" w:color="auto" w:sz="4" w:space="0"/>
              <w:right w:val="single" w:color="auto" w:sz="4" w:space="0"/>
            </w:tcBorders>
            <w:vAlign w:val="center"/>
          </w:tcPr>
          <w:p w14:paraId="10B40FD3">
            <w:pPr>
              <w:widowControl/>
              <w:adjustRightInd/>
              <w:jc w:val="center"/>
              <w:rPr>
                <w:rFonts w:ascii="宋体" w:hAnsi="宋体" w:cs="宋体"/>
                <w:kern w:val="0"/>
                <w:sz w:val="24"/>
                <w:highlight w:val="none"/>
              </w:rPr>
            </w:pPr>
            <w:r>
              <w:rPr>
                <w:rFonts w:ascii="宋体" w:hAnsi="宋体" w:cs="宋体"/>
                <w:kern w:val="0"/>
                <w:sz w:val="24"/>
                <w:highlight w:val="none"/>
              </w:rPr>
              <w:t>21</w:t>
            </w:r>
          </w:p>
        </w:tc>
        <w:tc>
          <w:tcPr>
            <w:tcW w:w="1420" w:type="dxa"/>
            <w:vMerge w:val="continue"/>
            <w:tcBorders>
              <w:top w:val="nil"/>
              <w:left w:val="single" w:color="auto" w:sz="4" w:space="0"/>
              <w:bottom w:val="single" w:color="000000" w:sz="4" w:space="0"/>
              <w:right w:val="single" w:color="auto" w:sz="4" w:space="0"/>
            </w:tcBorders>
            <w:vAlign w:val="center"/>
          </w:tcPr>
          <w:p w14:paraId="6E11C148">
            <w:pPr>
              <w:widowControl/>
              <w:adjustRightInd/>
              <w:jc w:val="left"/>
              <w:rPr>
                <w:rFonts w:ascii="宋体" w:hAnsi="宋体" w:cs="宋体"/>
                <w:kern w:val="0"/>
                <w:sz w:val="24"/>
                <w:highlight w:val="none"/>
              </w:rPr>
            </w:pPr>
          </w:p>
        </w:tc>
        <w:tc>
          <w:tcPr>
            <w:tcW w:w="1580" w:type="dxa"/>
            <w:tcBorders>
              <w:top w:val="nil"/>
              <w:left w:val="nil"/>
              <w:bottom w:val="single" w:color="auto" w:sz="4" w:space="0"/>
              <w:right w:val="single" w:color="auto" w:sz="4" w:space="0"/>
            </w:tcBorders>
            <w:vAlign w:val="center"/>
          </w:tcPr>
          <w:p w14:paraId="75D537B6">
            <w:pPr>
              <w:widowControl/>
              <w:adjustRightInd/>
              <w:jc w:val="left"/>
              <w:rPr>
                <w:rFonts w:ascii="宋体" w:hAnsi="宋体" w:cs="宋体"/>
                <w:kern w:val="0"/>
                <w:sz w:val="24"/>
                <w:highlight w:val="none"/>
              </w:rPr>
            </w:pPr>
            <w:r>
              <w:rPr>
                <w:rFonts w:hint="eastAsia" w:ascii="宋体" w:hAnsi="宋体" w:cs="宋体"/>
                <w:kern w:val="0"/>
                <w:sz w:val="24"/>
                <w:highlight w:val="none"/>
              </w:rPr>
              <w:t>▲远程运维</w:t>
            </w:r>
          </w:p>
        </w:tc>
        <w:tc>
          <w:tcPr>
            <w:tcW w:w="4680" w:type="dxa"/>
            <w:tcBorders>
              <w:top w:val="nil"/>
              <w:left w:val="nil"/>
              <w:bottom w:val="single" w:color="auto" w:sz="4" w:space="0"/>
              <w:right w:val="single" w:color="auto" w:sz="4" w:space="0"/>
            </w:tcBorders>
            <w:vAlign w:val="center"/>
          </w:tcPr>
          <w:p w14:paraId="3105DB07">
            <w:pPr>
              <w:widowControl/>
              <w:adjustRightInd/>
              <w:jc w:val="left"/>
              <w:rPr>
                <w:rFonts w:ascii="宋体" w:hAnsi="宋体" w:cs="宋体"/>
                <w:kern w:val="0"/>
                <w:sz w:val="24"/>
                <w:highlight w:val="none"/>
              </w:rPr>
            </w:pPr>
            <w:r>
              <w:rPr>
                <w:rFonts w:hint="eastAsia" w:ascii="宋体" w:hAnsi="宋体" w:cs="宋体"/>
                <w:kern w:val="0"/>
                <w:sz w:val="24"/>
                <w:highlight w:val="none"/>
              </w:rPr>
              <w:t>具备远程维护功能</w:t>
            </w:r>
          </w:p>
        </w:tc>
      </w:tr>
      <w:tr w14:paraId="274D422A">
        <w:tblPrEx>
          <w:tblCellMar>
            <w:top w:w="0" w:type="dxa"/>
            <w:left w:w="108" w:type="dxa"/>
            <w:bottom w:w="0" w:type="dxa"/>
            <w:right w:w="108" w:type="dxa"/>
          </w:tblCellMar>
        </w:tblPrEx>
        <w:trPr>
          <w:trHeight w:val="1872" w:hRule="atLeast"/>
        </w:trPr>
        <w:tc>
          <w:tcPr>
            <w:tcW w:w="740" w:type="dxa"/>
            <w:tcBorders>
              <w:top w:val="nil"/>
              <w:left w:val="single" w:color="auto" w:sz="4" w:space="0"/>
              <w:bottom w:val="single" w:color="auto" w:sz="4" w:space="0"/>
              <w:right w:val="single" w:color="auto" w:sz="4" w:space="0"/>
            </w:tcBorders>
            <w:vAlign w:val="center"/>
          </w:tcPr>
          <w:p w14:paraId="44AA443D">
            <w:pPr>
              <w:widowControl/>
              <w:adjustRightInd/>
              <w:jc w:val="center"/>
              <w:rPr>
                <w:rFonts w:ascii="宋体" w:hAnsi="宋体" w:cs="宋体"/>
                <w:kern w:val="0"/>
                <w:sz w:val="24"/>
                <w:highlight w:val="none"/>
              </w:rPr>
            </w:pPr>
            <w:r>
              <w:rPr>
                <w:rFonts w:ascii="宋体" w:hAnsi="宋体" w:cs="宋体"/>
                <w:kern w:val="0"/>
                <w:sz w:val="24"/>
                <w:highlight w:val="none"/>
              </w:rPr>
              <w:t>22</w:t>
            </w:r>
          </w:p>
        </w:tc>
        <w:tc>
          <w:tcPr>
            <w:tcW w:w="1420" w:type="dxa"/>
            <w:vMerge w:val="continue"/>
            <w:tcBorders>
              <w:top w:val="nil"/>
              <w:left w:val="single" w:color="auto" w:sz="4" w:space="0"/>
              <w:bottom w:val="single" w:color="000000" w:sz="4" w:space="0"/>
              <w:right w:val="single" w:color="auto" w:sz="4" w:space="0"/>
            </w:tcBorders>
            <w:vAlign w:val="center"/>
          </w:tcPr>
          <w:p w14:paraId="6686DB9F">
            <w:pPr>
              <w:widowControl/>
              <w:adjustRightInd/>
              <w:jc w:val="left"/>
              <w:rPr>
                <w:rFonts w:ascii="宋体" w:hAnsi="宋体" w:cs="宋体"/>
                <w:kern w:val="0"/>
                <w:sz w:val="24"/>
                <w:highlight w:val="none"/>
              </w:rPr>
            </w:pPr>
          </w:p>
        </w:tc>
        <w:tc>
          <w:tcPr>
            <w:tcW w:w="1580" w:type="dxa"/>
            <w:tcBorders>
              <w:top w:val="nil"/>
              <w:left w:val="nil"/>
              <w:bottom w:val="single" w:color="auto" w:sz="4" w:space="0"/>
              <w:right w:val="single" w:color="auto" w:sz="4" w:space="0"/>
            </w:tcBorders>
            <w:vAlign w:val="center"/>
          </w:tcPr>
          <w:p w14:paraId="560587BD">
            <w:pPr>
              <w:widowControl/>
              <w:adjustRightInd/>
              <w:jc w:val="left"/>
              <w:rPr>
                <w:rFonts w:ascii="宋体" w:hAnsi="宋体" w:cs="宋体"/>
                <w:kern w:val="0"/>
                <w:sz w:val="24"/>
                <w:highlight w:val="none"/>
              </w:rPr>
            </w:pPr>
            <w:r>
              <w:rPr>
                <w:rFonts w:hint="eastAsia" w:ascii="宋体" w:hAnsi="宋体" w:cs="宋体"/>
                <w:kern w:val="0"/>
                <w:sz w:val="24"/>
                <w:highlight w:val="none"/>
              </w:rPr>
              <w:t>▲报警</w:t>
            </w:r>
          </w:p>
        </w:tc>
        <w:tc>
          <w:tcPr>
            <w:tcW w:w="4680" w:type="dxa"/>
            <w:tcBorders>
              <w:top w:val="nil"/>
              <w:left w:val="nil"/>
              <w:bottom w:val="single" w:color="auto" w:sz="4" w:space="0"/>
              <w:right w:val="single" w:color="auto" w:sz="4" w:space="0"/>
            </w:tcBorders>
            <w:vAlign w:val="center"/>
          </w:tcPr>
          <w:p w14:paraId="577875E5">
            <w:pPr>
              <w:widowControl/>
              <w:adjustRightInd/>
              <w:jc w:val="left"/>
              <w:rPr>
                <w:rFonts w:ascii="宋体" w:hAnsi="宋体" w:cs="宋体"/>
                <w:kern w:val="0"/>
                <w:sz w:val="24"/>
                <w:highlight w:val="none"/>
              </w:rPr>
            </w:pPr>
            <w:r>
              <w:rPr>
                <w:rFonts w:ascii="宋体" w:hAnsi="宋体" w:cs="宋体"/>
                <w:kern w:val="0"/>
                <w:sz w:val="24"/>
                <w:highlight w:val="none"/>
              </w:rPr>
              <w:t xml:space="preserve">a) </w:t>
            </w:r>
            <w:r>
              <w:rPr>
                <w:rFonts w:hint="eastAsia" w:ascii="宋体" w:hAnsi="宋体" w:cs="宋体"/>
                <w:kern w:val="0"/>
                <w:sz w:val="24"/>
                <w:highlight w:val="none"/>
              </w:rPr>
              <w:t>厂商提供通知管理员的方法或工具；</w:t>
            </w:r>
          </w:p>
          <w:p w14:paraId="355081A6">
            <w:pPr>
              <w:widowControl/>
              <w:adjustRightInd/>
              <w:jc w:val="left"/>
              <w:rPr>
                <w:rFonts w:ascii="宋体" w:hAns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支持设置报警基线，数据库运行中遇到重要事件、异常事件和状态、超过报警阈值等情况时，通知管理员；</w:t>
            </w:r>
          </w:p>
          <w:p w14:paraId="0B01AA0B">
            <w:pPr>
              <w:widowControl/>
              <w:adjustRightInd/>
              <w:jc w:val="left"/>
              <w:rPr>
                <w:rFonts w:ascii="宋体" w:hAnsi="宋体" w:cs="宋体"/>
                <w:kern w:val="0"/>
                <w:sz w:val="24"/>
                <w:highlight w:val="none"/>
              </w:rPr>
            </w:pPr>
            <w:r>
              <w:rPr>
                <w:rFonts w:ascii="宋体" w:hAnsi="宋体" w:cs="宋体"/>
                <w:kern w:val="0"/>
                <w:sz w:val="24"/>
                <w:highlight w:val="none"/>
              </w:rPr>
              <w:t xml:space="preserve">c) </w:t>
            </w:r>
            <w:r>
              <w:rPr>
                <w:rFonts w:hint="eastAsia" w:ascii="宋体" w:hAnsi="宋体" w:cs="宋体"/>
                <w:kern w:val="0"/>
                <w:sz w:val="24"/>
                <w:highlight w:val="none"/>
              </w:rPr>
              <w:t>提供报警</w:t>
            </w:r>
            <w:r>
              <w:rPr>
                <w:rFonts w:ascii="宋体" w:hAnsi="宋体" w:cs="宋体"/>
                <w:kern w:val="0"/>
                <w:sz w:val="24"/>
                <w:highlight w:val="none"/>
              </w:rPr>
              <w:t>API；</w:t>
            </w:r>
          </w:p>
          <w:p w14:paraId="099E45F2">
            <w:pPr>
              <w:widowControl/>
              <w:adjustRightInd/>
              <w:jc w:val="left"/>
              <w:rPr>
                <w:rFonts w:ascii="宋体" w:hAnsi="宋体" w:cs="宋体"/>
                <w:kern w:val="0"/>
                <w:sz w:val="24"/>
                <w:highlight w:val="none"/>
              </w:rPr>
            </w:pPr>
            <w:r>
              <w:rPr>
                <w:rFonts w:ascii="宋体" w:hAnsi="宋体" w:cs="宋体"/>
                <w:kern w:val="0"/>
                <w:sz w:val="24"/>
                <w:highlight w:val="none"/>
              </w:rPr>
              <w:t xml:space="preserve">d) </w:t>
            </w:r>
            <w:r>
              <w:rPr>
                <w:rFonts w:hint="eastAsia" w:ascii="宋体" w:hAnsi="宋体" w:cs="宋体"/>
                <w:kern w:val="0"/>
                <w:sz w:val="24"/>
                <w:highlight w:val="none"/>
              </w:rPr>
              <w:t>报警发生时，支持报警信息的实时展示</w:t>
            </w:r>
          </w:p>
        </w:tc>
      </w:tr>
      <w:tr w14:paraId="566334DB">
        <w:tblPrEx>
          <w:tblCellMar>
            <w:top w:w="0" w:type="dxa"/>
            <w:left w:w="108" w:type="dxa"/>
            <w:bottom w:w="0" w:type="dxa"/>
            <w:right w:w="108" w:type="dxa"/>
          </w:tblCellMar>
        </w:tblPrEx>
        <w:trPr>
          <w:trHeight w:val="4056" w:hRule="atLeast"/>
        </w:trPr>
        <w:tc>
          <w:tcPr>
            <w:tcW w:w="740" w:type="dxa"/>
            <w:tcBorders>
              <w:top w:val="nil"/>
              <w:left w:val="single" w:color="auto" w:sz="4" w:space="0"/>
              <w:bottom w:val="single" w:color="auto" w:sz="4" w:space="0"/>
              <w:right w:val="single" w:color="auto" w:sz="4" w:space="0"/>
            </w:tcBorders>
            <w:vAlign w:val="center"/>
          </w:tcPr>
          <w:p w14:paraId="7EF353C5">
            <w:pPr>
              <w:widowControl/>
              <w:adjustRightInd/>
              <w:jc w:val="center"/>
              <w:rPr>
                <w:rFonts w:ascii="宋体" w:hAnsi="宋体" w:cs="宋体"/>
                <w:kern w:val="0"/>
                <w:sz w:val="24"/>
                <w:highlight w:val="none"/>
              </w:rPr>
            </w:pPr>
            <w:r>
              <w:rPr>
                <w:rFonts w:ascii="宋体" w:hAnsi="宋体" w:cs="宋体"/>
                <w:kern w:val="0"/>
                <w:sz w:val="24"/>
                <w:highlight w:val="none"/>
              </w:rPr>
              <w:t>23</w:t>
            </w:r>
          </w:p>
        </w:tc>
        <w:tc>
          <w:tcPr>
            <w:tcW w:w="1420" w:type="dxa"/>
            <w:vMerge w:val="restart"/>
            <w:tcBorders>
              <w:top w:val="nil"/>
              <w:left w:val="single" w:color="auto" w:sz="4" w:space="0"/>
              <w:bottom w:val="single" w:color="000000" w:sz="4" w:space="0"/>
              <w:right w:val="single" w:color="auto" w:sz="4" w:space="0"/>
            </w:tcBorders>
            <w:vAlign w:val="center"/>
          </w:tcPr>
          <w:p w14:paraId="26304709">
            <w:pPr>
              <w:widowControl/>
              <w:adjustRightInd/>
              <w:jc w:val="center"/>
              <w:rPr>
                <w:rFonts w:ascii="宋体" w:hAnsi="宋体" w:cs="宋体"/>
                <w:kern w:val="0"/>
                <w:sz w:val="24"/>
                <w:highlight w:val="none"/>
              </w:rPr>
            </w:pPr>
            <w:r>
              <w:rPr>
                <w:rFonts w:hint="eastAsia" w:ascii="宋体" w:hAnsi="宋体" w:cs="宋体"/>
                <w:kern w:val="0"/>
                <w:sz w:val="24"/>
                <w:highlight w:val="none"/>
              </w:rPr>
              <w:t>▲迁移</w:t>
            </w:r>
          </w:p>
        </w:tc>
        <w:tc>
          <w:tcPr>
            <w:tcW w:w="1580" w:type="dxa"/>
            <w:tcBorders>
              <w:top w:val="nil"/>
              <w:left w:val="nil"/>
              <w:bottom w:val="single" w:color="auto" w:sz="4" w:space="0"/>
              <w:right w:val="single" w:color="auto" w:sz="4" w:space="0"/>
            </w:tcBorders>
            <w:vAlign w:val="center"/>
          </w:tcPr>
          <w:p w14:paraId="71DCD573">
            <w:pPr>
              <w:widowControl/>
              <w:adjustRightInd/>
              <w:jc w:val="left"/>
              <w:rPr>
                <w:rFonts w:ascii="宋体" w:hAnsi="宋体" w:cs="宋体"/>
                <w:kern w:val="0"/>
                <w:sz w:val="24"/>
                <w:highlight w:val="none"/>
              </w:rPr>
            </w:pPr>
            <w:r>
              <w:rPr>
                <w:rFonts w:hint="eastAsia" w:ascii="宋体" w:hAnsi="宋体" w:cs="宋体"/>
                <w:kern w:val="0"/>
                <w:sz w:val="24"/>
                <w:highlight w:val="none"/>
              </w:rPr>
              <w:t>▲数据迁移</w:t>
            </w:r>
          </w:p>
        </w:tc>
        <w:tc>
          <w:tcPr>
            <w:tcW w:w="4680" w:type="dxa"/>
            <w:tcBorders>
              <w:top w:val="nil"/>
              <w:left w:val="nil"/>
              <w:bottom w:val="single" w:color="auto" w:sz="4" w:space="0"/>
              <w:right w:val="single" w:color="auto" w:sz="4" w:space="0"/>
            </w:tcBorders>
            <w:vAlign w:val="center"/>
          </w:tcPr>
          <w:p w14:paraId="0A67888F">
            <w:pPr>
              <w:widowControl/>
              <w:adjustRightInd/>
              <w:jc w:val="left"/>
              <w:rPr>
                <w:rFonts w:ascii="宋体" w:hAnsi="宋体" w:cs="宋体"/>
                <w:kern w:val="0"/>
                <w:sz w:val="24"/>
                <w:highlight w:val="none"/>
              </w:rPr>
            </w:pPr>
            <w:r>
              <w:rPr>
                <w:rFonts w:ascii="宋体" w:hAnsi="宋体" w:cs="宋体"/>
                <w:kern w:val="0"/>
                <w:sz w:val="24"/>
                <w:highlight w:val="none"/>
              </w:rPr>
              <w:t xml:space="preserve">a) </w:t>
            </w:r>
            <w:r>
              <w:rPr>
                <w:rFonts w:hint="eastAsia" w:ascii="宋体" w:hAnsi="宋体" w:cs="宋体"/>
                <w:kern w:val="0"/>
                <w:sz w:val="24"/>
                <w:highlight w:val="none"/>
              </w:rPr>
              <w:t>提供元数据、数据库、数据库对象、表数据快速迁移的功能；</w:t>
            </w:r>
          </w:p>
          <w:p w14:paraId="6B0BC303">
            <w:pPr>
              <w:widowControl/>
              <w:adjustRightInd/>
              <w:jc w:val="left"/>
              <w:rPr>
                <w:rFonts w:ascii="宋体" w:hAns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支持数据迁移工具实现同构或异构数据库之间的数据迁移；</w:t>
            </w:r>
          </w:p>
          <w:p w14:paraId="28133201">
            <w:pPr>
              <w:widowControl/>
              <w:adjustRightInd/>
              <w:jc w:val="left"/>
              <w:rPr>
                <w:rFonts w:ascii="宋体" w:hAnsi="宋体" w:cs="宋体"/>
                <w:kern w:val="0"/>
                <w:sz w:val="24"/>
                <w:highlight w:val="none"/>
              </w:rPr>
            </w:pPr>
            <w:r>
              <w:rPr>
                <w:rFonts w:ascii="宋体" w:hAnsi="宋体" w:cs="宋体"/>
                <w:kern w:val="0"/>
                <w:sz w:val="24"/>
                <w:highlight w:val="none"/>
              </w:rPr>
              <w:t xml:space="preserve">c) </w:t>
            </w:r>
            <w:r>
              <w:rPr>
                <w:rFonts w:hint="eastAsia" w:ascii="宋体" w:hAnsi="宋体" w:cs="宋体"/>
                <w:kern w:val="0"/>
                <w:sz w:val="24"/>
                <w:highlight w:val="none"/>
              </w:rPr>
              <w:t>支持全量数据迁移、增量数据持续同步等迁移模式；</w:t>
            </w:r>
          </w:p>
          <w:p w14:paraId="734C8455">
            <w:pPr>
              <w:widowControl/>
              <w:adjustRightInd/>
              <w:jc w:val="left"/>
              <w:rPr>
                <w:rFonts w:ascii="宋体" w:hAnsi="宋体" w:cs="宋体"/>
                <w:kern w:val="0"/>
                <w:sz w:val="24"/>
                <w:highlight w:val="none"/>
              </w:rPr>
            </w:pPr>
            <w:r>
              <w:rPr>
                <w:rFonts w:ascii="宋体" w:hAnsi="宋体" w:cs="宋体"/>
                <w:kern w:val="0"/>
                <w:sz w:val="24"/>
                <w:highlight w:val="none"/>
              </w:rPr>
              <w:t xml:space="preserve">d) </w:t>
            </w:r>
            <w:r>
              <w:rPr>
                <w:rFonts w:hint="eastAsia" w:ascii="宋体" w:hAnsi="宋体" w:cs="宋体"/>
                <w:kern w:val="0"/>
                <w:sz w:val="24"/>
                <w:highlight w:val="none"/>
              </w:rPr>
              <w:t>在数据迁移过程中具备应对传输异常的能力，保障数据迁移的稳定性、连续性和一致性；</w:t>
            </w:r>
          </w:p>
          <w:p w14:paraId="1B298A9E">
            <w:pPr>
              <w:widowControl/>
              <w:adjustRightInd/>
              <w:jc w:val="left"/>
              <w:rPr>
                <w:rFonts w:ascii="宋体" w:hAnsi="宋体" w:cs="宋体"/>
                <w:kern w:val="0"/>
                <w:sz w:val="24"/>
                <w:highlight w:val="none"/>
              </w:rPr>
            </w:pPr>
            <w:r>
              <w:rPr>
                <w:rFonts w:ascii="宋体" w:hAnsi="宋体" w:cs="宋体"/>
                <w:kern w:val="0"/>
                <w:sz w:val="24"/>
                <w:highlight w:val="none"/>
              </w:rPr>
              <w:t xml:space="preserve">e) </w:t>
            </w:r>
            <w:r>
              <w:rPr>
                <w:rFonts w:hint="eastAsia" w:ascii="宋体" w:hAnsi="宋体" w:cs="宋体"/>
                <w:kern w:val="0"/>
                <w:sz w:val="24"/>
                <w:highlight w:val="none"/>
              </w:rPr>
              <w:t>支持存量数据的一次性迁移和增量数据库的持续同步；</w:t>
            </w:r>
          </w:p>
          <w:p w14:paraId="67448FDE">
            <w:pPr>
              <w:widowControl/>
              <w:adjustRightInd/>
              <w:jc w:val="left"/>
              <w:rPr>
                <w:rFonts w:ascii="宋体" w:hAnsi="宋体" w:cs="宋体"/>
                <w:kern w:val="0"/>
                <w:sz w:val="24"/>
                <w:highlight w:val="none"/>
              </w:rPr>
            </w:pPr>
            <w:r>
              <w:rPr>
                <w:rFonts w:ascii="宋体" w:hAnsi="宋体" w:cs="宋体"/>
                <w:kern w:val="0"/>
                <w:sz w:val="24"/>
                <w:highlight w:val="none"/>
              </w:rPr>
              <w:t xml:space="preserve">f) </w:t>
            </w:r>
            <w:r>
              <w:rPr>
                <w:rFonts w:hint="eastAsia" w:ascii="宋体" w:hAnsi="宋体" w:cs="宋体"/>
                <w:kern w:val="0"/>
                <w:sz w:val="24"/>
                <w:highlight w:val="none"/>
              </w:rPr>
              <w:t>支持多种不同类型的源数据库和目标数据库之间的数据迁移；</w:t>
            </w:r>
          </w:p>
        </w:tc>
      </w:tr>
      <w:tr w14:paraId="2E6279DE">
        <w:tblPrEx>
          <w:tblCellMar>
            <w:top w:w="0" w:type="dxa"/>
            <w:left w:w="108" w:type="dxa"/>
            <w:bottom w:w="0" w:type="dxa"/>
            <w:right w:w="108" w:type="dxa"/>
          </w:tblCellMar>
        </w:tblPrEx>
        <w:trPr>
          <w:trHeight w:val="936" w:hRule="atLeast"/>
        </w:trPr>
        <w:tc>
          <w:tcPr>
            <w:tcW w:w="740" w:type="dxa"/>
            <w:tcBorders>
              <w:top w:val="nil"/>
              <w:left w:val="single" w:color="auto" w:sz="4" w:space="0"/>
              <w:bottom w:val="single" w:color="auto" w:sz="4" w:space="0"/>
              <w:right w:val="single" w:color="auto" w:sz="4" w:space="0"/>
            </w:tcBorders>
            <w:vAlign w:val="center"/>
          </w:tcPr>
          <w:p w14:paraId="465CB554">
            <w:pPr>
              <w:widowControl/>
              <w:adjustRightInd/>
              <w:jc w:val="center"/>
              <w:rPr>
                <w:rFonts w:ascii="宋体" w:hAnsi="宋体" w:cs="宋体"/>
                <w:kern w:val="0"/>
                <w:sz w:val="24"/>
                <w:highlight w:val="none"/>
              </w:rPr>
            </w:pPr>
            <w:r>
              <w:rPr>
                <w:rFonts w:ascii="宋体" w:hAnsi="宋体" w:cs="宋体"/>
                <w:kern w:val="0"/>
                <w:sz w:val="24"/>
                <w:highlight w:val="none"/>
              </w:rPr>
              <w:t>24</w:t>
            </w:r>
          </w:p>
        </w:tc>
        <w:tc>
          <w:tcPr>
            <w:tcW w:w="1420" w:type="dxa"/>
            <w:vMerge w:val="continue"/>
            <w:tcBorders>
              <w:top w:val="nil"/>
              <w:left w:val="single" w:color="auto" w:sz="4" w:space="0"/>
              <w:bottom w:val="single" w:color="000000" w:sz="4" w:space="0"/>
              <w:right w:val="single" w:color="auto" w:sz="4" w:space="0"/>
            </w:tcBorders>
            <w:vAlign w:val="center"/>
          </w:tcPr>
          <w:p w14:paraId="70E9B3B1">
            <w:pPr>
              <w:widowControl/>
              <w:adjustRightInd/>
              <w:jc w:val="left"/>
              <w:rPr>
                <w:rFonts w:ascii="宋体" w:hAnsi="宋体" w:cs="宋体"/>
                <w:kern w:val="0"/>
                <w:sz w:val="24"/>
                <w:highlight w:val="none"/>
              </w:rPr>
            </w:pPr>
          </w:p>
        </w:tc>
        <w:tc>
          <w:tcPr>
            <w:tcW w:w="1580" w:type="dxa"/>
            <w:tcBorders>
              <w:top w:val="nil"/>
              <w:left w:val="nil"/>
              <w:bottom w:val="single" w:color="auto" w:sz="4" w:space="0"/>
              <w:right w:val="single" w:color="auto" w:sz="4" w:space="0"/>
            </w:tcBorders>
            <w:vAlign w:val="center"/>
          </w:tcPr>
          <w:p w14:paraId="2B450EE1">
            <w:pPr>
              <w:widowControl/>
              <w:adjustRightInd/>
              <w:jc w:val="left"/>
              <w:rPr>
                <w:rFonts w:ascii="宋体" w:hAnsi="宋体" w:cs="宋体"/>
                <w:kern w:val="0"/>
                <w:sz w:val="24"/>
                <w:highlight w:val="none"/>
              </w:rPr>
            </w:pPr>
            <w:r>
              <w:rPr>
                <w:rFonts w:hint="eastAsia" w:ascii="宋体" w:hAnsi="宋体" w:cs="宋体"/>
                <w:kern w:val="0"/>
                <w:sz w:val="24"/>
                <w:highlight w:val="none"/>
              </w:rPr>
              <w:t>▲数据比对基础功能</w:t>
            </w:r>
          </w:p>
        </w:tc>
        <w:tc>
          <w:tcPr>
            <w:tcW w:w="4680" w:type="dxa"/>
            <w:tcBorders>
              <w:top w:val="nil"/>
              <w:left w:val="nil"/>
              <w:bottom w:val="single" w:color="auto" w:sz="4" w:space="0"/>
              <w:right w:val="single" w:color="auto" w:sz="4" w:space="0"/>
            </w:tcBorders>
            <w:vAlign w:val="center"/>
          </w:tcPr>
          <w:p w14:paraId="369413D1">
            <w:pPr>
              <w:widowControl/>
              <w:adjustRightInd/>
              <w:jc w:val="left"/>
              <w:rPr>
                <w:rFonts w:ascii="宋体" w:hAnsi="宋体" w:cs="宋体"/>
                <w:kern w:val="0"/>
                <w:sz w:val="24"/>
                <w:highlight w:val="none"/>
              </w:rPr>
            </w:pPr>
            <w:r>
              <w:rPr>
                <w:rFonts w:hint="eastAsia" w:ascii="宋体" w:hAnsi="宋体" w:cs="宋体"/>
                <w:kern w:val="0"/>
                <w:sz w:val="24"/>
                <w:highlight w:val="none"/>
              </w:rPr>
              <w:t>对源数据库和目标数据库之间的数据进行比对，支持数据一致性，并提供一致性比对报告</w:t>
            </w:r>
          </w:p>
        </w:tc>
      </w:tr>
      <w:tr w14:paraId="5976907F">
        <w:tblPrEx>
          <w:tblCellMar>
            <w:top w:w="0" w:type="dxa"/>
            <w:left w:w="108" w:type="dxa"/>
            <w:bottom w:w="0" w:type="dxa"/>
            <w:right w:w="108" w:type="dxa"/>
          </w:tblCellMar>
        </w:tblPrEx>
        <w:trPr>
          <w:trHeight w:val="1872" w:hRule="atLeast"/>
        </w:trPr>
        <w:tc>
          <w:tcPr>
            <w:tcW w:w="740" w:type="dxa"/>
            <w:tcBorders>
              <w:top w:val="nil"/>
              <w:left w:val="single" w:color="auto" w:sz="4" w:space="0"/>
              <w:bottom w:val="single" w:color="auto" w:sz="4" w:space="0"/>
              <w:right w:val="single" w:color="auto" w:sz="4" w:space="0"/>
            </w:tcBorders>
            <w:vAlign w:val="center"/>
          </w:tcPr>
          <w:p w14:paraId="626DBDAE">
            <w:pPr>
              <w:widowControl/>
              <w:adjustRightInd/>
              <w:jc w:val="center"/>
              <w:rPr>
                <w:rFonts w:ascii="宋体" w:hAnsi="宋体" w:cs="宋体"/>
                <w:kern w:val="0"/>
                <w:sz w:val="24"/>
                <w:highlight w:val="none"/>
              </w:rPr>
            </w:pPr>
            <w:r>
              <w:rPr>
                <w:rFonts w:ascii="宋体" w:hAnsi="宋体" w:cs="宋体"/>
                <w:kern w:val="0"/>
                <w:sz w:val="24"/>
                <w:highlight w:val="none"/>
              </w:rPr>
              <w:t>25</w:t>
            </w:r>
          </w:p>
        </w:tc>
        <w:tc>
          <w:tcPr>
            <w:tcW w:w="1420" w:type="dxa"/>
            <w:vMerge w:val="restart"/>
            <w:tcBorders>
              <w:top w:val="nil"/>
              <w:left w:val="single" w:color="auto" w:sz="4" w:space="0"/>
              <w:bottom w:val="single" w:color="000000" w:sz="4" w:space="0"/>
              <w:right w:val="single" w:color="auto" w:sz="4" w:space="0"/>
            </w:tcBorders>
            <w:vAlign w:val="center"/>
          </w:tcPr>
          <w:p w14:paraId="2DA2DB1D">
            <w:pPr>
              <w:widowControl/>
              <w:adjustRightInd/>
              <w:jc w:val="center"/>
              <w:rPr>
                <w:rFonts w:ascii="宋体" w:hAnsi="宋体" w:cs="宋体"/>
                <w:kern w:val="0"/>
                <w:sz w:val="24"/>
                <w:highlight w:val="none"/>
              </w:rPr>
            </w:pPr>
            <w:r>
              <w:rPr>
                <w:rFonts w:hint="eastAsia" w:ascii="宋体" w:hAnsi="宋体" w:cs="宋体"/>
                <w:kern w:val="0"/>
                <w:sz w:val="24"/>
                <w:highlight w:val="none"/>
              </w:rPr>
              <w:t>▲备份恢复</w:t>
            </w:r>
          </w:p>
        </w:tc>
        <w:tc>
          <w:tcPr>
            <w:tcW w:w="1580" w:type="dxa"/>
            <w:tcBorders>
              <w:top w:val="nil"/>
              <w:left w:val="nil"/>
              <w:bottom w:val="single" w:color="auto" w:sz="4" w:space="0"/>
              <w:right w:val="single" w:color="auto" w:sz="4" w:space="0"/>
            </w:tcBorders>
            <w:vAlign w:val="center"/>
          </w:tcPr>
          <w:p w14:paraId="3ED20F46">
            <w:pPr>
              <w:widowControl/>
              <w:adjustRightInd/>
              <w:jc w:val="left"/>
              <w:rPr>
                <w:rFonts w:ascii="宋体" w:hAnsi="宋体" w:cs="宋体"/>
                <w:kern w:val="0"/>
                <w:sz w:val="24"/>
                <w:highlight w:val="none"/>
              </w:rPr>
            </w:pPr>
            <w:r>
              <w:rPr>
                <w:rFonts w:hint="eastAsia" w:ascii="宋体" w:hAnsi="宋体" w:cs="宋体"/>
                <w:kern w:val="0"/>
                <w:sz w:val="24"/>
                <w:highlight w:val="none"/>
              </w:rPr>
              <w:t>▲数据备份</w:t>
            </w:r>
          </w:p>
        </w:tc>
        <w:tc>
          <w:tcPr>
            <w:tcW w:w="4680" w:type="dxa"/>
            <w:tcBorders>
              <w:top w:val="nil"/>
              <w:left w:val="nil"/>
              <w:bottom w:val="single" w:color="auto" w:sz="4" w:space="0"/>
              <w:right w:val="single" w:color="auto" w:sz="4" w:space="0"/>
            </w:tcBorders>
            <w:vAlign w:val="center"/>
          </w:tcPr>
          <w:p w14:paraId="5635BAC3">
            <w:pPr>
              <w:widowControl/>
              <w:adjustRightInd/>
              <w:jc w:val="left"/>
              <w:rPr>
                <w:rFonts w:ascii="宋体" w:hAnsi="宋体" w:cs="宋体"/>
                <w:kern w:val="0"/>
                <w:sz w:val="24"/>
                <w:highlight w:val="none"/>
              </w:rPr>
            </w:pPr>
            <w:r>
              <w:rPr>
                <w:rFonts w:ascii="宋体" w:hAnsi="宋体" w:cs="宋体"/>
                <w:kern w:val="0"/>
                <w:sz w:val="24"/>
                <w:highlight w:val="none"/>
              </w:rPr>
              <w:t xml:space="preserve">a) </w:t>
            </w:r>
            <w:r>
              <w:rPr>
                <w:rFonts w:hint="eastAsia" w:ascii="宋体" w:hAnsi="宋体" w:cs="宋体"/>
                <w:kern w:val="0"/>
                <w:sz w:val="24"/>
                <w:highlight w:val="none"/>
              </w:rPr>
              <w:t>运行状态下支持对数据库进行全库备份；</w:t>
            </w:r>
          </w:p>
          <w:p w14:paraId="482EB59D">
            <w:pPr>
              <w:widowControl/>
              <w:adjustRightInd/>
              <w:jc w:val="left"/>
              <w:rPr>
                <w:rFonts w:ascii="宋体" w:hAns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运行状态下支持对数据库进行部分备份；</w:t>
            </w:r>
          </w:p>
          <w:p w14:paraId="70D38C2D">
            <w:pPr>
              <w:widowControl/>
              <w:adjustRightInd/>
              <w:jc w:val="left"/>
              <w:rPr>
                <w:rFonts w:ascii="宋体" w:hAnsi="宋体" w:cs="宋体"/>
                <w:kern w:val="0"/>
                <w:sz w:val="24"/>
                <w:highlight w:val="none"/>
              </w:rPr>
            </w:pPr>
            <w:r>
              <w:rPr>
                <w:rFonts w:ascii="宋体" w:hAnsi="宋体" w:cs="宋体"/>
                <w:kern w:val="0"/>
                <w:sz w:val="24"/>
                <w:highlight w:val="none"/>
              </w:rPr>
              <w:t xml:space="preserve">c) </w:t>
            </w:r>
            <w:r>
              <w:rPr>
                <w:rFonts w:hint="eastAsia" w:ascii="宋体" w:hAnsi="宋体" w:cs="宋体"/>
                <w:kern w:val="0"/>
                <w:sz w:val="24"/>
                <w:highlight w:val="none"/>
              </w:rPr>
              <w:t>运行状态下支持对数据库进行增量备份；</w:t>
            </w:r>
          </w:p>
        </w:tc>
      </w:tr>
      <w:tr w14:paraId="2F46FE20">
        <w:tblPrEx>
          <w:tblCellMar>
            <w:top w:w="0" w:type="dxa"/>
            <w:left w:w="108" w:type="dxa"/>
            <w:bottom w:w="0" w:type="dxa"/>
            <w:right w:w="108" w:type="dxa"/>
          </w:tblCellMar>
        </w:tblPrEx>
        <w:trPr>
          <w:trHeight w:val="936" w:hRule="atLeast"/>
        </w:trPr>
        <w:tc>
          <w:tcPr>
            <w:tcW w:w="740" w:type="dxa"/>
            <w:tcBorders>
              <w:top w:val="nil"/>
              <w:left w:val="single" w:color="auto" w:sz="4" w:space="0"/>
              <w:bottom w:val="single" w:color="auto" w:sz="4" w:space="0"/>
              <w:right w:val="single" w:color="auto" w:sz="4" w:space="0"/>
            </w:tcBorders>
            <w:vAlign w:val="center"/>
          </w:tcPr>
          <w:p w14:paraId="13B2E560">
            <w:pPr>
              <w:widowControl/>
              <w:adjustRightInd/>
              <w:jc w:val="center"/>
              <w:rPr>
                <w:rFonts w:ascii="宋体" w:hAnsi="宋体" w:cs="宋体"/>
                <w:kern w:val="0"/>
                <w:sz w:val="24"/>
                <w:highlight w:val="none"/>
              </w:rPr>
            </w:pPr>
            <w:r>
              <w:rPr>
                <w:rFonts w:ascii="宋体" w:hAnsi="宋体" w:cs="宋体"/>
                <w:kern w:val="0"/>
                <w:sz w:val="24"/>
                <w:highlight w:val="none"/>
              </w:rPr>
              <w:t>26</w:t>
            </w:r>
          </w:p>
        </w:tc>
        <w:tc>
          <w:tcPr>
            <w:tcW w:w="1420" w:type="dxa"/>
            <w:vMerge w:val="continue"/>
            <w:tcBorders>
              <w:top w:val="nil"/>
              <w:left w:val="single" w:color="auto" w:sz="4" w:space="0"/>
              <w:bottom w:val="single" w:color="000000" w:sz="4" w:space="0"/>
              <w:right w:val="single" w:color="auto" w:sz="4" w:space="0"/>
            </w:tcBorders>
            <w:vAlign w:val="center"/>
          </w:tcPr>
          <w:p w14:paraId="71BF5217">
            <w:pPr>
              <w:widowControl/>
              <w:adjustRightInd/>
              <w:jc w:val="left"/>
              <w:rPr>
                <w:rFonts w:ascii="宋体" w:hAnsi="宋体" w:cs="宋体"/>
                <w:kern w:val="0"/>
                <w:sz w:val="24"/>
                <w:highlight w:val="none"/>
              </w:rPr>
            </w:pPr>
          </w:p>
        </w:tc>
        <w:tc>
          <w:tcPr>
            <w:tcW w:w="1580" w:type="dxa"/>
            <w:tcBorders>
              <w:top w:val="nil"/>
              <w:left w:val="nil"/>
              <w:bottom w:val="single" w:color="auto" w:sz="4" w:space="0"/>
              <w:right w:val="single" w:color="auto" w:sz="4" w:space="0"/>
            </w:tcBorders>
            <w:vAlign w:val="center"/>
          </w:tcPr>
          <w:p w14:paraId="5BA11DE4">
            <w:pPr>
              <w:widowControl/>
              <w:adjustRightInd/>
              <w:jc w:val="left"/>
              <w:rPr>
                <w:rFonts w:ascii="宋体" w:hAnsi="宋体" w:cs="宋体"/>
                <w:kern w:val="0"/>
                <w:sz w:val="24"/>
                <w:highlight w:val="none"/>
              </w:rPr>
            </w:pPr>
            <w:r>
              <w:rPr>
                <w:rFonts w:hint="eastAsia" w:ascii="宋体" w:hAnsi="宋体" w:cs="宋体"/>
                <w:kern w:val="0"/>
                <w:sz w:val="24"/>
                <w:highlight w:val="none"/>
              </w:rPr>
              <w:t>▲多种存储媒体备份、</w:t>
            </w:r>
            <w:r>
              <w:rPr>
                <w:rFonts w:ascii="宋体" w:hAnsi="宋体" w:cs="宋体"/>
                <w:kern w:val="0"/>
                <w:sz w:val="24"/>
                <w:highlight w:val="none"/>
              </w:rPr>
              <w:t xml:space="preserve"> </w:t>
            </w:r>
            <w:r>
              <w:rPr>
                <w:rFonts w:hint="eastAsia" w:ascii="宋体" w:hAnsi="宋体" w:cs="宋体"/>
                <w:kern w:val="0"/>
                <w:sz w:val="24"/>
                <w:highlight w:val="none"/>
              </w:rPr>
              <w:t>还原</w:t>
            </w:r>
          </w:p>
        </w:tc>
        <w:tc>
          <w:tcPr>
            <w:tcW w:w="4680" w:type="dxa"/>
            <w:tcBorders>
              <w:top w:val="nil"/>
              <w:left w:val="nil"/>
              <w:bottom w:val="single" w:color="auto" w:sz="4" w:space="0"/>
              <w:right w:val="single" w:color="auto" w:sz="4" w:space="0"/>
            </w:tcBorders>
            <w:vAlign w:val="center"/>
          </w:tcPr>
          <w:p w14:paraId="3A0BA973">
            <w:pPr>
              <w:widowControl/>
              <w:adjustRightInd/>
              <w:jc w:val="left"/>
              <w:rPr>
                <w:rFonts w:ascii="宋体" w:hAnsi="宋体" w:cs="宋体"/>
                <w:kern w:val="0"/>
                <w:sz w:val="24"/>
                <w:highlight w:val="none"/>
              </w:rPr>
            </w:pPr>
            <w:r>
              <w:rPr>
                <w:rFonts w:hint="eastAsia" w:ascii="宋体" w:hAnsi="宋体" w:cs="宋体"/>
                <w:kern w:val="0"/>
                <w:sz w:val="24"/>
                <w:highlight w:val="none"/>
              </w:rPr>
              <w:t>支持多种备份存储媒体，支持多种存储</w:t>
            </w:r>
            <w:r>
              <w:rPr>
                <w:rFonts w:ascii="宋体" w:hAnsi="宋体" w:cs="宋体"/>
                <w:kern w:val="0"/>
                <w:sz w:val="24"/>
                <w:highlight w:val="none"/>
              </w:rPr>
              <w:t xml:space="preserve"> </w:t>
            </w:r>
            <w:r>
              <w:rPr>
                <w:rFonts w:hint="eastAsia" w:ascii="宋体" w:hAnsi="宋体" w:cs="宋体"/>
                <w:kern w:val="0"/>
                <w:sz w:val="24"/>
                <w:highlight w:val="none"/>
              </w:rPr>
              <w:t>媒体的部分、完整数据库数据还原处理</w:t>
            </w:r>
            <w:r>
              <w:rPr>
                <w:rFonts w:ascii="宋体" w:hAnsi="宋体" w:cs="宋体"/>
                <w:kern w:val="0"/>
                <w:sz w:val="24"/>
                <w:highlight w:val="none"/>
              </w:rPr>
              <w:t xml:space="preserve"> </w:t>
            </w:r>
            <w:r>
              <w:rPr>
                <w:rFonts w:hint="eastAsia" w:ascii="宋体" w:hAnsi="宋体" w:cs="宋体"/>
                <w:kern w:val="0"/>
                <w:sz w:val="24"/>
                <w:highlight w:val="none"/>
              </w:rPr>
              <w:t>能力</w:t>
            </w:r>
          </w:p>
        </w:tc>
      </w:tr>
      <w:tr w14:paraId="676827F2">
        <w:tblPrEx>
          <w:tblCellMar>
            <w:top w:w="0" w:type="dxa"/>
            <w:left w:w="108" w:type="dxa"/>
            <w:bottom w:w="0" w:type="dxa"/>
            <w:right w:w="108" w:type="dxa"/>
          </w:tblCellMar>
        </w:tblPrEx>
        <w:trPr>
          <w:trHeight w:val="624" w:hRule="atLeast"/>
        </w:trPr>
        <w:tc>
          <w:tcPr>
            <w:tcW w:w="740" w:type="dxa"/>
            <w:tcBorders>
              <w:top w:val="nil"/>
              <w:left w:val="single" w:color="auto" w:sz="4" w:space="0"/>
              <w:bottom w:val="single" w:color="auto" w:sz="4" w:space="0"/>
              <w:right w:val="single" w:color="auto" w:sz="4" w:space="0"/>
            </w:tcBorders>
            <w:vAlign w:val="center"/>
          </w:tcPr>
          <w:p w14:paraId="6CE79D2B">
            <w:pPr>
              <w:widowControl/>
              <w:adjustRightInd/>
              <w:jc w:val="center"/>
              <w:rPr>
                <w:rFonts w:ascii="宋体" w:hAnsi="宋体" w:cs="宋体"/>
                <w:kern w:val="0"/>
                <w:sz w:val="24"/>
                <w:highlight w:val="none"/>
              </w:rPr>
            </w:pPr>
            <w:r>
              <w:rPr>
                <w:rFonts w:ascii="宋体" w:hAnsi="宋体" w:cs="宋体"/>
                <w:kern w:val="0"/>
                <w:sz w:val="24"/>
                <w:highlight w:val="none"/>
              </w:rPr>
              <w:t>27</w:t>
            </w:r>
          </w:p>
        </w:tc>
        <w:tc>
          <w:tcPr>
            <w:tcW w:w="1420" w:type="dxa"/>
            <w:vMerge w:val="continue"/>
            <w:tcBorders>
              <w:top w:val="nil"/>
              <w:left w:val="single" w:color="auto" w:sz="4" w:space="0"/>
              <w:bottom w:val="single" w:color="000000" w:sz="4" w:space="0"/>
              <w:right w:val="single" w:color="auto" w:sz="4" w:space="0"/>
            </w:tcBorders>
            <w:vAlign w:val="center"/>
          </w:tcPr>
          <w:p w14:paraId="123ADC38">
            <w:pPr>
              <w:widowControl/>
              <w:adjustRightInd/>
              <w:jc w:val="left"/>
              <w:rPr>
                <w:rFonts w:ascii="宋体" w:hAnsi="宋体" w:cs="宋体"/>
                <w:kern w:val="0"/>
                <w:sz w:val="24"/>
                <w:highlight w:val="none"/>
              </w:rPr>
            </w:pPr>
          </w:p>
        </w:tc>
        <w:tc>
          <w:tcPr>
            <w:tcW w:w="1580" w:type="dxa"/>
            <w:tcBorders>
              <w:top w:val="nil"/>
              <w:left w:val="nil"/>
              <w:bottom w:val="single" w:color="auto" w:sz="4" w:space="0"/>
              <w:right w:val="single" w:color="auto" w:sz="4" w:space="0"/>
            </w:tcBorders>
            <w:vAlign w:val="center"/>
          </w:tcPr>
          <w:p w14:paraId="6A96E826">
            <w:pPr>
              <w:widowControl/>
              <w:adjustRightInd/>
              <w:jc w:val="left"/>
              <w:rPr>
                <w:rFonts w:ascii="宋体" w:hAnsi="宋体" w:cs="宋体"/>
                <w:kern w:val="0"/>
                <w:sz w:val="24"/>
                <w:highlight w:val="none"/>
              </w:rPr>
            </w:pPr>
            <w:r>
              <w:rPr>
                <w:rFonts w:hint="eastAsia" w:ascii="宋体" w:hAnsi="宋体" w:cs="宋体"/>
                <w:kern w:val="0"/>
                <w:sz w:val="24"/>
                <w:highlight w:val="none"/>
              </w:rPr>
              <w:t>▲备份还原的一致性校</w:t>
            </w:r>
            <w:r>
              <w:rPr>
                <w:rFonts w:ascii="宋体" w:hAnsi="宋体" w:cs="宋体"/>
                <w:kern w:val="0"/>
                <w:sz w:val="24"/>
                <w:highlight w:val="none"/>
              </w:rPr>
              <w:t xml:space="preserve"> </w:t>
            </w:r>
            <w:r>
              <w:rPr>
                <w:rFonts w:hint="eastAsia" w:ascii="宋体" w:hAnsi="宋体" w:cs="宋体"/>
                <w:kern w:val="0"/>
                <w:sz w:val="24"/>
                <w:highlight w:val="none"/>
              </w:rPr>
              <w:t>验</w:t>
            </w:r>
          </w:p>
        </w:tc>
        <w:tc>
          <w:tcPr>
            <w:tcW w:w="4680" w:type="dxa"/>
            <w:tcBorders>
              <w:top w:val="nil"/>
              <w:left w:val="nil"/>
              <w:bottom w:val="single" w:color="auto" w:sz="4" w:space="0"/>
              <w:right w:val="single" w:color="auto" w:sz="4" w:space="0"/>
            </w:tcBorders>
            <w:vAlign w:val="center"/>
          </w:tcPr>
          <w:p w14:paraId="12448EB2">
            <w:pPr>
              <w:widowControl/>
              <w:adjustRightInd/>
              <w:jc w:val="left"/>
              <w:rPr>
                <w:rFonts w:ascii="宋体" w:hAnsi="宋体" w:cs="宋体"/>
                <w:kern w:val="0"/>
                <w:sz w:val="24"/>
                <w:highlight w:val="none"/>
              </w:rPr>
            </w:pPr>
            <w:r>
              <w:rPr>
                <w:rFonts w:hint="eastAsia" w:ascii="宋体" w:hAnsi="宋体" w:cs="宋体"/>
                <w:kern w:val="0"/>
                <w:sz w:val="24"/>
                <w:highlight w:val="none"/>
              </w:rPr>
              <w:t>提供数据库备份数据一致性校验的命令或工具</w:t>
            </w:r>
          </w:p>
        </w:tc>
      </w:tr>
      <w:tr w14:paraId="6A32EC8E">
        <w:tblPrEx>
          <w:tblCellMar>
            <w:top w:w="0" w:type="dxa"/>
            <w:left w:w="108" w:type="dxa"/>
            <w:bottom w:w="0" w:type="dxa"/>
            <w:right w:w="108" w:type="dxa"/>
          </w:tblCellMar>
        </w:tblPrEx>
        <w:trPr>
          <w:trHeight w:val="1248" w:hRule="atLeast"/>
        </w:trPr>
        <w:tc>
          <w:tcPr>
            <w:tcW w:w="740" w:type="dxa"/>
            <w:tcBorders>
              <w:top w:val="nil"/>
              <w:left w:val="single" w:color="auto" w:sz="4" w:space="0"/>
              <w:bottom w:val="single" w:color="auto" w:sz="4" w:space="0"/>
              <w:right w:val="single" w:color="auto" w:sz="4" w:space="0"/>
            </w:tcBorders>
            <w:vAlign w:val="center"/>
          </w:tcPr>
          <w:p w14:paraId="5CAAC5AC">
            <w:pPr>
              <w:widowControl/>
              <w:adjustRightInd/>
              <w:jc w:val="center"/>
              <w:rPr>
                <w:rFonts w:ascii="宋体" w:hAnsi="宋体" w:cs="宋体"/>
                <w:kern w:val="0"/>
                <w:sz w:val="24"/>
                <w:highlight w:val="none"/>
              </w:rPr>
            </w:pPr>
            <w:r>
              <w:rPr>
                <w:rFonts w:ascii="宋体" w:hAnsi="宋体" w:cs="宋体"/>
                <w:kern w:val="0"/>
                <w:sz w:val="24"/>
                <w:highlight w:val="none"/>
              </w:rPr>
              <w:t>28</w:t>
            </w:r>
          </w:p>
        </w:tc>
        <w:tc>
          <w:tcPr>
            <w:tcW w:w="1420" w:type="dxa"/>
            <w:tcBorders>
              <w:top w:val="nil"/>
              <w:left w:val="nil"/>
              <w:bottom w:val="single" w:color="auto" w:sz="4" w:space="0"/>
              <w:right w:val="single" w:color="auto" w:sz="4" w:space="0"/>
            </w:tcBorders>
            <w:vAlign w:val="center"/>
          </w:tcPr>
          <w:p w14:paraId="0BC5C042">
            <w:pPr>
              <w:widowControl/>
              <w:adjustRightInd/>
              <w:jc w:val="center"/>
              <w:rPr>
                <w:rFonts w:ascii="宋体" w:hAnsi="宋体" w:cs="宋体"/>
                <w:kern w:val="0"/>
                <w:sz w:val="24"/>
                <w:highlight w:val="none"/>
              </w:rPr>
            </w:pPr>
            <w:r>
              <w:rPr>
                <w:rFonts w:hint="eastAsia" w:ascii="宋体" w:hAnsi="宋体" w:cs="宋体"/>
                <w:kern w:val="0"/>
                <w:sz w:val="24"/>
                <w:highlight w:val="none"/>
              </w:rPr>
              <w:t>▲集群管理</w:t>
            </w:r>
          </w:p>
        </w:tc>
        <w:tc>
          <w:tcPr>
            <w:tcW w:w="1580" w:type="dxa"/>
            <w:tcBorders>
              <w:top w:val="nil"/>
              <w:left w:val="nil"/>
              <w:bottom w:val="single" w:color="auto" w:sz="4" w:space="0"/>
              <w:right w:val="single" w:color="auto" w:sz="4" w:space="0"/>
            </w:tcBorders>
            <w:vAlign w:val="center"/>
          </w:tcPr>
          <w:p w14:paraId="344B5362">
            <w:pPr>
              <w:widowControl/>
              <w:adjustRightInd/>
              <w:jc w:val="left"/>
              <w:rPr>
                <w:rFonts w:ascii="宋体" w:hAnsi="宋体" w:cs="宋体"/>
                <w:kern w:val="0"/>
                <w:sz w:val="24"/>
                <w:highlight w:val="none"/>
              </w:rPr>
            </w:pPr>
            <w:r>
              <w:rPr>
                <w:rFonts w:hint="eastAsia" w:ascii="宋体" w:hAnsi="宋体" w:cs="宋体"/>
                <w:kern w:val="0"/>
                <w:sz w:val="24"/>
                <w:highlight w:val="none"/>
              </w:rPr>
              <w:t>▲集群构建与管理</w:t>
            </w:r>
          </w:p>
        </w:tc>
        <w:tc>
          <w:tcPr>
            <w:tcW w:w="4680" w:type="dxa"/>
            <w:tcBorders>
              <w:top w:val="nil"/>
              <w:left w:val="nil"/>
              <w:bottom w:val="single" w:color="auto" w:sz="4" w:space="0"/>
              <w:right w:val="single" w:color="auto" w:sz="4" w:space="0"/>
            </w:tcBorders>
            <w:vAlign w:val="center"/>
          </w:tcPr>
          <w:p w14:paraId="1D0A033D">
            <w:pPr>
              <w:widowControl/>
              <w:adjustRightInd/>
              <w:jc w:val="left"/>
              <w:rPr>
                <w:rFonts w:ascii="宋体" w:hAnsi="宋体" w:cs="宋体"/>
                <w:kern w:val="0"/>
                <w:sz w:val="24"/>
                <w:highlight w:val="none"/>
              </w:rPr>
            </w:pPr>
            <w:r>
              <w:rPr>
                <w:rFonts w:ascii="宋体" w:hAnsi="宋体" w:cs="宋体"/>
                <w:kern w:val="0"/>
                <w:sz w:val="24"/>
                <w:highlight w:val="none"/>
              </w:rPr>
              <w:t xml:space="preserve">a) </w:t>
            </w:r>
            <w:r>
              <w:rPr>
                <w:rFonts w:hint="eastAsia" w:ascii="宋体" w:hAnsi="宋体" w:cs="宋体"/>
                <w:kern w:val="0"/>
                <w:sz w:val="24"/>
                <w:highlight w:val="none"/>
              </w:rPr>
              <w:t>支持集群的运行环境；</w:t>
            </w:r>
          </w:p>
          <w:p w14:paraId="2FC03217">
            <w:pPr>
              <w:widowControl/>
              <w:adjustRightInd/>
              <w:jc w:val="left"/>
              <w:rPr>
                <w:rFonts w:ascii="宋体" w:hAns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支持创建并配置数据库集群；</w:t>
            </w:r>
          </w:p>
          <w:p w14:paraId="416F4F18">
            <w:pPr>
              <w:widowControl/>
              <w:adjustRightInd/>
              <w:jc w:val="left"/>
              <w:rPr>
                <w:rFonts w:ascii="宋体" w:hAnsi="宋体" w:cs="宋体"/>
                <w:kern w:val="0"/>
                <w:sz w:val="24"/>
                <w:highlight w:val="none"/>
              </w:rPr>
            </w:pPr>
            <w:r>
              <w:rPr>
                <w:rFonts w:ascii="宋体" w:hAnsi="宋体" w:cs="宋体"/>
                <w:kern w:val="0"/>
                <w:sz w:val="24"/>
                <w:highlight w:val="none"/>
              </w:rPr>
              <w:t xml:space="preserve">c) </w:t>
            </w:r>
            <w:r>
              <w:rPr>
                <w:rFonts w:hint="eastAsia" w:ascii="宋体" w:hAnsi="宋体" w:cs="宋体"/>
                <w:kern w:val="0"/>
                <w:sz w:val="24"/>
                <w:highlight w:val="none"/>
              </w:rPr>
              <w:t>配置信息至少包括日常运维管理、容灾管理、日志管理、备份管理、监控等；</w:t>
            </w:r>
          </w:p>
        </w:tc>
      </w:tr>
      <w:tr w14:paraId="19CC0B4A">
        <w:tblPrEx>
          <w:tblCellMar>
            <w:top w:w="0" w:type="dxa"/>
            <w:left w:w="108" w:type="dxa"/>
            <w:bottom w:w="0" w:type="dxa"/>
            <w:right w:w="108" w:type="dxa"/>
          </w:tblCellMar>
        </w:tblPrEx>
        <w:trPr>
          <w:trHeight w:val="1872" w:hRule="atLeast"/>
        </w:trPr>
        <w:tc>
          <w:tcPr>
            <w:tcW w:w="740" w:type="dxa"/>
            <w:tcBorders>
              <w:top w:val="nil"/>
              <w:left w:val="single" w:color="auto" w:sz="4" w:space="0"/>
              <w:bottom w:val="single" w:color="auto" w:sz="4" w:space="0"/>
              <w:right w:val="single" w:color="auto" w:sz="4" w:space="0"/>
            </w:tcBorders>
            <w:vAlign w:val="center"/>
          </w:tcPr>
          <w:p w14:paraId="5CB099B1">
            <w:pPr>
              <w:widowControl/>
              <w:adjustRightInd/>
              <w:jc w:val="center"/>
              <w:rPr>
                <w:rFonts w:ascii="宋体" w:hAnsi="宋体" w:cs="宋体"/>
                <w:kern w:val="0"/>
                <w:sz w:val="24"/>
                <w:highlight w:val="none"/>
              </w:rPr>
            </w:pPr>
            <w:r>
              <w:rPr>
                <w:rFonts w:ascii="宋体" w:hAnsi="宋体" w:cs="宋体"/>
                <w:kern w:val="0"/>
                <w:sz w:val="24"/>
                <w:highlight w:val="none"/>
              </w:rPr>
              <w:t>29</w:t>
            </w:r>
          </w:p>
        </w:tc>
        <w:tc>
          <w:tcPr>
            <w:tcW w:w="1420" w:type="dxa"/>
            <w:vMerge w:val="restart"/>
            <w:tcBorders>
              <w:top w:val="nil"/>
              <w:left w:val="single" w:color="auto" w:sz="4" w:space="0"/>
              <w:bottom w:val="single" w:color="000000" w:sz="4" w:space="0"/>
              <w:right w:val="single" w:color="auto" w:sz="4" w:space="0"/>
            </w:tcBorders>
            <w:vAlign w:val="center"/>
          </w:tcPr>
          <w:p w14:paraId="3D586E1F">
            <w:pPr>
              <w:widowControl/>
              <w:adjustRightInd/>
              <w:jc w:val="center"/>
              <w:rPr>
                <w:rFonts w:ascii="宋体" w:hAnsi="宋体" w:cs="宋体"/>
                <w:kern w:val="0"/>
                <w:sz w:val="24"/>
                <w:highlight w:val="none"/>
              </w:rPr>
            </w:pPr>
            <w:r>
              <w:rPr>
                <w:rFonts w:hint="eastAsia" w:ascii="宋体" w:hAnsi="宋体" w:cs="宋体"/>
                <w:kern w:val="0"/>
                <w:sz w:val="24"/>
                <w:highlight w:val="none"/>
              </w:rPr>
              <w:t>▲工具</w:t>
            </w:r>
          </w:p>
        </w:tc>
        <w:tc>
          <w:tcPr>
            <w:tcW w:w="1580" w:type="dxa"/>
            <w:tcBorders>
              <w:top w:val="nil"/>
              <w:left w:val="nil"/>
              <w:bottom w:val="single" w:color="auto" w:sz="4" w:space="0"/>
              <w:right w:val="single" w:color="auto" w:sz="4" w:space="0"/>
            </w:tcBorders>
            <w:vAlign w:val="center"/>
          </w:tcPr>
          <w:p w14:paraId="1123EB93">
            <w:pPr>
              <w:widowControl/>
              <w:adjustRightInd/>
              <w:jc w:val="left"/>
              <w:rPr>
                <w:rFonts w:ascii="宋体" w:hAnsi="宋体" w:cs="宋体"/>
                <w:kern w:val="0"/>
                <w:sz w:val="24"/>
                <w:highlight w:val="none"/>
              </w:rPr>
            </w:pPr>
            <w:r>
              <w:rPr>
                <w:rFonts w:hint="eastAsia" w:ascii="宋体" w:hAnsi="宋体" w:cs="宋体"/>
                <w:kern w:val="0"/>
                <w:sz w:val="24"/>
                <w:highlight w:val="none"/>
              </w:rPr>
              <w:t>▲数据库开发调试工具</w:t>
            </w:r>
          </w:p>
        </w:tc>
        <w:tc>
          <w:tcPr>
            <w:tcW w:w="4680" w:type="dxa"/>
            <w:tcBorders>
              <w:top w:val="nil"/>
              <w:left w:val="nil"/>
              <w:bottom w:val="single" w:color="auto" w:sz="4" w:space="0"/>
              <w:right w:val="single" w:color="auto" w:sz="4" w:space="0"/>
            </w:tcBorders>
            <w:vAlign w:val="center"/>
          </w:tcPr>
          <w:p w14:paraId="75B803C1">
            <w:pPr>
              <w:widowControl/>
              <w:adjustRightInd/>
              <w:jc w:val="left"/>
              <w:rPr>
                <w:rFonts w:ascii="宋体" w:hAnsi="宋体" w:cs="宋体"/>
                <w:kern w:val="0"/>
                <w:sz w:val="24"/>
                <w:highlight w:val="none"/>
              </w:rPr>
            </w:pPr>
            <w:r>
              <w:rPr>
                <w:rFonts w:ascii="宋体" w:hAnsi="宋体" w:cs="宋体"/>
                <w:kern w:val="0"/>
                <w:sz w:val="24"/>
                <w:highlight w:val="none"/>
              </w:rPr>
              <w:t xml:space="preserve">a) </w:t>
            </w:r>
            <w:r>
              <w:rPr>
                <w:rFonts w:hint="eastAsia" w:ascii="宋体" w:hAnsi="宋体" w:cs="宋体"/>
                <w:kern w:val="0"/>
                <w:sz w:val="24"/>
                <w:highlight w:val="none"/>
              </w:rPr>
              <w:t>具备图形化功能，提高易用性；</w:t>
            </w:r>
          </w:p>
          <w:p w14:paraId="2082D7FD">
            <w:pPr>
              <w:widowControl/>
              <w:adjustRightInd/>
              <w:jc w:val="left"/>
              <w:rPr>
                <w:rFonts w:ascii="宋体" w:hAns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具备导入、编辑、保存、执行</w:t>
            </w:r>
            <w:r>
              <w:rPr>
                <w:rFonts w:ascii="宋体" w:hAnsi="宋体" w:cs="宋体"/>
                <w:kern w:val="0"/>
                <w:sz w:val="24"/>
                <w:highlight w:val="none"/>
              </w:rPr>
              <w:t xml:space="preserve"> SQL语句和SQL脚本功能；</w:t>
            </w:r>
          </w:p>
          <w:p w14:paraId="4CD7414F">
            <w:pPr>
              <w:widowControl/>
              <w:adjustRightInd/>
              <w:jc w:val="left"/>
              <w:rPr>
                <w:rFonts w:ascii="宋体" w:hAnsi="宋体" w:cs="宋体"/>
                <w:kern w:val="0"/>
                <w:sz w:val="24"/>
                <w:highlight w:val="none"/>
              </w:rPr>
            </w:pPr>
            <w:r>
              <w:rPr>
                <w:rFonts w:ascii="宋体" w:hAnsi="宋体" w:cs="宋体"/>
                <w:kern w:val="0"/>
                <w:sz w:val="24"/>
                <w:highlight w:val="none"/>
              </w:rPr>
              <w:t xml:space="preserve">c) </w:t>
            </w:r>
            <w:r>
              <w:rPr>
                <w:rFonts w:hint="eastAsia" w:ascii="宋体" w:hAnsi="宋体" w:cs="宋体"/>
                <w:kern w:val="0"/>
                <w:sz w:val="24"/>
                <w:highlight w:val="none"/>
              </w:rPr>
              <w:t>具备复制、编辑现有数据库对象功能；</w:t>
            </w:r>
          </w:p>
          <w:p w14:paraId="11030BD2">
            <w:pPr>
              <w:widowControl/>
              <w:adjustRightInd/>
              <w:jc w:val="left"/>
              <w:rPr>
                <w:rFonts w:ascii="宋体" w:hAnsi="宋体" w:cs="宋体"/>
                <w:kern w:val="0"/>
                <w:sz w:val="24"/>
                <w:highlight w:val="none"/>
              </w:rPr>
            </w:pPr>
            <w:r>
              <w:rPr>
                <w:rFonts w:ascii="宋体" w:hAnsi="宋体" w:cs="宋体"/>
                <w:kern w:val="0"/>
                <w:sz w:val="24"/>
                <w:highlight w:val="none"/>
              </w:rPr>
              <w:t xml:space="preserve">d) </w:t>
            </w:r>
            <w:r>
              <w:rPr>
                <w:rFonts w:hint="eastAsia" w:ascii="宋体" w:hAnsi="宋体" w:cs="宋体"/>
                <w:kern w:val="0"/>
                <w:sz w:val="24"/>
                <w:highlight w:val="none"/>
              </w:rPr>
              <w:t>具备关键词显示标记、动态语法提示的</w:t>
            </w:r>
            <w:r>
              <w:rPr>
                <w:rFonts w:ascii="宋体" w:hAnsi="宋体" w:cs="宋体"/>
                <w:kern w:val="0"/>
                <w:sz w:val="24"/>
                <w:highlight w:val="none"/>
              </w:rPr>
              <w:t>SQL编辑器功能；</w:t>
            </w:r>
          </w:p>
        </w:tc>
      </w:tr>
      <w:tr w14:paraId="01FE3371">
        <w:tblPrEx>
          <w:tblCellMar>
            <w:top w:w="0" w:type="dxa"/>
            <w:left w:w="108" w:type="dxa"/>
            <w:bottom w:w="0" w:type="dxa"/>
            <w:right w:w="108" w:type="dxa"/>
          </w:tblCellMar>
        </w:tblPrEx>
        <w:trPr>
          <w:trHeight w:val="1248" w:hRule="atLeast"/>
        </w:trPr>
        <w:tc>
          <w:tcPr>
            <w:tcW w:w="740" w:type="dxa"/>
            <w:tcBorders>
              <w:top w:val="nil"/>
              <w:left w:val="single" w:color="auto" w:sz="4" w:space="0"/>
              <w:bottom w:val="single" w:color="auto" w:sz="4" w:space="0"/>
              <w:right w:val="single" w:color="auto" w:sz="4" w:space="0"/>
            </w:tcBorders>
            <w:vAlign w:val="center"/>
          </w:tcPr>
          <w:p w14:paraId="3F3FE09A">
            <w:pPr>
              <w:widowControl/>
              <w:adjustRightInd/>
              <w:jc w:val="center"/>
              <w:rPr>
                <w:rFonts w:ascii="宋体" w:hAnsi="宋体" w:cs="宋体"/>
                <w:kern w:val="0"/>
                <w:sz w:val="24"/>
                <w:highlight w:val="none"/>
              </w:rPr>
            </w:pPr>
            <w:r>
              <w:rPr>
                <w:rFonts w:ascii="宋体" w:hAnsi="宋体" w:cs="宋体"/>
                <w:kern w:val="0"/>
                <w:sz w:val="24"/>
                <w:highlight w:val="none"/>
              </w:rPr>
              <w:t>30</w:t>
            </w:r>
          </w:p>
        </w:tc>
        <w:tc>
          <w:tcPr>
            <w:tcW w:w="1420" w:type="dxa"/>
            <w:vMerge w:val="continue"/>
            <w:tcBorders>
              <w:top w:val="nil"/>
              <w:left w:val="single" w:color="auto" w:sz="4" w:space="0"/>
              <w:bottom w:val="single" w:color="000000" w:sz="4" w:space="0"/>
              <w:right w:val="single" w:color="auto" w:sz="4" w:space="0"/>
            </w:tcBorders>
            <w:vAlign w:val="center"/>
          </w:tcPr>
          <w:p w14:paraId="55CCAD27">
            <w:pPr>
              <w:widowControl/>
              <w:adjustRightInd/>
              <w:jc w:val="left"/>
              <w:rPr>
                <w:rFonts w:ascii="宋体" w:hAnsi="宋体" w:cs="宋体"/>
                <w:kern w:val="0"/>
                <w:sz w:val="24"/>
                <w:highlight w:val="none"/>
              </w:rPr>
            </w:pPr>
          </w:p>
        </w:tc>
        <w:tc>
          <w:tcPr>
            <w:tcW w:w="1580" w:type="dxa"/>
            <w:tcBorders>
              <w:top w:val="nil"/>
              <w:left w:val="nil"/>
              <w:bottom w:val="single" w:color="auto" w:sz="4" w:space="0"/>
              <w:right w:val="single" w:color="auto" w:sz="4" w:space="0"/>
            </w:tcBorders>
            <w:vAlign w:val="center"/>
          </w:tcPr>
          <w:p w14:paraId="2EFE59C2">
            <w:pPr>
              <w:widowControl/>
              <w:adjustRightInd/>
              <w:jc w:val="left"/>
              <w:rPr>
                <w:rFonts w:ascii="宋体" w:hAnsi="宋体" w:cs="宋体"/>
                <w:kern w:val="0"/>
                <w:sz w:val="24"/>
                <w:highlight w:val="none"/>
              </w:rPr>
            </w:pPr>
            <w:r>
              <w:rPr>
                <w:rFonts w:hint="eastAsia" w:ascii="宋体" w:hAnsi="宋体" w:cs="宋体"/>
                <w:kern w:val="0"/>
                <w:sz w:val="24"/>
                <w:highlight w:val="none"/>
              </w:rPr>
              <w:t>▲用户、角色管理工具</w:t>
            </w:r>
          </w:p>
        </w:tc>
        <w:tc>
          <w:tcPr>
            <w:tcW w:w="4680" w:type="dxa"/>
            <w:tcBorders>
              <w:top w:val="nil"/>
              <w:left w:val="nil"/>
              <w:bottom w:val="single" w:color="auto" w:sz="4" w:space="0"/>
              <w:right w:val="single" w:color="auto" w:sz="4" w:space="0"/>
            </w:tcBorders>
            <w:vAlign w:val="center"/>
          </w:tcPr>
          <w:p w14:paraId="0DF7524B">
            <w:pPr>
              <w:widowControl/>
              <w:numPr>
                <w:ilvl w:val="0"/>
                <w:numId w:val="6"/>
              </w:numPr>
              <w:adjustRightInd/>
              <w:jc w:val="left"/>
              <w:rPr>
                <w:rFonts w:ascii="宋体" w:hAnsi="宋体" w:cs="宋体"/>
                <w:kern w:val="0"/>
                <w:sz w:val="24"/>
                <w:highlight w:val="none"/>
              </w:rPr>
            </w:pPr>
            <w:r>
              <w:rPr>
                <w:rFonts w:hint="eastAsia" w:ascii="宋体" w:hAnsi="宋体" w:cs="宋体"/>
                <w:kern w:val="0"/>
                <w:sz w:val="24"/>
                <w:highlight w:val="none"/>
              </w:rPr>
              <w:t>支持创建、修改、删除用户的功能；</w:t>
            </w:r>
          </w:p>
          <w:p w14:paraId="24D44451">
            <w:pPr>
              <w:widowControl/>
              <w:adjustRightInd/>
              <w:jc w:val="left"/>
              <w:rPr>
                <w:rFonts w:ascii="宋体" w:hAnsi="宋体" w:cs="宋体"/>
                <w:kern w:val="0"/>
                <w:sz w:val="24"/>
                <w:highlight w:val="none"/>
              </w:rPr>
            </w:pPr>
            <w:r>
              <w:rPr>
                <w:rFonts w:ascii="宋体" w:hAnsi="宋体" w:cs="宋体"/>
                <w:kern w:val="0"/>
                <w:sz w:val="24"/>
                <w:highlight w:val="none"/>
              </w:rPr>
              <w:t>b）提供定义用户的功能；</w:t>
            </w:r>
          </w:p>
          <w:p w14:paraId="3CF86B9A">
            <w:pPr>
              <w:widowControl/>
              <w:adjustRightInd/>
              <w:jc w:val="left"/>
              <w:rPr>
                <w:rFonts w:ascii="宋体" w:hAnsi="宋体" w:cs="宋体"/>
                <w:kern w:val="0"/>
                <w:sz w:val="24"/>
                <w:highlight w:val="none"/>
              </w:rPr>
            </w:pPr>
            <w:r>
              <w:rPr>
                <w:rFonts w:ascii="宋体" w:hAnsi="宋体" w:cs="宋体"/>
                <w:kern w:val="0"/>
                <w:sz w:val="24"/>
                <w:highlight w:val="none"/>
              </w:rPr>
              <w:t xml:space="preserve">c) </w:t>
            </w:r>
            <w:r>
              <w:rPr>
                <w:rFonts w:hint="eastAsia" w:ascii="宋体" w:hAnsi="宋体" w:cs="宋体"/>
                <w:kern w:val="0"/>
                <w:sz w:val="24"/>
                <w:highlight w:val="none"/>
              </w:rPr>
              <w:t>支持创建、修改、删除角色的功能，且提供用户自定义角色的功能；</w:t>
            </w:r>
          </w:p>
        </w:tc>
      </w:tr>
      <w:tr w14:paraId="39264870">
        <w:tblPrEx>
          <w:tblCellMar>
            <w:top w:w="0" w:type="dxa"/>
            <w:left w:w="108" w:type="dxa"/>
            <w:bottom w:w="0" w:type="dxa"/>
            <w:right w:w="108" w:type="dxa"/>
          </w:tblCellMar>
        </w:tblPrEx>
        <w:trPr>
          <w:trHeight w:val="1248" w:hRule="atLeast"/>
        </w:trPr>
        <w:tc>
          <w:tcPr>
            <w:tcW w:w="740" w:type="dxa"/>
            <w:tcBorders>
              <w:top w:val="nil"/>
              <w:left w:val="single" w:color="auto" w:sz="4" w:space="0"/>
              <w:bottom w:val="single" w:color="auto" w:sz="4" w:space="0"/>
              <w:right w:val="single" w:color="auto" w:sz="4" w:space="0"/>
            </w:tcBorders>
            <w:vAlign w:val="center"/>
          </w:tcPr>
          <w:p w14:paraId="4B71E256">
            <w:pPr>
              <w:widowControl/>
              <w:adjustRightInd/>
              <w:jc w:val="center"/>
              <w:rPr>
                <w:rFonts w:ascii="宋体" w:hAnsi="宋体" w:cs="宋体"/>
                <w:kern w:val="0"/>
                <w:sz w:val="24"/>
                <w:highlight w:val="none"/>
              </w:rPr>
            </w:pPr>
            <w:r>
              <w:rPr>
                <w:rFonts w:ascii="宋体" w:hAnsi="宋体" w:cs="宋体"/>
                <w:kern w:val="0"/>
                <w:sz w:val="24"/>
                <w:highlight w:val="none"/>
              </w:rPr>
              <w:t>31</w:t>
            </w:r>
          </w:p>
        </w:tc>
        <w:tc>
          <w:tcPr>
            <w:tcW w:w="1420" w:type="dxa"/>
            <w:vMerge w:val="continue"/>
            <w:tcBorders>
              <w:top w:val="nil"/>
              <w:left w:val="single" w:color="auto" w:sz="4" w:space="0"/>
              <w:bottom w:val="single" w:color="000000" w:sz="4" w:space="0"/>
              <w:right w:val="single" w:color="auto" w:sz="4" w:space="0"/>
            </w:tcBorders>
            <w:vAlign w:val="center"/>
          </w:tcPr>
          <w:p w14:paraId="67648C5A">
            <w:pPr>
              <w:widowControl/>
              <w:adjustRightInd/>
              <w:jc w:val="left"/>
              <w:rPr>
                <w:rFonts w:ascii="宋体" w:hAnsi="宋体" w:cs="宋体"/>
                <w:kern w:val="0"/>
                <w:sz w:val="24"/>
                <w:highlight w:val="none"/>
              </w:rPr>
            </w:pPr>
          </w:p>
        </w:tc>
        <w:tc>
          <w:tcPr>
            <w:tcW w:w="1580" w:type="dxa"/>
            <w:tcBorders>
              <w:top w:val="nil"/>
              <w:left w:val="nil"/>
              <w:bottom w:val="single" w:color="auto" w:sz="4" w:space="0"/>
              <w:right w:val="single" w:color="auto" w:sz="4" w:space="0"/>
            </w:tcBorders>
            <w:vAlign w:val="center"/>
          </w:tcPr>
          <w:p w14:paraId="33F94ECC">
            <w:pPr>
              <w:widowControl/>
              <w:adjustRightInd/>
              <w:jc w:val="left"/>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SQL执行计划查看工具</w:t>
            </w:r>
          </w:p>
        </w:tc>
        <w:tc>
          <w:tcPr>
            <w:tcW w:w="4680" w:type="dxa"/>
            <w:tcBorders>
              <w:top w:val="nil"/>
              <w:left w:val="nil"/>
              <w:bottom w:val="single" w:color="auto" w:sz="4" w:space="0"/>
              <w:right w:val="single" w:color="auto" w:sz="4" w:space="0"/>
            </w:tcBorders>
            <w:vAlign w:val="center"/>
          </w:tcPr>
          <w:p w14:paraId="22812F35">
            <w:pPr>
              <w:widowControl/>
              <w:adjustRightInd/>
              <w:jc w:val="left"/>
              <w:rPr>
                <w:rFonts w:ascii="宋体" w:hAnsi="宋体" w:cs="宋体"/>
                <w:kern w:val="0"/>
                <w:sz w:val="24"/>
                <w:highlight w:val="none"/>
              </w:rPr>
            </w:pPr>
            <w:r>
              <w:rPr>
                <w:rFonts w:ascii="宋体" w:hAnsi="宋体" w:cs="宋体"/>
                <w:kern w:val="0"/>
                <w:sz w:val="24"/>
                <w:highlight w:val="none"/>
              </w:rPr>
              <w:t>a)提供与数据库管理系统进行SQL交互的工具，方便运维工作；</w:t>
            </w:r>
          </w:p>
          <w:p w14:paraId="1A3738AF">
            <w:pPr>
              <w:widowControl/>
              <w:adjustRightInd/>
              <w:jc w:val="left"/>
              <w:rPr>
                <w:rFonts w:ascii="宋体" w:hAnsi="宋体" w:cs="宋体"/>
                <w:kern w:val="0"/>
                <w:sz w:val="24"/>
                <w:highlight w:val="none"/>
              </w:rPr>
            </w:pPr>
            <w:r>
              <w:rPr>
                <w:rFonts w:ascii="宋体" w:hAnsi="宋体" w:cs="宋体"/>
                <w:kern w:val="0"/>
                <w:sz w:val="24"/>
                <w:highlight w:val="none"/>
              </w:rPr>
              <w:t>b)支持查看SQL语句查询执行计划与统计信息；</w:t>
            </w:r>
          </w:p>
        </w:tc>
      </w:tr>
      <w:tr w14:paraId="435D08CE">
        <w:tblPrEx>
          <w:tblCellMar>
            <w:top w:w="0" w:type="dxa"/>
            <w:left w:w="108" w:type="dxa"/>
            <w:bottom w:w="0" w:type="dxa"/>
            <w:right w:w="108" w:type="dxa"/>
          </w:tblCellMar>
        </w:tblPrEx>
        <w:trPr>
          <w:trHeight w:val="2808" w:hRule="atLeast"/>
        </w:trPr>
        <w:tc>
          <w:tcPr>
            <w:tcW w:w="740" w:type="dxa"/>
            <w:tcBorders>
              <w:top w:val="nil"/>
              <w:left w:val="single" w:color="auto" w:sz="4" w:space="0"/>
              <w:bottom w:val="single" w:color="auto" w:sz="4" w:space="0"/>
              <w:right w:val="single" w:color="auto" w:sz="4" w:space="0"/>
            </w:tcBorders>
            <w:vAlign w:val="center"/>
          </w:tcPr>
          <w:p w14:paraId="76B828B0">
            <w:pPr>
              <w:widowControl/>
              <w:adjustRightInd/>
              <w:jc w:val="center"/>
              <w:rPr>
                <w:rFonts w:ascii="宋体" w:hAnsi="宋体" w:cs="宋体"/>
                <w:kern w:val="0"/>
                <w:sz w:val="24"/>
                <w:highlight w:val="none"/>
              </w:rPr>
            </w:pPr>
            <w:r>
              <w:rPr>
                <w:rFonts w:ascii="宋体" w:hAnsi="宋体" w:cs="宋体"/>
                <w:kern w:val="0"/>
                <w:sz w:val="24"/>
                <w:highlight w:val="none"/>
              </w:rPr>
              <w:t>32</w:t>
            </w:r>
          </w:p>
        </w:tc>
        <w:tc>
          <w:tcPr>
            <w:tcW w:w="1420" w:type="dxa"/>
            <w:vMerge w:val="continue"/>
            <w:tcBorders>
              <w:top w:val="nil"/>
              <w:left w:val="single" w:color="auto" w:sz="4" w:space="0"/>
              <w:bottom w:val="single" w:color="000000" w:sz="4" w:space="0"/>
              <w:right w:val="single" w:color="auto" w:sz="4" w:space="0"/>
            </w:tcBorders>
            <w:vAlign w:val="center"/>
          </w:tcPr>
          <w:p w14:paraId="4CC3B346">
            <w:pPr>
              <w:widowControl/>
              <w:adjustRightInd/>
              <w:jc w:val="left"/>
              <w:rPr>
                <w:rFonts w:ascii="宋体" w:hAnsi="宋体" w:cs="宋体"/>
                <w:kern w:val="0"/>
                <w:sz w:val="24"/>
                <w:highlight w:val="none"/>
              </w:rPr>
            </w:pPr>
          </w:p>
        </w:tc>
        <w:tc>
          <w:tcPr>
            <w:tcW w:w="1580" w:type="dxa"/>
            <w:tcBorders>
              <w:top w:val="nil"/>
              <w:left w:val="nil"/>
              <w:bottom w:val="single" w:color="auto" w:sz="4" w:space="0"/>
              <w:right w:val="single" w:color="auto" w:sz="4" w:space="0"/>
            </w:tcBorders>
            <w:vAlign w:val="center"/>
          </w:tcPr>
          <w:p w14:paraId="22D0A437">
            <w:pPr>
              <w:widowControl/>
              <w:adjustRightInd/>
              <w:jc w:val="left"/>
              <w:rPr>
                <w:rFonts w:ascii="宋体" w:hAnsi="宋体" w:cs="宋体"/>
                <w:kern w:val="0"/>
                <w:sz w:val="24"/>
                <w:highlight w:val="none"/>
              </w:rPr>
            </w:pPr>
            <w:r>
              <w:rPr>
                <w:rFonts w:hint="eastAsia" w:ascii="宋体" w:hAnsi="宋体" w:cs="宋体"/>
                <w:kern w:val="0"/>
                <w:sz w:val="24"/>
                <w:highlight w:val="none"/>
              </w:rPr>
              <w:t>▲数据库对象工具</w:t>
            </w:r>
          </w:p>
        </w:tc>
        <w:tc>
          <w:tcPr>
            <w:tcW w:w="4680" w:type="dxa"/>
            <w:tcBorders>
              <w:top w:val="nil"/>
              <w:left w:val="nil"/>
              <w:bottom w:val="single" w:color="auto" w:sz="4" w:space="0"/>
              <w:right w:val="single" w:color="auto" w:sz="4" w:space="0"/>
            </w:tcBorders>
            <w:vAlign w:val="center"/>
          </w:tcPr>
          <w:p w14:paraId="359FE0F1">
            <w:pPr>
              <w:widowControl/>
              <w:adjustRightInd/>
              <w:jc w:val="left"/>
              <w:rPr>
                <w:rFonts w:ascii="宋体" w:hAnsi="宋体" w:cs="宋体"/>
                <w:kern w:val="0"/>
                <w:sz w:val="24"/>
                <w:highlight w:val="none"/>
              </w:rPr>
            </w:pPr>
            <w:r>
              <w:rPr>
                <w:rFonts w:ascii="宋体" w:hAnsi="宋体" w:cs="宋体"/>
                <w:kern w:val="0"/>
                <w:sz w:val="24"/>
                <w:highlight w:val="none"/>
              </w:rPr>
              <w:t xml:space="preserve">a) </w:t>
            </w:r>
            <w:r>
              <w:rPr>
                <w:rFonts w:hint="eastAsia" w:ascii="宋体" w:hAnsi="宋体" w:cs="宋体"/>
                <w:kern w:val="0"/>
                <w:sz w:val="24"/>
                <w:highlight w:val="none"/>
              </w:rPr>
              <w:t>支持创建、修改、删除表的功能，支持定义表结构、约束、存储配置管理的功能；</w:t>
            </w:r>
          </w:p>
          <w:p w14:paraId="3801E46C">
            <w:pPr>
              <w:widowControl/>
              <w:adjustRightInd/>
              <w:jc w:val="left"/>
              <w:rPr>
                <w:rFonts w:ascii="宋体" w:hAns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支持创建、修改、删除索引的功能，支持定义索引结构、类型、存储配置管理的功能；</w:t>
            </w:r>
          </w:p>
          <w:p w14:paraId="6CC2A3E5">
            <w:pPr>
              <w:widowControl/>
              <w:adjustRightInd/>
              <w:jc w:val="left"/>
              <w:rPr>
                <w:rFonts w:ascii="宋体" w:hAnsi="宋体" w:cs="宋体"/>
                <w:kern w:val="0"/>
                <w:sz w:val="24"/>
                <w:highlight w:val="none"/>
              </w:rPr>
            </w:pPr>
            <w:r>
              <w:rPr>
                <w:rFonts w:ascii="宋体" w:hAnsi="宋体" w:cs="宋体"/>
                <w:kern w:val="0"/>
                <w:sz w:val="24"/>
                <w:highlight w:val="none"/>
              </w:rPr>
              <w:t xml:space="preserve">c) </w:t>
            </w:r>
            <w:r>
              <w:rPr>
                <w:rFonts w:hint="eastAsia" w:ascii="宋体" w:hAnsi="宋体" w:cs="宋体"/>
                <w:kern w:val="0"/>
                <w:sz w:val="24"/>
                <w:highlight w:val="none"/>
              </w:rPr>
              <w:t>支持创建、修改、删除视图的功能，支持视图定义的功能；</w:t>
            </w:r>
          </w:p>
          <w:p w14:paraId="78E4E268">
            <w:pPr>
              <w:widowControl/>
              <w:adjustRightInd/>
              <w:jc w:val="left"/>
              <w:rPr>
                <w:rFonts w:ascii="宋体" w:hAnsi="宋体" w:cs="宋体"/>
                <w:kern w:val="0"/>
                <w:sz w:val="24"/>
                <w:highlight w:val="none"/>
              </w:rPr>
            </w:pPr>
            <w:r>
              <w:rPr>
                <w:rFonts w:ascii="宋体" w:hAnsi="宋体" w:cs="宋体"/>
                <w:kern w:val="0"/>
                <w:sz w:val="24"/>
                <w:highlight w:val="none"/>
              </w:rPr>
              <w:t xml:space="preserve">d) </w:t>
            </w:r>
            <w:r>
              <w:rPr>
                <w:rFonts w:hint="eastAsia" w:ascii="宋体" w:hAnsi="宋体" w:cs="宋体"/>
                <w:kern w:val="0"/>
                <w:sz w:val="24"/>
                <w:highlight w:val="none"/>
              </w:rPr>
              <w:t>支持创建、修改、删除约束的功能，支持约束定义的功能</w:t>
            </w:r>
          </w:p>
        </w:tc>
      </w:tr>
      <w:tr w14:paraId="5ADF93DD">
        <w:tblPrEx>
          <w:tblCellMar>
            <w:top w:w="0" w:type="dxa"/>
            <w:left w:w="108" w:type="dxa"/>
            <w:bottom w:w="0" w:type="dxa"/>
            <w:right w:w="108" w:type="dxa"/>
          </w:tblCellMar>
        </w:tblPrEx>
        <w:trPr>
          <w:trHeight w:val="2184" w:hRule="atLeast"/>
        </w:trPr>
        <w:tc>
          <w:tcPr>
            <w:tcW w:w="740" w:type="dxa"/>
            <w:tcBorders>
              <w:top w:val="nil"/>
              <w:left w:val="single" w:color="auto" w:sz="4" w:space="0"/>
              <w:bottom w:val="single" w:color="auto" w:sz="4" w:space="0"/>
              <w:right w:val="single" w:color="auto" w:sz="4" w:space="0"/>
            </w:tcBorders>
            <w:vAlign w:val="center"/>
          </w:tcPr>
          <w:p w14:paraId="644EC3F5">
            <w:pPr>
              <w:widowControl/>
              <w:adjustRightInd/>
              <w:jc w:val="center"/>
              <w:rPr>
                <w:rFonts w:ascii="宋体" w:hAnsi="宋体" w:cs="宋体"/>
                <w:kern w:val="0"/>
                <w:sz w:val="24"/>
                <w:highlight w:val="none"/>
              </w:rPr>
            </w:pPr>
            <w:r>
              <w:rPr>
                <w:rFonts w:ascii="宋体" w:hAnsi="宋体" w:cs="宋体"/>
                <w:kern w:val="0"/>
                <w:sz w:val="24"/>
                <w:highlight w:val="none"/>
              </w:rPr>
              <w:t>33</w:t>
            </w:r>
          </w:p>
        </w:tc>
        <w:tc>
          <w:tcPr>
            <w:tcW w:w="1420" w:type="dxa"/>
            <w:vMerge w:val="continue"/>
            <w:tcBorders>
              <w:top w:val="nil"/>
              <w:left w:val="single" w:color="auto" w:sz="4" w:space="0"/>
              <w:bottom w:val="single" w:color="000000" w:sz="4" w:space="0"/>
              <w:right w:val="single" w:color="auto" w:sz="4" w:space="0"/>
            </w:tcBorders>
            <w:vAlign w:val="center"/>
          </w:tcPr>
          <w:p w14:paraId="580EDD94">
            <w:pPr>
              <w:widowControl/>
              <w:adjustRightInd/>
              <w:jc w:val="left"/>
              <w:rPr>
                <w:rFonts w:ascii="宋体" w:hAnsi="宋体" w:cs="宋体"/>
                <w:kern w:val="0"/>
                <w:sz w:val="24"/>
                <w:highlight w:val="none"/>
              </w:rPr>
            </w:pPr>
          </w:p>
        </w:tc>
        <w:tc>
          <w:tcPr>
            <w:tcW w:w="1580" w:type="dxa"/>
            <w:tcBorders>
              <w:top w:val="nil"/>
              <w:left w:val="nil"/>
              <w:bottom w:val="single" w:color="auto" w:sz="4" w:space="0"/>
              <w:right w:val="single" w:color="auto" w:sz="4" w:space="0"/>
            </w:tcBorders>
            <w:vAlign w:val="center"/>
          </w:tcPr>
          <w:p w14:paraId="7F696430">
            <w:pPr>
              <w:widowControl/>
              <w:adjustRightInd/>
              <w:jc w:val="left"/>
              <w:rPr>
                <w:rFonts w:ascii="宋体" w:hAnsi="宋体" w:cs="宋体"/>
                <w:kern w:val="0"/>
                <w:sz w:val="24"/>
                <w:highlight w:val="none"/>
              </w:rPr>
            </w:pPr>
            <w:r>
              <w:rPr>
                <w:rFonts w:hint="eastAsia" w:ascii="宋体" w:hAnsi="宋体" w:cs="宋体"/>
                <w:kern w:val="0"/>
                <w:sz w:val="24"/>
                <w:highlight w:val="none"/>
              </w:rPr>
              <w:t>▲导入导出工具</w:t>
            </w:r>
          </w:p>
        </w:tc>
        <w:tc>
          <w:tcPr>
            <w:tcW w:w="4680" w:type="dxa"/>
            <w:tcBorders>
              <w:top w:val="nil"/>
              <w:left w:val="nil"/>
              <w:bottom w:val="single" w:color="auto" w:sz="4" w:space="0"/>
              <w:right w:val="single" w:color="auto" w:sz="4" w:space="0"/>
            </w:tcBorders>
            <w:vAlign w:val="center"/>
          </w:tcPr>
          <w:p w14:paraId="23FDDB53">
            <w:pPr>
              <w:widowControl/>
              <w:adjustRightInd/>
              <w:jc w:val="left"/>
              <w:rPr>
                <w:rFonts w:ascii="宋体" w:hAnsi="宋体" w:cs="宋体"/>
                <w:kern w:val="0"/>
                <w:sz w:val="24"/>
                <w:highlight w:val="none"/>
              </w:rPr>
            </w:pPr>
            <w:r>
              <w:rPr>
                <w:rFonts w:ascii="宋体" w:hAnsi="宋体" w:cs="宋体"/>
                <w:kern w:val="0"/>
                <w:sz w:val="24"/>
                <w:highlight w:val="none"/>
              </w:rPr>
              <w:t xml:space="preserve">a) </w:t>
            </w:r>
            <w:r>
              <w:rPr>
                <w:rFonts w:hint="eastAsia" w:ascii="宋体" w:hAnsi="宋体" w:cs="宋体"/>
                <w:kern w:val="0"/>
                <w:sz w:val="24"/>
                <w:highlight w:val="none"/>
              </w:rPr>
              <w:t>支持导出不同格式，可以将不同格式数据导入到数据库中；</w:t>
            </w:r>
          </w:p>
          <w:p w14:paraId="3E554114">
            <w:pPr>
              <w:widowControl/>
              <w:adjustRightInd/>
              <w:jc w:val="left"/>
              <w:rPr>
                <w:rFonts w:ascii="宋体" w:hAns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支持不同级别和不同数据库对象的导入</w:t>
            </w:r>
            <w:r>
              <w:rPr>
                <w:rFonts w:ascii="宋体" w:hAnsi="宋体" w:cs="宋体"/>
                <w:kern w:val="0"/>
                <w:sz w:val="24"/>
                <w:highlight w:val="none"/>
              </w:rPr>
              <w:t>/导出功能；</w:t>
            </w:r>
          </w:p>
          <w:p w14:paraId="58B8FEA6">
            <w:pPr>
              <w:widowControl/>
              <w:adjustRightInd/>
              <w:jc w:val="left"/>
              <w:rPr>
                <w:rFonts w:ascii="宋体" w:hAnsi="宋体" w:cs="宋体"/>
                <w:kern w:val="0"/>
                <w:sz w:val="24"/>
                <w:highlight w:val="none"/>
              </w:rPr>
            </w:pPr>
            <w:r>
              <w:rPr>
                <w:rFonts w:ascii="宋体" w:hAnsi="宋体" w:cs="宋体"/>
                <w:kern w:val="0"/>
                <w:sz w:val="24"/>
                <w:highlight w:val="none"/>
              </w:rPr>
              <w:t xml:space="preserve">c) </w:t>
            </w:r>
            <w:r>
              <w:rPr>
                <w:rFonts w:hint="eastAsia" w:ascii="宋体" w:hAnsi="宋体" w:cs="宋体"/>
                <w:kern w:val="0"/>
                <w:sz w:val="24"/>
                <w:highlight w:val="none"/>
              </w:rPr>
              <w:t>支持从文本文件或者其他上游数据源将数据导入；</w:t>
            </w:r>
          </w:p>
          <w:p w14:paraId="0DA785F3">
            <w:pPr>
              <w:widowControl/>
              <w:adjustRightInd/>
              <w:jc w:val="left"/>
              <w:rPr>
                <w:rFonts w:ascii="宋体" w:hAnsi="宋体" w:cs="宋体"/>
                <w:kern w:val="0"/>
                <w:sz w:val="24"/>
                <w:highlight w:val="none"/>
              </w:rPr>
            </w:pPr>
            <w:r>
              <w:rPr>
                <w:rFonts w:ascii="宋体" w:hAnsi="宋体" w:cs="宋体"/>
                <w:kern w:val="0"/>
                <w:sz w:val="24"/>
                <w:highlight w:val="none"/>
              </w:rPr>
              <w:t xml:space="preserve">d) </w:t>
            </w:r>
            <w:r>
              <w:rPr>
                <w:rFonts w:hint="eastAsia" w:ascii="宋体" w:hAnsi="宋体" w:cs="宋体"/>
                <w:kern w:val="0"/>
                <w:sz w:val="24"/>
                <w:highlight w:val="none"/>
              </w:rPr>
              <w:t>支持</w:t>
            </w:r>
            <w:r>
              <w:rPr>
                <w:rFonts w:ascii="宋体" w:hAnsi="宋体" w:cs="宋体"/>
                <w:kern w:val="0"/>
                <w:sz w:val="24"/>
                <w:highlight w:val="none"/>
              </w:rPr>
              <w:t xml:space="preserve"> SQL </w:t>
            </w:r>
            <w:r>
              <w:rPr>
                <w:rFonts w:hint="eastAsia" w:ascii="宋体" w:hAnsi="宋体" w:cs="宋体"/>
                <w:kern w:val="0"/>
                <w:sz w:val="24"/>
                <w:highlight w:val="none"/>
              </w:rPr>
              <w:t>脚本进行导入导出；</w:t>
            </w:r>
          </w:p>
        </w:tc>
      </w:tr>
      <w:tr w14:paraId="0404FBE3">
        <w:tblPrEx>
          <w:tblCellMar>
            <w:top w:w="0" w:type="dxa"/>
            <w:left w:w="108" w:type="dxa"/>
            <w:bottom w:w="0" w:type="dxa"/>
            <w:right w:w="108" w:type="dxa"/>
          </w:tblCellMar>
        </w:tblPrEx>
        <w:trPr>
          <w:trHeight w:val="2496" w:hRule="atLeast"/>
        </w:trPr>
        <w:tc>
          <w:tcPr>
            <w:tcW w:w="740" w:type="dxa"/>
            <w:tcBorders>
              <w:top w:val="nil"/>
              <w:left w:val="single" w:color="auto" w:sz="4" w:space="0"/>
              <w:bottom w:val="single" w:color="auto" w:sz="4" w:space="0"/>
              <w:right w:val="single" w:color="auto" w:sz="4" w:space="0"/>
            </w:tcBorders>
            <w:vAlign w:val="center"/>
          </w:tcPr>
          <w:p w14:paraId="5499C32E">
            <w:pPr>
              <w:widowControl/>
              <w:adjustRightInd/>
              <w:jc w:val="center"/>
              <w:rPr>
                <w:rFonts w:ascii="宋体" w:hAnsi="宋体" w:cs="宋体"/>
                <w:kern w:val="0"/>
                <w:sz w:val="24"/>
                <w:highlight w:val="none"/>
              </w:rPr>
            </w:pPr>
            <w:r>
              <w:rPr>
                <w:rFonts w:ascii="宋体" w:hAnsi="宋体" w:cs="宋体"/>
                <w:kern w:val="0"/>
                <w:sz w:val="24"/>
                <w:highlight w:val="none"/>
              </w:rPr>
              <w:t>34</w:t>
            </w:r>
          </w:p>
        </w:tc>
        <w:tc>
          <w:tcPr>
            <w:tcW w:w="1420" w:type="dxa"/>
            <w:vMerge w:val="continue"/>
            <w:tcBorders>
              <w:top w:val="nil"/>
              <w:left w:val="single" w:color="auto" w:sz="4" w:space="0"/>
              <w:bottom w:val="single" w:color="000000" w:sz="4" w:space="0"/>
              <w:right w:val="single" w:color="auto" w:sz="4" w:space="0"/>
            </w:tcBorders>
            <w:vAlign w:val="center"/>
          </w:tcPr>
          <w:p w14:paraId="5A8DFD1F">
            <w:pPr>
              <w:widowControl/>
              <w:adjustRightInd/>
              <w:jc w:val="left"/>
              <w:rPr>
                <w:rFonts w:ascii="宋体" w:hAnsi="宋体" w:cs="宋体"/>
                <w:kern w:val="0"/>
                <w:sz w:val="24"/>
                <w:highlight w:val="none"/>
              </w:rPr>
            </w:pPr>
          </w:p>
        </w:tc>
        <w:tc>
          <w:tcPr>
            <w:tcW w:w="1580" w:type="dxa"/>
            <w:tcBorders>
              <w:top w:val="nil"/>
              <w:left w:val="nil"/>
              <w:bottom w:val="single" w:color="auto" w:sz="4" w:space="0"/>
              <w:right w:val="single" w:color="auto" w:sz="4" w:space="0"/>
            </w:tcBorders>
            <w:vAlign w:val="center"/>
          </w:tcPr>
          <w:p w14:paraId="1032CC09">
            <w:pPr>
              <w:widowControl/>
              <w:adjustRightInd/>
              <w:jc w:val="left"/>
              <w:rPr>
                <w:rFonts w:ascii="宋体" w:hAnsi="宋体" w:cs="宋体"/>
                <w:kern w:val="0"/>
                <w:sz w:val="24"/>
                <w:highlight w:val="none"/>
              </w:rPr>
            </w:pPr>
            <w:r>
              <w:rPr>
                <w:rFonts w:hint="eastAsia" w:ascii="宋体" w:hAnsi="宋体" w:cs="宋体"/>
                <w:kern w:val="0"/>
                <w:sz w:val="24"/>
                <w:highlight w:val="none"/>
              </w:rPr>
              <w:t>▲数据库运维工具</w:t>
            </w:r>
          </w:p>
        </w:tc>
        <w:tc>
          <w:tcPr>
            <w:tcW w:w="4680" w:type="dxa"/>
            <w:tcBorders>
              <w:top w:val="nil"/>
              <w:left w:val="nil"/>
              <w:bottom w:val="single" w:color="auto" w:sz="4" w:space="0"/>
              <w:right w:val="single" w:color="auto" w:sz="4" w:space="0"/>
            </w:tcBorders>
            <w:vAlign w:val="center"/>
          </w:tcPr>
          <w:p w14:paraId="5DDCD4E4">
            <w:pPr>
              <w:widowControl/>
              <w:adjustRightInd/>
              <w:jc w:val="left"/>
              <w:rPr>
                <w:rFonts w:ascii="宋体" w:hAnsi="宋体" w:cs="宋体"/>
                <w:kern w:val="0"/>
                <w:sz w:val="24"/>
                <w:highlight w:val="none"/>
              </w:rPr>
            </w:pPr>
            <w:r>
              <w:rPr>
                <w:rFonts w:ascii="宋体" w:hAnsi="宋体" w:cs="宋体"/>
                <w:kern w:val="0"/>
                <w:sz w:val="24"/>
                <w:highlight w:val="none"/>
              </w:rPr>
              <w:t xml:space="preserve">a) </w:t>
            </w:r>
            <w:r>
              <w:rPr>
                <w:rFonts w:hint="eastAsia" w:ascii="宋体" w:hAnsi="宋体" w:cs="宋体"/>
                <w:kern w:val="0"/>
                <w:sz w:val="24"/>
                <w:highlight w:val="none"/>
              </w:rPr>
              <w:t>支持数据库、数据库存储对象结构、数据、统计信息更新维护；</w:t>
            </w:r>
          </w:p>
          <w:p w14:paraId="34F087F0">
            <w:pPr>
              <w:widowControl/>
              <w:adjustRightInd/>
              <w:jc w:val="left"/>
              <w:rPr>
                <w:rFonts w:ascii="宋体" w:hAns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支持数据库创建、数据库修改、数据库删除、数据库模板维护；</w:t>
            </w:r>
          </w:p>
          <w:p w14:paraId="4D97E26E">
            <w:pPr>
              <w:widowControl/>
              <w:adjustRightInd/>
              <w:jc w:val="left"/>
              <w:rPr>
                <w:rFonts w:ascii="宋体" w:hAnsi="宋体" w:cs="宋体"/>
                <w:kern w:val="0"/>
                <w:sz w:val="24"/>
                <w:highlight w:val="none"/>
              </w:rPr>
            </w:pPr>
            <w:r>
              <w:rPr>
                <w:rFonts w:ascii="宋体" w:hAnsi="宋体" w:cs="宋体"/>
                <w:kern w:val="0"/>
                <w:sz w:val="24"/>
                <w:highlight w:val="none"/>
              </w:rPr>
              <w:t xml:space="preserve">c) </w:t>
            </w:r>
            <w:r>
              <w:rPr>
                <w:rFonts w:hint="eastAsia" w:ascii="宋体" w:hAnsi="宋体" w:cs="宋体"/>
                <w:kern w:val="0"/>
                <w:sz w:val="24"/>
                <w:highlight w:val="none"/>
              </w:rPr>
              <w:t>支持数据库任务自动化调度作业管理；</w:t>
            </w:r>
          </w:p>
          <w:p w14:paraId="551E9F3E">
            <w:pPr>
              <w:widowControl/>
              <w:adjustRightInd/>
              <w:jc w:val="left"/>
              <w:rPr>
                <w:rFonts w:ascii="宋体" w:hAnsi="宋体" w:cs="宋体"/>
                <w:kern w:val="0"/>
                <w:sz w:val="24"/>
                <w:highlight w:val="none"/>
              </w:rPr>
            </w:pPr>
            <w:r>
              <w:rPr>
                <w:rFonts w:ascii="宋体" w:hAnsi="宋体" w:cs="宋体"/>
                <w:kern w:val="0"/>
                <w:sz w:val="24"/>
                <w:highlight w:val="none"/>
              </w:rPr>
              <w:t xml:space="preserve">d) </w:t>
            </w:r>
            <w:r>
              <w:rPr>
                <w:rFonts w:hint="eastAsia" w:ascii="宋体" w:hAnsi="宋体" w:cs="宋体"/>
                <w:kern w:val="0"/>
                <w:sz w:val="24"/>
                <w:highlight w:val="none"/>
              </w:rPr>
              <w:t>支持图形化展示数据库管理的各种元数据界面，展示的内容具有层次性，包括模式、非模式数据字典信息</w:t>
            </w:r>
          </w:p>
        </w:tc>
      </w:tr>
      <w:tr w14:paraId="28303E01">
        <w:tblPrEx>
          <w:tblCellMar>
            <w:top w:w="0" w:type="dxa"/>
            <w:left w:w="108" w:type="dxa"/>
            <w:bottom w:w="0" w:type="dxa"/>
            <w:right w:w="108" w:type="dxa"/>
          </w:tblCellMar>
        </w:tblPrEx>
        <w:trPr>
          <w:trHeight w:val="624" w:hRule="atLeast"/>
        </w:trPr>
        <w:tc>
          <w:tcPr>
            <w:tcW w:w="740" w:type="dxa"/>
            <w:tcBorders>
              <w:top w:val="nil"/>
              <w:left w:val="single" w:color="auto" w:sz="4" w:space="0"/>
              <w:bottom w:val="single" w:color="auto" w:sz="4" w:space="0"/>
              <w:right w:val="single" w:color="auto" w:sz="4" w:space="0"/>
            </w:tcBorders>
            <w:vAlign w:val="center"/>
          </w:tcPr>
          <w:p w14:paraId="0A2CED3F">
            <w:pPr>
              <w:widowControl/>
              <w:adjustRightInd/>
              <w:jc w:val="center"/>
              <w:rPr>
                <w:rFonts w:ascii="宋体" w:hAnsi="宋体" w:cs="宋体"/>
                <w:kern w:val="0"/>
                <w:sz w:val="24"/>
                <w:highlight w:val="none"/>
              </w:rPr>
            </w:pPr>
            <w:r>
              <w:rPr>
                <w:rFonts w:ascii="宋体" w:hAnsi="宋体" w:cs="宋体"/>
                <w:kern w:val="0"/>
                <w:sz w:val="24"/>
                <w:highlight w:val="none"/>
              </w:rPr>
              <w:t>35</w:t>
            </w:r>
          </w:p>
        </w:tc>
        <w:tc>
          <w:tcPr>
            <w:tcW w:w="1420" w:type="dxa"/>
            <w:vMerge w:val="continue"/>
            <w:tcBorders>
              <w:top w:val="nil"/>
              <w:left w:val="single" w:color="auto" w:sz="4" w:space="0"/>
              <w:bottom w:val="single" w:color="000000" w:sz="4" w:space="0"/>
              <w:right w:val="single" w:color="auto" w:sz="4" w:space="0"/>
            </w:tcBorders>
            <w:vAlign w:val="center"/>
          </w:tcPr>
          <w:p w14:paraId="5F7362EC">
            <w:pPr>
              <w:widowControl/>
              <w:adjustRightInd/>
              <w:jc w:val="left"/>
              <w:rPr>
                <w:rFonts w:ascii="宋体" w:hAnsi="宋体" w:cs="宋体"/>
                <w:kern w:val="0"/>
                <w:sz w:val="24"/>
                <w:highlight w:val="none"/>
              </w:rPr>
            </w:pPr>
          </w:p>
        </w:tc>
        <w:tc>
          <w:tcPr>
            <w:tcW w:w="1580" w:type="dxa"/>
            <w:tcBorders>
              <w:top w:val="nil"/>
              <w:left w:val="nil"/>
              <w:bottom w:val="single" w:color="auto" w:sz="4" w:space="0"/>
              <w:right w:val="single" w:color="auto" w:sz="4" w:space="0"/>
            </w:tcBorders>
            <w:vAlign w:val="center"/>
          </w:tcPr>
          <w:p w14:paraId="6A3A196D">
            <w:pPr>
              <w:widowControl/>
              <w:adjustRightInd/>
              <w:jc w:val="left"/>
              <w:rPr>
                <w:rFonts w:ascii="宋体" w:hAnsi="宋体" w:cs="宋体"/>
                <w:kern w:val="0"/>
                <w:sz w:val="24"/>
                <w:highlight w:val="none"/>
              </w:rPr>
            </w:pPr>
            <w:r>
              <w:rPr>
                <w:rFonts w:hint="eastAsia" w:ascii="宋体" w:hAnsi="宋体" w:cs="宋体"/>
                <w:kern w:val="0"/>
                <w:sz w:val="24"/>
                <w:highlight w:val="none"/>
              </w:rPr>
              <w:t>▲图形化的开发工具</w:t>
            </w:r>
          </w:p>
        </w:tc>
        <w:tc>
          <w:tcPr>
            <w:tcW w:w="4680" w:type="dxa"/>
            <w:tcBorders>
              <w:top w:val="nil"/>
              <w:left w:val="nil"/>
              <w:bottom w:val="single" w:color="auto" w:sz="4" w:space="0"/>
              <w:right w:val="single" w:color="auto" w:sz="4" w:space="0"/>
            </w:tcBorders>
            <w:vAlign w:val="center"/>
          </w:tcPr>
          <w:p w14:paraId="6B2971C8">
            <w:pPr>
              <w:widowControl/>
              <w:adjustRightInd/>
              <w:jc w:val="left"/>
              <w:rPr>
                <w:rFonts w:ascii="宋体" w:hAnsi="宋体" w:cs="宋体"/>
                <w:kern w:val="0"/>
                <w:sz w:val="24"/>
                <w:highlight w:val="none"/>
              </w:rPr>
            </w:pPr>
            <w:r>
              <w:rPr>
                <w:rFonts w:hint="eastAsia" w:ascii="宋体" w:hAnsi="宋体" w:cs="宋体"/>
                <w:kern w:val="0"/>
                <w:sz w:val="24"/>
                <w:highlight w:val="none"/>
              </w:rPr>
              <w:t>厂商提供图形化的开发工具</w:t>
            </w:r>
          </w:p>
        </w:tc>
      </w:tr>
      <w:tr w14:paraId="5AF1909B">
        <w:tblPrEx>
          <w:tblCellMar>
            <w:top w:w="0" w:type="dxa"/>
            <w:left w:w="108" w:type="dxa"/>
            <w:bottom w:w="0" w:type="dxa"/>
            <w:right w:w="108" w:type="dxa"/>
          </w:tblCellMar>
        </w:tblPrEx>
        <w:trPr>
          <w:trHeight w:val="624" w:hRule="atLeast"/>
        </w:trPr>
        <w:tc>
          <w:tcPr>
            <w:tcW w:w="740" w:type="dxa"/>
            <w:tcBorders>
              <w:top w:val="nil"/>
              <w:left w:val="single" w:color="auto" w:sz="4" w:space="0"/>
              <w:bottom w:val="single" w:color="auto" w:sz="4" w:space="0"/>
              <w:right w:val="single" w:color="auto" w:sz="4" w:space="0"/>
            </w:tcBorders>
            <w:vAlign w:val="center"/>
          </w:tcPr>
          <w:p w14:paraId="56F60D07">
            <w:pPr>
              <w:widowControl/>
              <w:adjustRightInd/>
              <w:jc w:val="center"/>
              <w:rPr>
                <w:rFonts w:ascii="宋体" w:hAnsi="宋体" w:cs="宋体"/>
                <w:kern w:val="0"/>
                <w:sz w:val="24"/>
                <w:highlight w:val="none"/>
              </w:rPr>
            </w:pPr>
            <w:r>
              <w:rPr>
                <w:rFonts w:ascii="宋体" w:hAnsi="宋体" w:cs="宋体"/>
                <w:kern w:val="0"/>
                <w:sz w:val="24"/>
                <w:highlight w:val="none"/>
              </w:rPr>
              <w:t>36</w:t>
            </w:r>
          </w:p>
        </w:tc>
        <w:tc>
          <w:tcPr>
            <w:tcW w:w="1420" w:type="dxa"/>
            <w:vMerge w:val="continue"/>
            <w:tcBorders>
              <w:top w:val="nil"/>
              <w:left w:val="single" w:color="auto" w:sz="4" w:space="0"/>
              <w:bottom w:val="single" w:color="000000" w:sz="4" w:space="0"/>
              <w:right w:val="single" w:color="auto" w:sz="4" w:space="0"/>
            </w:tcBorders>
            <w:vAlign w:val="center"/>
          </w:tcPr>
          <w:p w14:paraId="18D7C405">
            <w:pPr>
              <w:widowControl/>
              <w:adjustRightInd/>
              <w:jc w:val="left"/>
              <w:rPr>
                <w:rFonts w:ascii="宋体" w:hAnsi="宋体" w:cs="宋体"/>
                <w:kern w:val="0"/>
                <w:sz w:val="24"/>
                <w:highlight w:val="none"/>
              </w:rPr>
            </w:pPr>
          </w:p>
        </w:tc>
        <w:tc>
          <w:tcPr>
            <w:tcW w:w="1580" w:type="dxa"/>
            <w:tcBorders>
              <w:top w:val="nil"/>
              <w:left w:val="nil"/>
              <w:bottom w:val="single" w:color="auto" w:sz="4" w:space="0"/>
              <w:right w:val="single" w:color="auto" w:sz="4" w:space="0"/>
            </w:tcBorders>
            <w:vAlign w:val="center"/>
          </w:tcPr>
          <w:p w14:paraId="1F0DC7BC">
            <w:pPr>
              <w:widowControl/>
              <w:adjustRightInd/>
              <w:jc w:val="left"/>
              <w:rPr>
                <w:rFonts w:ascii="宋体" w:hAnsi="宋体" w:cs="宋体"/>
                <w:kern w:val="0"/>
                <w:sz w:val="24"/>
                <w:highlight w:val="none"/>
              </w:rPr>
            </w:pPr>
            <w:r>
              <w:rPr>
                <w:rFonts w:hint="eastAsia" w:ascii="宋体" w:hAnsi="宋体" w:cs="宋体"/>
                <w:kern w:val="0"/>
                <w:sz w:val="24"/>
                <w:highlight w:val="none"/>
              </w:rPr>
              <w:t>▲图形化运维工具</w:t>
            </w:r>
          </w:p>
        </w:tc>
        <w:tc>
          <w:tcPr>
            <w:tcW w:w="4680" w:type="dxa"/>
            <w:tcBorders>
              <w:top w:val="nil"/>
              <w:left w:val="nil"/>
              <w:bottom w:val="single" w:color="auto" w:sz="4" w:space="0"/>
              <w:right w:val="single" w:color="auto" w:sz="4" w:space="0"/>
            </w:tcBorders>
            <w:vAlign w:val="center"/>
          </w:tcPr>
          <w:p w14:paraId="15374784">
            <w:pPr>
              <w:widowControl/>
              <w:adjustRightInd/>
              <w:jc w:val="left"/>
              <w:rPr>
                <w:rFonts w:ascii="宋体" w:hAnsi="宋体" w:cs="宋体"/>
                <w:kern w:val="0"/>
                <w:sz w:val="24"/>
                <w:highlight w:val="none"/>
              </w:rPr>
            </w:pPr>
            <w:r>
              <w:rPr>
                <w:rFonts w:hint="eastAsia" w:ascii="宋体" w:hAnsi="宋体" w:cs="宋体"/>
                <w:kern w:val="0"/>
                <w:sz w:val="24"/>
                <w:highlight w:val="none"/>
              </w:rPr>
              <w:t>厂商提供图形化的运维工具</w:t>
            </w:r>
          </w:p>
        </w:tc>
      </w:tr>
      <w:tr w14:paraId="391551B7">
        <w:tblPrEx>
          <w:tblCellMar>
            <w:top w:w="0" w:type="dxa"/>
            <w:left w:w="108" w:type="dxa"/>
            <w:bottom w:w="0" w:type="dxa"/>
            <w:right w:w="108" w:type="dxa"/>
          </w:tblCellMar>
        </w:tblPrEx>
        <w:trPr>
          <w:trHeight w:val="936" w:hRule="atLeast"/>
        </w:trPr>
        <w:tc>
          <w:tcPr>
            <w:tcW w:w="740" w:type="dxa"/>
            <w:tcBorders>
              <w:top w:val="nil"/>
              <w:left w:val="single" w:color="auto" w:sz="4" w:space="0"/>
              <w:bottom w:val="single" w:color="auto" w:sz="4" w:space="0"/>
              <w:right w:val="single" w:color="auto" w:sz="4" w:space="0"/>
            </w:tcBorders>
            <w:vAlign w:val="center"/>
          </w:tcPr>
          <w:p w14:paraId="55FE1EDD">
            <w:pPr>
              <w:widowControl/>
              <w:adjustRightInd/>
              <w:jc w:val="center"/>
              <w:rPr>
                <w:rFonts w:ascii="宋体" w:hAnsi="宋体" w:cs="宋体"/>
                <w:kern w:val="0"/>
                <w:sz w:val="24"/>
                <w:highlight w:val="none"/>
              </w:rPr>
            </w:pPr>
            <w:r>
              <w:rPr>
                <w:rFonts w:ascii="宋体" w:hAnsi="宋体" w:cs="宋体"/>
                <w:kern w:val="0"/>
                <w:sz w:val="24"/>
                <w:highlight w:val="none"/>
              </w:rPr>
              <w:t>37</w:t>
            </w:r>
          </w:p>
        </w:tc>
        <w:tc>
          <w:tcPr>
            <w:tcW w:w="1420" w:type="dxa"/>
            <w:tcBorders>
              <w:top w:val="nil"/>
              <w:left w:val="nil"/>
              <w:bottom w:val="single" w:color="auto" w:sz="4" w:space="0"/>
              <w:right w:val="single" w:color="auto" w:sz="4" w:space="0"/>
            </w:tcBorders>
            <w:vAlign w:val="center"/>
          </w:tcPr>
          <w:p w14:paraId="743EFBDC">
            <w:pPr>
              <w:widowControl/>
              <w:adjustRightInd/>
              <w:jc w:val="center"/>
              <w:rPr>
                <w:rFonts w:ascii="宋体" w:hAnsi="宋体" w:cs="宋体"/>
                <w:kern w:val="0"/>
                <w:sz w:val="24"/>
                <w:highlight w:val="none"/>
              </w:rPr>
            </w:pPr>
            <w:r>
              <w:rPr>
                <w:rFonts w:hint="eastAsia" w:ascii="宋体" w:hAnsi="宋体" w:cs="宋体"/>
                <w:kern w:val="0"/>
                <w:sz w:val="24"/>
                <w:highlight w:val="none"/>
              </w:rPr>
              <w:t>▲稳定运行</w:t>
            </w:r>
          </w:p>
        </w:tc>
        <w:tc>
          <w:tcPr>
            <w:tcW w:w="1580" w:type="dxa"/>
            <w:tcBorders>
              <w:top w:val="nil"/>
              <w:left w:val="nil"/>
              <w:bottom w:val="single" w:color="auto" w:sz="4" w:space="0"/>
              <w:right w:val="single" w:color="auto" w:sz="4" w:space="0"/>
            </w:tcBorders>
            <w:vAlign w:val="center"/>
          </w:tcPr>
          <w:p w14:paraId="37009962">
            <w:pPr>
              <w:widowControl/>
              <w:adjustRightInd/>
              <w:jc w:val="left"/>
              <w:rPr>
                <w:rFonts w:ascii="宋体" w:hAnsi="宋体" w:cs="宋体"/>
                <w:kern w:val="0"/>
                <w:sz w:val="24"/>
                <w:highlight w:val="none"/>
              </w:rPr>
            </w:pPr>
            <w:r>
              <w:rPr>
                <w:rFonts w:hint="eastAsia" w:ascii="宋体" w:hAnsi="宋体" w:cs="宋体"/>
                <w:kern w:val="0"/>
                <w:sz w:val="24"/>
                <w:highlight w:val="none"/>
              </w:rPr>
              <w:t>▲稳定运行</w:t>
            </w:r>
          </w:p>
        </w:tc>
        <w:tc>
          <w:tcPr>
            <w:tcW w:w="4680" w:type="dxa"/>
            <w:tcBorders>
              <w:top w:val="nil"/>
              <w:left w:val="nil"/>
              <w:bottom w:val="single" w:color="auto" w:sz="4" w:space="0"/>
              <w:right w:val="single" w:color="auto" w:sz="4" w:space="0"/>
            </w:tcBorders>
            <w:vAlign w:val="center"/>
          </w:tcPr>
          <w:p w14:paraId="650D0B58">
            <w:pPr>
              <w:widowControl/>
              <w:adjustRightInd/>
              <w:jc w:val="left"/>
              <w:rPr>
                <w:rFonts w:ascii="宋体" w:hAnsi="宋体" w:cs="宋体"/>
                <w:kern w:val="0"/>
                <w:sz w:val="24"/>
                <w:highlight w:val="none"/>
              </w:rPr>
            </w:pPr>
            <w:r>
              <w:rPr>
                <w:rFonts w:ascii="宋体" w:hAnsi="宋体" w:cs="宋体"/>
                <w:kern w:val="0"/>
                <w:sz w:val="24"/>
                <w:highlight w:val="none"/>
              </w:rPr>
              <w:t xml:space="preserve">a) </w:t>
            </w:r>
            <w:r>
              <w:rPr>
                <w:rFonts w:hint="eastAsia" w:ascii="宋体" w:hAnsi="宋体" w:cs="宋体"/>
                <w:kern w:val="0"/>
                <w:sz w:val="24"/>
                <w:highlight w:val="none"/>
              </w:rPr>
              <w:t>支持连续稳定运行；</w:t>
            </w:r>
          </w:p>
          <w:p w14:paraId="4313625D">
            <w:pPr>
              <w:widowControl/>
              <w:adjustRightInd/>
              <w:jc w:val="left"/>
              <w:rPr>
                <w:rFonts w:ascii="宋体" w:hAns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支持数据库管理系统运行风险的报警能力；</w:t>
            </w:r>
          </w:p>
        </w:tc>
      </w:tr>
      <w:tr w14:paraId="01365079">
        <w:tblPrEx>
          <w:tblCellMar>
            <w:top w:w="0" w:type="dxa"/>
            <w:left w:w="108" w:type="dxa"/>
            <w:bottom w:w="0" w:type="dxa"/>
            <w:right w:w="108" w:type="dxa"/>
          </w:tblCellMar>
        </w:tblPrEx>
        <w:trPr>
          <w:trHeight w:val="936" w:hRule="atLeast"/>
        </w:trPr>
        <w:tc>
          <w:tcPr>
            <w:tcW w:w="740" w:type="dxa"/>
            <w:tcBorders>
              <w:top w:val="nil"/>
              <w:left w:val="single" w:color="auto" w:sz="4" w:space="0"/>
              <w:bottom w:val="single" w:color="auto" w:sz="4" w:space="0"/>
              <w:right w:val="single" w:color="auto" w:sz="4" w:space="0"/>
            </w:tcBorders>
            <w:vAlign w:val="center"/>
          </w:tcPr>
          <w:p w14:paraId="64D2612A">
            <w:pPr>
              <w:widowControl/>
              <w:adjustRightInd/>
              <w:jc w:val="center"/>
              <w:rPr>
                <w:rFonts w:ascii="宋体" w:hAnsi="宋体" w:cs="宋体"/>
                <w:kern w:val="0"/>
                <w:sz w:val="24"/>
                <w:highlight w:val="none"/>
              </w:rPr>
            </w:pPr>
            <w:r>
              <w:rPr>
                <w:rFonts w:ascii="宋体" w:hAnsi="宋体" w:cs="宋体"/>
                <w:kern w:val="0"/>
                <w:sz w:val="24"/>
                <w:highlight w:val="none"/>
              </w:rPr>
              <w:t>38</w:t>
            </w:r>
          </w:p>
        </w:tc>
        <w:tc>
          <w:tcPr>
            <w:tcW w:w="1420" w:type="dxa"/>
            <w:vMerge w:val="restart"/>
            <w:tcBorders>
              <w:top w:val="nil"/>
              <w:left w:val="single" w:color="auto" w:sz="4" w:space="0"/>
              <w:bottom w:val="single" w:color="000000" w:sz="4" w:space="0"/>
              <w:right w:val="single" w:color="auto" w:sz="4" w:space="0"/>
            </w:tcBorders>
            <w:vAlign w:val="center"/>
          </w:tcPr>
          <w:p w14:paraId="107AFE74">
            <w:pPr>
              <w:widowControl/>
              <w:adjustRightInd/>
              <w:jc w:val="center"/>
              <w:rPr>
                <w:rFonts w:ascii="宋体" w:hAnsi="宋体" w:cs="宋体"/>
                <w:kern w:val="0"/>
                <w:sz w:val="24"/>
                <w:highlight w:val="none"/>
              </w:rPr>
            </w:pPr>
            <w:r>
              <w:rPr>
                <w:rFonts w:hint="eastAsia" w:ascii="宋体" w:hAnsi="宋体" w:cs="宋体"/>
                <w:kern w:val="0"/>
                <w:sz w:val="24"/>
                <w:highlight w:val="none"/>
              </w:rPr>
              <w:t>▲故障切换</w:t>
            </w:r>
          </w:p>
        </w:tc>
        <w:tc>
          <w:tcPr>
            <w:tcW w:w="1580" w:type="dxa"/>
            <w:tcBorders>
              <w:top w:val="nil"/>
              <w:left w:val="nil"/>
              <w:bottom w:val="single" w:color="auto" w:sz="4" w:space="0"/>
              <w:right w:val="single" w:color="auto" w:sz="4" w:space="0"/>
            </w:tcBorders>
            <w:vAlign w:val="center"/>
          </w:tcPr>
          <w:p w14:paraId="664F78C2">
            <w:pPr>
              <w:widowControl/>
              <w:adjustRightInd/>
              <w:jc w:val="left"/>
              <w:rPr>
                <w:rFonts w:ascii="宋体" w:hAnsi="宋体" w:cs="宋体"/>
                <w:kern w:val="0"/>
                <w:sz w:val="24"/>
                <w:highlight w:val="none"/>
              </w:rPr>
            </w:pPr>
            <w:r>
              <w:rPr>
                <w:rFonts w:hint="eastAsia" w:ascii="宋体" w:hAnsi="宋体" w:cs="宋体"/>
                <w:kern w:val="0"/>
                <w:sz w:val="24"/>
                <w:highlight w:val="none"/>
              </w:rPr>
              <w:t>▲快速切换</w:t>
            </w:r>
          </w:p>
        </w:tc>
        <w:tc>
          <w:tcPr>
            <w:tcW w:w="4680" w:type="dxa"/>
            <w:tcBorders>
              <w:top w:val="nil"/>
              <w:left w:val="nil"/>
              <w:bottom w:val="single" w:color="auto" w:sz="4" w:space="0"/>
              <w:right w:val="single" w:color="auto" w:sz="4" w:space="0"/>
            </w:tcBorders>
            <w:vAlign w:val="center"/>
          </w:tcPr>
          <w:p w14:paraId="0B5CF0D5">
            <w:pPr>
              <w:widowControl/>
              <w:adjustRightInd/>
              <w:jc w:val="left"/>
              <w:rPr>
                <w:rFonts w:ascii="宋体" w:hAnsi="宋体" w:cs="宋体"/>
                <w:kern w:val="0"/>
                <w:sz w:val="24"/>
                <w:highlight w:val="none"/>
              </w:rPr>
            </w:pPr>
            <w:r>
              <w:rPr>
                <w:rFonts w:hint="eastAsia" w:ascii="宋体" w:hAnsi="宋体" w:cs="宋体"/>
                <w:kern w:val="0"/>
                <w:sz w:val="24"/>
                <w:highlight w:val="none"/>
              </w:rPr>
              <w:t>支持快速切换，在主数据库出现故障时，能够快速切换到备用数据库，保障业务正常运行；</w:t>
            </w:r>
          </w:p>
        </w:tc>
      </w:tr>
      <w:tr w14:paraId="444B2149">
        <w:tblPrEx>
          <w:tblCellMar>
            <w:top w:w="0" w:type="dxa"/>
            <w:left w:w="108" w:type="dxa"/>
            <w:bottom w:w="0" w:type="dxa"/>
            <w:right w:w="108" w:type="dxa"/>
          </w:tblCellMar>
        </w:tblPrEx>
        <w:trPr>
          <w:trHeight w:val="312" w:hRule="atLeast"/>
        </w:trPr>
        <w:tc>
          <w:tcPr>
            <w:tcW w:w="740" w:type="dxa"/>
            <w:tcBorders>
              <w:top w:val="nil"/>
              <w:left w:val="single" w:color="auto" w:sz="4" w:space="0"/>
              <w:bottom w:val="single" w:color="auto" w:sz="4" w:space="0"/>
              <w:right w:val="single" w:color="auto" w:sz="4" w:space="0"/>
            </w:tcBorders>
            <w:vAlign w:val="center"/>
          </w:tcPr>
          <w:p w14:paraId="60E12E35">
            <w:pPr>
              <w:widowControl/>
              <w:adjustRightInd/>
              <w:jc w:val="center"/>
              <w:rPr>
                <w:rFonts w:ascii="宋体" w:hAnsi="宋体" w:cs="宋体"/>
                <w:kern w:val="0"/>
                <w:sz w:val="24"/>
                <w:highlight w:val="none"/>
              </w:rPr>
            </w:pPr>
            <w:r>
              <w:rPr>
                <w:rFonts w:ascii="宋体" w:hAnsi="宋体" w:cs="宋体"/>
                <w:kern w:val="0"/>
                <w:sz w:val="24"/>
                <w:highlight w:val="none"/>
              </w:rPr>
              <w:t>39</w:t>
            </w:r>
          </w:p>
        </w:tc>
        <w:tc>
          <w:tcPr>
            <w:tcW w:w="1420" w:type="dxa"/>
            <w:vMerge w:val="continue"/>
            <w:tcBorders>
              <w:top w:val="nil"/>
              <w:left w:val="single" w:color="auto" w:sz="4" w:space="0"/>
              <w:bottom w:val="single" w:color="000000" w:sz="4" w:space="0"/>
              <w:right w:val="single" w:color="auto" w:sz="4" w:space="0"/>
            </w:tcBorders>
            <w:vAlign w:val="center"/>
          </w:tcPr>
          <w:p w14:paraId="118EED6E">
            <w:pPr>
              <w:widowControl/>
              <w:adjustRightInd/>
              <w:jc w:val="left"/>
              <w:rPr>
                <w:rFonts w:ascii="宋体" w:hAnsi="宋体" w:cs="宋体"/>
                <w:kern w:val="0"/>
                <w:sz w:val="24"/>
                <w:highlight w:val="none"/>
              </w:rPr>
            </w:pPr>
          </w:p>
        </w:tc>
        <w:tc>
          <w:tcPr>
            <w:tcW w:w="1580" w:type="dxa"/>
            <w:tcBorders>
              <w:top w:val="nil"/>
              <w:left w:val="nil"/>
              <w:bottom w:val="single" w:color="auto" w:sz="4" w:space="0"/>
              <w:right w:val="single" w:color="auto" w:sz="4" w:space="0"/>
            </w:tcBorders>
            <w:vAlign w:val="center"/>
          </w:tcPr>
          <w:p w14:paraId="04C4C1A7">
            <w:pPr>
              <w:widowControl/>
              <w:adjustRightInd/>
              <w:jc w:val="left"/>
              <w:rPr>
                <w:rFonts w:ascii="宋体" w:hAnsi="宋体" w:cs="宋体"/>
                <w:kern w:val="0"/>
                <w:sz w:val="24"/>
                <w:highlight w:val="none"/>
              </w:rPr>
            </w:pPr>
            <w:r>
              <w:rPr>
                <w:rFonts w:hint="eastAsia" w:ascii="宋体" w:hAnsi="宋体" w:cs="宋体"/>
                <w:kern w:val="0"/>
                <w:sz w:val="24"/>
                <w:highlight w:val="none"/>
              </w:rPr>
              <w:t>▲恢复无断点</w:t>
            </w:r>
          </w:p>
        </w:tc>
        <w:tc>
          <w:tcPr>
            <w:tcW w:w="4680" w:type="dxa"/>
            <w:tcBorders>
              <w:top w:val="nil"/>
              <w:left w:val="nil"/>
              <w:bottom w:val="single" w:color="auto" w:sz="4" w:space="0"/>
              <w:right w:val="single" w:color="auto" w:sz="4" w:space="0"/>
            </w:tcBorders>
            <w:vAlign w:val="center"/>
          </w:tcPr>
          <w:p w14:paraId="18EEC0A5">
            <w:pPr>
              <w:widowControl/>
              <w:adjustRightInd/>
              <w:jc w:val="left"/>
              <w:rPr>
                <w:rFonts w:ascii="宋体" w:hAnsi="宋体" w:cs="宋体"/>
                <w:kern w:val="0"/>
                <w:sz w:val="24"/>
                <w:highlight w:val="none"/>
              </w:rPr>
            </w:pPr>
            <w:r>
              <w:rPr>
                <w:rFonts w:hint="eastAsia" w:ascii="宋体" w:hAnsi="宋体" w:cs="宋体"/>
                <w:kern w:val="0"/>
                <w:sz w:val="24"/>
                <w:highlight w:val="none"/>
              </w:rPr>
              <w:t>支持无断点恢复能力</w:t>
            </w:r>
          </w:p>
        </w:tc>
      </w:tr>
      <w:tr w14:paraId="567C96FA">
        <w:tblPrEx>
          <w:tblCellMar>
            <w:top w:w="0" w:type="dxa"/>
            <w:left w:w="108" w:type="dxa"/>
            <w:bottom w:w="0" w:type="dxa"/>
            <w:right w:w="108" w:type="dxa"/>
          </w:tblCellMar>
        </w:tblPrEx>
        <w:trPr>
          <w:trHeight w:val="1917" w:hRule="atLeast"/>
        </w:trPr>
        <w:tc>
          <w:tcPr>
            <w:tcW w:w="740" w:type="dxa"/>
            <w:tcBorders>
              <w:top w:val="nil"/>
              <w:left w:val="single" w:color="auto" w:sz="4" w:space="0"/>
              <w:bottom w:val="single" w:color="auto" w:sz="4" w:space="0"/>
              <w:right w:val="single" w:color="auto" w:sz="4" w:space="0"/>
            </w:tcBorders>
            <w:vAlign w:val="center"/>
          </w:tcPr>
          <w:p w14:paraId="706DF678">
            <w:pPr>
              <w:widowControl/>
              <w:adjustRightInd/>
              <w:jc w:val="center"/>
              <w:rPr>
                <w:rFonts w:ascii="宋体" w:hAnsi="宋体" w:cs="宋体"/>
                <w:kern w:val="0"/>
                <w:sz w:val="24"/>
                <w:highlight w:val="none"/>
              </w:rPr>
            </w:pPr>
            <w:r>
              <w:rPr>
                <w:rFonts w:ascii="宋体" w:hAnsi="宋体" w:cs="宋体"/>
                <w:kern w:val="0"/>
                <w:sz w:val="24"/>
                <w:highlight w:val="none"/>
              </w:rPr>
              <w:t>40</w:t>
            </w:r>
          </w:p>
        </w:tc>
        <w:tc>
          <w:tcPr>
            <w:tcW w:w="1420" w:type="dxa"/>
            <w:vMerge w:val="restart"/>
            <w:tcBorders>
              <w:top w:val="nil"/>
              <w:left w:val="single" w:color="auto" w:sz="4" w:space="0"/>
              <w:bottom w:val="single" w:color="000000" w:sz="4" w:space="0"/>
              <w:right w:val="single" w:color="auto" w:sz="4" w:space="0"/>
            </w:tcBorders>
            <w:vAlign w:val="center"/>
          </w:tcPr>
          <w:p w14:paraId="60C4FFB1">
            <w:pPr>
              <w:widowControl/>
              <w:adjustRightInd/>
              <w:jc w:val="center"/>
              <w:rPr>
                <w:rFonts w:ascii="宋体" w:hAnsi="宋体" w:cs="宋体"/>
                <w:kern w:val="0"/>
                <w:sz w:val="24"/>
                <w:highlight w:val="none"/>
              </w:rPr>
            </w:pPr>
            <w:r>
              <w:rPr>
                <w:rFonts w:hint="eastAsia" w:ascii="宋体" w:hAnsi="宋体" w:cs="宋体"/>
                <w:kern w:val="0"/>
                <w:sz w:val="24"/>
                <w:highlight w:val="none"/>
              </w:rPr>
              <w:t>▲容灾能力</w:t>
            </w:r>
          </w:p>
        </w:tc>
        <w:tc>
          <w:tcPr>
            <w:tcW w:w="1580" w:type="dxa"/>
            <w:tcBorders>
              <w:top w:val="nil"/>
              <w:left w:val="nil"/>
              <w:bottom w:val="single" w:color="auto" w:sz="4" w:space="0"/>
              <w:right w:val="single" w:color="auto" w:sz="4" w:space="0"/>
            </w:tcBorders>
            <w:vAlign w:val="center"/>
          </w:tcPr>
          <w:p w14:paraId="15355B83">
            <w:pPr>
              <w:widowControl/>
              <w:adjustRightInd/>
              <w:jc w:val="left"/>
              <w:rPr>
                <w:rFonts w:ascii="宋体" w:hAnsi="宋体" w:cs="宋体"/>
                <w:kern w:val="0"/>
                <w:sz w:val="24"/>
                <w:highlight w:val="none"/>
              </w:rPr>
            </w:pPr>
            <w:r>
              <w:rPr>
                <w:rFonts w:hint="eastAsia" w:ascii="宋体" w:hAnsi="宋体" w:cs="宋体"/>
                <w:kern w:val="0"/>
                <w:sz w:val="24"/>
                <w:highlight w:val="none"/>
              </w:rPr>
              <w:t>▲主备备份</w:t>
            </w:r>
          </w:p>
        </w:tc>
        <w:tc>
          <w:tcPr>
            <w:tcW w:w="4680" w:type="dxa"/>
            <w:tcBorders>
              <w:top w:val="nil"/>
              <w:left w:val="nil"/>
              <w:bottom w:val="single" w:color="auto" w:sz="4" w:space="0"/>
              <w:right w:val="single" w:color="auto" w:sz="4" w:space="0"/>
            </w:tcBorders>
            <w:vAlign w:val="center"/>
          </w:tcPr>
          <w:p w14:paraId="0DB27606">
            <w:pPr>
              <w:widowControl/>
              <w:adjustRightInd/>
              <w:jc w:val="left"/>
              <w:rPr>
                <w:rFonts w:ascii="宋体" w:hAnsi="宋体" w:cs="宋体"/>
                <w:kern w:val="0"/>
                <w:sz w:val="24"/>
                <w:highlight w:val="none"/>
              </w:rPr>
            </w:pPr>
            <w:r>
              <w:rPr>
                <w:rFonts w:ascii="宋体" w:hAnsi="宋体" w:cs="宋体"/>
                <w:kern w:val="0"/>
                <w:sz w:val="24"/>
                <w:highlight w:val="none"/>
              </w:rPr>
              <w:t xml:space="preserve">a) </w:t>
            </w:r>
            <w:r>
              <w:rPr>
                <w:rFonts w:hint="eastAsia" w:ascii="宋体" w:hAnsi="宋体" w:cs="宋体"/>
                <w:kern w:val="0"/>
                <w:sz w:val="24"/>
                <w:highlight w:val="none"/>
              </w:rPr>
              <w:t>支持多副本，支持主副本与从副本之间的数据同步，最低时延由生产厂商提供；</w:t>
            </w:r>
          </w:p>
          <w:p w14:paraId="38A3CC9B">
            <w:pPr>
              <w:widowControl/>
              <w:adjustRightInd/>
              <w:jc w:val="left"/>
              <w:rPr>
                <w:rFonts w:ascii="宋体" w:hAns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提供基于主机的数据库复制技术，包括基于日志的备用数据库远程数据库备份技术，并具备数据副本间的复制</w:t>
            </w:r>
          </w:p>
          <w:p w14:paraId="007404E9">
            <w:pPr>
              <w:widowControl/>
              <w:adjustRightInd/>
              <w:jc w:val="left"/>
              <w:rPr>
                <w:rFonts w:ascii="宋体" w:hAnsi="宋体" w:cs="宋体"/>
                <w:kern w:val="0"/>
                <w:sz w:val="24"/>
                <w:highlight w:val="none"/>
              </w:rPr>
            </w:pPr>
            <w:r>
              <w:rPr>
                <w:rFonts w:hint="eastAsia" w:ascii="宋体" w:hAnsi="宋体" w:cs="宋体"/>
                <w:kern w:val="0"/>
                <w:sz w:val="24"/>
                <w:highlight w:val="none"/>
              </w:rPr>
              <w:t>能力；</w:t>
            </w:r>
          </w:p>
        </w:tc>
      </w:tr>
      <w:tr w14:paraId="1CDEBB41">
        <w:tblPrEx>
          <w:tblCellMar>
            <w:top w:w="0" w:type="dxa"/>
            <w:left w:w="108" w:type="dxa"/>
            <w:bottom w:w="0" w:type="dxa"/>
            <w:right w:w="108" w:type="dxa"/>
          </w:tblCellMar>
        </w:tblPrEx>
        <w:trPr>
          <w:trHeight w:val="1560" w:hRule="atLeast"/>
        </w:trPr>
        <w:tc>
          <w:tcPr>
            <w:tcW w:w="740" w:type="dxa"/>
            <w:tcBorders>
              <w:top w:val="nil"/>
              <w:left w:val="single" w:color="auto" w:sz="4" w:space="0"/>
              <w:bottom w:val="single" w:color="auto" w:sz="4" w:space="0"/>
              <w:right w:val="single" w:color="auto" w:sz="4" w:space="0"/>
            </w:tcBorders>
            <w:vAlign w:val="center"/>
          </w:tcPr>
          <w:p w14:paraId="7BC72481">
            <w:pPr>
              <w:widowControl/>
              <w:adjustRightInd/>
              <w:jc w:val="center"/>
              <w:rPr>
                <w:rFonts w:ascii="宋体" w:hAnsi="宋体" w:cs="宋体"/>
                <w:kern w:val="0"/>
                <w:sz w:val="24"/>
                <w:highlight w:val="none"/>
              </w:rPr>
            </w:pPr>
            <w:r>
              <w:rPr>
                <w:rFonts w:ascii="宋体" w:hAnsi="宋体" w:cs="宋体"/>
                <w:kern w:val="0"/>
                <w:sz w:val="24"/>
                <w:highlight w:val="none"/>
              </w:rPr>
              <w:t>41</w:t>
            </w:r>
          </w:p>
        </w:tc>
        <w:tc>
          <w:tcPr>
            <w:tcW w:w="1420" w:type="dxa"/>
            <w:vMerge w:val="continue"/>
            <w:tcBorders>
              <w:top w:val="nil"/>
              <w:left w:val="single" w:color="auto" w:sz="4" w:space="0"/>
              <w:bottom w:val="single" w:color="000000" w:sz="4" w:space="0"/>
              <w:right w:val="single" w:color="auto" w:sz="4" w:space="0"/>
            </w:tcBorders>
            <w:vAlign w:val="center"/>
          </w:tcPr>
          <w:p w14:paraId="11DD1825">
            <w:pPr>
              <w:widowControl/>
              <w:adjustRightInd/>
              <w:jc w:val="left"/>
              <w:rPr>
                <w:rFonts w:ascii="宋体" w:hAnsi="宋体" w:cs="宋体"/>
                <w:kern w:val="0"/>
                <w:sz w:val="24"/>
                <w:highlight w:val="none"/>
              </w:rPr>
            </w:pPr>
          </w:p>
        </w:tc>
        <w:tc>
          <w:tcPr>
            <w:tcW w:w="1580" w:type="dxa"/>
            <w:tcBorders>
              <w:top w:val="nil"/>
              <w:left w:val="nil"/>
              <w:bottom w:val="single" w:color="auto" w:sz="4" w:space="0"/>
              <w:right w:val="single" w:color="auto" w:sz="4" w:space="0"/>
            </w:tcBorders>
            <w:vAlign w:val="center"/>
          </w:tcPr>
          <w:p w14:paraId="1FAEA396">
            <w:pPr>
              <w:widowControl/>
              <w:adjustRightInd/>
              <w:jc w:val="left"/>
              <w:rPr>
                <w:rFonts w:ascii="宋体" w:hAnsi="宋体" w:cs="宋体"/>
                <w:kern w:val="0"/>
                <w:sz w:val="24"/>
                <w:highlight w:val="none"/>
              </w:rPr>
            </w:pPr>
            <w:r>
              <w:rPr>
                <w:rFonts w:hint="eastAsia" w:ascii="宋体" w:hAnsi="宋体" w:cs="宋体"/>
                <w:kern w:val="0"/>
                <w:sz w:val="24"/>
                <w:highlight w:val="none"/>
              </w:rPr>
              <w:t>▲实例容灾</w:t>
            </w:r>
          </w:p>
        </w:tc>
        <w:tc>
          <w:tcPr>
            <w:tcW w:w="4680" w:type="dxa"/>
            <w:tcBorders>
              <w:top w:val="nil"/>
              <w:left w:val="nil"/>
              <w:bottom w:val="single" w:color="auto" w:sz="4" w:space="0"/>
              <w:right w:val="single" w:color="auto" w:sz="4" w:space="0"/>
            </w:tcBorders>
            <w:vAlign w:val="center"/>
          </w:tcPr>
          <w:p w14:paraId="4BD41485">
            <w:pPr>
              <w:widowControl/>
              <w:adjustRightInd/>
              <w:jc w:val="left"/>
              <w:rPr>
                <w:rFonts w:ascii="宋体" w:hAnsi="宋体" w:cs="宋体"/>
                <w:kern w:val="0"/>
                <w:sz w:val="24"/>
                <w:highlight w:val="none"/>
              </w:rPr>
            </w:pPr>
            <w:r>
              <w:rPr>
                <w:rFonts w:ascii="宋体" w:hAnsi="宋体" w:cs="宋体"/>
                <w:kern w:val="0"/>
                <w:sz w:val="24"/>
                <w:highlight w:val="none"/>
              </w:rPr>
              <w:t xml:space="preserve">a) </w:t>
            </w:r>
            <w:r>
              <w:rPr>
                <w:rFonts w:hint="eastAsia" w:ascii="宋体" w:hAnsi="宋体" w:cs="宋体"/>
                <w:kern w:val="0"/>
                <w:sz w:val="24"/>
                <w:highlight w:val="none"/>
              </w:rPr>
              <w:t>在任意数据库实例出现故障时，集群内服务正常运行，数据不丢失，集群整体业务可用；</w:t>
            </w:r>
          </w:p>
          <w:p w14:paraId="2B7E4326">
            <w:pPr>
              <w:widowControl/>
              <w:adjustRightInd/>
              <w:jc w:val="left"/>
              <w:rPr>
                <w:rFonts w:ascii="宋体" w:hAns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在实例故障、节点故障等单数据库实例故障时，</w:t>
            </w:r>
            <w:r>
              <w:rPr>
                <w:rFonts w:ascii="宋体" w:hAnsi="宋体" w:cs="宋体"/>
                <w:kern w:val="0"/>
                <w:sz w:val="24"/>
                <w:highlight w:val="none"/>
              </w:rPr>
              <w:t xml:space="preserve">RPO </w:t>
            </w:r>
            <w:r>
              <w:rPr>
                <w:rFonts w:hint="eastAsia" w:ascii="宋体" w:hAnsi="宋体" w:cs="宋体"/>
                <w:kern w:val="0"/>
                <w:sz w:val="24"/>
                <w:highlight w:val="none"/>
              </w:rPr>
              <w:t>时间等于</w:t>
            </w:r>
            <w:r>
              <w:rPr>
                <w:rFonts w:ascii="宋体" w:hAnsi="宋体" w:cs="宋体"/>
                <w:kern w:val="0"/>
                <w:sz w:val="24"/>
                <w:highlight w:val="none"/>
              </w:rPr>
              <w:t>0，RTO时间小于30s</w:t>
            </w:r>
          </w:p>
        </w:tc>
      </w:tr>
      <w:tr w14:paraId="37AC998A">
        <w:tblPrEx>
          <w:tblCellMar>
            <w:top w:w="0" w:type="dxa"/>
            <w:left w:w="108" w:type="dxa"/>
            <w:bottom w:w="0" w:type="dxa"/>
            <w:right w:w="108" w:type="dxa"/>
          </w:tblCellMar>
        </w:tblPrEx>
        <w:trPr>
          <w:trHeight w:val="936" w:hRule="atLeast"/>
        </w:trPr>
        <w:tc>
          <w:tcPr>
            <w:tcW w:w="740" w:type="dxa"/>
            <w:tcBorders>
              <w:top w:val="nil"/>
              <w:left w:val="single" w:color="auto" w:sz="4" w:space="0"/>
              <w:bottom w:val="single" w:color="auto" w:sz="4" w:space="0"/>
              <w:right w:val="single" w:color="auto" w:sz="4" w:space="0"/>
            </w:tcBorders>
            <w:vAlign w:val="center"/>
          </w:tcPr>
          <w:p w14:paraId="2FCE85DD">
            <w:pPr>
              <w:widowControl/>
              <w:adjustRightInd/>
              <w:jc w:val="center"/>
              <w:rPr>
                <w:rFonts w:ascii="宋体" w:hAnsi="宋体" w:cs="宋体"/>
                <w:kern w:val="0"/>
                <w:sz w:val="24"/>
                <w:highlight w:val="none"/>
              </w:rPr>
            </w:pPr>
            <w:r>
              <w:rPr>
                <w:rFonts w:ascii="宋体" w:hAnsi="宋体" w:cs="宋体"/>
                <w:kern w:val="0"/>
                <w:sz w:val="24"/>
                <w:highlight w:val="none"/>
              </w:rPr>
              <w:t>42</w:t>
            </w:r>
          </w:p>
        </w:tc>
        <w:tc>
          <w:tcPr>
            <w:tcW w:w="1420" w:type="dxa"/>
            <w:vMerge w:val="continue"/>
            <w:tcBorders>
              <w:top w:val="nil"/>
              <w:left w:val="single" w:color="auto" w:sz="4" w:space="0"/>
              <w:bottom w:val="single" w:color="000000" w:sz="4" w:space="0"/>
              <w:right w:val="single" w:color="auto" w:sz="4" w:space="0"/>
            </w:tcBorders>
            <w:vAlign w:val="center"/>
          </w:tcPr>
          <w:p w14:paraId="332B7D33">
            <w:pPr>
              <w:widowControl/>
              <w:adjustRightInd/>
              <w:jc w:val="left"/>
              <w:rPr>
                <w:rFonts w:ascii="宋体" w:hAnsi="宋体" w:cs="宋体"/>
                <w:kern w:val="0"/>
                <w:sz w:val="24"/>
                <w:highlight w:val="none"/>
              </w:rPr>
            </w:pPr>
          </w:p>
        </w:tc>
        <w:tc>
          <w:tcPr>
            <w:tcW w:w="1580" w:type="dxa"/>
            <w:tcBorders>
              <w:top w:val="nil"/>
              <w:left w:val="nil"/>
              <w:bottom w:val="single" w:color="auto" w:sz="4" w:space="0"/>
              <w:right w:val="single" w:color="auto" w:sz="4" w:space="0"/>
            </w:tcBorders>
            <w:vAlign w:val="center"/>
          </w:tcPr>
          <w:p w14:paraId="4E38642D">
            <w:pPr>
              <w:widowControl/>
              <w:adjustRightInd/>
              <w:jc w:val="left"/>
              <w:rPr>
                <w:rFonts w:ascii="宋体" w:hAnsi="宋体" w:cs="宋体"/>
                <w:kern w:val="0"/>
                <w:sz w:val="24"/>
                <w:highlight w:val="none"/>
              </w:rPr>
            </w:pPr>
            <w:r>
              <w:rPr>
                <w:rFonts w:hint="eastAsia" w:ascii="宋体" w:hAnsi="宋体" w:cs="宋体"/>
                <w:kern w:val="0"/>
                <w:sz w:val="24"/>
                <w:highlight w:val="none"/>
              </w:rPr>
              <w:t>▲容灾部署</w:t>
            </w:r>
          </w:p>
        </w:tc>
        <w:tc>
          <w:tcPr>
            <w:tcW w:w="4680" w:type="dxa"/>
            <w:tcBorders>
              <w:top w:val="nil"/>
              <w:left w:val="nil"/>
              <w:bottom w:val="single" w:color="auto" w:sz="4" w:space="0"/>
              <w:right w:val="single" w:color="auto" w:sz="4" w:space="0"/>
            </w:tcBorders>
            <w:vAlign w:val="center"/>
          </w:tcPr>
          <w:p w14:paraId="33CFF866">
            <w:pPr>
              <w:widowControl/>
              <w:adjustRightInd/>
              <w:jc w:val="left"/>
              <w:rPr>
                <w:rFonts w:ascii="宋体" w:hAnsi="宋体" w:cs="宋体"/>
                <w:kern w:val="0"/>
                <w:sz w:val="24"/>
                <w:highlight w:val="none"/>
              </w:rPr>
            </w:pPr>
            <w:r>
              <w:rPr>
                <w:rFonts w:ascii="宋体" w:hAnsi="宋体" w:cs="宋体"/>
                <w:kern w:val="0"/>
                <w:sz w:val="24"/>
                <w:highlight w:val="none"/>
              </w:rPr>
              <w:t>a)提供远程容灾部署与管理功能；</w:t>
            </w:r>
          </w:p>
          <w:p w14:paraId="0D325408">
            <w:pPr>
              <w:widowControl/>
              <w:adjustRightInd/>
              <w:jc w:val="left"/>
              <w:rPr>
                <w:rFonts w:ascii="宋体" w:hAnsi="宋体" w:cs="宋体"/>
                <w:kern w:val="0"/>
                <w:sz w:val="24"/>
                <w:highlight w:val="none"/>
              </w:rPr>
            </w:pPr>
            <w:r>
              <w:rPr>
                <w:rFonts w:ascii="宋体" w:hAnsi="宋体" w:cs="宋体"/>
                <w:kern w:val="0"/>
                <w:sz w:val="24"/>
                <w:highlight w:val="none"/>
              </w:rPr>
              <w:t>b)提供生产中心与备份中心之间的容灾部署与管理功能；</w:t>
            </w:r>
          </w:p>
        </w:tc>
      </w:tr>
      <w:tr w14:paraId="5DBC4C49">
        <w:tblPrEx>
          <w:tblCellMar>
            <w:top w:w="0" w:type="dxa"/>
            <w:left w:w="108" w:type="dxa"/>
            <w:bottom w:w="0" w:type="dxa"/>
            <w:right w:w="108" w:type="dxa"/>
          </w:tblCellMar>
        </w:tblPrEx>
        <w:trPr>
          <w:trHeight w:val="1872" w:hRule="atLeast"/>
        </w:trPr>
        <w:tc>
          <w:tcPr>
            <w:tcW w:w="740" w:type="dxa"/>
            <w:tcBorders>
              <w:top w:val="nil"/>
              <w:left w:val="single" w:color="auto" w:sz="4" w:space="0"/>
              <w:bottom w:val="single" w:color="auto" w:sz="4" w:space="0"/>
              <w:right w:val="single" w:color="auto" w:sz="4" w:space="0"/>
            </w:tcBorders>
            <w:vAlign w:val="center"/>
          </w:tcPr>
          <w:p w14:paraId="3BBD1CC8">
            <w:pPr>
              <w:widowControl/>
              <w:adjustRightInd/>
              <w:jc w:val="center"/>
              <w:rPr>
                <w:rFonts w:ascii="宋体" w:hAnsi="宋体" w:cs="宋体"/>
                <w:kern w:val="0"/>
                <w:sz w:val="24"/>
                <w:highlight w:val="none"/>
              </w:rPr>
            </w:pPr>
            <w:r>
              <w:rPr>
                <w:rFonts w:ascii="宋体" w:hAnsi="宋体" w:cs="宋体"/>
                <w:kern w:val="0"/>
                <w:sz w:val="24"/>
                <w:highlight w:val="none"/>
              </w:rPr>
              <w:t>43</w:t>
            </w:r>
          </w:p>
        </w:tc>
        <w:tc>
          <w:tcPr>
            <w:tcW w:w="1420" w:type="dxa"/>
            <w:vMerge w:val="continue"/>
            <w:tcBorders>
              <w:top w:val="nil"/>
              <w:left w:val="single" w:color="auto" w:sz="4" w:space="0"/>
              <w:bottom w:val="single" w:color="000000" w:sz="4" w:space="0"/>
              <w:right w:val="single" w:color="auto" w:sz="4" w:space="0"/>
            </w:tcBorders>
            <w:vAlign w:val="center"/>
          </w:tcPr>
          <w:p w14:paraId="01A4E675">
            <w:pPr>
              <w:widowControl/>
              <w:adjustRightInd/>
              <w:jc w:val="left"/>
              <w:rPr>
                <w:rFonts w:ascii="宋体" w:hAnsi="宋体" w:cs="宋体"/>
                <w:kern w:val="0"/>
                <w:sz w:val="24"/>
                <w:highlight w:val="none"/>
              </w:rPr>
            </w:pPr>
          </w:p>
        </w:tc>
        <w:tc>
          <w:tcPr>
            <w:tcW w:w="1580" w:type="dxa"/>
            <w:tcBorders>
              <w:top w:val="nil"/>
              <w:left w:val="nil"/>
              <w:bottom w:val="single" w:color="auto" w:sz="4" w:space="0"/>
              <w:right w:val="single" w:color="auto" w:sz="4" w:space="0"/>
            </w:tcBorders>
            <w:vAlign w:val="center"/>
          </w:tcPr>
          <w:p w14:paraId="7168ADE7">
            <w:pPr>
              <w:widowControl/>
              <w:adjustRightInd/>
              <w:jc w:val="left"/>
              <w:rPr>
                <w:rFonts w:ascii="宋体" w:hAnsi="宋体" w:cs="宋体"/>
                <w:kern w:val="0"/>
                <w:sz w:val="24"/>
                <w:highlight w:val="none"/>
              </w:rPr>
            </w:pPr>
            <w:r>
              <w:rPr>
                <w:rFonts w:hint="eastAsia" w:ascii="宋体" w:hAnsi="宋体" w:cs="宋体"/>
                <w:kern w:val="0"/>
                <w:sz w:val="24"/>
                <w:highlight w:val="none"/>
              </w:rPr>
              <w:t>▲同城容灾</w:t>
            </w:r>
          </w:p>
        </w:tc>
        <w:tc>
          <w:tcPr>
            <w:tcW w:w="4680" w:type="dxa"/>
            <w:tcBorders>
              <w:top w:val="nil"/>
              <w:left w:val="nil"/>
              <w:bottom w:val="single" w:color="auto" w:sz="4" w:space="0"/>
              <w:right w:val="single" w:color="auto" w:sz="4" w:space="0"/>
            </w:tcBorders>
            <w:vAlign w:val="center"/>
          </w:tcPr>
          <w:p w14:paraId="2C93E201">
            <w:pPr>
              <w:widowControl/>
              <w:adjustRightInd/>
              <w:jc w:val="left"/>
              <w:rPr>
                <w:rFonts w:ascii="宋体" w:hAnsi="宋体" w:cs="宋体"/>
                <w:kern w:val="0"/>
                <w:sz w:val="24"/>
                <w:highlight w:val="none"/>
              </w:rPr>
            </w:pPr>
            <w:r>
              <w:rPr>
                <w:rFonts w:ascii="宋体" w:hAnsi="宋体" w:cs="宋体"/>
                <w:kern w:val="0"/>
                <w:sz w:val="24"/>
                <w:highlight w:val="none"/>
              </w:rPr>
              <w:t xml:space="preserve">a) </w:t>
            </w:r>
            <w:r>
              <w:rPr>
                <w:rFonts w:hint="eastAsia" w:ascii="宋体" w:hAnsi="宋体" w:cs="宋体"/>
                <w:kern w:val="0"/>
                <w:sz w:val="24"/>
                <w:highlight w:val="none"/>
              </w:rPr>
              <w:t>支持同城双中心部署，当主中心故障时，业务切换到备中心；</w:t>
            </w:r>
          </w:p>
          <w:p w14:paraId="4F4DF471">
            <w:pPr>
              <w:widowControl/>
              <w:adjustRightInd/>
              <w:jc w:val="left"/>
              <w:rPr>
                <w:rFonts w:ascii="宋体" w:hAns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由于网络、供电等原因造成的可用区级故障，触发集群计划外停机，在同城多可用区场景下，</w:t>
            </w:r>
            <w:r>
              <w:rPr>
                <w:rFonts w:ascii="宋体" w:hAnsi="宋体" w:cs="宋体"/>
                <w:kern w:val="0"/>
                <w:sz w:val="24"/>
                <w:highlight w:val="none"/>
              </w:rPr>
              <w:t xml:space="preserve">RPO时间等于0，RTO </w:t>
            </w:r>
            <w:r>
              <w:rPr>
                <w:rFonts w:hint="eastAsia" w:ascii="宋体" w:hAnsi="宋体" w:cs="宋体"/>
                <w:kern w:val="0"/>
                <w:sz w:val="24"/>
                <w:highlight w:val="none"/>
              </w:rPr>
              <w:t>时间小于</w:t>
            </w:r>
            <w:r>
              <w:rPr>
                <w:rFonts w:ascii="宋体" w:hAnsi="宋体" w:cs="宋体"/>
                <w:kern w:val="0"/>
                <w:sz w:val="24"/>
                <w:highlight w:val="none"/>
              </w:rPr>
              <w:t>1分钟；</w:t>
            </w:r>
          </w:p>
        </w:tc>
      </w:tr>
      <w:tr w14:paraId="09C98CDC">
        <w:tblPrEx>
          <w:tblCellMar>
            <w:top w:w="0" w:type="dxa"/>
            <w:left w:w="108" w:type="dxa"/>
            <w:bottom w:w="0" w:type="dxa"/>
            <w:right w:w="108" w:type="dxa"/>
          </w:tblCellMar>
        </w:tblPrEx>
        <w:trPr>
          <w:trHeight w:val="624" w:hRule="atLeast"/>
        </w:trPr>
        <w:tc>
          <w:tcPr>
            <w:tcW w:w="740" w:type="dxa"/>
            <w:tcBorders>
              <w:top w:val="nil"/>
              <w:left w:val="single" w:color="auto" w:sz="4" w:space="0"/>
              <w:bottom w:val="single" w:color="auto" w:sz="4" w:space="0"/>
              <w:right w:val="single" w:color="auto" w:sz="4" w:space="0"/>
            </w:tcBorders>
            <w:vAlign w:val="center"/>
          </w:tcPr>
          <w:p w14:paraId="14ED93CE">
            <w:pPr>
              <w:widowControl/>
              <w:adjustRightInd/>
              <w:jc w:val="center"/>
              <w:rPr>
                <w:rFonts w:ascii="宋体" w:hAnsi="宋体" w:cs="宋体"/>
                <w:kern w:val="0"/>
                <w:sz w:val="24"/>
                <w:highlight w:val="none"/>
              </w:rPr>
            </w:pPr>
            <w:r>
              <w:rPr>
                <w:rFonts w:ascii="宋体" w:hAnsi="宋体" w:cs="宋体"/>
                <w:kern w:val="0"/>
                <w:sz w:val="24"/>
                <w:highlight w:val="none"/>
              </w:rPr>
              <w:t>44</w:t>
            </w:r>
          </w:p>
        </w:tc>
        <w:tc>
          <w:tcPr>
            <w:tcW w:w="1420" w:type="dxa"/>
            <w:vMerge w:val="restart"/>
            <w:tcBorders>
              <w:top w:val="nil"/>
              <w:left w:val="single" w:color="auto" w:sz="4" w:space="0"/>
              <w:bottom w:val="single" w:color="000000" w:sz="4" w:space="0"/>
              <w:right w:val="single" w:color="auto" w:sz="4" w:space="0"/>
            </w:tcBorders>
            <w:vAlign w:val="center"/>
          </w:tcPr>
          <w:p w14:paraId="7A0DE873">
            <w:pPr>
              <w:widowControl/>
              <w:adjustRightInd/>
              <w:jc w:val="center"/>
              <w:rPr>
                <w:rFonts w:ascii="宋体" w:hAnsi="宋体" w:cs="宋体"/>
                <w:kern w:val="0"/>
                <w:sz w:val="24"/>
                <w:highlight w:val="none"/>
              </w:rPr>
            </w:pPr>
            <w:r>
              <w:rPr>
                <w:rFonts w:hint="eastAsia" w:ascii="宋体" w:hAnsi="宋体" w:cs="宋体"/>
                <w:kern w:val="0"/>
                <w:sz w:val="24"/>
                <w:highlight w:val="none"/>
              </w:rPr>
              <w:t>▲容错性</w:t>
            </w:r>
          </w:p>
        </w:tc>
        <w:tc>
          <w:tcPr>
            <w:tcW w:w="1580" w:type="dxa"/>
            <w:tcBorders>
              <w:top w:val="nil"/>
              <w:left w:val="nil"/>
              <w:bottom w:val="single" w:color="auto" w:sz="4" w:space="0"/>
              <w:right w:val="single" w:color="auto" w:sz="4" w:space="0"/>
            </w:tcBorders>
            <w:vAlign w:val="center"/>
          </w:tcPr>
          <w:p w14:paraId="0857E76C">
            <w:pPr>
              <w:widowControl/>
              <w:adjustRightInd/>
              <w:jc w:val="left"/>
              <w:rPr>
                <w:rFonts w:ascii="宋体" w:hAnsi="宋体" w:cs="宋体"/>
                <w:kern w:val="0"/>
                <w:sz w:val="24"/>
                <w:highlight w:val="none"/>
              </w:rPr>
            </w:pPr>
            <w:r>
              <w:rPr>
                <w:rFonts w:hint="eastAsia" w:ascii="宋体" w:hAnsi="宋体" w:cs="宋体"/>
                <w:kern w:val="0"/>
                <w:sz w:val="24"/>
                <w:highlight w:val="none"/>
              </w:rPr>
              <w:t>▲服务端编程稳定性</w:t>
            </w:r>
          </w:p>
        </w:tc>
        <w:tc>
          <w:tcPr>
            <w:tcW w:w="4680" w:type="dxa"/>
            <w:tcBorders>
              <w:top w:val="nil"/>
              <w:left w:val="nil"/>
              <w:bottom w:val="single" w:color="auto" w:sz="4" w:space="0"/>
              <w:right w:val="single" w:color="auto" w:sz="4" w:space="0"/>
            </w:tcBorders>
            <w:vAlign w:val="center"/>
          </w:tcPr>
          <w:p w14:paraId="02E8B21A">
            <w:pPr>
              <w:widowControl/>
              <w:adjustRightInd/>
              <w:jc w:val="left"/>
              <w:rPr>
                <w:rFonts w:ascii="宋体" w:hAnsi="宋体" w:cs="宋体"/>
                <w:kern w:val="0"/>
                <w:sz w:val="24"/>
                <w:highlight w:val="none"/>
              </w:rPr>
            </w:pPr>
            <w:r>
              <w:rPr>
                <w:rFonts w:hint="eastAsia" w:ascii="宋体" w:hAnsi="宋体" w:cs="宋体"/>
                <w:kern w:val="0"/>
                <w:sz w:val="24"/>
                <w:highlight w:val="none"/>
              </w:rPr>
              <w:t>支持当用户自定义的存储过程、函数运行异常时，数据库稳定运行；</w:t>
            </w:r>
          </w:p>
        </w:tc>
      </w:tr>
      <w:tr w14:paraId="3501C6DA">
        <w:tblPrEx>
          <w:tblCellMar>
            <w:top w:w="0" w:type="dxa"/>
            <w:left w:w="108" w:type="dxa"/>
            <w:bottom w:w="0" w:type="dxa"/>
            <w:right w:w="108" w:type="dxa"/>
          </w:tblCellMar>
        </w:tblPrEx>
        <w:trPr>
          <w:trHeight w:val="312" w:hRule="atLeast"/>
        </w:trPr>
        <w:tc>
          <w:tcPr>
            <w:tcW w:w="740" w:type="dxa"/>
            <w:tcBorders>
              <w:top w:val="nil"/>
              <w:left w:val="single" w:color="auto" w:sz="4" w:space="0"/>
              <w:bottom w:val="single" w:color="auto" w:sz="4" w:space="0"/>
              <w:right w:val="single" w:color="auto" w:sz="4" w:space="0"/>
            </w:tcBorders>
            <w:vAlign w:val="center"/>
          </w:tcPr>
          <w:p w14:paraId="6B3FB5D8">
            <w:pPr>
              <w:widowControl/>
              <w:adjustRightInd/>
              <w:jc w:val="center"/>
              <w:rPr>
                <w:rFonts w:ascii="宋体" w:hAnsi="宋体" w:cs="宋体"/>
                <w:kern w:val="0"/>
                <w:sz w:val="24"/>
                <w:highlight w:val="none"/>
              </w:rPr>
            </w:pPr>
            <w:r>
              <w:rPr>
                <w:rFonts w:ascii="宋体" w:hAnsi="宋体" w:cs="宋体"/>
                <w:kern w:val="0"/>
                <w:sz w:val="24"/>
                <w:highlight w:val="none"/>
              </w:rPr>
              <w:t>45</w:t>
            </w:r>
          </w:p>
        </w:tc>
        <w:tc>
          <w:tcPr>
            <w:tcW w:w="1420" w:type="dxa"/>
            <w:vMerge w:val="continue"/>
            <w:tcBorders>
              <w:top w:val="nil"/>
              <w:left w:val="single" w:color="auto" w:sz="4" w:space="0"/>
              <w:bottom w:val="single" w:color="000000" w:sz="4" w:space="0"/>
              <w:right w:val="single" w:color="auto" w:sz="4" w:space="0"/>
            </w:tcBorders>
            <w:vAlign w:val="center"/>
          </w:tcPr>
          <w:p w14:paraId="1EFD231C">
            <w:pPr>
              <w:widowControl/>
              <w:adjustRightInd/>
              <w:jc w:val="left"/>
              <w:rPr>
                <w:rFonts w:ascii="宋体" w:hAnsi="宋体" w:cs="宋体"/>
                <w:kern w:val="0"/>
                <w:sz w:val="24"/>
                <w:highlight w:val="none"/>
              </w:rPr>
            </w:pPr>
          </w:p>
        </w:tc>
        <w:tc>
          <w:tcPr>
            <w:tcW w:w="1580" w:type="dxa"/>
            <w:tcBorders>
              <w:top w:val="nil"/>
              <w:left w:val="nil"/>
              <w:bottom w:val="single" w:color="auto" w:sz="4" w:space="0"/>
              <w:right w:val="single" w:color="auto" w:sz="4" w:space="0"/>
            </w:tcBorders>
            <w:vAlign w:val="center"/>
          </w:tcPr>
          <w:p w14:paraId="689CE940">
            <w:pPr>
              <w:widowControl/>
              <w:adjustRightInd/>
              <w:jc w:val="left"/>
              <w:rPr>
                <w:rFonts w:ascii="宋体" w:hAnsi="宋体" w:cs="宋体"/>
                <w:kern w:val="0"/>
                <w:sz w:val="24"/>
                <w:highlight w:val="none"/>
              </w:rPr>
            </w:pPr>
            <w:r>
              <w:rPr>
                <w:rFonts w:hint="eastAsia" w:ascii="宋体" w:hAnsi="宋体" w:cs="宋体"/>
                <w:kern w:val="0"/>
                <w:sz w:val="24"/>
                <w:highlight w:val="none"/>
              </w:rPr>
              <w:t>▲网络容错</w:t>
            </w:r>
          </w:p>
        </w:tc>
        <w:tc>
          <w:tcPr>
            <w:tcW w:w="4680" w:type="dxa"/>
            <w:tcBorders>
              <w:top w:val="nil"/>
              <w:left w:val="nil"/>
              <w:bottom w:val="single" w:color="auto" w:sz="4" w:space="0"/>
              <w:right w:val="single" w:color="auto" w:sz="4" w:space="0"/>
            </w:tcBorders>
            <w:vAlign w:val="center"/>
          </w:tcPr>
          <w:p w14:paraId="0B6E2C78">
            <w:pPr>
              <w:widowControl/>
              <w:adjustRightInd/>
              <w:jc w:val="left"/>
              <w:rPr>
                <w:rFonts w:ascii="宋体" w:hAnsi="宋体" w:cs="宋体"/>
                <w:kern w:val="0"/>
                <w:sz w:val="24"/>
                <w:highlight w:val="none"/>
              </w:rPr>
            </w:pPr>
            <w:r>
              <w:rPr>
                <w:rFonts w:hint="eastAsia" w:ascii="宋体" w:hAnsi="宋体" w:cs="宋体"/>
                <w:kern w:val="0"/>
                <w:sz w:val="24"/>
                <w:highlight w:val="none"/>
              </w:rPr>
              <w:t>支持网络中断时，保障事务一致性；</w:t>
            </w:r>
          </w:p>
        </w:tc>
      </w:tr>
      <w:tr w14:paraId="7FDCEC1B">
        <w:tblPrEx>
          <w:tblCellMar>
            <w:top w:w="0" w:type="dxa"/>
            <w:left w:w="108" w:type="dxa"/>
            <w:bottom w:w="0" w:type="dxa"/>
            <w:right w:w="108" w:type="dxa"/>
          </w:tblCellMar>
        </w:tblPrEx>
        <w:trPr>
          <w:trHeight w:val="2496" w:hRule="atLeast"/>
        </w:trPr>
        <w:tc>
          <w:tcPr>
            <w:tcW w:w="740" w:type="dxa"/>
            <w:tcBorders>
              <w:top w:val="nil"/>
              <w:left w:val="single" w:color="auto" w:sz="4" w:space="0"/>
              <w:bottom w:val="single" w:color="auto" w:sz="4" w:space="0"/>
              <w:right w:val="single" w:color="auto" w:sz="4" w:space="0"/>
            </w:tcBorders>
            <w:vAlign w:val="center"/>
          </w:tcPr>
          <w:p w14:paraId="4EFA1448">
            <w:pPr>
              <w:widowControl/>
              <w:adjustRightInd/>
              <w:jc w:val="center"/>
              <w:rPr>
                <w:rFonts w:ascii="宋体" w:hAnsi="宋体" w:cs="宋体"/>
                <w:kern w:val="0"/>
                <w:sz w:val="24"/>
                <w:highlight w:val="none"/>
              </w:rPr>
            </w:pPr>
            <w:r>
              <w:rPr>
                <w:rFonts w:ascii="宋体" w:hAnsi="宋体" w:cs="宋体"/>
                <w:kern w:val="0"/>
                <w:sz w:val="24"/>
                <w:highlight w:val="none"/>
              </w:rPr>
              <w:t>46</w:t>
            </w:r>
          </w:p>
        </w:tc>
        <w:tc>
          <w:tcPr>
            <w:tcW w:w="1420" w:type="dxa"/>
            <w:vMerge w:val="continue"/>
            <w:tcBorders>
              <w:top w:val="nil"/>
              <w:left w:val="single" w:color="auto" w:sz="4" w:space="0"/>
              <w:bottom w:val="single" w:color="000000" w:sz="4" w:space="0"/>
              <w:right w:val="single" w:color="auto" w:sz="4" w:space="0"/>
            </w:tcBorders>
            <w:vAlign w:val="center"/>
          </w:tcPr>
          <w:p w14:paraId="6C1416DD">
            <w:pPr>
              <w:widowControl/>
              <w:adjustRightInd/>
              <w:jc w:val="left"/>
              <w:rPr>
                <w:rFonts w:ascii="宋体" w:hAnsi="宋体" w:cs="宋体"/>
                <w:kern w:val="0"/>
                <w:sz w:val="24"/>
                <w:highlight w:val="none"/>
              </w:rPr>
            </w:pPr>
          </w:p>
        </w:tc>
        <w:tc>
          <w:tcPr>
            <w:tcW w:w="1580" w:type="dxa"/>
            <w:tcBorders>
              <w:top w:val="nil"/>
              <w:left w:val="nil"/>
              <w:bottom w:val="single" w:color="auto" w:sz="4" w:space="0"/>
              <w:right w:val="single" w:color="auto" w:sz="4" w:space="0"/>
            </w:tcBorders>
            <w:vAlign w:val="center"/>
          </w:tcPr>
          <w:p w14:paraId="77115C02">
            <w:pPr>
              <w:widowControl/>
              <w:adjustRightInd/>
              <w:jc w:val="left"/>
              <w:rPr>
                <w:rFonts w:ascii="宋体" w:hAnsi="宋体" w:cs="宋体"/>
                <w:kern w:val="0"/>
                <w:sz w:val="24"/>
                <w:highlight w:val="none"/>
              </w:rPr>
            </w:pPr>
            <w:r>
              <w:rPr>
                <w:rFonts w:hint="eastAsia" w:ascii="宋体" w:hAnsi="宋体" w:cs="宋体"/>
                <w:kern w:val="0"/>
                <w:sz w:val="24"/>
                <w:highlight w:val="none"/>
              </w:rPr>
              <w:t>▲检测报警</w:t>
            </w:r>
          </w:p>
        </w:tc>
        <w:tc>
          <w:tcPr>
            <w:tcW w:w="4680" w:type="dxa"/>
            <w:tcBorders>
              <w:top w:val="nil"/>
              <w:left w:val="nil"/>
              <w:bottom w:val="single" w:color="auto" w:sz="4" w:space="0"/>
              <w:right w:val="single" w:color="auto" w:sz="4" w:space="0"/>
            </w:tcBorders>
            <w:vAlign w:val="center"/>
          </w:tcPr>
          <w:p w14:paraId="65AB3383">
            <w:pPr>
              <w:widowControl/>
              <w:adjustRightInd/>
              <w:jc w:val="left"/>
              <w:rPr>
                <w:rFonts w:ascii="宋体" w:hAnsi="宋体" w:cs="宋体"/>
                <w:kern w:val="0"/>
                <w:sz w:val="24"/>
                <w:highlight w:val="none"/>
              </w:rPr>
            </w:pPr>
            <w:r>
              <w:rPr>
                <w:rFonts w:ascii="宋体" w:hAnsi="宋体" w:cs="宋体"/>
                <w:kern w:val="0"/>
                <w:sz w:val="24"/>
                <w:highlight w:val="none"/>
              </w:rPr>
              <w:t xml:space="preserve">a) </w:t>
            </w:r>
            <w:r>
              <w:rPr>
                <w:rFonts w:hint="eastAsia" w:ascii="宋体" w:hAnsi="宋体" w:cs="宋体"/>
                <w:kern w:val="0"/>
                <w:sz w:val="24"/>
                <w:highlight w:val="none"/>
              </w:rPr>
              <w:t>支持数据库实例启动时错误检测能力；</w:t>
            </w:r>
          </w:p>
          <w:p w14:paraId="0A494DD5">
            <w:pPr>
              <w:widowControl/>
              <w:adjustRightInd/>
              <w:jc w:val="left"/>
              <w:rPr>
                <w:rFonts w:ascii="宋体" w:hAns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支持加载不同文件格式、不同大小数据出现错误时的故障检测和处理能力；</w:t>
            </w:r>
          </w:p>
          <w:p w14:paraId="40D1BE95">
            <w:pPr>
              <w:widowControl/>
              <w:adjustRightInd/>
              <w:jc w:val="left"/>
              <w:rPr>
                <w:rFonts w:ascii="宋体" w:hAnsi="宋体" w:cs="宋体"/>
                <w:kern w:val="0"/>
                <w:sz w:val="24"/>
                <w:highlight w:val="none"/>
              </w:rPr>
            </w:pPr>
            <w:r>
              <w:rPr>
                <w:rFonts w:ascii="宋体" w:hAnsi="宋体" w:cs="宋体"/>
                <w:kern w:val="0"/>
                <w:sz w:val="24"/>
                <w:highlight w:val="none"/>
              </w:rPr>
              <w:t xml:space="preserve">c) </w:t>
            </w:r>
            <w:r>
              <w:rPr>
                <w:rFonts w:hint="eastAsia" w:ascii="宋体" w:hAnsi="宋体" w:cs="宋体"/>
                <w:kern w:val="0"/>
                <w:sz w:val="24"/>
                <w:highlight w:val="none"/>
              </w:rPr>
              <w:t>支持数据库备份执行过程中发生故障时报错或者报警能力；</w:t>
            </w:r>
          </w:p>
          <w:p w14:paraId="10D62CB0">
            <w:pPr>
              <w:widowControl/>
              <w:adjustRightInd/>
              <w:jc w:val="left"/>
              <w:rPr>
                <w:rFonts w:ascii="宋体" w:hAnsi="宋体" w:cs="宋体"/>
                <w:kern w:val="0"/>
                <w:sz w:val="24"/>
                <w:highlight w:val="none"/>
              </w:rPr>
            </w:pPr>
            <w:r>
              <w:rPr>
                <w:rFonts w:ascii="宋体" w:hAnsi="宋体" w:cs="宋体"/>
                <w:kern w:val="0"/>
                <w:sz w:val="24"/>
                <w:highlight w:val="none"/>
              </w:rPr>
              <w:t xml:space="preserve">d) </w:t>
            </w:r>
            <w:r>
              <w:rPr>
                <w:rFonts w:hint="eastAsia" w:ascii="宋体" w:hAnsi="宋体" w:cs="宋体"/>
                <w:kern w:val="0"/>
                <w:sz w:val="24"/>
                <w:highlight w:val="none"/>
              </w:rPr>
              <w:t>支持数据库恢复发生故障时报错或者报警能力；</w:t>
            </w:r>
          </w:p>
        </w:tc>
      </w:tr>
      <w:tr w14:paraId="124BB1E3">
        <w:tblPrEx>
          <w:tblCellMar>
            <w:top w:w="0" w:type="dxa"/>
            <w:left w:w="108" w:type="dxa"/>
            <w:bottom w:w="0" w:type="dxa"/>
            <w:right w:w="108" w:type="dxa"/>
          </w:tblCellMar>
        </w:tblPrEx>
        <w:trPr>
          <w:trHeight w:val="1248" w:hRule="atLeast"/>
        </w:trPr>
        <w:tc>
          <w:tcPr>
            <w:tcW w:w="740" w:type="dxa"/>
            <w:tcBorders>
              <w:top w:val="nil"/>
              <w:left w:val="single" w:color="auto" w:sz="4" w:space="0"/>
              <w:bottom w:val="single" w:color="auto" w:sz="4" w:space="0"/>
              <w:right w:val="single" w:color="auto" w:sz="4" w:space="0"/>
            </w:tcBorders>
            <w:vAlign w:val="center"/>
          </w:tcPr>
          <w:p w14:paraId="408C8C14">
            <w:pPr>
              <w:widowControl/>
              <w:adjustRightInd/>
              <w:jc w:val="center"/>
              <w:rPr>
                <w:rFonts w:ascii="宋体" w:hAnsi="宋体" w:cs="宋体"/>
                <w:kern w:val="0"/>
                <w:sz w:val="24"/>
                <w:highlight w:val="none"/>
              </w:rPr>
            </w:pPr>
            <w:r>
              <w:rPr>
                <w:rFonts w:ascii="宋体" w:hAnsi="宋体" w:cs="宋体"/>
                <w:kern w:val="0"/>
                <w:sz w:val="24"/>
                <w:highlight w:val="none"/>
              </w:rPr>
              <w:t>47</w:t>
            </w:r>
          </w:p>
        </w:tc>
        <w:tc>
          <w:tcPr>
            <w:tcW w:w="1420" w:type="dxa"/>
            <w:vMerge w:val="continue"/>
            <w:tcBorders>
              <w:top w:val="nil"/>
              <w:left w:val="single" w:color="auto" w:sz="4" w:space="0"/>
              <w:bottom w:val="single" w:color="000000" w:sz="4" w:space="0"/>
              <w:right w:val="single" w:color="auto" w:sz="4" w:space="0"/>
            </w:tcBorders>
            <w:vAlign w:val="center"/>
          </w:tcPr>
          <w:p w14:paraId="566F49F3">
            <w:pPr>
              <w:widowControl/>
              <w:adjustRightInd/>
              <w:jc w:val="left"/>
              <w:rPr>
                <w:rFonts w:ascii="宋体" w:hAnsi="宋体" w:cs="宋体"/>
                <w:kern w:val="0"/>
                <w:sz w:val="24"/>
                <w:highlight w:val="none"/>
              </w:rPr>
            </w:pPr>
          </w:p>
        </w:tc>
        <w:tc>
          <w:tcPr>
            <w:tcW w:w="1580" w:type="dxa"/>
            <w:tcBorders>
              <w:top w:val="nil"/>
              <w:left w:val="nil"/>
              <w:bottom w:val="single" w:color="auto" w:sz="4" w:space="0"/>
              <w:right w:val="single" w:color="auto" w:sz="4" w:space="0"/>
            </w:tcBorders>
            <w:vAlign w:val="center"/>
          </w:tcPr>
          <w:p w14:paraId="3E417E4A">
            <w:pPr>
              <w:widowControl/>
              <w:adjustRightInd/>
              <w:jc w:val="left"/>
              <w:rPr>
                <w:rFonts w:ascii="宋体" w:hAnsi="宋体" w:cs="宋体"/>
                <w:kern w:val="0"/>
                <w:sz w:val="24"/>
                <w:highlight w:val="none"/>
              </w:rPr>
            </w:pPr>
            <w:r>
              <w:rPr>
                <w:rFonts w:hint="eastAsia" w:ascii="宋体" w:hAnsi="宋体" w:cs="宋体"/>
                <w:kern w:val="0"/>
                <w:sz w:val="24"/>
                <w:highlight w:val="none"/>
              </w:rPr>
              <w:t>▲故障恢复</w:t>
            </w:r>
          </w:p>
        </w:tc>
        <w:tc>
          <w:tcPr>
            <w:tcW w:w="4680" w:type="dxa"/>
            <w:tcBorders>
              <w:top w:val="nil"/>
              <w:left w:val="nil"/>
              <w:bottom w:val="single" w:color="auto" w:sz="4" w:space="0"/>
              <w:right w:val="single" w:color="auto" w:sz="4" w:space="0"/>
            </w:tcBorders>
            <w:vAlign w:val="center"/>
          </w:tcPr>
          <w:p w14:paraId="63096A50">
            <w:pPr>
              <w:widowControl/>
              <w:adjustRightInd/>
              <w:jc w:val="left"/>
              <w:rPr>
                <w:rFonts w:ascii="宋体" w:hAnsi="宋体" w:cs="宋体"/>
                <w:kern w:val="0"/>
                <w:sz w:val="24"/>
                <w:highlight w:val="none"/>
              </w:rPr>
            </w:pPr>
            <w:r>
              <w:rPr>
                <w:rFonts w:ascii="宋体" w:hAnsi="宋体" w:cs="宋体"/>
                <w:kern w:val="0"/>
                <w:sz w:val="24"/>
                <w:highlight w:val="none"/>
              </w:rPr>
              <w:t xml:space="preserve">a) </w:t>
            </w:r>
            <w:r>
              <w:rPr>
                <w:rFonts w:hint="eastAsia" w:ascii="宋体" w:hAnsi="宋体" w:cs="宋体"/>
                <w:kern w:val="0"/>
                <w:sz w:val="24"/>
                <w:highlight w:val="none"/>
              </w:rPr>
              <w:t>系统故障重启后能正常运行且支持数据一致性；</w:t>
            </w:r>
          </w:p>
          <w:p w14:paraId="7A791131">
            <w:pPr>
              <w:widowControl/>
              <w:adjustRightInd/>
              <w:jc w:val="left"/>
              <w:rPr>
                <w:rFonts w:ascii="宋体" w:hAns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支持完全媒体故障恢复的能力；</w:t>
            </w:r>
          </w:p>
          <w:p w14:paraId="2C31C54F">
            <w:pPr>
              <w:widowControl/>
              <w:adjustRightInd/>
              <w:jc w:val="left"/>
              <w:rPr>
                <w:rFonts w:ascii="宋体" w:hAnsi="宋体" w:cs="宋体"/>
                <w:kern w:val="0"/>
                <w:sz w:val="24"/>
                <w:highlight w:val="none"/>
              </w:rPr>
            </w:pPr>
            <w:r>
              <w:rPr>
                <w:rFonts w:ascii="宋体" w:hAnsi="宋体" w:cs="宋体"/>
                <w:kern w:val="0"/>
                <w:sz w:val="24"/>
                <w:highlight w:val="none"/>
              </w:rPr>
              <w:t xml:space="preserve">c) </w:t>
            </w:r>
            <w:r>
              <w:rPr>
                <w:rFonts w:hint="eastAsia" w:ascii="宋体" w:hAnsi="宋体" w:cs="宋体"/>
                <w:kern w:val="0"/>
                <w:sz w:val="24"/>
                <w:highlight w:val="none"/>
              </w:rPr>
              <w:t>提供基于时间点故障恢复功能</w:t>
            </w:r>
          </w:p>
        </w:tc>
      </w:tr>
      <w:tr w14:paraId="6473B4FB">
        <w:tblPrEx>
          <w:tblCellMar>
            <w:top w:w="0" w:type="dxa"/>
            <w:left w:w="108" w:type="dxa"/>
            <w:bottom w:w="0" w:type="dxa"/>
            <w:right w:w="108" w:type="dxa"/>
          </w:tblCellMar>
        </w:tblPrEx>
        <w:trPr>
          <w:trHeight w:val="624" w:hRule="atLeast"/>
        </w:trPr>
        <w:tc>
          <w:tcPr>
            <w:tcW w:w="740" w:type="dxa"/>
            <w:tcBorders>
              <w:top w:val="nil"/>
              <w:left w:val="single" w:color="auto" w:sz="4" w:space="0"/>
              <w:bottom w:val="single" w:color="auto" w:sz="4" w:space="0"/>
              <w:right w:val="single" w:color="auto" w:sz="4" w:space="0"/>
            </w:tcBorders>
            <w:vAlign w:val="center"/>
          </w:tcPr>
          <w:p w14:paraId="77C535CA">
            <w:pPr>
              <w:widowControl/>
              <w:adjustRightInd/>
              <w:jc w:val="center"/>
              <w:rPr>
                <w:rFonts w:ascii="宋体" w:hAnsi="宋体" w:cs="宋体"/>
                <w:kern w:val="0"/>
                <w:sz w:val="24"/>
                <w:highlight w:val="none"/>
              </w:rPr>
            </w:pPr>
            <w:r>
              <w:rPr>
                <w:rFonts w:ascii="宋体" w:hAnsi="宋体" w:cs="宋体"/>
                <w:kern w:val="0"/>
                <w:sz w:val="24"/>
                <w:highlight w:val="none"/>
              </w:rPr>
              <w:t>48</w:t>
            </w:r>
          </w:p>
        </w:tc>
        <w:tc>
          <w:tcPr>
            <w:tcW w:w="1420" w:type="dxa"/>
            <w:vMerge w:val="continue"/>
            <w:tcBorders>
              <w:top w:val="nil"/>
              <w:left w:val="single" w:color="auto" w:sz="4" w:space="0"/>
              <w:bottom w:val="single" w:color="000000" w:sz="4" w:space="0"/>
              <w:right w:val="single" w:color="auto" w:sz="4" w:space="0"/>
            </w:tcBorders>
            <w:vAlign w:val="center"/>
          </w:tcPr>
          <w:p w14:paraId="331DE23E">
            <w:pPr>
              <w:widowControl/>
              <w:adjustRightInd/>
              <w:jc w:val="left"/>
              <w:rPr>
                <w:rFonts w:ascii="宋体" w:hAnsi="宋体" w:cs="宋体"/>
                <w:kern w:val="0"/>
                <w:sz w:val="24"/>
                <w:highlight w:val="none"/>
              </w:rPr>
            </w:pPr>
          </w:p>
        </w:tc>
        <w:tc>
          <w:tcPr>
            <w:tcW w:w="1580" w:type="dxa"/>
            <w:tcBorders>
              <w:top w:val="nil"/>
              <w:left w:val="nil"/>
              <w:bottom w:val="single" w:color="auto" w:sz="4" w:space="0"/>
              <w:right w:val="single" w:color="auto" w:sz="4" w:space="0"/>
            </w:tcBorders>
            <w:vAlign w:val="center"/>
          </w:tcPr>
          <w:p w14:paraId="0C4C1CE2">
            <w:pPr>
              <w:widowControl/>
              <w:adjustRightInd/>
              <w:jc w:val="left"/>
              <w:rPr>
                <w:rFonts w:ascii="宋体" w:hAnsi="宋体" w:cs="宋体"/>
                <w:kern w:val="0"/>
                <w:sz w:val="24"/>
                <w:highlight w:val="none"/>
              </w:rPr>
            </w:pPr>
            <w:r>
              <w:rPr>
                <w:rFonts w:hint="eastAsia" w:ascii="宋体" w:hAnsi="宋体" w:cs="宋体"/>
                <w:kern w:val="0"/>
                <w:sz w:val="24"/>
                <w:highlight w:val="none"/>
              </w:rPr>
              <w:t>▲不同级别故障可恢复</w:t>
            </w:r>
          </w:p>
        </w:tc>
        <w:tc>
          <w:tcPr>
            <w:tcW w:w="4680" w:type="dxa"/>
            <w:tcBorders>
              <w:top w:val="nil"/>
              <w:left w:val="nil"/>
              <w:bottom w:val="single" w:color="auto" w:sz="4" w:space="0"/>
              <w:right w:val="single" w:color="auto" w:sz="4" w:space="0"/>
            </w:tcBorders>
            <w:vAlign w:val="center"/>
          </w:tcPr>
          <w:p w14:paraId="56478FE7">
            <w:pPr>
              <w:widowControl/>
              <w:adjustRightInd/>
              <w:jc w:val="left"/>
              <w:rPr>
                <w:rFonts w:ascii="宋体" w:hAnsi="宋体" w:cs="宋体"/>
                <w:kern w:val="0"/>
                <w:sz w:val="24"/>
                <w:highlight w:val="none"/>
              </w:rPr>
            </w:pPr>
            <w:r>
              <w:rPr>
                <w:rFonts w:hint="eastAsia" w:ascii="宋体" w:hAnsi="宋体" w:cs="宋体"/>
                <w:kern w:val="0"/>
                <w:sz w:val="24"/>
                <w:highlight w:val="none"/>
              </w:rPr>
              <w:t>支持数据库事务故障、系统故障、存储</w:t>
            </w:r>
            <w:r>
              <w:rPr>
                <w:rFonts w:ascii="宋体" w:hAnsi="宋体" w:cs="宋体"/>
                <w:kern w:val="0"/>
                <w:sz w:val="24"/>
                <w:highlight w:val="none"/>
              </w:rPr>
              <w:t xml:space="preserve"> </w:t>
            </w:r>
            <w:r>
              <w:rPr>
                <w:rFonts w:hint="eastAsia" w:ascii="宋体" w:hAnsi="宋体" w:cs="宋体"/>
                <w:kern w:val="0"/>
                <w:sz w:val="24"/>
                <w:highlight w:val="none"/>
              </w:rPr>
              <w:t>媒体故障不同级别的可恢复能力；</w:t>
            </w:r>
          </w:p>
        </w:tc>
      </w:tr>
      <w:tr w14:paraId="6F39D08C">
        <w:tblPrEx>
          <w:tblCellMar>
            <w:top w:w="0" w:type="dxa"/>
            <w:left w:w="108" w:type="dxa"/>
            <w:bottom w:w="0" w:type="dxa"/>
            <w:right w:w="108" w:type="dxa"/>
          </w:tblCellMar>
        </w:tblPrEx>
        <w:trPr>
          <w:trHeight w:val="2184" w:hRule="atLeast"/>
        </w:trPr>
        <w:tc>
          <w:tcPr>
            <w:tcW w:w="740" w:type="dxa"/>
            <w:tcBorders>
              <w:top w:val="nil"/>
              <w:left w:val="single" w:color="auto" w:sz="4" w:space="0"/>
              <w:bottom w:val="single" w:color="auto" w:sz="4" w:space="0"/>
              <w:right w:val="single" w:color="auto" w:sz="4" w:space="0"/>
            </w:tcBorders>
            <w:vAlign w:val="center"/>
          </w:tcPr>
          <w:p w14:paraId="3DD6C76F">
            <w:pPr>
              <w:widowControl/>
              <w:adjustRightInd/>
              <w:jc w:val="center"/>
              <w:rPr>
                <w:rFonts w:ascii="宋体" w:hAnsi="宋体" w:cs="宋体"/>
                <w:kern w:val="0"/>
                <w:sz w:val="24"/>
                <w:highlight w:val="none"/>
              </w:rPr>
            </w:pPr>
            <w:r>
              <w:rPr>
                <w:rFonts w:ascii="宋体" w:hAnsi="宋体" w:cs="宋体"/>
                <w:kern w:val="0"/>
                <w:sz w:val="24"/>
                <w:highlight w:val="none"/>
              </w:rPr>
              <w:t>49</w:t>
            </w:r>
          </w:p>
        </w:tc>
        <w:tc>
          <w:tcPr>
            <w:tcW w:w="1420" w:type="dxa"/>
            <w:tcBorders>
              <w:top w:val="nil"/>
              <w:left w:val="nil"/>
              <w:bottom w:val="single" w:color="auto" w:sz="4" w:space="0"/>
              <w:right w:val="single" w:color="auto" w:sz="4" w:space="0"/>
            </w:tcBorders>
            <w:vAlign w:val="center"/>
          </w:tcPr>
          <w:p w14:paraId="5B94DD30">
            <w:pPr>
              <w:widowControl/>
              <w:adjustRightInd/>
              <w:jc w:val="center"/>
              <w:rPr>
                <w:rFonts w:ascii="宋体" w:hAnsi="宋体" w:cs="宋体"/>
                <w:kern w:val="0"/>
                <w:sz w:val="24"/>
                <w:highlight w:val="none"/>
              </w:rPr>
            </w:pPr>
            <w:r>
              <w:rPr>
                <w:rFonts w:hint="eastAsia" w:ascii="宋体" w:hAnsi="宋体" w:cs="宋体"/>
                <w:kern w:val="0"/>
                <w:sz w:val="24"/>
                <w:highlight w:val="none"/>
              </w:rPr>
              <w:t>▲硬件兼容</w:t>
            </w:r>
          </w:p>
        </w:tc>
        <w:tc>
          <w:tcPr>
            <w:tcW w:w="1580" w:type="dxa"/>
            <w:tcBorders>
              <w:top w:val="nil"/>
              <w:left w:val="nil"/>
              <w:bottom w:val="single" w:color="auto" w:sz="4" w:space="0"/>
              <w:right w:val="single" w:color="auto" w:sz="4" w:space="0"/>
            </w:tcBorders>
            <w:vAlign w:val="center"/>
          </w:tcPr>
          <w:p w14:paraId="7043BC36">
            <w:pPr>
              <w:widowControl/>
              <w:adjustRightInd/>
              <w:jc w:val="left"/>
              <w:rPr>
                <w:rFonts w:ascii="宋体" w:hAnsi="宋体" w:cs="宋体"/>
                <w:kern w:val="0"/>
                <w:sz w:val="24"/>
                <w:highlight w:val="none"/>
              </w:rPr>
            </w:pPr>
            <w:r>
              <w:rPr>
                <w:rFonts w:hint="eastAsia" w:ascii="宋体" w:hAnsi="宋体" w:cs="宋体"/>
                <w:kern w:val="0"/>
                <w:sz w:val="24"/>
                <w:highlight w:val="none"/>
              </w:rPr>
              <w:t>▲硬件平台兼容</w:t>
            </w:r>
          </w:p>
        </w:tc>
        <w:tc>
          <w:tcPr>
            <w:tcW w:w="4680" w:type="dxa"/>
            <w:tcBorders>
              <w:top w:val="nil"/>
              <w:left w:val="nil"/>
              <w:bottom w:val="single" w:color="auto" w:sz="4" w:space="0"/>
              <w:right w:val="single" w:color="auto" w:sz="4" w:space="0"/>
            </w:tcBorders>
            <w:vAlign w:val="center"/>
          </w:tcPr>
          <w:p w14:paraId="1236CA81">
            <w:pPr>
              <w:widowControl/>
              <w:adjustRightInd/>
              <w:jc w:val="left"/>
              <w:rPr>
                <w:rFonts w:ascii="宋体" w:hAnsi="宋体" w:cs="宋体"/>
                <w:kern w:val="0"/>
                <w:sz w:val="24"/>
                <w:highlight w:val="none"/>
              </w:rPr>
            </w:pPr>
            <w:r>
              <w:rPr>
                <w:rFonts w:ascii="宋体" w:hAnsi="宋体" w:cs="宋体"/>
                <w:kern w:val="0"/>
                <w:sz w:val="24"/>
                <w:highlight w:val="none"/>
              </w:rPr>
              <w:t xml:space="preserve">a) </w:t>
            </w:r>
            <w:r>
              <w:rPr>
                <w:rFonts w:hint="eastAsia" w:ascii="宋体" w:hAnsi="宋体" w:cs="宋体"/>
                <w:kern w:val="0"/>
                <w:sz w:val="24"/>
                <w:highlight w:val="none"/>
              </w:rPr>
              <w:t>同源支持以下至少三种</w:t>
            </w:r>
            <w:r>
              <w:rPr>
                <w:rFonts w:ascii="宋体" w:hAnsi="宋体" w:cs="宋体"/>
                <w:kern w:val="0"/>
                <w:sz w:val="24"/>
                <w:highlight w:val="none"/>
              </w:rPr>
              <w:t xml:space="preserve"> CPU </w:t>
            </w:r>
            <w:r>
              <w:rPr>
                <w:rFonts w:hint="eastAsia" w:ascii="宋体" w:hAnsi="宋体" w:cs="宋体"/>
                <w:kern w:val="0"/>
                <w:sz w:val="24"/>
                <w:highlight w:val="none"/>
              </w:rPr>
              <w:t>平台架构：</w:t>
            </w:r>
          </w:p>
          <w:p w14:paraId="0F962B51">
            <w:pPr>
              <w:widowControl/>
              <w:adjustRightInd/>
              <w:jc w:val="left"/>
              <w:rPr>
                <w:rFonts w:ascii="宋体" w:hAnsi="宋体" w:cs="宋体"/>
                <w:kern w:val="0"/>
                <w:sz w:val="24"/>
                <w:highlight w:val="none"/>
              </w:rPr>
            </w:pPr>
            <w:r>
              <w:rPr>
                <w:rFonts w:ascii="宋体" w:hAnsi="宋体" w:cs="宋体"/>
                <w:kern w:val="0"/>
                <w:sz w:val="24"/>
                <w:highlight w:val="none"/>
              </w:rPr>
              <w:t>1) ARM；</w:t>
            </w:r>
          </w:p>
          <w:p w14:paraId="34D44B7D">
            <w:pPr>
              <w:widowControl/>
              <w:adjustRightInd/>
              <w:jc w:val="left"/>
              <w:rPr>
                <w:rFonts w:ascii="宋体" w:hAnsi="宋体" w:cs="宋体"/>
                <w:kern w:val="0"/>
                <w:sz w:val="24"/>
                <w:highlight w:val="none"/>
              </w:rPr>
            </w:pPr>
            <w:r>
              <w:rPr>
                <w:rFonts w:ascii="宋体" w:hAnsi="宋体" w:cs="宋体"/>
                <w:kern w:val="0"/>
                <w:sz w:val="24"/>
                <w:highlight w:val="none"/>
              </w:rPr>
              <w:t>2) LoongArch；</w:t>
            </w:r>
          </w:p>
          <w:p w14:paraId="15B00BA3">
            <w:pPr>
              <w:widowControl/>
              <w:adjustRightInd/>
              <w:jc w:val="left"/>
              <w:rPr>
                <w:rFonts w:ascii="宋体" w:hAnsi="宋体" w:cs="宋体"/>
                <w:kern w:val="0"/>
                <w:sz w:val="24"/>
                <w:highlight w:val="none"/>
              </w:rPr>
            </w:pPr>
            <w:r>
              <w:rPr>
                <w:rFonts w:ascii="宋体" w:hAnsi="宋体" w:cs="宋体"/>
                <w:kern w:val="0"/>
                <w:sz w:val="24"/>
                <w:highlight w:val="none"/>
              </w:rPr>
              <w:t xml:space="preserve">3) MIPS； </w:t>
            </w:r>
          </w:p>
          <w:p w14:paraId="240A3FE9">
            <w:pPr>
              <w:widowControl/>
              <w:adjustRightInd/>
              <w:jc w:val="left"/>
              <w:rPr>
                <w:rFonts w:ascii="宋体" w:hAnsi="宋体" w:cs="宋体"/>
                <w:kern w:val="0"/>
                <w:sz w:val="24"/>
                <w:highlight w:val="none"/>
              </w:rPr>
            </w:pPr>
            <w:r>
              <w:rPr>
                <w:rFonts w:ascii="宋体" w:hAnsi="宋体" w:cs="宋体"/>
                <w:kern w:val="0"/>
                <w:sz w:val="24"/>
                <w:highlight w:val="none"/>
              </w:rPr>
              <w:t>4) SW64；</w:t>
            </w:r>
          </w:p>
          <w:p w14:paraId="27C2C4C5">
            <w:pPr>
              <w:widowControl/>
              <w:adjustRightInd/>
              <w:jc w:val="left"/>
              <w:rPr>
                <w:rFonts w:ascii="宋体" w:hAnsi="宋体" w:cs="宋体"/>
                <w:kern w:val="0"/>
                <w:sz w:val="24"/>
                <w:highlight w:val="none"/>
              </w:rPr>
            </w:pPr>
            <w:r>
              <w:rPr>
                <w:rFonts w:ascii="宋体" w:hAnsi="宋体" w:cs="宋体"/>
                <w:kern w:val="0"/>
                <w:sz w:val="24"/>
                <w:highlight w:val="none"/>
              </w:rPr>
              <w:t>5) x86；</w:t>
            </w:r>
          </w:p>
          <w:p w14:paraId="4E4F98F4">
            <w:pPr>
              <w:widowControl/>
              <w:adjustRightInd/>
              <w:jc w:val="left"/>
              <w:rPr>
                <w:rFonts w:ascii="宋体" w:hAns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支持</w:t>
            </w:r>
            <w:r>
              <w:rPr>
                <w:rFonts w:ascii="宋体" w:hAnsi="宋体" w:cs="宋体"/>
                <w:kern w:val="0"/>
                <w:sz w:val="24"/>
                <w:highlight w:val="none"/>
              </w:rPr>
              <w:t>SMP和NUMA的运行环境</w:t>
            </w:r>
          </w:p>
        </w:tc>
      </w:tr>
      <w:tr w14:paraId="6E4BBCD0">
        <w:tblPrEx>
          <w:tblCellMar>
            <w:top w:w="0" w:type="dxa"/>
            <w:left w:w="108" w:type="dxa"/>
            <w:bottom w:w="0" w:type="dxa"/>
            <w:right w:w="108" w:type="dxa"/>
          </w:tblCellMar>
        </w:tblPrEx>
        <w:trPr>
          <w:trHeight w:val="312" w:hRule="atLeast"/>
        </w:trPr>
        <w:tc>
          <w:tcPr>
            <w:tcW w:w="740" w:type="dxa"/>
            <w:tcBorders>
              <w:top w:val="nil"/>
              <w:left w:val="single" w:color="auto" w:sz="4" w:space="0"/>
              <w:bottom w:val="single" w:color="auto" w:sz="4" w:space="0"/>
              <w:right w:val="single" w:color="auto" w:sz="4" w:space="0"/>
            </w:tcBorders>
            <w:vAlign w:val="center"/>
          </w:tcPr>
          <w:p w14:paraId="5D7DF074">
            <w:pPr>
              <w:widowControl/>
              <w:adjustRightInd/>
              <w:jc w:val="center"/>
              <w:rPr>
                <w:rFonts w:ascii="宋体" w:hAnsi="宋体" w:cs="宋体"/>
                <w:kern w:val="0"/>
                <w:sz w:val="24"/>
                <w:highlight w:val="none"/>
              </w:rPr>
            </w:pPr>
            <w:r>
              <w:rPr>
                <w:rFonts w:ascii="宋体" w:hAnsi="宋体" w:cs="宋体"/>
                <w:kern w:val="0"/>
                <w:sz w:val="24"/>
                <w:highlight w:val="none"/>
              </w:rPr>
              <w:t>50</w:t>
            </w:r>
          </w:p>
        </w:tc>
        <w:tc>
          <w:tcPr>
            <w:tcW w:w="1420" w:type="dxa"/>
            <w:vMerge w:val="restart"/>
            <w:tcBorders>
              <w:top w:val="nil"/>
              <w:left w:val="single" w:color="auto" w:sz="4" w:space="0"/>
              <w:bottom w:val="single" w:color="000000" w:sz="4" w:space="0"/>
              <w:right w:val="single" w:color="auto" w:sz="4" w:space="0"/>
            </w:tcBorders>
            <w:vAlign w:val="center"/>
          </w:tcPr>
          <w:p w14:paraId="30345867">
            <w:pPr>
              <w:widowControl/>
              <w:adjustRightInd/>
              <w:jc w:val="center"/>
              <w:rPr>
                <w:rFonts w:ascii="宋体" w:hAnsi="宋体" w:cs="宋体"/>
                <w:kern w:val="0"/>
                <w:sz w:val="24"/>
                <w:highlight w:val="none"/>
              </w:rPr>
            </w:pPr>
            <w:r>
              <w:rPr>
                <w:rFonts w:hint="eastAsia" w:ascii="宋体" w:hAnsi="宋体" w:cs="宋体"/>
                <w:kern w:val="0"/>
                <w:sz w:val="24"/>
                <w:highlight w:val="none"/>
              </w:rPr>
              <w:t>▲标准兼容</w:t>
            </w:r>
          </w:p>
        </w:tc>
        <w:tc>
          <w:tcPr>
            <w:tcW w:w="1580" w:type="dxa"/>
            <w:tcBorders>
              <w:top w:val="nil"/>
              <w:left w:val="nil"/>
              <w:bottom w:val="single" w:color="auto" w:sz="4" w:space="0"/>
              <w:right w:val="single" w:color="auto" w:sz="4" w:space="0"/>
            </w:tcBorders>
            <w:vAlign w:val="center"/>
          </w:tcPr>
          <w:p w14:paraId="068A1DFC">
            <w:pPr>
              <w:widowControl/>
              <w:adjustRightInd/>
              <w:jc w:val="left"/>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ODBC</w:t>
            </w:r>
          </w:p>
        </w:tc>
        <w:tc>
          <w:tcPr>
            <w:tcW w:w="4680" w:type="dxa"/>
            <w:tcBorders>
              <w:top w:val="nil"/>
              <w:left w:val="nil"/>
              <w:bottom w:val="single" w:color="auto" w:sz="4" w:space="0"/>
              <w:right w:val="single" w:color="auto" w:sz="4" w:space="0"/>
            </w:tcBorders>
            <w:vAlign w:val="center"/>
          </w:tcPr>
          <w:p w14:paraId="36F6FCA6">
            <w:pPr>
              <w:widowControl/>
              <w:adjustRightInd/>
              <w:jc w:val="left"/>
              <w:rPr>
                <w:rFonts w:ascii="宋体" w:hAnsi="宋体" w:cs="宋体"/>
                <w:kern w:val="0"/>
                <w:sz w:val="24"/>
                <w:highlight w:val="none"/>
              </w:rPr>
            </w:pPr>
            <w:r>
              <w:rPr>
                <w:rFonts w:hint="eastAsia" w:ascii="宋体" w:hAnsi="宋体" w:cs="宋体"/>
                <w:kern w:val="0"/>
                <w:sz w:val="24"/>
                <w:highlight w:val="none"/>
              </w:rPr>
              <w:t>支持</w:t>
            </w:r>
            <w:r>
              <w:rPr>
                <w:rFonts w:ascii="宋体" w:hAnsi="宋体" w:cs="宋体"/>
                <w:kern w:val="0"/>
                <w:sz w:val="24"/>
                <w:highlight w:val="none"/>
              </w:rPr>
              <w:t>ODBC</w:t>
            </w:r>
          </w:p>
        </w:tc>
      </w:tr>
      <w:tr w14:paraId="0F30001C">
        <w:tblPrEx>
          <w:tblCellMar>
            <w:top w:w="0" w:type="dxa"/>
            <w:left w:w="108" w:type="dxa"/>
            <w:bottom w:w="0" w:type="dxa"/>
            <w:right w:w="108" w:type="dxa"/>
          </w:tblCellMar>
        </w:tblPrEx>
        <w:trPr>
          <w:trHeight w:val="312" w:hRule="atLeast"/>
        </w:trPr>
        <w:tc>
          <w:tcPr>
            <w:tcW w:w="740" w:type="dxa"/>
            <w:tcBorders>
              <w:top w:val="nil"/>
              <w:left w:val="single" w:color="auto" w:sz="4" w:space="0"/>
              <w:bottom w:val="single" w:color="auto" w:sz="4" w:space="0"/>
              <w:right w:val="single" w:color="auto" w:sz="4" w:space="0"/>
            </w:tcBorders>
            <w:vAlign w:val="center"/>
          </w:tcPr>
          <w:p w14:paraId="10324EC3">
            <w:pPr>
              <w:widowControl/>
              <w:adjustRightInd/>
              <w:jc w:val="center"/>
              <w:rPr>
                <w:rFonts w:ascii="宋体" w:hAnsi="宋体" w:cs="宋体"/>
                <w:kern w:val="0"/>
                <w:sz w:val="24"/>
                <w:highlight w:val="none"/>
              </w:rPr>
            </w:pPr>
            <w:r>
              <w:rPr>
                <w:rFonts w:ascii="宋体" w:hAnsi="宋体" w:cs="宋体"/>
                <w:kern w:val="0"/>
                <w:sz w:val="24"/>
                <w:highlight w:val="none"/>
              </w:rPr>
              <w:t>51</w:t>
            </w:r>
          </w:p>
        </w:tc>
        <w:tc>
          <w:tcPr>
            <w:tcW w:w="1420" w:type="dxa"/>
            <w:vMerge w:val="continue"/>
            <w:tcBorders>
              <w:top w:val="nil"/>
              <w:left w:val="single" w:color="auto" w:sz="4" w:space="0"/>
              <w:bottom w:val="single" w:color="000000" w:sz="4" w:space="0"/>
              <w:right w:val="single" w:color="auto" w:sz="4" w:space="0"/>
            </w:tcBorders>
            <w:vAlign w:val="center"/>
          </w:tcPr>
          <w:p w14:paraId="70C57EC4">
            <w:pPr>
              <w:widowControl/>
              <w:adjustRightInd/>
              <w:jc w:val="left"/>
              <w:rPr>
                <w:rFonts w:ascii="宋体" w:hAnsi="宋体" w:cs="宋体"/>
                <w:kern w:val="0"/>
                <w:sz w:val="24"/>
                <w:highlight w:val="none"/>
              </w:rPr>
            </w:pPr>
          </w:p>
        </w:tc>
        <w:tc>
          <w:tcPr>
            <w:tcW w:w="1580" w:type="dxa"/>
            <w:tcBorders>
              <w:top w:val="nil"/>
              <w:left w:val="nil"/>
              <w:bottom w:val="single" w:color="auto" w:sz="4" w:space="0"/>
              <w:right w:val="single" w:color="auto" w:sz="4" w:space="0"/>
            </w:tcBorders>
            <w:vAlign w:val="center"/>
          </w:tcPr>
          <w:p w14:paraId="015DA592">
            <w:pPr>
              <w:widowControl/>
              <w:adjustRightInd/>
              <w:jc w:val="left"/>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JDBC</w:t>
            </w:r>
          </w:p>
        </w:tc>
        <w:tc>
          <w:tcPr>
            <w:tcW w:w="4680" w:type="dxa"/>
            <w:tcBorders>
              <w:top w:val="nil"/>
              <w:left w:val="nil"/>
              <w:bottom w:val="single" w:color="auto" w:sz="4" w:space="0"/>
              <w:right w:val="single" w:color="auto" w:sz="4" w:space="0"/>
            </w:tcBorders>
            <w:vAlign w:val="center"/>
          </w:tcPr>
          <w:p w14:paraId="67C49952">
            <w:pPr>
              <w:widowControl/>
              <w:adjustRightInd/>
              <w:jc w:val="left"/>
              <w:rPr>
                <w:rFonts w:ascii="宋体" w:hAnsi="宋体" w:cs="宋体"/>
                <w:kern w:val="0"/>
                <w:sz w:val="24"/>
                <w:highlight w:val="none"/>
              </w:rPr>
            </w:pPr>
            <w:r>
              <w:rPr>
                <w:rFonts w:hint="eastAsia" w:ascii="宋体" w:hAnsi="宋体" w:cs="宋体"/>
                <w:kern w:val="0"/>
                <w:sz w:val="24"/>
                <w:highlight w:val="none"/>
              </w:rPr>
              <w:t>支持</w:t>
            </w:r>
            <w:r>
              <w:rPr>
                <w:rFonts w:ascii="宋体" w:hAnsi="宋体" w:cs="宋体"/>
                <w:kern w:val="0"/>
                <w:sz w:val="24"/>
                <w:highlight w:val="none"/>
              </w:rPr>
              <w:t>JDBC</w:t>
            </w:r>
          </w:p>
        </w:tc>
      </w:tr>
      <w:tr w14:paraId="20EA316C">
        <w:tblPrEx>
          <w:tblCellMar>
            <w:top w:w="0" w:type="dxa"/>
            <w:left w:w="108" w:type="dxa"/>
            <w:bottom w:w="0" w:type="dxa"/>
            <w:right w:w="108" w:type="dxa"/>
          </w:tblCellMar>
        </w:tblPrEx>
        <w:trPr>
          <w:trHeight w:val="624" w:hRule="atLeast"/>
        </w:trPr>
        <w:tc>
          <w:tcPr>
            <w:tcW w:w="740" w:type="dxa"/>
            <w:tcBorders>
              <w:top w:val="nil"/>
              <w:left w:val="single" w:color="auto" w:sz="4" w:space="0"/>
              <w:bottom w:val="single" w:color="auto" w:sz="4" w:space="0"/>
              <w:right w:val="single" w:color="auto" w:sz="4" w:space="0"/>
            </w:tcBorders>
            <w:vAlign w:val="center"/>
          </w:tcPr>
          <w:p w14:paraId="69C3E074">
            <w:pPr>
              <w:widowControl/>
              <w:adjustRightInd/>
              <w:jc w:val="center"/>
              <w:rPr>
                <w:rFonts w:ascii="宋体" w:hAnsi="宋体" w:cs="宋体"/>
                <w:kern w:val="0"/>
                <w:sz w:val="24"/>
                <w:highlight w:val="none"/>
              </w:rPr>
            </w:pPr>
            <w:r>
              <w:rPr>
                <w:rFonts w:ascii="宋体" w:hAnsi="宋体" w:cs="宋体"/>
                <w:kern w:val="0"/>
                <w:sz w:val="24"/>
                <w:highlight w:val="none"/>
              </w:rPr>
              <w:t>52</w:t>
            </w:r>
          </w:p>
        </w:tc>
        <w:tc>
          <w:tcPr>
            <w:tcW w:w="1420" w:type="dxa"/>
            <w:tcBorders>
              <w:top w:val="nil"/>
              <w:left w:val="nil"/>
              <w:bottom w:val="single" w:color="auto" w:sz="4" w:space="0"/>
              <w:right w:val="single" w:color="auto" w:sz="4" w:space="0"/>
            </w:tcBorders>
            <w:vAlign w:val="center"/>
          </w:tcPr>
          <w:p w14:paraId="7F07F08D">
            <w:pPr>
              <w:widowControl/>
              <w:adjustRightInd/>
              <w:jc w:val="center"/>
              <w:rPr>
                <w:rFonts w:ascii="宋体" w:hAnsi="宋体" w:cs="宋体"/>
                <w:kern w:val="0"/>
                <w:sz w:val="24"/>
                <w:highlight w:val="none"/>
              </w:rPr>
            </w:pPr>
            <w:r>
              <w:rPr>
                <w:rFonts w:hint="eastAsia" w:ascii="宋体" w:hAnsi="宋体" w:cs="宋体"/>
                <w:kern w:val="0"/>
                <w:sz w:val="24"/>
                <w:highlight w:val="none"/>
              </w:rPr>
              <w:t>▲交付方式</w:t>
            </w:r>
          </w:p>
        </w:tc>
        <w:tc>
          <w:tcPr>
            <w:tcW w:w="1580" w:type="dxa"/>
            <w:tcBorders>
              <w:top w:val="nil"/>
              <w:left w:val="nil"/>
              <w:bottom w:val="single" w:color="auto" w:sz="4" w:space="0"/>
              <w:right w:val="single" w:color="auto" w:sz="4" w:space="0"/>
            </w:tcBorders>
            <w:vAlign w:val="center"/>
          </w:tcPr>
          <w:p w14:paraId="71A5ECAF">
            <w:pPr>
              <w:widowControl/>
              <w:adjustRightInd/>
              <w:jc w:val="left"/>
              <w:rPr>
                <w:rFonts w:ascii="宋体" w:hAnsi="宋体" w:cs="宋体"/>
                <w:kern w:val="0"/>
                <w:sz w:val="24"/>
                <w:highlight w:val="none"/>
              </w:rPr>
            </w:pPr>
            <w:r>
              <w:rPr>
                <w:rFonts w:hint="eastAsia" w:ascii="宋体" w:hAnsi="宋体" w:cs="宋体"/>
                <w:kern w:val="0"/>
                <w:sz w:val="24"/>
                <w:highlight w:val="none"/>
              </w:rPr>
              <w:t>▲交付方式</w:t>
            </w:r>
          </w:p>
        </w:tc>
        <w:tc>
          <w:tcPr>
            <w:tcW w:w="4680" w:type="dxa"/>
            <w:tcBorders>
              <w:top w:val="nil"/>
              <w:left w:val="nil"/>
              <w:bottom w:val="single" w:color="auto" w:sz="4" w:space="0"/>
              <w:right w:val="single" w:color="auto" w:sz="4" w:space="0"/>
            </w:tcBorders>
            <w:vAlign w:val="center"/>
          </w:tcPr>
          <w:p w14:paraId="2C9FDD87">
            <w:pPr>
              <w:widowControl/>
              <w:adjustRightInd/>
              <w:jc w:val="left"/>
              <w:rPr>
                <w:rFonts w:ascii="宋体" w:hAnsi="宋体" w:cs="宋体"/>
                <w:kern w:val="0"/>
                <w:sz w:val="24"/>
                <w:highlight w:val="none"/>
              </w:rPr>
            </w:pPr>
            <w:r>
              <w:rPr>
                <w:rFonts w:hint="eastAsia" w:ascii="宋体" w:hAnsi="宋体" w:cs="宋体"/>
                <w:kern w:val="0"/>
                <w:sz w:val="24"/>
                <w:highlight w:val="none"/>
              </w:rPr>
              <w:t>以光盘、便携式移动设备、镜像文件、在线下载等交付方式提供产品交付物</w:t>
            </w:r>
          </w:p>
        </w:tc>
      </w:tr>
      <w:tr w14:paraId="57C8B5E2">
        <w:tblPrEx>
          <w:tblCellMar>
            <w:top w:w="0" w:type="dxa"/>
            <w:left w:w="108" w:type="dxa"/>
            <w:bottom w:w="0" w:type="dxa"/>
            <w:right w:w="108" w:type="dxa"/>
          </w:tblCellMar>
        </w:tblPrEx>
        <w:trPr>
          <w:trHeight w:val="624" w:hRule="atLeast"/>
        </w:trPr>
        <w:tc>
          <w:tcPr>
            <w:tcW w:w="740" w:type="dxa"/>
            <w:tcBorders>
              <w:top w:val="nil"/>
              <w:left w:val="single" w:color="auto" w:sz="4" w:space="0"/>
              <w:bottom w:val="single" w:color="auto" w:sz="4" w:space="0"/>
              <w:right w:val="single" w:color="auto" w:sz="4" w:space="0"/>
            </w:tcBorders>
            <w:vAlign w:val="center"/>
          </w:tcPr>
          <w:p w14:paraId="14FA78CC">
            <w:pPr>
              <w:widowControl/>
              <w:adjustRightInd/>
              <w:jc w:val="center"/>
              <w:rPr>
                <w:rFonts w:ascii="宋体" w:hAnsi="宋体" w:cs="宋体"/>
                <w:kern w:val="0"/>
                <w:sz w:val="24"/>
                <w:highlight w:val="none"/>
              </w:rPr>
            </w:pPr>
            <w:r>
              <w:rPr>
                <w:rFonts w:ascii="宋体" w:hAnsi="宋体" w:cs="宋体"/>
                <w:kern w:val="0"/>
                <w:sz w:val="24"/>
                <w:highlight w:val="none"/>
              </w:rPr>
              <w:t>53</w:t>
            </w:r>
          </w:p>
        </w:tc>
        <w:tc>
          <w:tcPr>
            <w:tcW w:w="1420" w:type="dxa"/>
            <w:vMerge w:val="restart"/>
            <w:tcBorders>
              <w:top w:val="nil"/>
              <w:left w:val="single" w:color="auto" w:sz="4" w:space="0"/>
              <w:bottom w:val="single" w:color="000000" w:sz="4" w:space="0"/>
              <w:right w:val="single" w:color="auto" w:sz="4" w:space="0"/>
            </w:tcBorders>
            <w:vAlign w:val="center"/>
          </w:tcPr>
          <w:p w14:paraId="0B9BB90A">
            <w:pPr>
              <w:widowControl/>
              <w:adjustRightInd/>
              <w:jc w:val="center"/>
              <w:rPr>
                <w:rFonts w:ascii="宋体" w:hAnsi="宋体" w:cs="宋体"/>
                <w:kern w:val="0"/>
                <w:sz w:val="24"/>
                <w:highlight w:val="none"/>
              </w:rPr>
            </w:pPr>
            <w:r>
              <w:rPr>
                <w:rFonts w:hint="eastAsia" w:ascii="宋体" w:hAnsi="宋体" w:cs="宋体"/>
                <w:kern w:val="0"/>
                <w:sz w:val="24"/>
                <w:highlight w:val="none"/>
              </w:rPr>
              <w:t>▲服务周期</w:t>
            </w:r>
          </w:p>
        </w:tc>
        <w:tc>
          <w:tcPr>
            <w:tcW w:w="1580" w:type="dxa"/>
            <w:tcBorders>
              <w:top w:val="nil"/>
              <w:left w:val="nil"/>
              <w:bottom w:val="single" w:color="auto" w:sz="4" w:space="0"/>
              <w:right w:val="single" w:color="auto" w:sz="4" w:space="0"/>
            </w:tcBorders>
            <w:vAlign w:val="center"/>
          </w:tcPr>
          <w:p w14:paraId="687CC9D2">
            <w:pPr>
              <w:widowControl/>
              <w:adjustRightInd/>
              <w:jc w:val="left"/>
              <w:rPr>
                <w:rFonts w:ascii="宋体" w:hAnsi="宋体" w:cs="宋体"/>
                <w:kern w:val="0"/>
                <w:sz w:val="24"/>
                <w:highlight w:val="none"/>
              </w:rPr>
            </w:pPr>
            <w:r>
              <w:rPr>
                <w:rFonts w:hint="eastAsia" w:ascii="宋体" w:hAnsi="宋体" w:cs="宋体"/>
                <w:kern w:val="0"/>
                <w:sz w:val="24"/>
                <w:highlight w:val="none"/>
              </w:rPr>
              <w:t>▲产品维护周期</w:t>
            </w:r>
          </w:p>
        </w:tc>
        <w:tc>
          <w:tcPr>
            <w:tcW w:w="4680" w:type="dxa"/>
            <w:tcBorders>
              <w:top w:val="nil"/>
              <w:left w:val="nil"/>
              <w:bottom w:val="single" w:color="auto" w:sz="4" w:space="0"/>
              <w:right w:val="single" w:color="auto" w:sz="4" w:space="0"/>
            </w:tcBorders>
            <w:vAlign w:val="center"/>
          </w:tcPr>
          <w:p w14:paraId="35DB40BA">
            <w:pPr>
              <w:widowControl/>
              <w:adjustRightInd/>
              <w:jc w:val="left"/>
              <w:rPr>
                <w:rFonts w:ascii="宋体" w:hAnsi="宋体" w:cs="宋体"/>
                <w:kern w:val="0"/>
                <w:sz w:val="24"/>
                <w:highlight w:val="none"/>
              </w:rPr>
            </w:pPr>
            <w:r>
              <w:rPr>
                <w:rFonts w:hint="eastAsia" w:ascii="宋体" w:hAnsi="宋体" w:cs="宋体"/>
                <w:kern w:val="0"/>
                <w:sz w:val="24"/>
                <w:szCs w:val="20"/>
                <w:highlight w:val="none"/>
              </w:rPr>
              <w:t>产品自发布之日起至产品停止功能升</w:t>
            </w:r>
            <w:r>
              <w:rPr>
                <w:rFonts w:ascii="宋体" w:hAnsi="宋体" w:cs="宋体"/>
                <w:kern w:val="0"/>
                <w:sz w:val="24"/>
                <w:szCs w:val="20"/>
                <w:highlight w:val="none"/>
              </w:rPr>
              <w:t xml:space="preserve"> </w:t>
            </w:r>
            <w:r>
              <w:rPr>
                <w:rFonts w:hint="eastAsia" w:ascii="宋体" w:hAnsi="宋体" w:cs="宋体"/>
                <w:kern w:val="0"/>
                <w:sz w:val="24"/>
                <w:szCs w:val="20"/>
                <w:highlight w:val="none"/>
              </w:rPr>
              <w:t>级（包含不限于新特性、新硬件支持、</w:t>
            </w:r>
            <w:r>
              <w:rPr>
                <w:rFonts w:ascii="宋体" w:hAnsi="宋体" w:cs="宋体"/>
                <w:kern w:val="0"/>
                <w:sz w:val="24"/>
                <w:szCs w:val="20"/>
                <w:highlight w:val="none"/>
              </w:rPr>
              <w:t xml:space="preserve"> </w:t>
            </w:r>
            <w:r>
              <w:rPr>
                <w:rFonts w:hint="eastAsia" w:ascii="宋体" w:hAnsi="宋体" w:cs="宋体"/>
                <w:kern w:val="0"/>
                <w:sz w:val="24"/>
                <w:szCs w:val="20"/>
                <w:highlight w:val="none"/>
              </w:rPr>
              <w:t>问题修复、安全补丁等）之日止≥</w:t>
            </w:r>
            <w:r>
              <w:rPr>
                <w:rFonts w:ascii="宋体" w:hAnsi="宋体" w:cs="宋体"/>
                <w:kern w:val="0"/>
                <w:sz w:val="24"/>
                <w:szCs w:val="20"/>
                <w:highlight w:val="none"/>
              </w:rPr>
              <w:t xml:space="preserve">5 </w:t>
            </w:r>
            <w:r>
              <w:rPr>
                <w:rFonts w:hint="eastAsia" w:ascii="宋体" w:hAnsi="宋体" w:cs="宋体"/>
                <w:kern w:val="0"/>
                <w:sz w:val="24"/>
                <w:szCs w:val="20"/>
                <w:highlight w:val="none"/>
              </w:rPr>
              <w:t>年</w:t>
            </w:r>
          </w:p>
        </w:tc>
      </w:tr>
      <w:tr w14:paraId="62A329C3">
        <w:tblPrEx>
          <w:tblCellMar>
            <w:top w:w="0" w:type="dxa"/>
            <w:left w:w="108" w:type="dxa"/>
            <w:bottom w:w="0" w:type="dxa"/>
            <w:right w:w="108" w:type="dxa"/>
          </w:tblCellMar>
        </w:tblPrEx>
        <w:trPr>
          <w:trHeight w:val="624" w:hRule="atLeast"/>
        </w:trPr>
        <w:tc>
          <w:tcPr>
            <w:tcW w:w="740" w:type="dxa"/>
            <w:tcBorders>
              <w:top w:val="nil"/>
              <w:left w:val="single" w:color="auto" w:sz="4" w:space="0"/>
              <w:bottom w:val="single" w:color="auto" w:sz="4" w:space="0"/>
              <w:right w:val="single" w:color="auto" w:sz="4" w:space="0"/>
            </w:tcBorders>
            <w:vAlign w:val="center"/>
          </w:tcPr>
          <w:p w14:paraId="3455C3E0">
            <w:pPr>
              <w:widowControl/>
              <w:adjustRightInd/>
              <w:jc w:val="center"/>
              <w:rPr>
                <w:rFonts w:ascii="宋体" w:hAnsi="宋体" w:cs="宋体"/>
                <w:kern w:val="0"/>
                <w:sz w:val="24"/>
                <w:highlight w:val="none"/>
              </w:rPr>
            </w:pPr>
            <w:r>
              <w:rPr>
                <w:rFonts w:ascii="宋体" w:hAnsi="宋体" w:cs="宋体"/>
                <w:kern w:val="0"/>
                <w:sz w:val="24"/>
                <w:highlight w:val="none"/>
              </w:rPr>
              <w:t>54</w:t>
            </w:r>
          </w:p>
        </w:tc>
        <w:tc>
          <w:tcPr>
            <w:tcW w:w="1420" w:type="dxa"/>
            <w:vMerge w:val="continue"/>
            <w:tcBorders>
              <w:top w:val="nil"/>
              <w:left w:val="single" w:color="auto" w:sz="4" w:space="0"/>
              <w:bottom w:val="single" w:color="000000" w:sz="4" w:space="0"/>
              <w:right w:val="single" w:color="auto" w:sz="4" w:space="0"/>
            </w:tcBorders>
            <w:vAlign w:val="center"/>
          </w:tcPr>
          <w:p w14:paraId="6D7312E4">
            <w:pPr>
              <w:widowControl/>
              <w:adjustRightInd/>
              <w:jc w:val="left"/>
              <w:rPr>
                <w:rFonts w:ascii="宋体" w:hAnsi="宋体" w:cs="宋体"/>
                <w:kern w:val="0"/>
                <w:sz w:val="24"/>
                <w:highlight w:val="none"/>
              </w:rPr>
            </w:pPr>
          </w:p>
        </w:tc>
        <w:tc>
          <w:tcPr>
            <w:tcW w:w="1580" w:type="dxa"/>
            <w:tcBorders>
              <w:top w:val="nil"/>
              <w:left w:val="nil"/>
              <w:bottom w:val="single" w:color="auto" w:sz="4" w:space="0"/>
              <w:right w:val="single" w:color="auto" w:sz="4" w:space="0"/>
            </w:tcBorders>
            <w:vAlign w:val="center"/>
          </w:tcPr>
          <w:p w14:paraId="3CF26A43">
            <w:pPr>
              <w:widowControl/>
              <w:adjustRightInd/>
              <w:jc w:val="left"/>
              <w:rPr>
                <w:rFonts w:ascii="宋体" w:hAnsi="宋体" w:cs="宋体"/>
                <w:kern w:val="0"/>
                <w:sz w:val="24"/>
                <w:highlight w:val="none"/>
              </w:rPr>
            </w:pPr>
            <w:r>
              <w:rPr>
                <w:rFonts w:hint="eastAsia" w:ascii="宋体" w:hAnsi="宋体" w:cs="宋体"/>
                <w:kern w:val="0"/>
                <w:sz w:val="24"/>
                <w:highlight w:val="none"/>
              </w:rPr>
              <w:t>▲产品延伸服务周期</w:t>
            </w:r>
          </w:p>
        </w:tc>
        <w:tc>
          <w:tcPr>
            <w:tcW w:w="4680" w:type="dxa"/>
            <w:tcBorders>
              <w:top w:val="nil"/>
              <w:left w:val="nil"/>
              <w:bottom w:val="single" w:color="auto" w:sz="4" w:space="0"/>
              <w:right w:val="single" w:color="auto" w:sz="4" w:space="0"/>
            </w:tcBorders>
            <w:vAlign w:val="center"/>
          </w:tcPr>
          <w:p w14:paraId="752E6A78">
            <w:pPr>
              <w:widowControl/>
              <w:adjustRightInd/>
              <w:jc w:val="left"/>
              <w:rPr>
                <w:rFonts w:ascii="宋体" w:hAnsi="宋体" w:cs="宋体"/>
                <w:kern w:val="0"/>
                <w:sz w:val="24"/>
                <w:highlight w:val="none"/>
              </w:rPr>
            </w:pPr>
            <w:r>
              <w:rPr>
                <w:rFonts w:hint="eastAsia" w:ascii="宋体" w:hAnsi="宋体" w:cs="宋体"/>
                <w:kern w:val="0"/>
                <w:sz w:val="24"/>
                <w:szCs w:val="20"/>
                <w:highlight w:val="none"/>
              </w:rPr>
              <w:t>产品停止功能升级之日起至产品停止</w:t>
            </w:r>
            <w:r>
              <w:rPr>
                <w:rFonts w:ascii="宋体" w:hAnsi="宋体" w:cs="宋体"/>
                <w:kern w:val="0"/>
                <w:sz w:val="24"/>
                <w:szCs w:val="20"/>
                <w:highlight w:val="none"/>
              </w:rPr>
              <w:t xml:space="preserve"> </w:t>
            </w:r>
            <w:r>
              <w:rPr>
                <w:rFonts w:hint="eastAsia" w:ascii="宋体" w:hAnsi="宋体" w:cs="宋体"/>
                <w:kern w:val="0"/>
                <w:sz w:val="24"/>
                <w:szCs w:val="20"/>
                <w:highlight w:val="none"/>
              </w:rPr>
              <w:t>功能维护（包括问题修复、安全补丁等）</w:t>
            </w:r>
            <w:r>
              <w:rPr>
                <w:rFonts w:ascii="宋体" w:hAnsi="宋体" w:cs="宋体"/>
                <w:kern w:val="0"/>
                <w:sz w:val="24"/>
                <w:szCs w:val="20"/>
                <w:highlight w:val="none"/>
              </w:rPr>
              <w:t xml:space="preserve"> </w:t>
            </w:r>
            <w:r>
              <w:rPr>
                <w:rFonts w:hint="eastAsia" w:ascii="宋体" w:hAnsi="宋体" w:cs="宋体"/>
                <w:kern w:val="0"/>
                <w:sz w:val="24"/>
                <w:szCs w:val="20"/>
                <w:highlight w:val="none"/>
              </w:rPr>
              <w:t>之日止≥</w:t>
            </w:r>
            <w:r>
              <w:rPr>
                <w:rFonts w:ascii="宋体" w:hAnsi="宋体" w:cs="宋体"/>
                <w:kern w:val="0"/>
                <w:sz w:val="24"/>
                <w:szCs w:val="20"/>
                <w:highlight w:val="none"/>
              </w:rPr>
              <w:t xml:space="preserve">4 </w:t>
            </w:r>
            <w:r>
              <w:rPr>
                <w:rFonts w:hint="eastAsia" w:ascii="宋体" w:hAnsi="宋体" w:cs="宋体"/>
                <w:kern w:val="0"/>
                <w:sz w:val="24"/>
                <w:szCs w:val="20"/>
                <w:highlight w:val="none"/>
              </w:rPr>
              <w:t>年</w:t>
            </w:r>
          </w:p>
        </w:tc>
      </w:tr>
      <w:tr w14:paraId="5DAFB49B">
        <w:tblPrEx>
          <w:tblCellMar>
            <w:top w:w="0" w:type="dxa"/>
            <w:left w:w="108" w:type="dxa"/>
            <w:bottom w:w="0" w:type="dxa"/>
            <w:right w:w="108" w:type="dxa"/>
          </w:tblCellMar>
        </w:tblPrEx>
        <w:trPr>
          <w:trHeight w:val="624" w:hRule="atLeast"/>
        </w:trPr>
        <w:tc>
          <w:tcPr>
            <w:tcW w:w="740" w:type="dxa"/>
            <w:tcBorders>
              <w:top w:val="nil"/>
              <w:left w:val="single" w:color="auto" w:sz="4" w:space="0"/>
              <w:bottom w:val="single" w:color="auto" w:sz="4" w:space="0"/>
              <w:right w:val="single" w:color="auto" w:sz="4" w:space="0"/>
            </w:tcBorders>
            <w:vAlign w:val="center"/>
          </w:tcPr>
          <w:p w14:paraId="01218A4B">
            <w:pPr>
              <w:widowControl/>
              <w:adjustRightInd/>
              <w:jc w:val="center"/>
              <w:rPr>
                <w:rFonts w:ascii="宋体" w:hAnsi="宋体" w:cs="宋体"/>
                <w:kern w:val="0"/>
                <w:sz w:val="24"/>
                <w:highlight w:val="none"/>
              </w:rPr>
            </w:pPr>
            <w:r>
              <w:rPr>
                <w:rFonts w:ascii="宋体" w:hAnsi="宋体" w:cs="宋体"/>
                <w:kern w:val="0"/>
                <w:sz w:val="24"/>
                <w:highlight w:val="none"/>
              </w:rPr>
              <w:t>55</w:t>
            </w:r>
          </w:p>
        </w:tc>
        <w:tc>
          <w:tcPr>
            <w:tcW w:w="1420" w:type="dxa"/>
            <w:vMerge w:val="continue"/>
            <w:tcBorders>
              <w:top w:val="nil"/>
              <w:left w:val="single" w:color="auto" w:sz="4" w:space="0"/>
              <w:bottom w:val="single" w:color="000000" w:sz="4" w:space="0"/>
              <w:right w:val="single" w:color="auto" w:sz="4" w:space="0"/>
            </w:tcBorders>
            <w:vAlign w:val="center"/>
          </w:tcPr>
          <w:p w14:paraId="6F3E8578">
            <w:pPr>
              <w:widowControl/>
              <w:adjustRightInd/>
              <w:jc w:val="left"/>
              <w:rPr>
                <w:rFonts w:ascii="宋体" w:hAnsi="宋体" w:cs="宋体"/>
                <w:kern w:val="0"/>
                <w:sz w:val="24"/>
                <w:highlight w:val="none"/>
              </w:rPr>
            </w:pPr>
          </w:p>
        </w:tc>
        <w:tc>
          <w:tcPr>
            <w:tcW w:w="1580" w:type="dxa"/>
            <w:tcBorders>
              <w:top w:val="nil"/>
              <w:left w:val="nil"/>
              <w:bottom w:val="single" w:color="auto" w:sz="4" w:space="0"/>
              <w:right w:val="single" w:color="auto" w:sz="4" w:space="0"/>
            </w:tcBorders>
            <w:vAlign w:val="center"/>
          </w:tcPr>
          <w:p w14:paraId="75D023D0">
            <w:pPr>
              <w:widowControl/>
              <w:adjustRightInd/>
              <w:jc w:val="left"/>
              <w:rPr>
                <w:rFonts w:ascii="宋体" w:hAnsi="宋体" w:cs="宋体"/>
                <w:kern w:val="0"/>
                <w:sz w:val="24"/>
                <w:highlight w:val="none"/>
              </w:rPr>
            </w:pPr>
            <w:r>
              <w:rPr>
                <w:rFonts w:hint="eastAsia" w:ascii="宋体" w:hAnsi="宋体" w:cs="宋体"/>
                <w:kern w:val="0"/>
                <w:sz w:val="24"/>
                <w:highlight w:val="none"/>
              </w:rPr>
              <w:t>▲产品延伸安全服务周期</w:t>
            </w:r>
          </w:p>
        </w:tc>
        <w:tc>
          <w:tcPr>
            <w:tcW w:w="4680" w:type="dxa"/>
            <w:tcBorders>
              <w:top w:val="nil"/>
              <w:left w:val="nil"/>
              <w:bottom w:val="single" w:color="auto" w:sz="4" w:space="0"/>
              <w:right w:val="single" w:color="auto" w:sz="4" w:space="0"/>
            </w:tcBorders>
            <w:vAlign w:val="center"/>
          </w:tcPr>
          <w:p w14:paraId="135EB3B3">
            <w:pPr>
              <w:widowControl/>
              <w:adjustRightInd/>
              <w:jc w:val="left"/>
              <w:rPr>
                <w:rFonts w:ascii="宋体" w:hAnsi="宋体" w:cs="宋体"/>
                <w:kern w:val="0"/>
                <w:sz w:val="24"/>
                <w:highlight w:val="none"/>
              </w:rPr>
            </w:pPr>
            <w:r>
              <w:rPr>
                <w:rFonts w:hint="eastAsia" w:ascii="宋体" w:hAnsi="宋体" w:cs="宋体"/>
                <w:kern w:val="0"/>
                <w:sz w:val="24"/>
                <w:szCs w:val="20"/>
                <w:highlight w:val="none"/>
              </w:rPr>
              <w:t>产品功能维护停止之日起至产品停止</w:t>
            </w:r>
            <w:r>
              <w:rPr>
                <w:rFonts w:ascii="宋体" w:hAnsi="宋体" w:cs="宋体"/>
                <w:kern w:val="0"/>
                <w:sz w:val="24"/>
                <w:szCs w:val="20"/>
                <w:highlight w:val="none"/>
              </w:rPr>
              <w:t xml:space="preserve"> </w:t>
            </w:r>
            <w:r>
              <w:rPr>
                <w:rFonts w:hint="eastAsia" w:ascii="宋体" w:hAnsi="宋体" w:cs="宋体"/>
                <w:kern w:val="0"/>
                <w:sz w:val="24"/>
                <w:szCs w:val="20"/>
                <w:highlight w:val="none"/>
              </w:rPr>
              <w:t>安全维护（包括中高风险漏洞修复）之</w:t>
            </w:r>
            <w:r>
              <w:rPr>
                <w:rFonts w:ascii="宋体" w:hAnsi="宋体" w:cs="宋体"/>
                <w:kern w:val="0"/>
                <w:sz w:val="24"/>
                <w:szCs w:val="20"/>
                <w:highlight w:val="none"/>
              </w:rPr>
              <w:t xml:space="preserve"> </w:t>
            </w:r>
            <w:r>
              <w:rPr>
                <w:rFonts w:hint="eastAsia" w:ascii="宋体" w:hAnsi="宋体" w:cs="宋体"/>
                <w:kern w:val="0"/>
                <w:sz w:val="24"/>
                <w:szCs w:val="20"/>
                <w:highlight w:val="none"/>
              </w:rPr>
              <w:t>日止≥</w:t>
            </w:r>
            <w:r>
              <w:rPr>
                <w:rFonts w:ascii="宋体" w:hAnsi="宋体" w:cs="宋体"/>
                <w:kern w:val="0"/>
                <w:sz w:val="24"/>
                <w:szCs w:val="20"/>
                <w:highlight w:val="none"/>
              </w:rPr>
              <w:t xml:space="preserve">2 </w:t>
            </w:r>
            <w:r>
              <w:rPr>
                <w:rFonts w:hint="eastAsia" w:ascii="宋体" w:hAnsi="宋体" w:cs="宋体"/>
                <w:kern w:val="0"/>
                <w:sz w:val="24"/>
                <w:szCs w:val="20"/>
                <w:highlight w:val="none"/>
              </w:rPr>
              <w:t>年</w:t>
            </w:r>
          </w:p>
        </w:tc>
      </w:tr>
      <w:tr w14:paraId="7B5E2707">
        <w:tblPrEx>
          <w:tblCellMar>
            <w:top w:w="0" w:type="dxa"/>
            <w:left w:w="108" w:type="dxa"/>
            <w:bottom w:w="0" w:type="dxa"/>
            <w:right w:w="108" w:type="dxa"/>
          </w:tblCellMar>
        </w:tblPrEx>
        <w:trPr>
          <w:trHeight w:val="624" w:hRule="atLeast"/>
        </w:trPr>
        <w:tc>
          <w:tcPr>
            <w:tcW w:w="740" w:type="dxa"/>
            <w:tcBorders>
              <w:top w:val="nil"/>
              <w:left w:val="single" w:color="auto" w:sz="4" w:space="0"/>
              <w:bottom w:val="single" w:color="auto" w:sz="4" w:space="0"/>
              <w:right w:val="single" w:color="auto" w:sz="4" w:space="0"/>
            </w:tcBorders>
            <w:vAlign w:val="center"/>
          </w:tcPr>
          <w:p w14:paraId="4CE2D62A">
            <w:pPr>
              <w:widowControl/>
              <w:adjustRightInd/>
              <w:jc w:val="center"/>
              <w:rPr>
                <w:rFonts w:ascii="宋体" w:hAnsi="宋体" w:cs="宋体"/>
                <w:kern w:val="0"/>
                <w:sz w:val="24"/>
                <w:highlight w:val="none"/>
              </w:rPr>
            </w:pPr>
            <w:r>
              <w:rPr>
                <w:rFonts w:ascii="宋体" w:hAnsi="宋体" w:cs="宋体"/>
                <w:kern w:val="0"/>
                <w:sz w:val="24"/>
                <w:highlight w:val="none"/>
              </w:rPr>
              <w:t>56</w:t>
            </w:r>
          </w:p>
        </w:tc>
        <w:tc>
          <w:tcPr>
            <w:tcW w:w="1420" w:type="dxa"/>
            <w:vMerge w:val="continue"/>
            <w:tcBorders>
              <w:top w:val="nil"/>
              <w:left w:val="single" w:color="auto" w:sz="4" w:space="0"/>
              <w:bottom w:val="single" w:color="000000" w:sz="4" w:space="0"/>
              <w:right w:val="single" w:color="auto" w:sz="4" w:space="0"/>
            </w:tcBorders>
            <w:vAlign w:val="center"/>
          </w:tcPr>
          <w:p w14:paraId="1E90B32A">
            <w:pPr>
              <w:widowControl/>
              <w:adjustRightInd/>
              <w:jc w:val="left"/>
              <w:rPr>
                <w:rFonts w:ascii="宋体" w:hAnsi="宋体" w:cs="宋体"/>
                <w:kern w:val="0"/>
                <w:sz w:val="24"/>
                <w:highlight w:val="none"/>
              </w:rPr>
            </w:pPr>
          </w:p>
        </w:tc>
        <w:tc>
          <w:tcPr>
            <w:tcW w:w="1580" w:type="dxa"/>
            <w:tcBorders>
              <w:top w:val="nil"/>
              <w:left w:val="nil"/>
              <w:bottom w:val="single" w:color="auto" w:sz="4" w:space="0"/>
              <w:right w:val="single" w:color="auto" w:sz="4" w:space="0"/>
            </w:tcBorders>
            <w:vAlign w:val="center"/>
          </w:tcPr>
          <w:p w14:paraId="49DBB26D">
            <w:pPr>
              <w:widowControl/>
              <w:adjustRightInd/>
              <w:jc w:val="left"/>
              <w:rPr>
                <w:rFonts w:ascii="宋体" w:hAnsi="宋体" w:cs="宋体"/>
                <w:kern w:val="0"/>
                <w:sz w:val="24"/>
                <w:highlight w:val="none"/>
              </w:rPr>
            </w:pPr>
            <w:r>
              <w:rPr>
                <w:rFonts w:hint="eastAsia" w:ascii="宋体" w:hAnsi="宋体" w:cs="宋体"/>
                <w:kern w:val="0"/>
                <w:sz w:val="24"/>
                <w:highlight w:val="none"/>
              </w:rPr>
              <w:t>▲售后服务最小保障期</w:t>
            </w:r>
          </w:p>
        </w:tc>
        <w:tc>
          <w:tcPr>
            <w:tcW w:w="4680" w:type="dxa"/>
            <w:tcBorders>
              <w:top w:val="nil"/>
              <w:left w:val="nil"/>
              <w:bottom w:val="single" w:color="auto" w:sz="4" w:space="0"/>
              <w:right w:val="single" w:color="auto" w:sz="4" w:space="0"/>
            </w:tcBorders>
            <w:vAlign w:val="center"/>
          </w:tcPr>
          <w:p w14:paraId="3CAA471C">
            <w:pPr>
              <w:widowControl/>
              <w:adjustRightInd/>
              <w:jc w:val="left"/>
              <w:rPr>
                <w:rFonts w:ascii="宋体" w:hAnsi="宋体" w:cs="宋体"/>
                <w:kern w:val="0"/>
                <w:sz w:val="24"/>
                <w:highlight w:val="none"/>
              </w:rPr>
            </w:pPr>
            <w:r>
              <w:rPr>
                <w:rFonts w:hint="eastAsia" w:ascii="宋体" w:hAnsi="宋体" w:cs="宋体"/>
                <w:kern w:val="0"/>
                <w:sz w:val="24"/>
                <w:highlight w:val="none"/>
              </w:rPr>
              <w:t>服务期内，提供维护；</w:t>
            </w:r>
          </w:p>
        </w:tc>
      </w:tr>
      <w:tr w14:paraId="7D1C884D">
        <w:tblPrEx>
          <w:tblCellMar>
            <w:top w:w="0" w:type="dxa"/>
            <w:left w:w="108" w:type="dxa"/>
            <w:bottom w:w="0" w:type="dxa"/>
            <w:right w:w="108" w:type="dxa"/>
          </w:tblCellMar>
        </w:tblPrEx>
        <w:trPr>
          <w:trHeight w:val="5304" w:hRule="atLeast"/>
        </w:trPr>
        <w:tc>
          <w:tcPr>
            <w:tcW w:w="740" w:type="dxa"/>
            <w:tcBorders>
              <w:top w:val="nil"/>
              <w:left w:val="single" w:color="auto" w:sz="4" w:space="0"/>
              <w:bottom w:val="single" w:color="auto" w:sz="4" w:space="0"/>
              <w:right w:val="single" w:color="auto" w:sz="4" w:space="0"/>
            </w:tcBorders>
            <w:vAlign w:val="center"/>
          </w:tcPr>
          <w:p w14:paraId="1D45B00E">
            <w:pPr>
              <w:widowControl/>
              <w:adjustRightInd/>
              <w:jc w:val="center"/>
              <w:rPr>
                <w:rFonts w:ascii="宋体" w:hAnsi="宋体" w:cs="宋体"/>
                <w:kern w:val="0"/>
                <w:sz w:val="24"/>
                <w:highlight w:val="none"/>
              </w:rPr>
            </w:pPr>
            <w:r>
              <w:rPr>
                <w:rFonts w:ascii="宋体" w:hAnsi="宋体" w:cs="宋体"/>
                <w:kern w:val="0"/>
                <w:sz w:val="24"/>
                <w:highlight w:val="none"/>
              </w:rPr>
              <w:t>57</w:t>
            </w:r>
          </w:p>
        </w:tc>
        <w:tc>
          <w:tcPr>
            <w:tcW w:w="1420" w:type="dxa"/>
            <w:tcBorders>
              <w:top w:val="nil"/>
              <w:left w:val="nil"/>
              <w:bottom w:val="single" w:color="auto" w:sz="4" w:space="0"/>
              <w:right w:val="single" w:color="auto" w:sz="4" w:space="0"/>
            </w:tcBorders>
            <w:vAlign w:val="center"/>
          </w:tcPr>
          <w:p w14:paraId="33B119BF">
            <w:pPr>
              <w:widowControl/>
              <w:adjustRightInd/>
              <w:jc w:val="left"/>
              <w:rPr>
                <w:rFonts w:ascii="宋体" w:hAnsi="宋体" w:cs="宋体"/>
                <w:kern w:val="0"/>
                <w:sz w:val="24"/>
                <w:highlight w:val="none"/>
              </w:rPr>
            </w:pPr>
            <w:r>
              <w:rPr>
                <w:rFonts w:hint="eastAsia" w:ascii="宋体" w:hAnsi="宋体" w:cs="宋体"/>
                <w:kern w:val="0"/>
                <w:sz w:val="24"/>
                <w:highlight w:val="none"/>
              </w:rPr>
              <w:t>▲供应链与服务保障</w:t>
            </w:r>
          </w:p>
        </w:tc>
        <w:tc>
          <w:tcPr>
            <w:tcW w:w="1580" w:type="dxa"/>
            <w:tcBorders>
              <w:top w:val="nil"/>
              <w:left w:val="nil"/>
              <w:bottom w:val="single" w:color="auto" w:sz="4" w:space="0"/>
              <w:right w:val="single" w:color="auto" w:sz="4" w:space="0"/>
            </w:tcBorders>
            <w:vAlign w:val="center"/>
          </w:tcPr>
          <w:p w14:paraId="2B66B32C">
            <w:pPr>
              <w:widowControl/>
              <w:adjustRightInd/>
              <w:jc w:val="left"/>
              <w:rPr>
                <w:rFonts w:ascii="宋体" w:hAnsi="宋体" w:cs="宋体"/>
                <w:kern w:val="0"/>
                <w:sz w:val="24"/>
                <w:highlight w:val="none"/>
              </w:rPr>
            </w:pPr>
            <w:r>
              <w:rPr>
                <w:rFonts w:hint="eastAsia" w:ascii="宋体" w:hAnsi="宋体" w:cs="宋体"/>
                <w:kern w:val="0"/>
                <w:sz w:val="24"/>
                <w:highlight w:val="none"/>
              </w:rPr>
              <w:t>▲供应链与服务保障基础要求</w:t>
            </w:r>
          </w:p>
        </w:tc>
        <w:tc>
          <w:tcPr>
            <w:tcW w:w="4680" w:type="dxa"/>
            <w:tcBorders>
              <w:top w:val="nil"/>
              <w:left w:val="nil"/>
              <w:bottom w:val="single" w:color="auto" w:sz="4" w:space="0"/>
              <w:right w:val="single" w:color="auto" w:sz="4" w:space="0"/>
            </w:tcBorders>
            <w:vAlign w:val="center"/>
          </w:tcPr>
          <w:p w14:paraId="358E4110">
            <w:pPr>
              <w:widowControl/>
              <w:adjustRightInd/>
              <w:jc w:val="left"/>
              <w:rPr>
                <w:rFonts w:ascii="宋体" w:hAnsi="宋体" w:cs="宋体"/>
                <w:kern w:val="0"/>
                <w:sz w:val="24"/>
                <w:highlight w:val="none"/>
              </w:rPr>
            </w:pPr>
            <w:r>
              <w:rPr>
                <w:rFonts w:ascii="宋体" w:hAnsi="宋体" w:cs="宋体"/>
                <w:kern w:val="0"/>
                <w:sz w:val="24"/>
                <w:highlight w:val="none"/>
              </w:rPr>
              <w:t xml:space="preserve">a) </w:t>
            </w:r>
            <w:r>
              <w:rPr>
                <w:rFonts w:hint="eastAsia" w:ascii="宋体" w:hAnsi="宋体" w:cs="宋体"/>
                <w:kern w:val="0"/>
                <w:sz w:val="24"/>
                <w:highlight w:val="none"/>
              </w:rPr>
              <w:t>提供多种形式支持服务，包含电话、电子邮件、远程连接等；</w:t>
            </w:r>
          </w:p>
          <w:p w14:paraId="2718A71B">
            <w:pPr>
              <w:widowControl/>
              <w:adjustRightInd/>
              <w:jc w:val="left"/>
              <w:rPr>
                <w:rFonts w:ascii="宋体" w:hAns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提供技术支持服务，支持同城</w:t>
            </w:r>
            <w:r>
              <w:rPr>
                <w:rFonts w:ascii="宋体" w:hAnsi="宋体" w:cs="宋体"/>
                <w:kern w:val="0"/>
                <w:sz w:val="24"/>
                <w:highlight w:val="none"/>
              </w:rPr>
              <w:t xml:space="preserve"> 4h、异地 12h </w:t>
            </w:r>
            <w:r>
              <w:rPr>
                <w:rFonts w:hint="eastAsia" w:ascii="宋体" w:hAnsi="宋体" w:cs="宋体"/>
                <w:kern w:val="0"/>
                <w:sz w:val="24"/>
                <w:highlight w:val="none"/>
              </w:rPr>
              <w:t>响应要求，两个工作日解决问题，对于未能解决的问题和故障提供可行的升级方案；</w:t>
            </w:r>
          </w:p>
          <w:p w14:paraId="2743FF25">
            <w:pPr>
              <w:widowControl/>
              <w:adjustRightInd/>
              <w:jc w:val="left"/>
              <w:rPr>
                <w:rFonts w:ascii="宋体" w:hAnsi="宋体" w:cs="宋体"/>
                <w:kern w:val="0"/>
                <w:sz w:val="24"/>
                <w:highlight w:val="none"/>
              </w:rPr>
            </w:pPr>
            <w:r>
              <w:rPr>
                <w:rFonts w:ascii="宋体" w:hAnsi="宋体" w:cs="宋体"/>
                <w:kern w:val="0"/>
                <w:sz w:val="24"/>
                <w:highlight w:val="none"/>
              </w:rPr>
              <w:t xml:space="preserve">c) </w:t>
            </w:r>
            <w:r>
              <w:rPr>
                <w:rFonts w:hint="eastAsia" w:ascii="宋体" w:hAnsi="宋体" w:cs="宋体"/>
                <w:kern w:val="0"/>
                <w:sz w:val="24"/>
                <w:highlight w:val="none"/>
              </w:rPr>
              <w:t>提供培训材料、产品手册、培训视频等培训相关内容；</w:t>
            </w:r>
          </w:p>
          <w:p w14:paraId="27AEB3CA">
            <w:pPr>
              <w:widowControl/>
              <w:adjustRightInd/>
              <w:jc w:val="left"/>
              <w:rPr>
                <w:rFonts w:ascii="宋体" w:hAnsi="宋体" w:cs="宋体"/>
                <w:kern w:val="0"/>
                <w:sz w:val="24"/>
                <w:highlight w:val="none"/>
              </w:rPr>
            </w:pPr>
            <w:r>
              <w:rPr>
                <w:rFonts w:ascii="宋体" w:hAnsi="宋体" w:cs="宋体"/>
                <w:kern w:val="0"/>
                <w:sz w:val="24"/>
                <w:highlight w:val="none"/>
              </w:rPr>
              <w:t xml:space="preserve">d) </w:t>
            </w:r>
            <w:r>
              <w:rPr>
                <w:rFonts w:hint="eastAsia" w:ascii="宋体" w:hAnsi="宋体" w:cs="宋体"/>
                <w:kern w:val="0"/>
                <w:sz w:val="24"/>
                <w:highlight w:val="none"/>
              </w:rPr>
              <w:t>建立全国技术服务体系和服务团队，符合专业服务体系标准要求，提供原厂中文服务；</w:t>
            </w:r>
          </w:p>
          <w:p w14:paraId="14C5E32F">
            <w:pPr>
              <w:widowControl/>
              <w:adjustRightInd/>
              <w:jc w:val="left"/>
              <w:rPr>
                <w:rFonts w:ascii="宋体" w:hAnsi="宋体" w:cs="宋体"/>
                <w:kern w:val="0"/>
                <w:sz w:val="24"/>
                <w:highlight w:val="none"/>
              </w:rPr>
            </w:pPr>
            <w:r>
              <w:rPr>
                <w:rFonts w:ascii="宋体" w:hAnsi="宋体" w:cs="宋体"/>
                <w:kern w:val="0"/>
                <w:sz w:val="24"/>
                <w:highlight w:val="none"/>
              </w:rPr>
              <w:t xml:space="preserve">e) </w:t>
            </w:r>
            <w:r>
              <w:rPr>
                <w:rFonts w:hint="eastAsia" w:ascii="宋体" w:hAnsi="宋体" w:cs="宋体"/>
                <w:kern w:val="0"/>
                <w:sz w:val="24"/>
                <w:highlight w:val="none"/>
              </w:rPr>
              <w:t>服务周期内支持版本升级；</w:t>
            </w:r>
          </w:p>
          <w:p w14:paraId="0D8EBFC8">
            <w:pPr>
              <w:widowControl/>
              <w:adjustRightInd/>
              <w:jc w:val="left"/>
              <w:rPr>
                <w:rFonts w:ascii="宋体" w:hAnsi="宋体" w:cs="宋体"/>
                <w:kern w:val="0"/>
                <w:sz w:val="24"/>
                <w:highlight w:val="none"/>
              </w:rPr>
            </w:pPr>
            <w:r>
              <w:rPr>
                <w:rFonts w:ascii="宋体" w:hAnsi="宋体" w:cs="宋体"/>
                <w:kern w:val="0"/>
                <w:sz w:val="24"/>
                <w:highlight w:val="none"/>
              </w:rPr>
              <w:t xml:space="preserve">f) </w:t>
            </w:r>
            <w:r>
              <w:rPr>
                <w:rFonts w:hint="eastAsia" w:ascii="宋体" w:hAnsi="宋体" w:cs="宋体"/>
                <w:kern w:val="0"/>
                <w:sz w:val="24"/>
                <w:highlight w:val="none"/>
              </w:rPr>
              <w:t>开源产品对获得的社区源代码进行</w:t>
            </w:r>
            <w:r>
              <w:rPr>
                <w:rFonts w:ascii="宋体" w:hAnsi="宋体" w:cs="宋体"/>
                <w:kern w:val="0"/>
                <w:sz w:val="24"/>
                <w:highlight w:val="none"/>
              </w:rPr>
              <w:t xml:space="preserve"> </w:t>
            </w:r>
            <w:r>
              <w:rPr>
                <w:rFonts w:hint="eastAsia" w:ascii="宋体" w:hAnsi="宋体" w:cs="宋体"/>
                <w:kern w:val="0"/>
                <w:sz w:val="24"/>
                <w:highlight w:val="none"/>
              </w:rPr>
              <w:t>安全性和知识产权审查与管理；</w:t>
            </w:r>
          </w:p>
          <w:p w14:paraId="68D2E08A">
            <w:pPr>
              <w:widowControl/>
              <w:adjustRightInd/>
              <w:jc w:val="left"/>
              <w:rPr>
                <w:rFonts w:ascii="宋体" w:hAnsi="宋体" w:cs="宋体"/>
                <w:kern w:val="0"/>
                <w:sz w:val="24"/>
                <w:highlight w:val="none"/>
              </w:rPr>
            </w:pPr>
            <w:r>
              <w:rPr>
                <w:rFonts w:ascii="宋体" w:hAnsi="宋体" w:cs="宋体"/>
                <w:kern w:val="0"/>
                <w:sz w:val="24"/>
                <w:highlight w:val="none"/>
              </w:rPr>
              <w:t xml:space="preserve">g) </w:t>
            </w:r>
            <w:r>
              <w:rPr>
                <w:rFonts w:hint="eastAsia" w:ascii="宋体" w:hAnsi="宋体" w:cs="宋体"/>
                <w:kern w:val="0"/>
                <w:sz w:val="24"/>
                <w:highlight w:val="none"/>
              </w:rPr>
              <w:t>提供数据库参数、慢</w:t>
            </w:r>
            <w:r>
              <w:rPr>
                <w:rFonts w:ascii="宋体" w:hAnsi="宋体" w:cs="宋体"/>
                <w:kern w:val="0"/>
                <w:sz w:val="24"/>
                <w:highlight w:val="none"/>
              </w:rPr>
              <w:t>SQL语句的性能优化指南，包含性能优化的具体措施、技巧、案例及建议等</w:t>
            </w:r>
          </w:p>
        </w:tc>
      </w:tr>
      <w:tr w14:paraId="311071FB">
        <w:tblPrEx>
          <w:tblCellMar>
            <w:top w:w="0" w:type="dxa"/>
            <w:left w:w="108" w:type="dxa"/>
            <w:bottom w:w="0" w:type="dxa"/>
            <w:right w:w="108" w:type="dxa"/>
          </w:tblCellMar>
        </w:tblPrEx>
        <w:trPr>
          <w:trHeight w:val="312" w:hRule="atLeast"/>
        </w:trPr>
        <w:tc>
          <w:tcPr>
            <w:tcW w:w="740" w:type="dxa"/>
            <w:tcBorders>
              <w:top w:val="nil"/>
              <w:left w:val="single" w:color="auto" w:sz="4" w:space="0"/>
              <w:bottom w:val="single" w:color="auto" w:sz="4" w:space="0"/>
              <w:right w:val="single" w:color="auto" w:sz="4" w:space="0"/>
            </w:tcBorders>
            <w:vAlign w:val="center"/>
          </w:tcPr>
          <w:p w14:paraId="17DCBA60">
            <w:pPr>
              <w:widowControl/>
              <w:adjustRightInd/>
              <w:jc w:val="center"/>
              <w:rPr>
                <w:rFonts w:ascii="宋体" w:hAnsi="宋体" w:cs="宋体"/>
                <w:kern w:val="0"/>
                <w:sz w:val="24"/>
                <w:highlight w:val="none"/>
              </w:rPr>
            </w:pPr>
            <w:r>
              <w:rPr>
                <w:rFonts w:ascii="宋体" w:hAnsi="宋体" w:cs="宋体"/>
                <w:kern w:val="0"/>
                <w:sz w:val="24"/>
                <w:highlight w:val="none"/>
              </w:rPr>
              <w:t>58</w:t>
            </w:r>
          </w:p>
        </w:tc>
        <w:tc>
          <w:tcPr>
            <w:tcW w:w="1420" w:type="dxa"/>
            <w:tcBorders>
              <w:top w:val="nil"/>
              <w:left w:val="nil"/>
              <w:bottom w:val="single" w:color="auto" w:sz="4" w:space="0"/>
              <w:right w:val="single" w:color="auto" w:sz="4" w:space="0"/>
            </w:tcBorders>
            <w:vAlign w:val="center"/>
          </w:tcPr>
          <w:p w14:paraId="7A83F9BB">
            <w:pPr>
              <w:widowControl/>
              <w:adjustRightInd/>
              <w:jc w:val="center"/>
              <w:rPr>
                <w:rFonts w:ascii="宋体" w:hAnsi="宋体" w:cs="宋体"/>
                <w:kern w:val="0"/>
                <w:sz w:val="24"/>
                <w:highlight w:val="none"/>
              </w:rPr>
            </w:pPr>
            <w:r>
              <w:rPr>
                <w:rFonts w:hint="eastAsia" w:ascii="宋体" w:hAnsi="宋体" w:cs="宋体"/>
                <w:kern w:val="0"/>
                <w:sz w:val="24"/>
                <w:highlight w:val="none"/>
              </w:rPr>
              <w:t>▲基本要求</w:t>
            </w:r>
          </w:p>
        </w:tc>
        <w:tc>
          <w:tcPr>
            <w:tcW w:w="1580" w:type="dxa"/>
            <w:tcBorders>
              <w:top w:val="nil"/>
              <w:left w:val="nil"/>
              <w:bottom w:val="single" w:color="auto" w:sz="4" w:space="0"/>
              <w:right w:val="single" w:color="auto" w:sz="4" w:space="0"/>
            </w:tcBorders>
            <w:vAlign w:val="center"/>
          </w:tcPr>
          <w:p w14:paraId="2FCB1E23">
            <w:pPr>
              <w:widowControl/>
              <w:adjustRightInd/>
              <w:jc w:val="left"/>
              <w:rPr>
                <w:rFonts w:ascii="宋体" w:hAnsi="宋体" w:cs="宋体"/>
                <w:kern w:val="0"/>
                <w:sz w:val="24"/>
                <w:highlight w:val="none"/>
              </w:rPr>
            </w:pPr>
            <w:r>
              <w:rPr>
                <w:rFonts w:hint="eastAsia" w:ascii="宋体" w:hAnsi="宋体" w:cs="宋体"/>
                <w:kern w:val="0"/>
                <w:sz w:val="24"/>
                <w:highlight w:val="none"/>
              </w:rPr>
              <w:t>▲基本要求</w:t>
            </w:r>
          </w:p>
        </w:tc>
        <w:tc>
          <w:tcPr>
            <w:tcW w:w="4680" w:type="dxa"/>
            <w:tcBorders>
              <w:top w:val="nil"/>
              <w:left w:val="nil"/>
              <w:bottom w:val="single" w:color="auto" w:sz="4" w:space="0"/>
              <w:right w:val="single" w:color="auto" w:sz="4" w:space="0"/>
            </w:tcBorders>
            <w:vAlign w:val="center"/>
          </w:tcPr>
          <w:p w14:paraId="7AC4C146">
            <w:pPr>
              <w:widowControl/>
              <w:adjustRightInd/>
              <w:jc w:val="left"/>
              <w:rPr>
                <w:rFonts w:ascii="宋体" w:hAnsi="宋体" w:cs="宋体"/>
                <w:kern w:val="0"/>
                <w:sz w:val="24"/>
                <w:highlight w:val="none"/>
              </w:rPr>
            </w:pPr>
            <w:r>
              <w:rPr>
                <w:rFonts w:hint="eastAsia" w:ascii="宋体" w:hAnsi="宋体" w:cs="宋体"/>
                <w:kern w:val="0"/>
                <w:sz w:val="24"/>
                <w:highlight w:val="none"/>
              </w:rPr>
              <w:t>数据库应当符合安全可靠测评要求；</w:t>
            </w:r>
          </w:p>
        </w:tc>
      </w:tr>
      <w:tr w14:paraId="4223115D">
        <w:tblPrEx>
          <w:tblCellMar>
            <w:top w:w="0" w:type="dxa"/>
            <w:left w:w="108" w:type="dxa"/>
            <w:bottom w:w="0" w:type="dxa"/>
            <w:right w:w="108" w:type="dxa"/>
          </w:tblCellMar>
        </w:tblPrEx>
        <w:trPr>
          <w:trHeight w:val="936" w:hRule="atLeast"/>
        </w:trPr>
        <w:tc>
          <w:tcPr>
            <w:tcW w:w="740" w:type="dxa"/>
            <w:tcBorders>
              <w:top w:val="nil"/>
              <w:left w:val="single" w:color="auto" w:sz="4" w:space="0"/>
              <w:bottom w:val="single" w:color="auto" w:sz="4" w:space="0"/>
              <w:right w:val="single" w:color="auto" w:sz="4" w:space="0"/>
            </w:tcBorders>
            <w:vAlign w:val="center"/>
          </w:tcPr>
          <w:p w14:paraId="2D2E0C27">
            <w:pPr>
              <w:widowControl/>
              <w:adjustRightInd/>
              <w:jc w:val="center"/>
              <w:rPr>
                <w:rFonts w:ascii="宋体" w:hAnsi="宋体" w:cs="宋体"/>
                <w:kern w:val="0"/>
                <w:sz w:val="24"/>
                <w:highlight w:val="none"/>
              </w:rPr>
            </w:pPr>
            <w:r>
              <w:rPr>
                <w:rFonts w:ascii="宋体" w:hAnsi="宋体" w:cs="宋体"/>
                <w:kern w:val="0"/>
                <w:sz w:val="24"/>
                <w:highlight w:val="none"/>
              </w:rPr>
              <w:t>59</w:t>
            </w:r>
          </w:p>
        </w:tc>
        <w:tc>
          <w:tcPr>
            <w:tcW w:w="1420" w:type="dxa"/>
            <w:vMerge w:val="restart"/>
            <w:tcBorders>
              <w:top w:val="nil"/>
              <w:left w:val="single" w:color="auto" w:sz="4" w:space="0"/>
              <w:bottom w:val="single" w:color="000000" w:sz="4" w:space="0"/>
              <w:right w:val="single" w:color="auto" w:sz="4" w:space="0"/>
            </w:tcBorders>
            <w:vAlign w:val="center"/>
          </w:tcPr>
          <w:p w14:paraId="194162B8">
            <w:pPr>
              <w:widowControl/>
              <w:adjustRightInd/>
              <w:jc w:val="center"/>
              <w:rPr>
                <w:rFonts w:ascii="宋体" w:hAnsi="宋体" w:cs="宋体"/>
                <w:kern w:val="0"/>
                <w:sz w:val="24"/>
                <w:highlight w:val="none"/>
              </w:rPr>
            </w:pPr>
            <w:r>
              <w:rPr>
                <w:rFonts w:hint="eastAsia" w:ascii="宋体" w:hAnsi="宋体" w:cs="宋体"/>
                <w:kern w:val="0"/>
                <w:sz w:val="24"/>
                <w:highlight w:val="none"/>
              </w:rPr>
              <w:t>▲基础安全</w:t>
            </w:r>
          </w:p>
        </w:tc>
        <w:tc>
          <w:tcPr>
            <w:tcW w:w="1580" w:type="dxa"/>
            <w:tcBorders>
              <w:top w:val="nil"/>
              <w:left w:val="nil"/>
              <w:bottom w:val="single" w:color="auto" w:sz="4" w:space="0"/>
              <w:right w:val="single" w:color="auto" w:sz="4" w:space="0"/>
            </w:tcBorders>
            <w:vAlign w:val="center"/>
          </w:tcPr>
          <w:p w14:paraId="1E91D392">
            <w:pPr>
              <w:widowControl/>
              <w:adjustRightInd/>
              <w:jc w:val="left"/>
              <w:rPr>
                <w:rFonts w:ascii="宋体" w:hAnsi="宋体" w:cs="宋体"/>
                <w:kern w:val="0"/>
                <w:sz w:val="24"/>
                <w:highlight w:val="none"/>
              </w:rPr>
            </w:pPr>
            <w:r>
              <w:rPr>
                <w:rFonts w:hint="eastAsia" w:ascii="宋体" w:hAnsi="宋体" w:cs="宋体"/>
                <w:kern w:val="0"/>
                <w:sz w:val="24"/>
                <w:highlight w:val="none"/>
              </w:rPr>
              <w:t>▲漏洞管理</w:t>
            </w:r>
          </w:p>
        </w:tc>
        <w:tc>
          <w:tcPr>
            <w:tcW w:w="4680" w:type="dxa"/>
            <w:tcBorders>
              <w:top w:val="nil"/>
              <w:left w:val="nil"/>
              <w:bottom w:val="single" w:color="auto" w:sz="4" w:space="0"/>
              <w:right w:val="single" w:color="auto" w:sz="4" w:space="0"/>
            </w:tcBorders>
            <w:vAlign w:val="center"/>
          </w:tcPr>
          <w:p w14:paraId="00B34A8A">
            <w:pPr>
              <w:widowControl/>
              <w:adjustRightInd/>
              <w:jc w:val="left"/>
              <w:rPr>
                <w:rFonts w:ascii="宋体" w:hAnsi="宋体" w:cs="宋体"/>
                <w:kern w:val="0"/>
                <w:sz w:val="24"/>
                <w:highlight w:val="none"/>
              </w:rPr>
            </w:pPr>
            <w:r>
              <w:rPr>
                <w:rFonts w:hint="eastAsia" w:ascii="宋体" w:hAnsi="宋体" w:cs="宋体"/>
                <w:kern w:val="0"/>
                <w:sz w:val="24"/>
                <w:highlight w:val="none"/>
              </w:rPr>
              <w:t>建立漏洞管理机制，及时通过邮件、网站等方式将安全漏洞告知用户，并提供</w:t>
            </w:r>
            <w:r>
              <w:rPr>
                <w:rFonts w:ascii="宋体" w:hAnsi="宋体" w:cs="宋体"/>
                <w:kern w:val="0"/>
                <w:sz w:val="24"/>
                <w:highlight w:val="none"/>
              </w:rPr>
              <w:t xml:space="preserve"> </w:t>
            </w:r>
            <w:r>
              <w:rPr>
                <w:rFonts w:hint="eastAsia" w:ascii="宋体" w:hAnsi="宋体" w:cs="宋体"/>
                <w:kern w:val="0"/>
                <w:sz w:val="24"/>
                <w:highlight w:val="none"/>
              </w:rPr>
              <w:t>安全补丁对漏洞进行修复</w:t>
            </w:r>
          </w:p>
        </w:tc>
      </w:tr>
      <w:tr w14:paraId="57C4BD69">
        <w:tblPrEx>
          <w:tblCellMar>
            <w:top w:w="0" w:type="dxa"/>
            <w:left w:w="108" w:type="dxa"/>
            <w:bottom w:w="0" w:type="dxa"/>
            <w:right w:w="108" w:type="dxa"/>
          </w:tblCellMar>
        </w:tblPrEx>
        <w:trPr>
          <w:trHeight w:val="624" w:hRule="atLeast"/>
        </w:trPr>
        <w:tc>
          <w:tcPr>
            <w:tcW w:w="740" w:type="dxa"/>
            <w:tcBorders>
              <w:top w:val="nil"/>
              <w:left w:val="single" w:color="auto" w:sz="4" w:space="0"/>
              <w:bottom w:val="single" w:color="auto" w:sz="4" w:space="0"/>
              <w:right w:val="single" w:color="auto" w:sz="4" w:space="0"/>
            </w:tcBorders>
            <w:vAlign w:val="center"/>
          </w:tcPr>
          <w:p w14:paraId="61DEF627">
            <w:pPr>
              <w:widowControl/>
              <w:adjustRightInd/>
              <w:jc w:val="center"/>
              <w:rPr>
                <w:rFonts w:ascii="宋体" w:hAnsi="宋体" w:cs="宋体"/>
                <w:kern w:val="0"/>
                <w:sz w:val="24"/>
                <w:highlight w:val="none"/>
              </w:rPr>
            </w:pPr>
            <w:r>
              <w:rPr>
                <w:rFonts w:ascii="宋体" w:hAnsi="宋体" w:cs="宋体"/>
                <w:kern w:val="0"/>
                <w:sz w:val="24"/>
                <w:highlight w:val="none"/>
              </w:rPr>
              <w:t>60</w:t>
            </w:r>
          </w:p>
        </w:tc>
        <w:tc>
          <w:tcPr>
            <w:tcW w:w="1420" w:type="dxa"/>
            <w:vMerge w:val="continue"/>
            <w:tcBorders>
              <w:top w:val="nil"/>
              <w:left w:val="single" w:color="auto" w:sz="4" w:space="0"/>
              <w:bottom w:val="single" w:color="000000" w:sz="4" w:space="0"/>
              <w:right w:val="single" w:color="auto" w:sz="4" w:space="0"/>
            </w:tcBorders>
            <w:vAlign w:val="center"/>
          </w:tcPr>
          <w:p w14:paraId="6E7B8E3F">
            <w:pPr>
              <w:widowControl/>
              <w:adjustRightInd/>
              <w:jc w:val="left"/>
              <w:rPr>
                <w:rFonts w:ascii="宋体" w:hAnsi="宋体" w:cs="宋体"/>
                <w:kern w:val="0"/>
                <w:sz w:val="24"/>
                <w:highlight w:val="none"/>
              </w:rPr>
            </w:pPr>
          </w:p>
        </w:tc>
        <w:tc>
          <w:tcPr>
            <w:tcW w:w="1580" w:type="dxa"/>
            <w:tcBorders>
              <w:top w:val="nil"/>
              <w:left w:val="nil"/>
              <w:bottom w:val="single" w:color="auto" w:sz="4" w:space="0"/>
              <w:right w:val="single" w:color="auto" w:sz="4" w:space="0"/>
            </w:tcBorders>
            <w:vAlign w:val="center"/>
          </w:tcPr>
          <w:p w14:paraId="28913682">
            <w:pPr>
              <w:widowControl/>
              <w:adjustRightInd/>
              <w:jc w:val="left"/>
              <w:rPr>
                <w:rFonts w:ascii="宋体" w:hAnsi="宋体" w:cs="宋体"/>
                <w:kern w:val="0"/>
                <w:sz w:val="24"/>
                <w:highlight w:val="none"/>
              </w:rPr>
            </w:pPr>
            <w:r>
              <w:rPr>
                <w:rFonts w:hint="eastAsia" w:ascii="宋体" w:hAnsi="宋体" w:cs="宋体"/>
                <w:kern w:val="0"/>
                <w:sz w:val="24"/>
                <w:highlight w:val="none"/>
              </w:rPr>
              <w:t>▲身份鉴别及访问控制</w:t>
            </w:r>
          </w:p>
        </w:tc>
        <w:tc>
          <w:tcPr>
            <w:tcW w:w="4680" w:type="dxa"/>
            <w:tcBorders>
              <w:top w:val="nil"/>
              <w:left w:val="nil"/>
              <w:bottom w:val="single" w:color="auto" w:sz="4" w:space="0"/>
              <w:right w:val="single" w:color="auto" w:sz="4" w:space="0"/>
            </w:tcBorders>
            <w:vAlign w:val="center"/>
          </w:tcPr>
          <w:p w14:paraId="5D647C7B">
            <w:pPr>
              <w:widowControl/>
              <w:adjustRightInd/>
              <w:jc w:val="left"/>
              <w:rPr>
                <w:rFonts w:ascii="宋体" w:hAnsi="宋体" w:cs="宋体"/>
                <w:kern w:val="0"/>
                <w:sz w:val="24"/>
                <w:highlight w:val="none"/>
              </w:rPr>
            </w:pPr>
            <w:r>
              <w:rPr>
                <w:rFonts w:hint="eastAsia" w:ascii="宋体" w:hAnsi="宋体" w:cs="宋体"/>
                <w:kern w:val="0"/>
                <w:sz w:val="24"/>
                <w:highlight w:val="none"/>
              </w:rPr>
              <w:t>提供身份鉴别及访问控制，加解密的密码要求符合</w:t>
            </w:r>
            <w:r>
              <w:rPr>
                <w:rFonts w:ascii="宋体" w:hAnsi="宋体" w:cs="宋体"/>
                <w:kern w:val="0"/>
                <w:sz w:val="24"/>
                <w:highlight w:val="none"/>
              </w:rPr>
              <w:t xml:space="preserve">GM/T0028 </w:t>
            </w:r>
            <w:r>
              <w:rPr>
                <w:rFonts w:hint="eastAsia" w:ascii="宋体" w:hAnsi="宋体" w:cs="宋体"/>
                <w:kern w:val="0"/>
                <w:sz w:val="24"/>
                <w:highlight w:val="none"/>
              </w:rPr>
              <w:t>的相关规定</w:t>
            </w:r>
          </w:p>
        </w:tc>
      </w:tr>
    </w:tbl>
    <w:p w14:paraId="3B2B1B0A">
      <w:pPr>
        <w:spacing w:line="360" w:lineRule="auto"/>
        <w:ind w:firstLine="480" w:firstLineChars="200"/>
        <w:rPr>
          <w:rFonts w:ascii="宋体" w:hAnsi="宋体" w:cs="宋体"/>
          <w:sz w:val="24"/>
          <w:highlight w:val="none"/>
        </w:rPr>
      </w:pPr>
    </w:p>
    <w:p w14:paraId="1F7B60EC">
      <w:pPr>
        <w:spacing w:line="360" w:lineRule="auto"/>
        <w:ind w:firstLine="480" w:firstLineChars="200"/>
        <w:rPr>
          <w:rFonts w:ascii="宋体" w:hAnsi="宋体" w:cs="宋体"/>
          <w:sz w:val="24"/>
          <w:highlight w:val="none"/>
        </w:rPr>
      </w:pPr>
    </w:p>
    <w:p w14:paraId="09415383">
      <w:pPr>
        <w:spacing w:line="360" w:lineRule="auto"/>
        <w:ind w:firstLine="480" w:firstLineChars="200"/>
        <w:rPr>
          <w:rFonts w:ascii="宋体" w:hAnsi="宋体" w:cs="宋体"/>
          <w:sz w:val="24"/>
          <w:highlight w:val="none"/>
        </w:rPr>
      </w:pPr>
    </w:p>
    <w:p w14:paraId="31A4F481">
      <w:pPr>
        <w:spacing w:line="360" w:lineRule="auto"/>
        <w:ind w:firstLine="480" w:firstLineChars="200"/>
        <w:rPr>
          <w:rFonts w:ascii="宋体" w:hAnsi="宋体" w:cs="宋体"/>
          <w:sz w:val="24"/>
          <w:highlight w:val="none"/>
        </w:rPr>
      </w:pPr>
    </w:p>
    <w:tbl>
      <w:tblPr>
        <w:tblStyle w:val="6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006"/>
        <w:gridCol w:w="5698"/>
      </w:tblGrid>
      <w:tr w14:paraId="72237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27D345CF">
            <w:pPr>
              <w:jc w:val="center"/>
              <w:rPr>
                <w:rFonts w:ascii="宋体" w:hAnsi="宋体" w:cs="宋体"/>
                <w:sz w:val="24"/>
                <w:szCs w:val="20"/>
                <w:highlight w:val="none"/>
              </w:rPr>
            </w:pPr>
            <w:r>
              <w:rPr>
                <w:rFonts w:hint="eastAsia" w:ascii="宋体" w:hAnsi="宋体" w:cs="宋体"/>
                <w:sz w:val="24"/>
                <w:szCs w:val="20"/>
                <w:highlight w:val="none"/>
              </w:rPr>
              <w:t>序号</w:t>
            </w:r>
          </w:p>
        </w:tc>
        <w:tc>
          <w:tcPr>
            <w:tcW w:w="2006" w:type="dxa"/>
            <w:vAlign w:val="center"/>
          </w:tcPr>
          <w:p w14:paraId="293D4253">
            <w:pPr>
              <w:jc w:val="center"/>
              <w:rPr>
                <w:rFonts w:ascii="宋体" w:hAnsi="宋体" w:cs="宋体"/>
                <w:sz w:val="24"/>
                <w:szCs w:val="20"/>
                <w:highlight w:val="none"/>
              </w:rPr>
            </w:pPr>
            <w:r>
              <w:rPr>
                <w:rFonts w:hint="eastAsia" w:ascii="宋体" w:hAnsi="宋体" w:cs="宋体"/>
                <w:sz w:val="24"/>
                <w:szCs w:val="20"/>
                <w:highlight w:val="none"/>
              </w:rPr>
              <w:t>服务</w:t>
            </w:r>
          </w:p>
        </w:tc>
        <w:tc>
          <w:tcPr>
            <w:tcW w:w="5698" w:type="dxa"/>
            <w:vAlign w:val="center"/>
          </w:tcPr>
          <w:p w14:paraId="47383EFE">
            <w:pPr>
              <w:jc w:val="center"/>
              <w:rPr>
                <w:rFonts w:ascii="宋体" w:hAnsi="宋体" w:cs="宋体"/>
                <w:sz w:val="24"/>
                <w:szCs w:val="20"/>
                <w:highlight w:val="none"/>
              </w:rPr>
            </w:pPr>
            <w:r>
              <w:rPr>
                <w:rFonts w:hint="eastAsia" w:ascii="宋体" w:hAnsi="宋体" w:cs="宋体"/>
                <w:sz w:val="24"/>
                <w:szCs w:val="20"/>
                <w:highlight w:val="none"/>
              </w:rPr>
              <w:t>参数</w:t>
            </w:r>
          </w:p>
        </w:tc>
      </w:tr>
      <w:tr w14:paraId="4F2F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7AABB4B7">
            <w:pPr>
              <w:numPr>
                <w:ilvl w:val="0"/>
                <w:numId w:val="2"/>
              </w:numPr>
              <w:adjustRightInd/>
              <w:ind w:left="0" w:firstLine="0"/>
              <w:jc w:val="center"/>
              <w:rPr>
                <w:rFonts w:ascii="宋体" w:hAnsi="宋体" w:cs="宋体"/>
                <w:sz w:val="24"/>
                <w:szCs w:val="20"/>
                <w:highlight w:val="none"/>
              </w:rPr>
            </w:pPr>
          </w:p>
        </w:tc>
        <w:tc>
          <w:tcPr>
            <w:tcW w:w="2006" w:type="dxa"/>
            <w:vAlign w:val="center"/>
          </w:tcPr>
          <w:p w14:paraId="235EC369">
            <w:pPr>
              <w:jc w:val="left"/>
              <w:rPr>
                <w:rFonts w:ascii="宋体" w:hAnsi="宋体" w:cs="宋体"/>
                <w:sz w:val="24"/>
                <w:szCs w:val="20"/>
                <w:highlight w:val="none"/>
              </w:rPr>
            </w:pPr>
            <w:r>
              <w:rPr>
                <w:rFonts w:hint="eastAsia" w:ascii="宋体" w:hAnsi="宋体" w:cs="宋体"/>
                <w:sz w:val="24"/>
                <w:szCs w:val="20"/>
                <w:highlight w:val="none"/>
              </w:rPr>
              <w:t>部署</w:t>
            </w:r>
            <w:r>
              <w:rPr>
                <w:rFonts w:ascii="宋体" w:hAnsi="宋体" w:cs="宋体"/>
                <w:sz w:val="24"/>
                <w:szCs w:val="20"/>
                <w:highlight w:val="none"/>
              </w:rPr>
              <w:t>5套国产操作系统支撑业务的正常运转</w:t>
            </w:r>
          </w:p>
        </w:tc>
        <w:tc>
          <w:tcPr>
            <w:tcW w:w="5698" w:type="dxa"/>
            <w:vAlign w:val="center"/>
          </w:tcPr>
          <w:p w14:paraId="7FD3B7CA">
            <w:pPr>
              <w:rPr>
                <w:rFonts w:ascii="宋体" w:hAnsi="宋体" w:cs="宋体"/>
                <w:sz w:val="24"/>
                <w:szCs w:val="20"/>
                <w:highlight w:val="none"/>
              </w:rPr>
            </w:pPr>
            <w:r>
              <w:rPr>
                <w:rFonts w:hint="eastAsia" w:ascii="宋体" w:hAnsi="宋体" w:cs="宋体"/>
                <w:sz w:val="24"/>
                <w:szCs w:val="20"/>
                <w:highlight w:val="none"/>
              </w:rPr>
              <w:t>信创国产服务器操作系统，支持龙芯、兆芯、飞腾、鲲鹏、海光、申威等主流国产芯片；</w:t>
            </w:r>
          </w:p>
          <w:p w14:paraId="45C48992">
            <w:pPr>
              <w:rPr>
                <w:rFonts w:ascii="宋体" w:hAnsi="宋体" w:cs="宋体"/>
                <w:sz w:val="24"/>
                <w:szCs w:val="20"/>
                <w:highlight w:val="none"/>
              </w:rPr>
            </w:pPr>
            <w:r>
              <w:rPr>
                <w:rFonts w:hint="eastAsia" w:ascii="宋体" w:hAnsi="宋体" w:cs="宋体"/>
                <w:sz w:val="24"/>
                <w:szCs w:val="20"/>
                <w:highlight w:val="none"/>
              </w:rPr>
              <w:t>支持以中文引导的图形化界面安装，支持光盘、网络、</w:t>
            </w:r>
            <w:r>
              <w:rPr>
                <w:rFonts w:ascii="宋体" w:hAnsi="宋体" w:cs="宋体"/>
                <w:sz w:val="24"/>
                <w:szCs w:val="20"/>
                <w:highlight w:val="none"/>
              </w:rPr>
              <w:t>U盘等多种安装途径安装系统，支持最小化安装；</w:t>
            </w:r>
          </w:p>
          <w:p w14:paraId="75E43557">
            <w:pPr>
              <w:rPr>
                <w:rFonts w:ascii="宋体" w:hAnsi="宋体" w:cs="宋体"/>
                <w:sz w:val="24"/>
                <w:szCs w:val="20"/>
                <w:highlight w:val="none"/>
              </w:rPr>
            </w:pPr>
            <w:r>
              <w:rPr>
                <w:rFonts w:hint="eastAsia" w:ascii="宋体" w:hAnsi="宋体" w:cs="宋体"/>
                <w:sz w:val="24"/>
                <w:szCs w:val="20"/>
                <w:highlight w:val="none"/>
              </w:rPr>
              <w:t>基础环境：集成</w:t>
            </w:r>
            <w:r>
              <w:rPr>
                <w:rFonts w:ascii="宋体" w:hAnsi="宋体" w:cs="宋体"/>
                <w:sz w:val="24"/>
                <w:szCs w:val="20"/>
                <w:highlight w:val="none"/>
              </w:rPr>
              <w:t>Qt等开发框架；</w:t>
            </w:r>
          </w:p>
          <w:p w14:paraId="0B99A44F">
            <w:pPr>
              <w:rPr>
                <w:rFonts w:ascii="宋体" w:hAnsi="宋体" w:cs="宋体"/>
                <w:sz w:val="24"/>
                <w:szCs w:val="20"/>
                <w:highlight w:val="none"/>
              </w:rPr>
            </w:pPr>
            <w:r>
              <w:rPr>
                <w:rFonts w:hint="eastAsia" w:ascii="宋体" w:hAnsi="宋体" w:cs="宋体"/>
                <w:sz w:val="24"/>
                <w:szCs w:val="20"/>
                <w:highlight w:val="none"/>
              </w:rPr>
              <w:t>支持</w:t>
            </w:r>
            <w:r>
              <w:rPr>
                <w:rFonts w:ascii="宋体" w:hAnsi="宋体" w:cs="宋体"/>
                <w:sz w:val="24"/>
                <w:szCs w:val="20"/>
                <w:highlight w:val="none"/>
              </w:rPr>
              <w:t xml:space="preserve"> GCC </w:t>
            </w:r>
            <w:r>
              <w:rPr>
                <w:rFonts w:hint="eastAsia" w:ascii="宋体" w:hAnsi="宋体" w:cs="宋体"/>
                <w:sz w:val="24"/>
                <w:szCs w:val="20"/>
                <w:highlight w:val="none"/>
              </w:rPr>
              <w:t>包含的</w:t>
            </w:r>
            <w:r>
              <w:rPr>
                <w:rFonts w:ascii="宋体" w:hAnsi="宋体" w:cs="宋体"/>
                <w:sz w:val="24"/>
                <w:szCs w:val="20"/>
                <w:highlight w:val="none"/>
              </w:rPr>
              <w:t xml:space="preserve"> C、C++、Objective C、Objective C++ </w:t>
            </w:r>
            <w:r>
              <w:rPr>
                <w:rFonts w:hint="eastAsia" w:ascii="宋体" w:hAnsi="宋体" w:cs="宋体"/>
                <w:sz w:val="24"/>
                <w:szCs w:val="20"/>
                <w:highlight w:val="none"/>
              </w:rPr>
              <w:t>和</w:t>
            </w:r>
            <w:r>
              <w:rPr>
                <w:rFonts w:ascii="宋体" w:hAnsi="宋体" w:cs="宋体"/>
                <w:sz w:val="24"/>
                <w:szCs w:val="20"/>
                <w:highlight w:val="none"/>
              </w:rPr>
              <w:t xml:space="preserve"> Fortran等相应支持库（libstdc++、libgcj等）；</w:t>
            </w:r>
          </w:p>
          <w:p w14:paraId="6E8F9420">
            <w:pPr>
              <w:rPr>
                <w:rFonts w:ascii="宋体" w:hAnsi="宋体" w:cs="宋体"/>
                <w:sz w:val="24"/>
                <w:szCs w:val="20"/>
                <w:highlight w:val="none"/>
              </w:rPr>
            </w:pPr>
            <w:r>
              <w:rPr>
                <w:rFonts w:hint="eastAsia" w:ascii="宋体" w:hAnsi="宋体" w:cs="宋体"/>
                <w:sz w:val="24"/>
                <w:szCs w:val="20"/>
                <w:highlight w:val="none"/>
              </w:rPr>
              <w:t>支持</w:t>
            </w:r>
            <w:r>
              <w:rPr>
                <w:rFonts w:ascii="宋体" w:hAnsi="宋体" w:cs="宋体"/>
                <w:sz w:val="24"/>
                <w:szCs w:val="20"/>
                <w:highlight w:val="none"/>
              </w:rPr>
              <w:t xml:space="preserve"> Python， Perl，Shell，Ruby，PHP </w:t>
            </w:r>
            <w:r>
              <w:rPr>
                <w:rFonts w:hint="eastAsia" w:ascii="宋体" w:hAnsi="宋体" w:cs="宋体"/>
                <w:sz w:val="24"/>
                <w:szCs w:val="20"/>
                <w:highlight w:val="none"/>
              </w:rPr>
              <w:t>等脚本语言；</w:t>
            </w:r>
          </w:p>
          <w:p w14:paraId="6CF1A6AD">
            <w:pPr>
              <w:rPr>
                <w:rFonts w:ascii="宋体" w:hAnsi="宋体" w:cs="宋体"/>
                <w:sz w:val="24"/>
                <w:szCs w:val="20"/>
                <w:highlight w:val="none"/>
              </w:rPr>
            </w:pPr>
            <w:r>
              <w:rPr>
                <w:rFonts w:hint="eastAsia" w:ascii="宋体" w:hAnsi="宋体" w:cs="宋体"/>
                <w:sz w:val="24"/>
                <w:szCs w:val="20"/>
                <w:highlight w:val="none"/>
              </w:rPr>
              <w:t>支持</w:t>
            </w:r>
            <w:r>
              <w:rPr>
                <w:rFonts w:ascii="宋体" w:hAnsi="宋体" w:cs="宋体"/>
                <w:sz w:val="24"/>
                <w:szCs w:val="20"/>
                <w:highlight w:val="none"/>
              </w:rPr>
              <w:t xml:space="preserve"> java 1.7 </w:t>
            </w:r>
            <w:r>
              <w:rPr>
                <w:rFonts w:hint="eastAsia" w:ascii="宋体" w:hAnsi="宋体" w:cs="宋体"/>
                <w:sz w:val="24"/>
                <w:szCs w:val="20"/>
                <w:highlight w:val="none"/>
              </w:rPr>
              <w:t>、</w:t>
            </w:r>
            <w:r>
              <w:rPr>
                <w:rFonts w:ascii="宋体" w:hAnsi="宋体" w:cs="宋体"/>
                <w:sz w:val="24"/>
                <w:szCs w:val="20"/>
                <w:highlight w:val="none"/>
              </w:rPr>
              <w:t xml:space="preserve">1.8、11 </w:t>
            </w:r>
            <w:r>
              <w:rPr>
                <w:rFonts w:hint="eastAsia" w:ascii="宋体" w:hAnsi="宋体" w:cs="宋体"/>
                <w:sz w:val="24"/>
                <w:szCs w:val="20"/>
                <w:highlight w:val="none"/>
              </w:rPr>
              <w:t>等；</w:t>
            </w:r>
          </w:p>
          <w:p w14:paraId="3E138A48">
            <w:pPr>
              <w:rPr>
                <w:rFonts w:ascii="宋体" w:hAnsi="宋体" w:cs="宋体"/>
                <w:sz w:val="24"/>
                <w:szCs w:val="20"/>
                <w:highlight w:val="none"/>
              </w:rPr>
            </w:pPr>
            <w:r>
              <w:rPr>
                <w:rFonts w:hint="eastAsia" w:ascii="宋体" w:hAnsi="宋体" w:cs="宋体"/>
                <w:sz w:val="24"/>
                <w:szCs w:val="20"/>
                <w:highlight w:val="none"/>
              </w:rPr>
              <w:t>文件系统：默认使用</w:t>
            </w:r>
            <w:r>
              <w:rPr>
                <w:rFonts w:ascii="宋体" w:hAnsi="宋体" w:cs="宋体"/>
                <w:sz w:val="24"/>
                <w:szCs w:val="20"/>
                <w:highlight w:val="none"/>
              </w:rPr>
              <w:t xml:space="preserve"> XFS，支持 EXT3、EXT4、GFS、GFS2 </w:t>
            </w:r>
            <w:r>
              <w:rPr>
                <w:rFonts w:hint="eastAsia" w:ascii="宋体" w:hAnsi="宋体" w:cs="宋体"/>
                <w:sz w:val="24"/>
                <w:szCs w:val="20"/>
                <w:highlight w:val="none"/>
              </w:rPr>
              <w:t>等；</w:t>
            </w:r>
          </w:p>
          <w:p w14:paraId="49F99A0D">
            <w:pPr>
              <w:rPr>
                <w:rFonts w:ascii="宋体" w:hAnsi="宋体" w:cs="宋体"/>
                <w:sz w:val="24"/>
                <w:szCs w:val="20"/>
                <w:highlight w:val="none"/>
              </w:rPr>
            </w:pPr>
            <w:r>
              <w:rPr>
                <w:rFonts w:hint="eastAsia" w:ascii="宋体" w:hAnsi="宋体" w:cs="宋体"/>
                <w:sz w:val="24"/>
                <w:szCs w:val="20"/>
                <w:highlight w:val="none"/>
              </w:rPr>
              <w:t>存储支持：内置支持快速块设备作为慢速块设备缓存以加速</w:t>
            </w:r>
            <w:r>
              <w:rPr>
                <w:rFonts w:ascii="宋体" w:hAnsi="宋体" w:cs="宋体"/>
                <w:sz w:val="24"/>
                <w:szCs w:val="20"/>
                <w:highlight w:val="none"/>
              </w:rPr>
              <w:t xml:space="preserve"> IO </w:t>
            </w:r>
            <w:r>
              <w:rPr>
                <w:rFonts w:hint="eastAsia" w:ascii="宋体" w:hAnsi="宋体" w:cs="宋体"/>
                <w:sz w:val="24"/>
                <w:szCs w:val="20"/>
                <w:highlight w:val="none"/>
              </w:rPr>
              <w:t>支持</w:t>
            </w:r>
            <w:r>
              <w:rPr>
                <w:rFonts w:ascii="宋体" w:hAnsi="宋体" w:cs="宋体"/>
                <w:sz w:val="24"/>
                <w:szCs w:val="20"/>
                <w:highlight w:val="none"/>
              </w:rPr>
              <w:t xml:space="preserve"> swap </w:t>
            </w:r>
            <w:r>
              <w:rPr>
                <w:rFonts w:hint="eastAsia" w:ascii="宋体" w:hAnsi="宋体" w:cs="宋体"/>
                <w:sz w:val="24"/>
                <w:szCs w:val="20"/>
                <w:highlight w:val="none"/>
              </w:rPr>
              <w:t>压缩以减少</w:t>
            </w:r>
            <w:r>
              <w:rPr>
                <w:rFonts w:ascii="宋体" w:hAnsi="宋体" w:cs="宋体"/>
                <w:sz w:val="24"/>
                <w:szCs w:val="20"/>
                <w:highlight w:val="none"/>
              </w:rPr>
              <w:t xml:space="preserve"> O </w:t>
            </w:r>
            <w:r>
              <w:rPr>
                <w:rFonts w:hint="eastAsia" w:ascii="宋体" w:hAnsi="宋体" w:cs="宋体"/>
                <w:sz w:val="24"/>
                <w:szCs w:val="20"/>
                <w:highlight w:val="none"/>
              </w:rPr>
              <w:t>并提高性能支持</w:t>
            </w:r>
            <w:r>
              <w:rPr>
                <w:rFonts w:ascii="宋体" w:hAnsi="宋体" w:cs="宋体"/>
                <w:sz w:val="24"/>
                <w:szCs w:val="20"/>
                <w:highlight w:val="none"/>
              </w:rPr>
              <w:t xml:space="preserve"> FCOE、iSCSI，支持将 Ceph </w:t>
            </w:r>
            <w:r>
              <w:rPr>
                <w:rFonts w:hint="eastAsia" w:ascii="宋体" w:hAnsi="宋体" w:cs="宋体"/>
                <w:sz w:val="24"/>
                <w:szCs w:val="20"/>
                <w:highlight w:val="none"/>
              </w:rPr>
              <w:t>块设备视为常规磁盘设备条目，挂载</w:t>
            </w:r>
            <w:r>
              <w:rPr>
                <w:rFonts w:ascii="宋体" w:hAnsi="宋体" w:cs="宋体"/>
                <w:sz w:val="24"/>
                <w:szCs w:val="20"/>
                <w:highlight w:val="none"/>
              </w:rPr>
              <w:t xml:space="preserve"> </w:t>
            </w:r>
            <w:r>
              <w:rPr>
                <w:rFonts w:hint="eastAsia" w:ascii="宋体" w:hAnsi="宋体" w:cs="宋体"/>
                <w:sz w:val="24"/>
                <w:szCs w:val="20"/>
                <w:highlight w:val="none"/>
              </w:rPr>
              <w:t>到某个目录并使用标准文件系统格式化，比如</w:t>
            </w:r>
            <w:r>
              <w:rPr>
                <w:rFonts w:ascii="宋体" w:hAnsi="宋体" w:cs="宋体"/>
                <w:sz w:val="24"/>
                <w:szCs w:val="20"/>
                <w:highlight w:val="none"/>
              </w:rPr>
              <w:t xml:space="preserve"> XFS </w:t>
            </w:r>
            <w:r>
              <w:rPr>
                <w:rFonts w:hint="eastAsia" w:ascii="宋体" w:hAnsi="宋体" w:cs="宋体"/>
                <w:sz w:val="24"/>
                <w:szCs w:val="20"/>
                <w:highlight w:val="none"/>
              </w:rPr>
              <w:t>或者</w:t>
            </w:r>
            <w:r>
              <w:rPr>
                <w:rFonts w:ascii="宋体" w:hAnsi="宋体" w:cs="宋体"/>
                <w:sz w:val="24"/>
                <w:szCs w:val="20"/>
                <w:highlight w:val="none"/>
              </w:rPr>
              <w:t xml:space="preserve"> EXT4；</w:t>
            </w:r>
          </w:p>
          <w:p w14:paraId="4C681961">
            <w:pPr>
              <w:rPr>
                <w:rFonts w:ascii="宋体" w:hAnsi="宋体" w:cs="宋体"/>
                <w:sz w:val="24"/>
                <w:szCs w:val="20"/>
                <w:highlight w:val="none"/>
              </w:rPr>
            </w:pPr>
            <w:r>
              <w:rPr>
                <w:rFonts w:hint="eastAsia" w:ascii="宋体" w:hAnsi="宋体" w:cs="宋体"/>
                <w:sz w:val="24"/>
                <w:szCs w:val="20"/>
                <w:highlight w:val="none"/>
              </w:rPr>
              <w:t>虚拟化支持：支持</w:t>
            </w:r>
            <w:r>
              <w:rPr>
                <w:rFonts w:ascii="宋体" w:hAnsi="宋体" w:cs="宋体"/>
                <w:sz w:val="24"/>
                <w:szCs w:val="20"/>
                <w:highlight w:val="none"/>
              </w:rPr>
              <w:t xml:space="preserve">KVM </w:t>
            </w:r>
            <w:r>
              <w:rPr>
                <w:rFonts w:hint="eastAsia" w:ascii="宋体" w:hAnsi="宋体" w:cs="宋体"/>
                <w:sz w:val="24"/>
                <w:szCs w:val="20"/>
                <w:highlight w:val="none"/>
              </w:rPr>
              <w:t>虚拟化内置单机虚拟化管理程序支持作为</w:t>
            </w:r>
            <w:r>
              <w:rPr>
                <w:rFonts w:ascii="宋体" w:hAnsi="宋体" w:cs="宋体"/>
                <w:sz w:val="24"/>
                <w:szCs w:val="20"/>
                <w:highlight w:val="none"/>
              </w:rPr>
              <w:t xml:space="preserve">KVM、Xen、Hyper-V、ESXi </w:t>
            </w:r>
            <w:r>
              <w:rPr>
                <w:rFonts w:hint="eastAsia" w:ascii="宋体" w:hAnsi="宋体" w:cs="宋体"/>
                <w:sz w:val="24"/>
                <w:szCs w:val="20"/>
                <w:highlight w:val="none"/>
              </w:rPr>
              <w:t>虚拟机；</w:t>
            </w:r>
          </w:p>
          <w:p w14:paraId="7038ABEB">
            <w:pPr>
              <w:rPr>
                <w:rFonts w:ascii="宋体" w:hAnsi="宋体" w:cs="宋体"/>
                <w:sz w:val="24"/>
                <w:szCs w:val="20"/>
                <w:highlight w:val="none"/>
              </w:rPr>
            </w:pPr>
            <w:r>
              <w:rPr>
                <w:rFonts w:hint="eastAsia" w:ascii="宋体" w:hAnsi="宋体" w:cs="宋体"/>
                <w:sz w:val="24"/>
                <w:szCs w:val="20"/>
                <w:highlight w:val="none"/>
              </w:rPr>
              <w:t>常用应用支持：默认提供</w:t>
            </w:r>
            <w:r>
              <w:rPr>
                <w:rFonts w:ascii="宋体" w:hAnsi="宋体" w:cs="宋体"/>
                <w:sz w:val="24"/>
                <w:szCs w:val="20"/>
                <w:highlight w:val="none"/>
              </w:rPr>
              <w:t xml:space="preserve"> apache http、ftp、DNS、DHCP、MariaDB、PostgreSQL、NFS、 Samba、LDAP </w:t>
            </w:r>
            <w:r>
              <w:rPr>
                <w:rFonts w:hint="eastAsia" w:ascii="宋体" w:hAnsi="宋体" w:cs="宋体"/>
                <w:sz w:val="24"/>
                <w:szCs w:val="20"/>
                <w:highlight w:val="none"/>
              </w:rPr>
              <w:t>等应用；</w:t>
            </w:r>
          </w:p>
          <w:p w14:paraId="435A6CC1">
            <w:pPr>
              <w:jc w:val="left"/>
              <w:rPr>
                <w:rFonts w:ascii="宋体" w:hAnsi="宋体" w:cs="宋体"/>
                <w:sz w:val="24"/>
                <w:szCs w:val="20"/>
                <w:highlight w:val="none"/>
              </w:rPr>
            </w:pPr>
            <w:r>
              <w:rPr>
                <w:rFonts w:hint="eastAsia" w:ascii="宋体" w:hAnsi="宋体" w:cs="宋体"/>
                <w:sz w:val="24"/>
                <w:szCs w:val="20"/>
                <w:highlight w:val="none"/>
              </w:rPr>
              <w:t>含远程服务；</w:t>
            </w:r>
            <w:r>
              <w:rPr>
                <w:rFonts w:ascii="宋体" w:hAnsi="宋体" w:cs="宋体"/>
                <w:sz w:val="24"/>
                <w:szCs w:val="20"/>
                <w:highlight w:val="none"/>
              </w:rPr>
              <w:t>5*8小时电话、邮件等远程支持服务；</w:t>
            </w:r>
          </w:p>
          <w:p w14:paraId="00CD1DA1">
            <w:pPr>
              <w:jc w:val="left"/>
              <w:rPr>
                <w:rFonts w:ascii="宋体" w:hAnsi="宋体" w:cs="宋体"/>
                <w:sz w:val="24"/>
                <w:szCs w:val="20"/>
                <w:highlight w:val="none"/>
              </w:rPr>
            </w:pPr>
            <w:r>
              <w:rPr>
                <w:rFonts w:hint="eastAsia" w:ascii="宋体" w:hAnsi="宋体" w:cs="宋体"/>
                <w:sz w:val="24"/>
                <w:highlight w:val="none"/>
              </w:rPr>
              <w:t>详细参数见“国产操作系统单套详细参数要求”</w:t>
            </w:r>
          </w:p>
        </w:tc>
      </w:tr>
    </w:tbl>
    <w:p w14:paraId="33617878">
      <w:pPr>
        <w:spacing w:line="360" w:lineRule="auto"/>
        <w:rPr>
          <w:rFonts w:ascii="宋体" w:hAnsi="宋体" w:cs="宋体"/>
          <w:kern w:val="0"/>
          <w:sz w:val="24"/>
          <w:highlight w:val="none"/>
        </w:rPr>
      </w:pPr>
    </w:p>
    <w:p w14:paraId="6B3E92C6">
      <w:pPr>
        <w:spacing w:line="360" w:lineRule="auto"/>
        <w:ind w:firstLine="240" w:firstLineChars="100"/>
        <w:rPr>
          <w:rFonts w:ascii="宋体" w:hAnsi="宋体" w:cs="宋体"/>
          <w:sz w:val="24"/>
          <w:highlight w:val="none"/>
        </w:rPr>
      </w:pPr>
      <w:r>
        <w:rPr>
          <w:rFonts w:hint="eastAsia" w:ascii="宋体" w:hAnsi="宋体" w:cs="宋体"/>
          <w:sz w:val="24"/>
          <w:highlight w:val="none"/>
        </w:rPr>
        <w:t>国产操作系统单套详细参数如下：</w:t>
      </w:r>
    </w:p>
    <w:tbl>
      <w:tblPr>
        <w:tblStyle w:val="62"/>
        <w:tblW w:w="9220" w:type="dxa"/>
        <w:tblInd w:w="0" w:type="dxa"/>
        <w:tblLayout w:type="fixed"/>
        <w:tblCellMar>
          <w:top w:w="0" w:type="dxa"/>
          <w:left w:w="108" w:type="dxa"/>
          <w:bottom w:w="0" w:type="dxa"/>
          <w:right w:w="108" w:type="dxa"/>
        </w:tblCellMar>
      </w:tblPr>
      <w:tblGrid>
        <w:gridCol w:w="805"/>
        <w:gridCol w:w="1306"/>
        <w:gridCol w:w="3150"/>
        <w:gridCol w:w="3959"/>
      </w:tblGrid>
      <w:tr w14:paraId="48FA320C">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000000" w:fill="A6A6A6"/>
            <w:vAlign w:val="center"/>
          </w:tcPr>
          <w:p w14:paraId="2AB16086">
            <w:pPr>
              <w:keepNext/>
              <w:keepLines/>
              <w:widowControl/>
              <w:adjustRightInd/>
              <w:spacing w:before="160" w:after="160" w:line="720" w:lineRule="exact"/>
              <w:jc w:val="center"/>
              <w:outlineLvl w:val="1"/>
              <w:rPr>
                <w:rFonts w:ascii="宋体" w:hAnsi="宋体" w:cs="宋体"/>
                <w:b/>
                <w:bCs/>
                <w:kern w:val="0"/>
                <w:sz w:val="24"/>
                <w:highlight w:val="none"/>
              </w:rPr>
            </w:pPr>
            <w:r>
              <w:rPr>
                <w:rFonts w:hint="eastAsia" w:ascii="宋体" w:hAnsi="宋体" w:cs="宋体"/>
                <w:b/>
                <w:bCs/>
                <w:kern w:val="0"/>
                <w:sz w:val="24"/>
                <w:highlight w:val="none"/>
              </w:rPr>
              <w:t>序号</w:t>
            </w:r>
          </w:p>
        </w:tc>
        <w:tc>
          <w:tcPr>
            <w:tcW w:w="1306" w:type="dxa"/>
            <w:tcBorders>
              <w:top w:val="single" w:color="auto" w:sz="4" w:space="0"/>
              <w:left w:val="nil"/>
              <w:bottom w:val="single" w:color="auto" w:sz="4" w:space="0"/>
              <w:right w:val="single" w:color="auto" w:sz="4" w:space="0"/>
            </w:tcBorders>
            <w:shd w:val="clear" w:color="000000" w:fill="A6A6A6"/>
            <w:vAlign w:val="center"/>
          </w:tcPr>
          <w:p w14:paraId="0B0C73DE">
            <w:pPr>
              <w:keepNext/>
              <w:keepLines/>
              <w:widowControl/>
              <w:adjustRightInd/>
              <w:spacing w:before="160" w:after="160" w:line="720" w:lineRule="exact"/>
              <w:jc w:val="center"/>
              <w:outlineLvl w:val="1"/>
              <w:rPr>
                <w:rFonts w:ascii="宋体" w:hAnsi="宋体" w:cs="宋体"/>
                <w:b/>
                <w:bCs/>
                <w:kern w:val="0"/>
                <w:sz w:val="24"/>
                <w:highlight w:val="none"/>
              </w:rPr>
            </w:pPr>
            <w:r>
              <w:rPr>
                <w:rFonts w:hint="eastAsia" w:ascii="宋体" w:hAnsi="宋体" w:cs="宋体"/>
                <w:b/>
                <w:bCs/>
                <w:kern w:val="0"/>
                <w:sz w:val="24"/>
                <w:highlight w:val="none"/>
              </w:rPr>
              <w:t>一级参数指标</w:t>
            </w:r>
          </w:p>
        </w:tc>
        <w:tc>
          <w:tcPr>
            <w:tcW w:w="3150" w:type="dxa"/>
            <w:tcBorders>
              <w:top w:val="single" w:color="auto" w:sz="4" w:space="0"/>
              <w:left w:val="nil"/>
              <w:bottom w:val="single" w:color="auto" w:sz="4" w:space="0"/>
              <w:right w:val="single" w:color="auto" w:sz="4" w:space="0"/>
            </w:tcBorders>
            <w:shd w:val="clear" w:color="000000" w:fill="A6A6A6"/>
            <w:vAlign w:val="center"/>
          </w:tcPr>
          <w:p w14:paraId="295CB3C0">
            <w:pPr>
              <w:keepNext/>
              <w:keepLines/>
              <w:widowControl/>
              <w:adjustRightInd/>
              <w:spacing w:before="160" w:after="160" w:line="720" w:lineRule="exact"/>
              <w:jc w:val="center"/>
              <w:outlineLvl w:val="1"/>
              <w:rPr>
                <w:rFonts w:ascii="宋体" w:hAnsi="宋体" w:cs="宋体"/>
                <w:b/>
                <w:bCs/>
                <w:kern w:val="0"/>
                <w:sz w:val="24"/>
                <w:highlight w:val="none"/>
              </w:rPr>
            </w:pPr>
            <w:r>
              <w:rPr>
                <w:rFonts w:hint="eastAsia" w:ascii="宋体" w:hAnsi="宋体" w:cs="宋体"/>
                <w:b/>
                <w:bCs/>
                <w:kern w:val="0"/>
                <w:sz w:val="24"/>
                <w:highlight w:val="none"/>
              </w:rPr>
              <w:t>二级参数指标</w:t>
            </w:r>
          </w:p>
        </w:tc>
        <w:tc>
          <w:tcPr>
            <w:tcW w:w="3959" w:type="dxa"/>
            <w:tcBorders>
              <w:top w:val="single" w:color="auto" w:sz="4" w:space="0"/>
              <w:left w:val="nil"/>
              <w:bottom w:val="single" w:color="auto" w:sz="4" w:space="0"/>
              <w:right w:val="single" w:color="auto" w:sz="4" w:space="0"/>
            </w:tcBorders>
            <w:shd w:val="clear" w:color="000000" w:fill="A6A6A6"/>
            <w:vAlign w:val="center"/>
          </w:tcPr>
          <w:p w14:paraId="71E434DC">
            <w:pPr>
              <w:keepNext/>
              <w:keepLines/>
              <w:widowControl/>
              <w:adjustRightInd/>
              <w:spacing w:before="160" w:after="160" w:line="720" w:lineRule="exact"/>
              <w:jc w:val="center"/>
              <w:outlineLvl w:val="1"/>
              <w:rPr>
                <w:rFonts w:ascii="宋体" w:hAnsi="宋体" w:cs="宋体"/>
                <w:b/>
                <w:bCs/>
                <w:kern w:val="0"/>
                <w:sz w:val="24"/>
                <w:highlight w:val="none"/>
              </w:rPr>
            </w:pPr>
            <w:r>
              <w:rPr>
                <w:rFonts w:hint="eastAsia" w:ascii="宋体" w:hAnsi="宋体" w:cs="宋体"/>
                <w:b/>
                <w:bCs/>
                <w:kern w:val="0"/>
                <w:sz w:val="24"/>
                <w:highlight w:val="none"/>
              </w:rPr>
              <w:t>指标要求</w:t>
            </w:r>
          </w:p>
        </w:tc>
      </w:tr>
      <w:tr w14:paraId="59BB1E06">
        <w:tblPrEx>
          <w:tblCellMar>
            <w:top w:w="0" w:type="dxa"/>
            <w:left w:w="108" w:type="dxa"/>
            <w:bottom w:w="0" w:type="dxa"/>
            <w:right w:w="108" w:type="dxa"/>
          </w:tblCellMar>
        </w:tblPrEx>
        <w:trPr>
          <w:trHeight w:val="936"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66C559A6">
            <w:pPr>
              <w:keepNext/>
              <w:keepLines/>
              <w:widowControl/>
              <w:adjustRightInd/>
              <w:spacing w:before="160" w:after="160" w:line="720" w:lineRule="exact"/>
              <w:jc w:val="center"/>
              <w:outlineLvl w:val="1"/>
              <w:rPr>
                <w:rFonts w:ascii="宋体" w:hAnsi="宋体" w:cs="宋体"/>
                <w:kern w:val="0"/>
                <w:sz w:val="24"/>
                <w:highlight w:val="none"/>
              </w:rPr>
            </w:pPr>
            <w:r>
              <w:rPr>
                <w:rFonts w:ascii="宋体" w:hAnsi="宋体" w:cs="宋体"/>
                <w:kern w:val="0"/>
                <w:sz w:val="24"/>
                <w:highlight w:val="none"/>
              </w:rPr>
              <w:t>1</w:t>
            </w:r>
          </w:p>
        </w:tc>
        <w:tc>
          <w:tcPr>
            <w:tcW w:w="1306" w:type="dxa"/>
            <w:tcBorders>
              <w:top w:val="nil"/>
              <w:left w:val="nil"/>
              <w:bottom w:val="single" w:color="auto" w:sz="4" w:space="0"/>
              <w:right w:val="single" w:color="auto" w:sz="4" w:space="0"/>
            </w:tcBorders>
            <w:shd w:val="clear" w:color="000000" w:fill="FFFFFF"/>
            <w:vAlign w:val="center"/>
          </w:tcPr>
          <w:p w14:paraId="09F6247A">
            <w:pPr>
              <w:keepNext/>
              <w:keepLines/>
              <w:widowControl/>
              <w:adjustRightInd/>
              <w:spacing w:before="160" w:after="160" w:line="720" w:lineRule="exact"/>
              <w:jc w:val="left"/>
              <w:outlineLvl w:val="1"/>
              <w:rPr>
                <w:rFonts w:ascii="宋体" w:hAnsi="宋体" w:cs="宋体"/>
                <w:kern w:val="0"/>
                <w:sz w:val="24"/>
                <w:highlight w:val="none"/>
              </w:rPr>
            </w:pPr>
            <w:r>
              <w:rPr>
                <w:rFonts w:hint="eastAsia" w:ascii="宋体" w:hAnsi="宋体" w:cs="宋体"/>
                <w:kern w:val="0"/>
                <w:sz w:val="24"/>
                <w:highlight w:val="none"/>
              </w:rPr>
              <w:t>▲操作系统支持多</w:t>
            </w:r>
            <w:r>
              <w:rPr>
                <w:rFonts w:ascii="宋体" w:hAnsi="宋体" w:cs="宋体"/>
                <w:kern w:val="0"/>
                <w:sz w:val="24"/>
                <w:highlight w:val="none"/>
              </w:rPr>
              <w:t>CPU架构</w:t>
            </w:r>
          </w:p>
        </w:tc>
        <w:tc>
          <w:tcPr>
            <w:tcW w:w="3150" w:type="dxa"/>
            <w:tcBorders>
              <w:top w:val="nil"/>
              <w:left w:val="nil"/>
              <w:bottom w:val="single" w:color="auto" w:sz="4" w:space="0"/>
              <w:right w:val="single" w:color="auto" w:sz="4" w:space="0"/>
            </w:tcBorders>
            <w:shd w:val="clear" w:color="000000" w:fill="FFFFFF"/>
            <w:vAlign w:val="center"/>
          </w:tcPr>
          <w:p w14:paraId="34A41875">
            <w:pPr>
              <w:keepNext/>
              <w:keepLines/>
              <w:widowControl/>
              <w:adjustRightInd/>
              <w:spacing w:before="160" w:after="160" w:line="720" w:lineRule="exact"/>
              <w:jc w:val="left"/>
              <w:outlineLvl w:val="1"/>
              <w:rPr>
                <w:rFonts w:ascii="宋体" w:hAnsi="宋体" w:cs="宋体"/>
                <w:kern w:val="0"/>
                <w:sz w:val="24"/>
                <w:highlight w:val="none"/>
              </w:rPr>
            </w:pPr>
            <w:r>
              <w:rPr>
                <w:rFonts w:hint="eastAsia" w:ascii="宋体" w:hAnsi="宋体" w:cs="宋体"/>
                <w:kern w:val="0"/>
                <w:sz w:val="24"/>
                <w:highlight w:val="none"/>
              </w:rPr>
              <w:t>▲同源兼容多</w:t>
            </w:r>
            <w:r>
              <w:rPr>
                <w:rFonts w:ascii="宋体" w:hAnsi="宋体" w:cs="宋体"/>
                <w:kern w:val="0"/>
                <w:sz w:val="24"/>
                <w:highlight w:val="none"/>
              </w:rPr>
              <w:t>CPU平台架构</w:t>
            </w:r>
          </w:p>
        </w:tc>
        <w:tc>
          <w:tcPr>
            <w:tcW w:w="3959" w:type="dxa"/>
            <w:tcBorders>
              <w:top w:val="nil"/>
              <w:left w:val="nil"/>
              <w:bottom w:val="single" w:color="auto" w:sz="4" w:space="0"/>
              <w:right w:val="single" w:color="auto" w:sz="4" w:space="0"/>
            </w:tcBorders>
            <w:shd w:val="clear" w:color="000000" w:fill="FFFFFF"/>
            <w:vAlign w:val="center"/>
          </w:tcPr>
          <w:p w14:paraId="3D53391E">
            <w:pPr>
              <w:keepNext/>
              <w:keepLines/>
              <w:widowControl/>
              <w:adjustRightInd/>
              <w:spacing w:before="160" w:after="160" w:line="720" w:lineRule="exact"/>
              <w:jc w:val="left"/>
              <w:outlineLvl w:val="1"/>
              <w:rPr>
                <w:rFonts w:ascii="宋体" w:hAnsi="宋体" w:cs="宋体"/>
                <w:kern w:val="0"/>
                <w:sz w:val="24"/>
                <w:highlight w:val="none"/>
              </w:rPr>
            </w:pPr>
            <w:r>
              <w:rPr>
                <w:rFonts w:hint="eastAsia" w:ascii="宋体" w:hAnsi="宋体" w:cs="宋体"/>
                <w:kern w:val="0"/>
                <w:sz w:val="24"/>
                <w:highlight w:val="none"/>
              </w:rPr>
              <w:t>操作系统支持同源兼容</w:t>
            </w:r>
            <w:r>
              <w:rPr>
                <w:rFonts w:ascii="宋体" w:hAnsi="宋体" w:cs="宋体"/>
                <w:kern w:val="0"/>
                <w:sz w:val="24"/>
                <w:highlight w:val="none"/>
              </w:rPr>
              <w:t>ARM、LoongArch、MIPS、SW64、x86架构的CPU</w:t>
            </w:r>
          </w:p>
        </w:tc>
      </w:tr>
      <w:tr w14:paraId="7522138E">
        <w:tblPrEx>
          <w:tblCellMar>
            <w:top w:w="0" w:type="dxa"/>
            <w:left w:w="108" w:type="dxa"/>
            <w:bottom w:w="0" w:type="dxa"/>
            <w:right w:w="108" w:type="dxa"/>
          </w:tblCellMar>
        </w:tblPrEx>
        <w:trPr>
          <w:trHeight w:val="936"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5665FB88">
            <w:pPr>
              <w:keepNext/>
              <w:keepLines/>
              <w:widowControl/>
              <w:adjustRightInd/>
              <w:spacing w:before="160" w:after="160" w:line="720" w:lineRule="exact"/>
              <w:jc w:val="center"/>
              <w:outlineLvl w:val="1"/>
              <w:rPr>
                <w:rFonts w:ascii="宋体" w:hAnsi="宋体" w:cs="宋体"/>
                <w:kern w:val="0"/>
                <w:sz w:val="24"/>
                <w:highlight w:val="none"/>
              </w:rPr>
            </w:pPr>
            <w:r>
              <w:rPr>
                <w:rFonts w:ascii="宋体" w:hAnsi="宋体" w:cs="宋体"/>
                <w:kern w:val="0"/>
                <w:sz w:val="24"/>
                <w:highlight w:val="none"/>
              </w:rPr>
              <w:t>2</w:t>
            </w:r>
          </w:p>
        </w:tc>
        <w:tc>
          <w:tcPr>
            <w:tcW w:w="1306" w:type="dxa"/>
            <w:vMerge w:val="restart"/>
            <w:tcBorders>
              <w:top w:val="nil"/>
              <w:left w:val="single" w:color="auto" w:sz="4" w:space="0"/>
              <w:bottom w:val="single" w:color="000000" w:sz="4" w:space="0"/>
              <w:right w:val="single" w:color="auto" w:sz="4" w:space="0"/>
            </w:tcBorders>
            <w:shd w:val="clear" w:color="000000" w:fill="FFFFFF"/>
            <w:vAlign w:val="center"/>
          </w:tcPr>
          <w:p w14:paraId="2F9701DE">
            <w:pPr>
              <w:keepNext/>
              <w:keepLines/>
              <w:widowControl/>
              <w:adjustRightInd/>
              <w:spacing w:before="160" w:after="160" w:line="720" w:lineRule="exact"/>
              <w:jc w:val="left"/>
              <w:outlineLvl w:val="1"/>
              <w:rPr>
                <w:rFonts w:ascii="宋体" w:hAnsi="宋体" w:cs="宋体"/>
                <w:kern w:val="0"/>
                <w:sz w:val="24"/>
                <w:highlight w:val="none"/>
              </w:rPr>
            </w:pPr>
            <w:r>
              <w:rPr>
                <w:rFonts w:hint="eastAsia" w:ascii="宋体" w:hAnsi="宋体" w:cs="宋体"/>
                <w:kern w:val="0"/>
                <w:sz w:val="24"/>
                <w:highlight w:val="none"/>
              </w:rPr>
              <w:t>▲操作系统支持</w:t>
            </w:r>
            <w:r>
              <w:rPr>
                <w:rFonts w:ascii="宋体" w:hAnsi="宋体" w:cs="宋体"/>
                <w:kern w:val="0"/>
                <w:sz w:val="24"/>
                <w:highlight w:val="none"/>
              </w:rPr>
              <w:t>CPU内置功能</w:t>
            </w:r>
          </w:p>
        </w:tc>
        <w:tc>
          <w:tcPr>
            <w:tcW w:w="3150" w:type="dxa"/>
            <w:tcBorders>
              <w:top w:val="nil"/>
              <w:left w:val="nil"/>
              <w:bottom w:val="single" w:color="auto" w:sz="4" w:space="0"/>
              <w:right w:val="single" w:color="auto" w:sz="4" w:space="0"/>
            </w:tcBorders>
            <w:shd w:val="clear" w:color="000000" w:fill="FFFFFF"/>
            <w:vAlign w:val="center"/>
          </w:tcPr>
          <w:p w14:paraId="37A69D45">
            <w:pPr>
              <w:keepNext/>
              <w:keepLines/>
              <w:widowControl/>
              <w:adjustRightInd/>
              <w:spacing w:before="160" w:after="160" w:line="720" w:lineRule="exact"/>
              <w:jc w:val="left"/>
              <w:outlineLvl w:val="1"/>
              <w:rPr>
                <w:rFonts w:ascii="宋体" w:hAnsi="宋体" w:cs="宋体"/>
                <w:kern w:val="0"/>
                <w:sz w:val="24"/>
                <w:highlight w:val="none"/>
              </w:rPr>
            </w:pPr>
            <w:r>
              <w:rPr>
                <w:rFonts w:hint="eastAsia" w:ascii="宋体" w:hAnsi="宋体" w:cs="宋体"/>
                <w:kern w:val="0"/>
                <w:sz w:val="24"/>
                <w:highlight w:val="none"/>
              </w:rPr>
              <w:t>▲多核支持</w:t>
            </w:r>
          </w:p>
        </w:tc>
        <w:tc>
          <w:tcPr>
            <w:tcW w:w="3959" w:type="dxa"/>
            <w:tcBorders>
              <w:top w:val="nil"/>
              <w:left w:val="nil"/>
              <w:bottom w:val="single" w:color="auto" w:sz="4" w:space="0"/>
              <w:right w:val="single" w:color="auto" w:sz="4" w:space="0"/>
            </w:tcBorders>
            <w:shd w:val="clear" w:color="000000" w:fill="FFFFFF"/>
            <w:vAlign w:val="center"/>
          </w:tcPr>
          <w:p w14:paraId="3019E0AB">
            <w:pPr>
              <w:keepNext/>
              <w:keepLines/>
              <w:widowControl/>
              <w:adjustRightInd/>
              <w:spacing w:before="160" w:after="160" w:line="720" w:lineRule="exact"/>
              <w:jc w:val="left"/>
              <w:outlineLvl w:val="1"/>
              <w:rPr>
                <w:rFonts w:ascii="宋体" w:hAnsi="宋体" w:cs="宋体"/>
                <w:kern w:val="0"/>
                <w:sz w:val="24"/>
                <w:highlight w:val="none"/>
              </w:rPr>
            </w:pPr>
            <w:r>
              <w:rPr>
                <w:rFonts w:hint="eastAsia" w:ascii="宋体" w:hAnsi="宋体" w:cs="宋体"/>
                <w:kern w:val="0"/>
                <w:sz w:val="24"/>
                <w:highlight w:val="none"/>
              </w:rPr>
              <w:t>操作系统支持双核及多核处理器，包括核间负载均衡、线程绑定等，并提供接口，通过访问接口获取运行状态和控制多核调度</w:t>
            </w:r>
          </w:p>
        </w:tc>
      </w:tr>
      <w:tr w14:paraId="05E1A1C6">
        <w:tblPrEx>
          <w:tblCellMar>
            <w:top w:w="0" w:type="dxa"/>
            <w:left w:w="108" w:type="dxa"/>
            <w:bottom w:w="0" w:type="dxa"/>
            <w:right w:w="108" w:type="dxa"/>
          </w:tblCellMar>
        </w:tblPrEx>
        <w:trPr>
          <w:trHeight w:val="312"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22952605">
            <w:pPr>
              <w:keepNext/>
              <w:keepLines/>
              <w:widowControl/>
              <w:adjustRightInd/>
              <w:spacing w:before="160" w:after="160" w:line="720" w:lineRule="exact"/>
              <w:jc w:val="center"/>
              <w:outlineLvl w:val="1"/>
              <w:rPr>
                <w:rFonts w:ascii="宋体" w:hAnsi="宋体" w:cs="宋体"/>
                <w:kern w:val="0"/>
                <w:sz w:val="24"/>
                <w:highlight w:val="none"/>
              </w:rPr>
            </w:pPr>
            <w:r>
              <w:rPr>
                <w:rFonts w:ascii="宋体" w:hAnsi="宋体" w:cs="宋体"/>
                <w:kern w:val="0"/>
                <w:sz w:val="24"/>
                <w:highlight w:val="none"/>
              </w:rPr>
              <w:t>3</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64471792">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6D8636FE">
            <w:pPr>
              <w:widowControl/>
              <w:adjustRightInd/>
              <w:jc w:val="left"/>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CPU虚拟化支持</w:t>
            </w:r>
          </w:p>
        </w:tc>
        <w:tc>
          <w:tcPr>
            <w:tcW w:w="3959" w:type="dxa"/>
            <w:tcBorders>
              <w:top w:val="nil"/>
              <w:left w:val="nil"/>
              <w:bottom w:val="single" w:color="auto" w:sz="4" w:space="0"/>
              <w:right w:val="single" w:color="auto" w:sz="4" w:space="0"/>
            </w:tcBorders>
            <w:shd w:val="clear" w:color="000000" w:fill="FFFFFF"/>
            <w:vAlign w:val="center"/>
          </w:tcPr>
          <w:p w14:paraId="4914A90F">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w:t>
            </w:r>
            <w:r>
              <w:rPr>
                <w:rFonts w:ascii="宋体" w:hAnsi="宋体" w:cs="宋体"/>
                <w:kern w:val="0"/>
                <w:sz w:val="24"/>
                <w:highlight w:val="none"/>
              </w:rPr>
              <w:t>CPU虚拟化技术</w:t>
            </w:r>
          </w:p>
        </w:tc>
      </w:tr>
      <w:tr w14:paraId="4530DA30">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028CB1FC">
            <w:pPr>
              <w:widowControl/>
              <w:adjustRightInd/>
              <w:jc w:val="center"/>
              <w:rPr>
                <w:rFonts w:ascii="宋体" w:hAnsi="宋体" w:cs="宋体"/>
                <w:kern w:val="0"/>
                <w:sz w:val="24"/>
                <w:highlight w:val="none"/>
              </w:rPr>
            </w:pPr>
            <w:r>
              <w:rPr>
                <w:rFonts w:ascii="宋体" w:hAnsi="宋体" w:cs="宋体"/>
                <w:kern w:val="0"/>
                <w:sz w:val="24"/>
                <w:highlight w:val="none"/>
              </w:rPr>
              <w:t>4</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3CC9975D">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2DC983CF">
            <w:pPr>
              <w:widowControl/>
              <w:adjustRightInd/>
              <w:jc w:val="left"/>
              <w:rPr>
                <w:rFonts w:ascii="宋体" w:hAnsi="宋体" w:cs="宋体"/>
                <w:kern w:val="0"/>
                <w:sz w:val="24"/>
                <w:highlight w:val="none"/>
              </w:rPr>
            </w:pPr>
            <w:r>
              <w:rPr>
                <w:rFonts w:hint="eastAsia" w:ascii="宋体" w:hAnsi="宋体" w:cs="宋体"/>
                <w:kern w:val="0"/>
                <w:sz w:val="24"/>
                <w:highlight w:val="none"/>
              </w:rPr>
              <w:t>▲动态调节</w:t>
            </w:r>
            <w:r>
              <w:rPr>
                <w:rFonts w:ascii="宋体" w:hAnsi="宋体" w:cs="宋体"/>
                <w:kern w:val="0"/>
                <w:sz w:val="24"/>
                <w:highlight w:val="none"/>
              </w:rPr>
              <w:t>CPU运行频率</w:t>
            </w:r>
          </w:p>
        </w:tc>
        <w:tc>
          <w:tcPr>
            <w:tcW w:w="3959" w:type="dxa"/>
            <w:tcBorders>
              <w:top w:val="nil"/>
              <w:left w:val="nil"/>
              <w:bottom w:val="single" w:color="auto" w:sz="4" w:space="0"/>
              <w:right w:val="single" w:color="auto" w:sz="4" w:space="0"/>
            </w:tcBorders>
            <w:shd w:val="clear" w:color="000000" w:fill="FFFFFF"/>
            <w:vAlign w:val="center"/>
          </w:tcPr>
          <w:p w14:paraId="08516679">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操作系统根据负载情况，自动调节</w:t>
            </w:r>
            <w:r>
              <w:rPr>
                <w:rFonts w:ascii="宋体" w:hAnsi="宋体" w:cs="宋体"/>
                <w:kern w:val="0"/>
                <w:sz w:val="24"/>
                <w:highlight w:val="none"/>
              </w:rPr>
              <w:t>CPU的运行频率</w:t>
            </w:r>
          </w:p>
        </w:tc>
      </w:tr>
      <w:tr w14:paraId="16AB5701">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09E5437B">
            <w:pPr>
              <w:widowControl/>
              <w:adjustRightInd/>
              <w:jc w:val="center"/>
              <w:rPr>
                <w:rFonts w:ascii="宋体" w:hAnsi="宋体" w:cs="宋体"/>
                <w:kern w:val="0"/>
                <w:sz w:val="24"/>
                <w:highlight w:val="none"/>
              </w:rPr>
            </w:pPr>
            <w:r>
              <w:rPr>
                <w:rFonts w:ascii="宋体" w:hAnsi="宋体" w:cs="宋体"/>
                <w:kern w:val="0"/>
                <w:sz w:val="24"/>
                <w:highlight w:val="none"/>
              </w:rPr>
              <w:t>5</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010C5E34">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5A0A5FC8">
            <w:pPr>
              <w:widowControl/>
              <w:adjustRightInd/>
              <w:jc w:val="left"/>
              <w:rPr>
                <w:rFonts w:ascii="宋体" w:hAnsi="宋体" w:cs="宋体"/>
                <w:kern w:val="0"/>
                <w:sz w:val="24"/>
                <w:highlight w:val="none"/>
              </w:rPr>
            </w:pPr>
            <w:r>
              <w:rPr>
                <w:rFonts w:hint="eastAsia" w:ascii="宋体" w:hAnsi="宋体" w:cs="宋体"/>
                <w:kern w:val="0"/>
                <w:sz w:val="24"/>
                <w:highlight w:val="none"/>
              </w:rPr>
              <w:t>▲支持多</w:t>
            </w:r>
            <w:r>
              <w:rPr>
                <w:rFonts w:ascii="宋体" w:hAnsi="宋体" w:cs="宋体"/>
                <w:kern w:val="0"/>
                <w:sz w:val="24"/>
                <w:highlight w:val="none"/>
              </w:rPr>
              <w:t>CPU</w:t>
            </w:r>
          </w:p>
        </w:tc>
        <w:tc>
          <w:tcPr>
            <w:tcW w:w="3959" w:type="dxa"/>
            <w:tcBorders>
              <w:top w:val="nil"/>
              <w:left w:val="nil"/>
              <w:bottom w:val="single" w:color="auto" w:sz="4" w:space="0"/>
              <w:right w:val="single" w:color="auto" w:sz="4" w:space="0"/>
            </w:tcBorders>
            <w:shd w:val="clear" w:color="000000" w:fill="FFFFFF"/>
            <w:vAlign w:val="center"/>
          </w:tcPr>
          <w:p w14:paraId="2918A3CA">
            <w:pPr>
              <w:widowControl/>
              <w:adjustRightInd/>
              <w:jc w:val="left"/>
              <w:rPr>
                <w:rFonts w:ascii="宋体" w:hAnsi="宋体" w:cs="宋体"/>
                <w:kern w:val="0"/>
                <w:sz w:val="24"/>
                <w:highlight w:val="none"/>
              </w:rPr>
            </w:pPr>
            <w:r>
              <w:rPr>
                <w:rFonts w:hint="eastAsia" w:ascii="宋体" w:hAnsi="宋体" w:cs="宋体"/>
                <w:kern w:val="0"/>
                <w:sz w:val="24"/>
                <w:highlight w:val="none"/>
              </w:rPr>
              <w:t>支持跨路内存访问，支持</w:t>
            </w:r>
            <w:r>
              <w:rPr>
                <w:rFonts w:ascii="宋体" w:hAnsi="宋体" w:cs="宋体"/>
                <w:kern w:val="0"/>
                <w:sz w:val="24"/>
                <w:highlight w:val="none"/>
              </w:rPr>
              <w:t>CPU间负载均衡，支持并优化NUMA体系架构</w:t>
            </w:r>
          </w:p>
        </w:tc>
      </w:tr>
      <w:tr w14:paraId="7CAC9FC9">
        <w:tblPrEx>
          <w:tblCellMar>
            <w:top w:w="0" w:type="dxa"/>
            <w:left w:w="108" w:type="dxa"/>
            <w:bottom w:w="0" w:type="dxa"/>
            <w:right w:w="108" w:type="dxa"/>
          </w:tblCellMar>
        </w:tblPrEx>
        <w:trPr>
          <w:trHeight w:val="1248"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43987BB3">
            <w:pPr>
              <w:widowControl/>
              <w:adjustRightInd/>
              <w:jc w:val="center"/>
              <w:rPr>
                <w:rFonts w:ascii="宋体" w:hAnsi="宋体" w:cs="宋体"/>
                <w:kern w:val="0"/>
                <w:sz w:val="24"/>
                <w:highlight w:val="none"/>
              </w:rPr>
            </w:pPr>
            <w:r>
              <w:rPr>
                <w:rFonts w:ascii="宋体" w:hAnsi="宋体" w:cs="宋体"/>
                <w:kern w:val="0"/>
                <w:sz w:val="24"/>
                <w:highlight w:val="none"/>
              </w:rPr>
              <w:t>6</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31AC7E20">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0B1B1E70">
            <w:pPr>
              <w:widowControl/>
              <w:adjustRightInd/>
              <w:jc w:val="left"/>
              <w:rPr>
                <w:rFonts w:ascii="宋体" w:hAnsi="宋体" w:cs="宋体"/>
                <w:kern w:val="0"/>
                <w:sz w:val="24"/>
                <w:highlight w:val="none"/>
              </w:rPr>
            </w:pPr>
            <w:r>
              <w:rPr>
                <w:rFonts w:hint="eastAsia" w:ascii="宋体" w:hAnsi="宋体" w:cs="宋体"/>
                <w:kern w:val="0"/>
                <w:sz w:val="24"/>
                <w:highlight w:val="none"/>
              </w:rPr>
              <w:t>▲支持</w:t>
            </w:r>
            <w:r>
              <w:rPr>
                <w:rFonts w:ascii="宋体" w:hAnsi="宋体" w:cs="宋体"/>
                <w:kern w:val="0"/>
                <w:sz w:val="24"/>
                <w:highlight w:val="none"/>
              </w:rPr>
              <w:t>CPU内置安全功能</w:t>
            </w:r>
          </w:p>
        </w:tc>
        <w:tc>
          <w:tcPr>
            <w:tcW w:w="3959" w:type="dxa"/>
            <w:tcBorders>
              <w:top w:val="nil"/>
              <w:left w:val="nil"/>
              <w:bottom w:val="single" w:color="auto" w:sz="4" w:space="0"/>
              <w:right w:val="single" w:color="auto" w:sz="4" w:space="0"/>
            </w:tcBorders>
            <w:shd w:val="clear" w:color="000000" w:fill="FFFFFF"/>
            <w:vAlign w:val="center"/>
          </w:tcPr>
          <w:p w14:paraId="38C92886">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w:t>
            </w:r>
            <w:r>
              <w:rPr>
                <w:rFonts w:ascii="宋体" w:hAnsi="宋体" w:cs="宋体"/>
                <w:kern w:val="0"/>
                <w:sz w:val="24"/>
                <w:highlight w:val="none"/>
              </w:rPr>
              <w:t>CPU硬件密码运算与随机数生成等功能；提供编程接口供应用程序调用；支持通过硬件指令判别临界区冲突；支持调用CPU指令，实现自旋锁</w:t>
            </w:r>
          </w:p>
        </w:tc>
      </w:tr>
      <w:tr w14:paraId="55D086F1">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15D5089C">
            <w:pPr>
              <w:widowControl/>
              <w:adjustRightInd/>
              <w:jc w:val="center"/>
              <w:rPr>
                <w:rFonts w:ascii="宋体" w:hAnsi="宋体" w:cs="宋体"/>
                <w:kern w:val="0"/>
                <w:sz w:val="24"/>
                <w:highlight w:val="none"/>
              </w:rPr>
            </w:pPr>
            <w:r>
              <w:rPr>
                <w:rFonts w:ascii="宋体" w:hAnsi="宋体" w:cs="宋体"/>
                <w:kern w:val="0"/>
                <w:sz w:val="24"/>
                <w:highlight w:val="none"/>
              </w:rPr>
              <w:t>7</w:t>
            </w:r>
          </w:p>
        </w:tc>
        <w:tc>
          <w:tcPr>
            <w:tcW w:w="1306" w:type="dxa"/>
            <w:vMerge w:val="restart"/>
            <w:tcBorders>
              <w:top w:val="nil"/>
              <w:left w:val="single" w:color="auto" w:sz="4" w:space="0"/>
              <w:bottom w:val="single" w:color="000000" w:sz="4" w:space="0"/>
              <w:right w:val="single" w:color="auto" w:sz="4" w:space="0"/>
            </w:tcBorders>
            <w:shd w:val="clear" w:color="000000" w:fill="FFFFFF"/>
            <w:vAlign w:val="center"/>
          </w:tcPr>
          <w:p w14:paraId="2EAC31C7">
            <w:pPr>
              <w:widowControl/>
              <w:adjustRightInd/>
              <w:jc w:val="left"/>
              <w:rPr>
                <w:rFonts w:ascii="宋体" w:hAnsi="宋体" w:cs="宋体"/>
                <w:kern w:val="0"/>
                <w:sz w:val="24"/>
                <w:highlight w:val="none"/>
              </w:rPr>
            </w:pPr>
            <w:r>
              <w:rPr>
                <w:rFonts w:hint="eastAsia" w:ascii="宋体" w:hAnsi="宋体" w:cs="宋体"/>
                <w:kern w:val="0"/>
                <w:sz w:val="24"/>
                <w:highlight w:val="none"/>
              </w:rPr>
              <w:t>▲安装部署</w:t>
            </w:r>
          </w:p>
        </w:tc>
        <w:tc>
          <w:tcPr>
            <w:tcW w:w="3150" w:type="dxa"/>
            <w:tcBorders>
              <w:top w:val="nil"/>
              <w:left w:val="nil"/>
              <w:bottom w:val="single" w:color="auto" w:sz="4" w:space="0"/>
              <w:right w:val="single" w:color="auto" w:sz="4" w:space="0"/>
            </w:tcBorders>
            <w:shd w:val="clear" w:color="000000" w:fill="FFFFFF"/>
            <w:vAlign w:val="center"/>
          </w:tcPr>
          <w:p w14:paraId="321D487B">
            <w:pPr>
              <w:widowControl/>
              <w:adjustRightInd/>
              <w:jc w:val="left"/>
              <w:rPr>
                <w:rFonts w:ascii="宋体" w:hAnsi="宋体" w:cs="宋体"/>
                <w:kern w:val="0"/>
                <w:sz w:val="24"/>
                <w:highlight w:val="none"/>
              </w:rPr>
            </w:pPr>
            <w:r>
              <w:rPr>
                <w:rFonts w:hint="eastAsia" w:ascii="宋体" w:hAnsi="宋体" w:cs="宋体"/>
                <w:kern w:val="0"/>
                <w:sz w:val="24"/>
                <w:highlight w:val="none"/>
              </w:rPr>
              <w:t>▲安装方式</w:t>
            </w:r>
          </w:p>
        </w:tc>
        <w:tc>
          <w:tcPr>
            <w:tcW w:w="3959" w:type="dxa"/>
            <w:tcBorders>
              <w:top w:val="nil"/>
              <w:left w:val="nil"/>
              <w:bottom w:val="single" w:color="auto" w:sz="4" w:space="0"/>
              <w:right w:val="single" w:color="auto" w:sz="4" w:space="0"/>
            </w:tcBorders>
            <w:shd w:val="clear" w:color="000000" w:fill="FFFFFF"/>
            <w:vAlign w:val="center"/>
          </w:tcPr>
          <w:p w14:paraId="02ECBBF6">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操作系统支持光盘安装、</w:t>
            </w:r>
            <w:r>
              <w:rPr>
                <w:rFonts w:ascii="宋体" w:hAnsi="宋体" w:cs="宋体"/>
                <w:kern w:val="0"/>
                <w:sz w:val="24"/>
                <w:highlight w:val="none"/>
              </w:rPr>
              <w:t>USB闪存盘安装、网络安装和无人值守安装</w:t>
            </w:r>
          </w:p>
        </w:tc>
      </w:tr>
      <w:tr w14:paraId="5EE4CB56">
        <w:tblPrEx>
          <w:tblCellMar>
            <w:top w:w="0" w:type="dxa"/>
            <w:left w:w="108" w:type="dxa"/>
            <w:bottom w:w="0" w:type="dxa"/>
            <w:right w:w="108" w:type="dxa"/>
          </w:tblCellMar>
        </w:tblPrEx>
        <w:trPr>
          <w:trHeight w:val="312"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3A3877D6">
            <w:pPr>
              <w:widowControl/>
              <w:adjustRightInd/>
              <w:jc w:val="center"/>
              <w:rPr>
                <w:rFonts w:ascii="宋体" w:hAnsi="宋体" w:cs="宋体"/>
                <w:kern w:val="0"/>
                <w:sz w:val="24"/>
                <w:highlight w:val="none"/>
              </w:rPr>
            </w:pPr>
            <w:r>
              <w:rPr>
                <w:rFonts w:ascii="宋体" w:hAnsi="宋体" w:cs="宋体"/>
                <w:kern w:val="0"/>
                <w:sz w:val="24"/>
                <w:highlight w:val="none"/>
              </w:rPr>
              <w:t>8</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2EAA7380">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51DD4041">
            <w:pPr>
              <w:widowControl/>
              <w:adjustRightInd/>
              <w:jc w:val="left"/>
              <w:rPr>
                <w:rFonts w:ascii="宋体" w:hAnsi="宋体" w:cs="宋体"/>
                <w:kern w:val="0"/>
                <w:sz w:val="24"/>
                <w:highlight w:val="none"/>
              </w:rPr>
            </w:pPr>
            <w:r>
              <w:rPr>
                <w:rFonts w:hint="eastAsia" w:ascii="宋体" w:hAnsi="宋体" w:cs="宋体"/>
                <w:kern w:val="0"/>
                <w:sz w:val="24"/>
                <w:highlight w:val="none"/>
              </w:rPr>
              <w:t>▲安装模式</w:t>
            </w:r>
          </w:p>
        </w:tc>
        <w:tc>
          <w:tcPr>
            <w:tcW w:w="3959" w:type="dxa"/>
            <w:tcBorders>
              <w:top w:val="nil"/>
              <w:left w:val="nil"/>
              <w:bottom w:val="single" w:color="auto" w:sz="4" w:space="0"/>
              <w:right w:val="single" w:color="auto" w:sz="4" w:space="0"/>
            </w:tcBorders>
            <w:shd w:val="clear" w:color="000000" w:fill="FFFFFF"/>
            <w:vAlign w:val="center"/>
          </w:tcPr>
          <w:p w14:paraId="2D4DABAC">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操作系统支持图形或文本安装模式</w:t>
            </w:r>
          </w:p>
        </w:tc>
      </w:tr>
      <w:tr w14:paraId="19255EFA">
        <w:tblPrEx>
          <w:tblCellMar>
            <w:top w:w="0" w:type="dxa"/>
            <w:left w:w="108" w:type="dxa"/>
            <w:bottom w:w="0" w:type="dxa"/>
            <w:right w:w="108" w:type="dxa"/>
          </w:tblCellMar>
        </w:tblPrEx>
        <w:trPr>
          <w:trHeight w:val="1872"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02BAEE62">
            <w:pPr>
              <w:widowControl/>
              <w:adjustRightInd/>
              <w:jc w:val="center"/>
              <w:rPr>
                <w:rFonts w:ascii="宋体" w:hAnsi="宋体" w:cs="宋体"/>
                <w:kern w:val="0"/>
                <w:sz w:val="24"/>
                <w:highlight w:val="none"/>
              </w:rPr>
            </w:pPr>
            <w:r>
              <w:rPr>
                <w:rFonts w:ascii="宋体" w:hAnsi="宋体" w:cs="宋体"/>
                <w:kern w:val="0"/>
                <w:sz w:val="24"/>
                <w:highlight w:val="none"/>
              </w:rPr>
              <w:t>9</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2BEE809D">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242A8A06">
            <w:pPr>
              <w:widowControl/>
              <w:adjustRightInd/>
              <w:jc w:val="left"/>
              <w:rPr>
                <w:rFonts w:ascii="宋体" w:hAnsi="宋体" w:cs="宋体"/>
                <w:kern w:val="0"/>
                <w:sz w:val="24"/>
                <w:highlight w:val="none"/>
              </w:rPr>
            </w:pPr>
            <w:r>
              <w:rPr>
                <w:rFonts w:hint="eastAsia" w:ascii="宋体" w:hAnsi="宋体" w:cs="宋体"/>
                <w:kern w:val="0"/>
                <w:sz w:val="24"/>
                <w:highlight w:val="none"/>
              </w:rPr>
              <w:t>▲安装过程配置</w:t>
            </w:r>
          </w:p>
        </w:tc>
        <w:tc>
          <w:tcPr>
            <w:tcW w:w="3959" w:type="dxa"/>
            <w:tcBorders>
              <w:top w:val="nil"/>
              <w:left w:val="nil"/>
              <w:bottom w:val="single" w:color="auto" w:sz="4" w:space="0"/>
              <w:right w:val="single" w:color="auto" w:sz="4" w:space="0"/>
            </w:tcBorders>
            <w:shd w:val="clear" w:color="000000" w:fill="FFFFFF"/>
            <w:vAlign w:val="center"/>
          </w:tcPr>
          <w:p w14:paraId="1BD9F466">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操作系统支持安装界面文种设置、逻辑分区配置（如</w:t>
            </w:r>
            <w:r>
              <w:rPr>
                <w:rFonts w:ascii="宋体" w:hAnsi="宋体" w:cs="宋体"/>
                <w:kern w:val="0"/>
                <w:sz w:val="24"/>
                <w:highlight w:val="none"/>
              </w:rPr>
              <w:t>LVM）、自定义分区设置、安装组件设置、时区设置、键盘布局设置、初始用户设置、计算机名设置和网络设置，支持通过USB闪存盘等方式加载硬件驱动、支持设置加密文件系统</w:t>
            </w:r>
          </w:p>
        </w:tc>
      </w:tr>
      <w:tr w14:paraId="68DE4977">
        <w:tblPrEx>
          <w:tblCellMar>
            <w:top w:w="0" w:type="dxa"/>
            <w:left w:w="108" w:type="dxa"/>
            <w:bottom w:w="0" w:type="dxa"/>
            <w:right w:w="108" w:type="dxa"/>
          </w:tblCellMar>
        </w:tblPrEx>
        <w:trPr>
          <w:trHeight w:val="1560"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4E648598">
            <w:pPr>
              <w:widowControl/>
              <w:adjustRightInd/>
              <w:jc w:val="center"/>
              <w:rPr>
                <w:rFonts w:ascii="宋体" w:hAnsi="宋体" w:cs="宋体"/>
                <w:kern w:val="0"/>
                <w:sz w:val="24"/>
                <w:highlight w:val="none"/>
              </w:rPr>
            </w:pPr>
            <w:r>
              <w:rPr>
                <w:rFonts w:ascii="宋体" w:hAnsi="宋体" w:cs="宋体"/>
                <w:kern w:val="0"/>
                <w:sz w:val="24"/>
                <w:highlight w:val="none"/>
              </w:rPr>
              <w:t>10</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1058C64E">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2B681B4C">
            <w:pPr>
              <w:widowControl/>
              <w:adjustRightInd/>
              <w:jc w:val="left"/>
              <w:rPr>
                <w:rFonts w:ascii="宋体" w:hAnsi="宋体" w:cs="宋体"/>
                <w:kern w:val="0"/>
                <w:sz w:val="24"/>
                <w:highlight w:val="none"/>
              </w:rPr>
            </w:pPr>
            <w:r>
              <w:rPr>
                <w:rFonts w:hint="eastAsia" w:ascii="宋体" w:hAnsi="宋体" w:cs="宋体"/>
                <w:kern w:val="0"/>
                <w:sz w:val="24"/>
                <w:highlight w:val="none"/>
              </w:rPr>
              <w:t>▲系统引导</w:t>
            </w:r>
          </w:p>
        </w:tc>
        <w:tc>
          <w:tcPr>
            <w:tcW w:w="3959" w:type="dxa"/>
            <w:tcBorders>
              <w:top w:val="nil"/>
              <w:left w:val="nil"/>
              <w:bottom w:val="single" w:color="auto" w:sz="4" w:space="0"/>
              <w:right w:val="single" w:color="auto" w:sz="4" w:space="0"/>
            </w:tcBorders>
            <w:shd w:val="clear" w:color="000000" w:fill="FFFFFF"/>
            <w:vAlign w:val="center"/>
          </w:tcPr>
          <w:p w14:paraId="261FE1C0">
            <w:pPr>
              <w:widowControl/>
              <w:adjustRightInd/>
              <w:jc w:val="left"/>
              <w:rPr>
                <w:rFonts w:ascii="宋体" w:hAnsi="宋体" w:cs="宋体"/>
                <w:kern w:val="0"/>
                <w:sz w:val="24"/>
                <w:highlight w:val="none"/>
              </w:rPr>
            </w:pPr>
            <w:r>
              <w:rPr>
                <w:rFonts w:ascii="宋体" w:hAnsi="宋体" w:cs="宋体"/>
                <w:kern w:val="0"/>
                <w:sz w:val="24"/>
                <w:highlight w:val="none"/>
              </w:rPr>
              <w:t>a)操作系统应支持UEFI2.0及以上规范固件引导，当计算机以UEFI模式启动安装时，安装程序应分配ESP，并在ESP中放置启动引导文件，使系统能以UEFI模式引导；</w:t>
            </w:r>
          </w:p>
          <w:p w14:paraId="79A5FF8C">
            <w:pPr>
              <w:widowControl/>
              <w:adjustRightInd/>
              <w:jc w:val="left"/>
              <w:rPr>
                <w:rFonts w:ascii="宋体" w:hAnsi="宋体" w:cs="宋体"/>
                <w:kern w:val="0"/>
                <w:sz w:val="24"/>
                <w:highlight w:val="none"/>
              </w:rPr>
            </w:pPr>
            <w:r>
              <w:rPr>
                <w:rFonts w:ascii="宋体" w:hAnsi="宋体" w:cs="宋体"/>
                <w:kern w:val="0"/>
                <w:sz w:val="24"/>
                <w:highlight w:val="none"/>
              </w:rPr>
              <w:t>b)支持bootloader引导，支持MBR及GPT</w:t>
            </w:r>
          </w:p>
        </w:tc>
      </w:tr>
      <w:tr w14:paraId="7B567254">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28F87FA2">
            <w:pPr>
              <w:widowControl/>
              <w:adjustRightInd/>
              <w:jc w:val="center"/>
              <w:rPr>
                <w:rFonts w:ascii="宋体" w:hAnsi="宋体" w:cs="宋体"/>
                <w:kern w:val="0"/>
                <w:sz w:val="24"/>
                <w:highlight w:val="none"/>
              </w:rPr>
            </w:pPr>
            <w:r>
              <w:rPr>
                <w:rFonts w:ascii="宋体" w:hAnsi="宋体" w:cs="宋体"/>
                <w:kern w:val="0"/>
                <w:sz w:val="24"/>
                <w:highlight w:val="none"/>
              </w:rPr>
              <w:t>11</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11DCC1FC">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48F3AF93">
            <w:pPr>
              <w:widowControl/>
              <w:adjustRightInd/>
              <w:jc w:val="left"/>
              <w:rPr>
                <w:rFonts w:ascii="宋体" w:hAnsi="宋体" w:cs="宋体"/>
                <w:kern w:val="0"/>
                <w:sz w:val="24"/>
                <w:highlight w:val="none"/>
              </w:rPr>
            </w:pPr>
            <w:r>
              <w:rPr>
                <w:rFonts w:hint="eastAsia" w:ascii="宋体" w:hAnsi="宋体" w:cs="宋体"/>
                <w:kern w:val="0"/>
                <w:sz w:val="24"/>
                <w:highlight w:val="none"/>
              </w:rPr>
              <w:t>▲引导修复</w:t>
            </w:r>
          </w:p>
        </w:tc>
        <w:tc>
          <w:tcPr>
            <w:tcW w:w="3959" w:type="dxa"/>
            <w:tcBorders>
              <w:top w:val="nil"/>
              <w:left w:val="nil"/>
              <w:bottom w:val="single" w:color="auto" w:sz="4" w:space="0"/>
              <w:right w:val="single" w:color="auto" w:sz="4" w:space="0"/>
            </w:tcBorders>
            <w:shd w:val="clear" w:color="000000" w:fill="FFFFFF"/>
            <w:vAlign w:val="center"/>
          </w:tcPr>
          <w:p w14:paraId="79392218">
            <w:pPr>
              <w:widowControl/>
              <w:adjustRightInd/>
              <w:jc w:val="left"/>
              <w:rPr>
                <w:rFonts w:ascii="宋体" w:hAnsi="宋体" w:cs="宋体"/>
                <w:kern w:val="0"/>
                <w:sz w:val="24"/>
                <w:highlight w:val="none"/>
              </w:rPr>
            </w:pPr>
            <w:r>
              <w:rPr>
                <w:rFonts w:hint="eastAsia" w:ascii="宋体" w:hAnsi="宋体" w:cs="宋体"/>
                <w:kern w:val="0"/>
                <w:sz w:val="24"/>
                <w:highlight w:val="none"/>
              </w:rPr>
              <w:t>操作系统安装媒体提供系统引导修复功能，当已安装的系统引导被破坏时，可重建系统引导</w:t>
            </w:r>
          </w:p>
        </w:tc>
      </w:tr>
      <w:tr w14:paraId="19034019">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1086DF7A">
            <w:pPr>
              <w:widowControl/>
              <w:adjustRightInd/>
              <w:jc w:val="center"/>
              <w:rPr>
                <w:rFonts w:ascii="宋体" w:hAnsi="宋体" w:cs="宋体"/>
                <w:kern w:val="0"/>
                <w:sz w:val="24"/>
                <w:highlight w:val="none"/>
              </w:rPr>
            </w:pPr>
            <w:r>
              <w:rPr>
                <w:rFonts w:ascii="宋体" w:hAnsi="宋体" w:cs="宋体"/>
                <w:kern w:val="0"/>
                <w:sz w:val="24"/>
                <w:highlight w:val="none"/>
              </w:rPr>
              <w:t>12</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39E20D56">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4B82BCD9">
            <w:pPr>
              <w:widowControl/>
              <w:adjustRightInd/>
              <w:jc w:val="left"/>
              <w:rPr>
                <w:rFonts w:ascii="宋体" w:hAnsi="宋体" w:cs="宋体"/>
                <w:kern w:val="0"/>
                <w:sz w:val="24"/>
                <w:highlight w:val="none"/>
              </w:rPr>
            </w:pPr>
            <w:r>
              <w:rPr>
                <w:rFonts w:hint="eastAsia" w:ascii="宋体" w:hAnsi="宋体" w:cs="宋体"/>
                <w:kern w:val="0"/>
                <w:sz w:val="24"/>
                <w:highlight w:val="none"/>
              </w:rPr>
              <w:t>▲引导参数编辑</w:t>
            </w:r>
          </w:p>
        </w:tc>
        <w:tc>
          <w:tcPr>
            <w:tcW w:w="3959" w:type="dxa"/>
            <w:tcBorders>
              <w:top w:val="nil"/>
              <w:left w:val="nil"/>
              <w:bottom w:val="single" w:color="auto" w:sz="4" w:space="0"/>
              <w:right w:val="single" w:color="auto" w:sz="4" w:space="0"/>
            </w:tcBorders>
            <w:shd w:val="clear" w:color="000000" w:fill="FFFFFF"/>
            <w:vAlign w:val="center"/>
          </w:tcPr>
          <w:p w14:paraId="600F794F">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操作系统支持用户编辑引导参数，支持</w:t>
            </w:r>
            <w:r>
              <w:rPr>
                <w:rFonts w:ascii="宋体" w:hAnsi="宋体" w:cs="宋体"/>
                <w:kern w:val="0"/>
                <w:sz w:val="24"/>
                <w:highlight w:val="none"/>
              </w:rPr>
              <w:t>GRUB口令保护</w:t>
            </w:r>
          </w:p>
        </w:tc>
      </w:tr>
      <w:tr w14:paraId="609BA4D7">
        <w:tblPrEx>
          <w:tblCellMar>
            <w:top w:w="0" w:type="dxa"/>
            <w:left w:w="108" w:type="dxa"/>
            <w:bottom w:w="0" w:type="dxa"/>
            <w:right w:w="108" w:type="dxa"/>
          </w:tblCellMar>
        </w:tblPrEx>
        <w:trPr>
          <w:trHeight w:val="936"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01B644D2">
            <w:pPr>
              <w:widowControl/>
              <w:adjustRightInd/>
              <w:jc w:val="center"/>
              <w:rPr>
                <w:rFonts w:ascii="宋体" w:hAnsi="宋体" w:cs="宋体"/>
                <w:kern w:val="0"/>
                <w:sz w:val="24"/>
                <w:highlight w:val="none"/>
              </w:rPr>
            </w:pPr>
            <w:r>
              <w:rPr>
                <w:rFonts w:ascii="宋体" w:hAnsi="宋体" w:cs="宋体"/>
                <w:kern w:val="0"/>
                <w:sz w:val="24"/>
                <w:highlight w:val="none"/>
              </w:rPr>
              <w:t>13</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14514BEF">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4C8032AB">
            <w:pPr>
              <w:widowControl/>
              <w:adjustRightInd/>
              <w:jc w:val="left"/>
              <w:rPr>
                <w:rFonts w:ascii="宋体" w:hAnsi="宋体" w:cs="宋体"/>
                <w:kern w:val="0"/>
                <w:sz w:val="24"/>
                <w:highlight w:val="none"/>
              </w:rPr>
            </w:pPr>
            <w:r>
              <w:rPr>
                <w:rFonts w:hint="eastAsia" w:ascii="宋体" w:hAnsi="宋体" w:cs="宋体"/>
                <w:kern w:val="0"/>
                <w:sz w:val="24"/>
                <w:highlight w:val="none"/>
              </w:rPr>
              <w:t>▲数据保护</w:t>
            </w:r>
          </w:p>
        </w:tc>
        <w:tc>
          <w:tcPr>
            <w:tcW w:w="3959" w:type="dxa"/>
            <w:tcBorders>
              <w:top w:val="nil"/>
              <w:left w:val="nil"/>
              <w:bottom w:val="single" w:color="auto" w:sz="4" w:space="0"/>
              <w:right w:val="single" w:color="auto" w:sz="4" w:space="0"/>
            </w:tcBorders>
            <w:shd w:val="clear" w:color="000000" w:fill="FFFFFF"/>
            <w:vAlign w:val="center"/>
          </w:tcPr>
          <w:p w14:paraId="01F00865">
            <w:pPr>
              <w:widowControl/>
              <w:adjustRightInd/>
              <w:jc w:val="left"/>
              <w:rPr>
                <w:rFonts w:ascii="宋体" w:hAnsi="宋体" w:cs="宋体"/>
                <w:kern w:val="0"/>
                <w:sz w:val="24"/>
                <w:highlight w:val="none"/>
              </w:rPr>
            </w:pPr>
            <w:r>
              <w:rPr>
                <w:rFonts w:hint="eastAsia" w:ascii="宋体" w:hAnsi="宋体" w:cs="宋体"/>
                <w:kern w:val="0"/>
                <w:sz w:val="24"/>
                <w:highlight w:val="none"/>
              </w:rPr>
              <w:t>安装程序在安装执行前明确提示用户可能会删除已有数据，并提供退出</w:t>
            </w:r>
            <w:r>
              <w:rPr>
                <w:rFonts w:ascii="宋体" w:hAnsi="宋体" w:cs="宋体"/>
                <w:kern w:val="0"/>
                <w:sz w:val="24"/>
                <w:highlight w:val="none"/>
              </w:rPr>
              <w:t>/取消功能，当用户取消安装时，不改变硬盘上已有数据</w:t>
            </w:r>
          </w:p>
        </w:tc>
      </w:tr>
      <w:tr w14:paraId="3FE1B20B">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611A5E77">
            <w:pPr>
              <w:widowControl/>
              <w:adjustRightInd/>
              <w:jc w:val="center"/>
              <w:rPr>
                <w:rFonts w:ascii="宋体" w:hAnsi="宋体" w:cs="宋体"/>
                <w:kern w:val="0"/>
                <w:sz w:val="24"/>
                <w:highlight w:val="none"/>
              </w:rPr>
            </w:pPr>
            <w:r>
              <w:rPr>
                <w:rFonts w:ascii="宋体" w:hAnsi="宋体" w:cs="宋体"/>
                <w:kern w:val="0"/>
                <w:sz w:val="24"/>
                <w:highlight w:val="none"/>
              </w:rPr>
              <w:t>14</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70D3606B">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545F4483">
            <w:pPr>
              <w:widowControl/>
              <w:adjustRightInd/>
              <w:jc w:val="left"/>
              <w:rPr>
                <w:rFonts w:ascii="宋体" w:hAnsi="宋体" w:cs="宋体"/>
                <w:kern w:val="0"/>
                <w:sz w:val="24"/>
                <w:highlight w:val="none"/>
              </w:rPr>
            </w:pPr>
            <w:r>
              <w:rPr>
                <w:rFonts w:hint="eastAsia" w:ascii="宋体" w:hAnsi="宋体" w:cs="宋体"/>
                <w:kern w:val="0"/>
                <w:sz w:val="24"/>
                <w:highlight w:val="none"/>
              </w:rPr>
              <w:t>▲分辨率自适应</w:t>
            </w:r>
          </w:p>
        </w:tc>
        <w:tc>
          <w:tcPr>
            <w:tcW w:w="3959" w:type="dxa"/>
            <w:tcBorders>
              <w:top w:val="nil"/>
              <w:left w:val="nil"/>
              <w:bottom w:val="single" w:color="auto" w:sz="4" w:space="0"/>
              <w:right w:val="single" w:color="auto" w:sz="4" w:space="0"/>
            </w:tcBorders>
            <w:shd w:val="clear" w:color="000000" w:fill="FFFFFF"/>
            <w:vAlign w:val="center"/>
          </w:tcPr>
          <w:p w14:paraId="34C87FBB">
            <w:pPr>
              <w:widowControl/>
              <w:adjustRightInd/>
              <w:jc w:val="left"/>
              <w:rPr>
                <w:rFonts w:ascii="宋体" w:hAnsi="宋体" w:cs="宋体"/>
                <w:kern w:val="0"/>
                <w:sz w:val="24"/>
                <w:highlight w:val="none"/>
              </w:rPr>
            </w:pPr>
            <w:r>
              <w:rPr>
                <w:rFonts w:hint="eastAsia" w:ascii="宋体" w:hAnsi="宋体" w:cs="宋体"/>
                <w:kern w:val="0"/>
                <w:sz w:val="24"/>
                <w:highlight w:val="none"/>
              </w:rPr>
              <w:t>操作系统安装完成后应自动适配显示器最佳分辨率</w:t>
            </w:r>
            <w:r>
              <w:rPr>
                <w:rFonts w:ascii="宋体" w:hAnsi="宋体" w:cs="宋体"/>
                <w:kern w:val="0"/>
                <w:sz w:val="24"/>
                <w:highlight w:val="none"/>
              </w:rPr>
              <w:t>(文本模式除外)</w:t>
            </w:r>
          </w:p>
        </w:tc>
      </w:tr>
      <w:tr w14:paraId="0A32107D">
        <w:tblPrEx>
          <w:tblCellMar>
            <w:top w:w="0" w:type="dxa"/>
            <w:left w:w="108" w:type="dxa"/>
            <w:bottom w:w="0" w:type="dxa"/>
            <w:right w:w="108" w:type="dxa"/>
          </w:tblCellMar>
        </w:tblPrEx>
        <w:trPr>
          <w:trHeight w:val="936"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16B9F287">
            <w:pPr>
              <w:widowControl/>
              <w:adjustRightInd/>
              <w:jc w:val="center"/>
              <w:rPr>
                <w:rFonts w:ascii="宋体" w:hAnsi="宋体" w:cs="宋体"/>
                <w:kern w:val="0"/>
                <w:sz w:val="24"/>
                <w:highlight w:val="none"/>
              </w:rPr>
            </w:pPr>
            <w:r>
              <w:rPr>
                <w:rFonts w:ascii="宋体" w:hAnsi="宋体" w:cs="宋体"/>
                <w:kern w:val="0"/>
                <w:sz w:val="24"/>
                <w:highlight w:val="none"/>
              </w:rPr>
              <w:t>15</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4B3B3292">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180631EA">
            <w:pPr>
              <w:widowControl/>
              <w:adjustRightInd/>
              <w:jc w:val="left"/>
              <w:rPr>
                <w:rFonts w:ascii="宋体" w:hAnsi="宋体" w:cs="宋体"/>
                <w:kern w:val="0"/>
                <w:sz w:val="24"/>
                <w:highlight w:val="none"/>
              </w:rPr>
            </w:pPr>
            <w:r>
              <w:rPr>
                <w:rFonts w:hint="eastAsia" w:ascii="宋体" w:hAnsi="宋体" w:cs="宋体"/>
                <w:kern w:val="0"/>
                <w:sz w:val="24"/>
                <w:highlight w:val="none"/>
              </w:rPr>
              <w:t>▲安装配置正确性校验</w:t>
            </w:r>
          </w:p>
        </w:tc>
        <w:tc>
          <w:tcPr>
            <w:tcW w:w="3959" w:type="dxa"/>
            <w:tcBorders>
              <w:top w:val="nil"/>
              <w:left w:val="nil"/>
              <w:bottom w:val="single" w:color="auto" w:sz="4" w:space="0"/>
              <w:right w:val="single" w:color="auto" w:sz="4" w:space="0"/>
            </w:tcBorders>
            <w:shd w:val="clear" w:color="000000" w:fill="FFFFFF"/>
            <w:vAlign w:val="center"/>
          </w:tcPr>
          <w:p w14:paraId="6C68A455">
            <w:pPr>
              <w:widowControl/>
              <w:adjustRightInd/>
              <w:jc w:val="left"/>
              <w:rPr>
                <w:rFonts w:ascii="宋体" w:hAnsi="宋体" w:cs="宋体"/>
                <w:kern w:val="0"/>
                <w:sz w:val="24"/>
                <w:highlight w:val="none"/>
              </w:rPr>
            </w:pPr>
            <w:r>
              <w:rPr>
                <w:rFonts w:hint="eastAsia" w:ascii="宋体" w:hAnsi="宋体" w:cs="宋体"/>
                <w:kern w:val="0"/>
                <w:sz w:val="24"/>
                <w:highlight w:val="none"/>
              </w:rPr>
              <w:t>操作系统安装和配置过程中，如用户自定义的某些配置可能会影响系统启动或正常使用，予以明确提示</w:t>
            </w:r>
          </w:p>
        </w:tc>
      </w:tr>
      <w:tr w14:paraId="4F900E30">
        <w:tblPrEx>
          <w:tblCellMar>
            <w:top w:w="0" w:type="dxa"/>
            <w:left w:w="108" w:type="dxa"/>
            <w:bottom w:w="0" w:type="dxa"/>
            <w:right w:w="108" w:type="dxa"/>
          </w:tblCellMar>
        </w:tblPrEx>
        <w:trPr>
          <w:trHeight w:val="936"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7BA6CEF5">
            <w:pPr>
              <w:widowControl/>
              <w:adjustRightInd/>
              <w:jc w:val="center"/>
              <w:rPr>
                <w:rFonts w:ascii="宋体" w:hAnsi="宋体" w:cs="宋体"/>
                <w:kern w:val="0"/>
                <w:sz w:val="24"/>
                <w:highlight w:val="none"/>
              </w:rPr>
            </w:pPr>
            <w:r>
              <w:rPr>
                <w:rFonts w:ascii="宋体" w:hAnsi="宋体" w:cs="宋体"/>
                <w:kern w:val="0"/>
                <w:sz w:val="24"/>
                <w:highlight w:val="none"/>
              </w:rPr>
              <w:t>16</w:t>
            </w:r>
          </w:p>
        </w:tc>
        <w:tc>
          <w:tcPr>
            <w:tcW w:w="1306" w:type="dxa"/>
            <w:tcBorders>
              <w:top w:val="nil"/>
              <w:left w:val="nil"/>
              <w:bottom w:val="single" w:color="auto" w:sz="4" w:space="0"/>
              <w:right w:val="single" w:color="auto" w:sz="4" w:space="0"/>
            </w:tcBorders>
            <w:shd w:val="clear" w:color="000000" w:fill="FFFFFF"/>
            <w:vAlign w:val="center"/>
          </w:tcPr>
          <w:p w14:paraId="72749BBF">
            <w:pPr>
              <w:widowControl/>
              <w:adjustRightInd/>
              <w:jc w:val="left"/>
              <w:rPr>
                <w:rFonts w:ascii="宋体" w:hAnsi="宋体" w:cs="宋体"/>
                <w:kern w:val="0"/>
                <w:sz w:val="24"/>
                <w:highlight w:val="none"/>
              </w:rPr>
            </w:pPr>
            <w:r>
              <w:rPr>
                <w:rFonts w:hint="eastAsia" w:ascii="宋体" w:hAnsi="宋体" w:cs="宋体"/>
                <w:kern w:val="0"/>
                <w:sz w:val="24"/>
                <w:highlight w:val="none"/>
              </w:rPr>
              <w:t>▲系统内核</w:t>
            </w:r>
          </w:p>
        </w:tc>
        <w:tc>
          <w:tcPr>
            <w:tcW w:w="3150" w:type="dxa"/>
            <w:tcBorders>
              <w:top w:val="nil"/>
              <w:left w:val="nil"/>
              <w:bottom w:val="single" w:color="auto" w:sz="4" w:space="0"/>
              <w:right w:val="single" w:color="auto" w:sz="4" w:space="0"/>
            </w:tcBorders>
            <w:shd w:val="clear" w:color="000000" w:fill="FFFFFF"/>
            <w:vAlign w:val="center"/>
          </w:tcPr>
          <w:p w14:paraId="3E595B39">
            <w:pPr>
              <w:widowControl/>
              <w:adjustRightInd/>
              <w:jc w:val="left"/>
              <w:rPr>
                <w:rFonts w:ascii="宋体" w:hAnsi="宋体" w:cs="宋体"/>
                <w:kern w:val="0"/>
                <w:sz w:val="24"/>
                <w:highlight w:val="none"/>
              </w:rPr>
            </w:pPr>
            <w:r>
              <w:rPr>
                <w:rFonts w:hint="eastAsia" w:ascii="宋体" w:hAnsi="宋体" w:cs="宋体"/>
                <w:kern w:val="0"/>
                <w:sz w:val="24"/>
                <w:highlight w:val="none"/>
              </w:rPr>
              <w:t>▲内核要求</w:t>
            </w:r>
          </w:p>
        </w:tc>
        <w:tc>
          <w:tcPr>
            <w:tcW w:w="3959" w:type="dxa"/>
            <w:tcBorders>
              <w:top w:val="nil"/>
              <w:left w:val="nil"/>
              <w:bottom w:val="single" w:color="auto" w:sz="4" w:space="0"/>
              <w:right w:val="single" w:color="auto" w:sz="4" w:space="0"/>
            </w:tcBorders>
            <w:shd w:val="clear" w:color="000000" w:fill="FFFFFF"/>
            <w:vAlign w:val="center"/>
          </w:tcPr>
          <w:p w14:paraId="086C5203">
            <w:pPr>
              <w:widowControl/>
              <w:adjustRightInd/>
              <w:jc w:val="left"/>
              <w:rPr>
                <w:rFonts w:ascii="宋体" w:hAnsi="宋体" w:cs="宋体"/>
                <w:kern w:val="0"/>
                <w:sz w:val="24"/>
                <w:highlight w:val="none"/>
              </w:rPr>
            </w:pPr>
            <w:r>
              <w:rPr>
                <w:rFonts w:ascii="宋体" w:hAnsi="宋体" w:cs="宋体"/>
                <w:kern w:val="0"/>
                <w:sz w:val="24"/>
                <w:highlight w:val="none"/>
              </w:rPr>
              <w:t>a)若操作系统是基于Linux内核的服务器操作系统应兼容4.19版内核</w:t>
            </w:r>
          </w:p>
          <w:p w14:paraId="5BF094E1">
            <w:pPr>
              <w:widowControl/>
              <w:adjustRightInd/>
              <w:jc w:val="left"/>
              <w:rPr>
                <w:rFonts w:ascii="宋体" w:hAnsi="宋体" w:cs="宋体"/>
                <w:kern w:val="0"/>
                <w:sz w:val="24"/>
                <w:highlight w:val="none"/>
              </w:rPr>
            </w:pPr>
            <w:r>
              <w:rPr>
                <w:rFonts w:ascii="宋体" w:hAnsi="宋体" w:cs="宋体"/>
                <w:kern w:val="0"/>
                <w:sz w:val="24"/>
                <w:highlight w:val="none"/>
              </w:rPr>
              <w:t>b)若操作系统属于其他类型内核不做要求</w:t>
            </w:r>
          </w:p>
        </w:tc>
      </w:tr>
      <w:tr w14:paraId="0E22A541">
        <w:tblPrEx>
          <w:tblCellMar>
            <w:top w:w="0" w:type="dxa"/>
            <w:left w:w="108" w:type="dxa"/>
            <w:bottom w:w="0" w:type="dxa"/>
            <w:right w:w="108" w:type="dxa"/>
          </w:tblCellMar>
        </w:tblPrEx>
        <w:trPr>
          <w:trHeight w:val="312"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04DC5414">
            <w:pPr>
              <w:widowControl/>
              <w:adjustRightInd/>
              <w:jc w:val="center"/>
              <w:rPr>
                <w:rFonts w:ascii="宋体" w:hAnsi="宋体" w:cs="宋体"/>
                <w:kern w:val="0"/>
                <w:sz w:val="24"/>
                <w:highlight w:val="none"/>
              </w:rPr>
            </w:pPr>
            <w:r>
              <w:rPr>
                <w:rFonts w:ascii="宋体" w:hAnsi="宋体" w:cs="宋体"/>
                <w:kern w:val="0"/>
                <w:sz w:val="24"/>
                <w:highlight w:val="none"/>
              </w:rPr>
              <w:t>17</w:t>
            </w:r>
          </w:p>
        </w:tc>
        <w:tc>
          <w:tcPr>
            <w:tcW w:w="1306" w:type="dxa"/>
            <w:vMerge w:val="restart"/>
            <w:tcBorders>
              <w:top w:val="nil"/>
              <w:left w:val="single" w:color="auto" w:sz="4" w:space="0"/>
              <w:bottom w:val="single" w:color="000000" w:sz="4" w:space="0"/>
              <w:right w:val="single" w:color="auto" w:sz="4" w:space="0"/>
            </w:tcBorders>
            <w:shd w:val="clear" w:color="000000" w:fill="FFFFFF"/>
            <w:vAlign w:val="center"/>
          </w:tcPr>
          <w:p w14:paraId="0504D6D4">
            <w:pPr>
              <w:widowControl/>
              <w:adjustRightInd/>
              <w:jc w:val="left"/>
              <w:rPr>
                <w:rFonts w:ascii="宋体" w:hAnsi="宋体" w:cs="宋体"/>
                <w:kern w:val="0"/>
                <w:sz w:val="24"/>
                <w:highlight w:val="none"/>
              </w:rPr>
            </w:pPr>
            <w:r>
              <w:rPr>
                <w:rFonts w:hint="eastAsia" w:ascii="宋体" w:hAnsi="宋体" w:cs="宋体"/>
                <w:kern w:val="0"/>
                <w:sz w:val="24"/>
                <w:highlight w:val="none"/>
              </w:rPr>
              <w:t>▲进程、线程调度</w:t>
            </w:r>
          </w:p>
        </w:tc>
        <w:tc>
          <w:tcPr>
            <w:tcW w:w="3150" w:type="dxa"/>
            <w:tcBorders>
              <w:top w:val="nil"/>
              <w:left w:val="nil"/>
              <w:bottom w:val="single" w:color="auto" w:sz="4" w:space="0"/>
              <w:right w:val="single" w:color="auto" w:sz="4" w:space="0"/>
            </w:tcBorders>
            <w:shd w:val="clear" w:color="000000" w:fill="FFFFFF"/>
            <w:vAlign w:val="center"/>
          </w:tcPr>
          <w:p w14:paraId="3CB6DFCE">
            <w:pPr>
              <w:widowControl/>
              <w:adjustRightInd/>
              <w:jc w:val="left"/>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NUMA</w:t>
            </w:r>
          </w:p>
        </w:tc>
        <w:tc>
          <w:tcPr>
            <w:tcW w:w="3959" w:type="dxa"/>
            <w:tcBorders>
              <w:top w:val="nil"/>
              <w:left w:val="nil"/>
              <w:bottom w:val="single" w:color="auto" w:sz="4" w:space="0"/>
              <w:right w:val="single" w:color="auto" w:sz="4" w:space="0"/>
            </w:tcBorders>
            <w:shd w:val="clear" w:color="000000" w:fill="FFFFFF"/>
            <w:vAlign w:val="center"/>
          </w:tcPr>
          <w:p w14:paraId="19613A2E">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操作系统支持基于</w:t>
            </w:r>
            <w:r>
              <w:rPr>
                <w:rFonts w:ascii="宋体" w:hAnsi="宋体" w:cs="宋体"/>
                <w:kern w:val="0"/>
                <w:sz w:val="24"/>
                <w:highlight w:val="none"/>
              </w:rPr>
              <w:t>NUMA的亲和调度</w:t>
            </w:r>
          </w:p>
        </w:tc>
      </w:tr>
      <w:tr w14:paraId="22F55032">
        <w:tblPrEx>
          <w:tblCellMar>
            <w:top w:w="0" w:type="dxa"/>
            <w:left w:w="108" w:type="dxa"/>
            <w:bottom w:w="0" w:type="dxa"/>
            <w:right w:w="108" w:type="dxa"/>
          </w:tblCellMar>
        </w:tblPrEx>
        <w:trPr>
          <w:trHeight w:val="312"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1CCF40FD">
            <w:pPr>
              <w:widowControl/>
              <w:adjustRightInd/>
              <w:jc w:val="center"/>
              <w:rPr>
                <w:rFonts w:ascii="宋体" w:hAnsi="宋体" w:cs="宋体"/>
                <w:kern w:val="0"/>
                <w:sz w:val="24"/>
                <w:highlight w:val="none"/>
              </w:rPr>
            </w:pPr>
            <w:r>
              <w:rPr>
                <w:rFonts w:ascii="宋体" w:hAnsi="宋体" w:cs="宋体"/>
                <w:kern w:val="0"/>
                <w:sz w:val="24"/>
                <w:highlight w:val="none"/>
              </w:rPr>
              <w:t>18</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4D64C8A4">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11EAAB8E">
            <w:pPr>
              <w:widowControl/>
              <w:adjustRightInd/>
              <w:jc w:val="left"/>
              <w:rPr>
                <w:rFonts w:ascii="宋体" w:hAnsi="宋体" w:cs="宋体"/>
                <w:kern w:val="0"/>
                <w:sz w:val="24"/>
                <w:highlight w:val="none"/>
              </w:rPr>
            </w:pPr>
            <w:r>
              <w:rPr>
                <w:rFonts w:hint="eastAsia" w:ascii="宋体" w:hAnsi="宋体" w:cs="宋体"/>
                <w:kern w:val="0"/>
                <w:sz w:val="24"/>
                <w:highlight w:val="none"/>
              </w:rPr>
              <w:t>▲多核轮询</w:t>
            </w:r>
          </w:p>
        </w:tc>
        <w:tc>
          <w:tcPr>
            <w:tcW w:w="3959" w:type="dxa"/>
            <w:tcBorders>
              <w:top w:val="nil"/>
              <w:left w:val="nil"/>
              <w:bottom w:val="single" w:color="auto" w:sz="4" w:space="0"/>
              <w:right w:val="single" w:color="auto" w:sz="4" w:space="0"/>
            </w:tcBorders>
            <w:shd w:val="clear" w:color="000000" w:fill="FFFFFF"/>
            <w:vAlign w:val="center"/>
          </w:tcPr>
          <w:p w14:paraId="3F74BC03">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w:t>
            </w:r>
            <w:r>
              <w:rPr>
                <w:rFonts w:ascii="宋体" w:hAnsi="宋体" w:cs="宋体"/>
                <w:kern w:val="0"/>
                <w:sz w:val="24"/>
                <w:highlight w:val="none"/>
              </w:rPr>
              <w:t>CPU多核轮询调度</w:t>
            </w:r>
          </w:p>
        </w:tc>
      </w:tr>
      <w:tr w14:paraId="41294E94">
        <w:tblPrEx>
          <w:tblCellMar>
            <w:top w:w="0" w:type="dxa"/>
            <w:left w:w="108" w:type="dxa"/>
            <w:bottom w:w="0" w:type="dxa"/>
            <w:right w:w="108" w:type="dxa"/>
          </w:tblCellMar>
        </w:tblPrEx>
        <w:trPr>
          <w:trHeight w:val="1248"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6D7F40B2">
            <w:pPr>
              <w:widowControl/>
              <w:adjustRightInd/>
              <w:jc w:val="center"/>
              <w:rPr>
                <w:rFonts w:ascii="宋体" w:hAnsi="宋体" w:cs="宋体"/>
                <w:kern w:val="0"/>
                <w:sz w:val="24"/>
                <w:highlight w:val="none"/>
              </w:rPr>
            </w:pPr>
            <w:r>
              <w:rPr>
                <w:rFonts w:ascii="宋体" w:hAnsi="宋体" w:cs="宋体"/>
                <w:kern w:val="0"/>
                <w:sz w:val="24"/>
                <w:highlight w:val="none"/>
              </w:rPr>
              <w:t>19</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447C1FB8">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07F28D23">
            <w:pPr>
              <w:widowControl/>
              <w:adjustRightInd/>
              <w:jc w:val="left"/>
              <w:rPr>
                <w:rFonts w:ascii="宋体" w:hAnsi="宋体" w:cs="宋体"/>
                <w:kern w:val="0"/>
                <w:sz w:val="24"/>
                <w:highlight w:val="none"/>
              </w:rPr>
            </w:pPr>
            <w:r>
              <w:rPr>
                <w:rFonts w:hint="eastAsia" w:ascii="宋体" w:hAnsi="宋体" w:cs="宋体"/>
                <w:kern w:val="0"/>
                <w:sz w:val="24"/>
                <w:highlight w:val="none"/>
              </w:rPr>
              <w:t>▲进程调度</w:t>
            </w:r>
          </w:p>
        </w:tc>
        <w:tc>
          <w:tcPr>
            <w:tcW w:w="3959" w:type="dxa"/>
            <w:tcBorders>
              <w:top w:val="nil"/>
              <w:left w:val="nil"/>
              <w:bottom w:val="single" w:color="auto" w:sz="4" w:space="0"/>
              <w:right w:val="single" w:color="auto" w:sz="4" w:space="0"/>
            </w:tcBorders>
            <w:shd w:val="clear" w:color="000000" w:fill="FFFFFF"/>
            <w:vAlign w:val="center"/>
          </w:tcPr>
          <w:p w14:paraId="3862CEB5">
            <w:pPr>
              <w:widowControl/>
              <w:adjustRightInd/>
              <w:jc w:val="left"/>
              <w:rPr>
                <w:rFonts w:ascii="宋体" w:hAnsi="宋体" w:cs="宋体"/>
                <w:kern w:val="0"/>
                <w:sz w:val="24"/>
                <w:highlight w:val="none"/>
              </w:rPr>
            </w:pPr>
            <w:r>
              <w:rPr>
                <w:rFonts w:hint="eastAsia" w:ascii="宋体" w:hAnsi="宋体" w:cs="宋体"/>
                <w:kern w:val="0"/>
                <w:sz w:val="24"/>
                <w:highlight w:val="none"/>
              </w:rPr>
              <w:t>操作系统具备进程优先级动态调整能力，允许在进程运行时对优先级进行调整；区分实时进程与非实时进程，分别进行调度；支持进程运行状态检查</w:t>
            </w:r>
          </w:p>
        </w:tc>
      </w:tr>
      <w:tr w14:paraId="49C327BB">
        <w:tblPrEx>
          <w:tblCellMar>
            <w:top w:w="0" w:type="dxa"/>
            <w:left w:w="108" w:type="dxa"/>
            <w:bottom w:w="0" w:type="dxa"/>
            <w:right w:w="108" w:type="dxa"/>
          </w:tblCellMar>
        </w:tblPrEx>
        <w:trPr>
          <w:trHeight w:val="312"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02D1661B">
            <w:pPr>
              <w:widowControl/>
              <w:adjustRightInd/>
              <w:jc w:val="center"/>
              <w:rPr>
                <w:rFonts w:ascii="宋体" w:hAnsi="宋体" w:cs="宋体"/>
                <w:kern w:val="0"/>
                <w:sz w:val="24"/>
                <w:highlight w:val="none"/>
              </w:rPr>
            </w:pPr>
            <w:r>
              <w:rPr>
                <w:rFonts w:ascii="宋体" w:hAnsi="宋体" w:cs="宋体"/>
                <w:kern w:val="0"/>
                <w:sz w:val="24"/>
                <w:highlight w:val="none"/>
              </w:rPr>
              <w:t>20</w:t>
            </w:r>
          </w:p>
        </w:tc>
        <w:tc>
          <w:tcPr>
            <w:tcW w:w="1306" w:type="dxa"/>
            <w:vMerge w:val="restart"/>
            <w:tcBorders>
              <w:top w:val="nil"/>
              <w:left w:val="single" w:color="auto" w:sz="4" w:space="0"/>
              <w:bottom w:val="nil"/>
              <w:right w:val="single" w:color="auto" w:sz="4" w:space="0"/>
            </w:tcBorders>
            <w:shd w:val="clear" w:color="000000" w:fill="FFFFFF"/>
            <w:vAlign w:val="center"/>
          </w:tcPr>
          <w:p w14:paraId="0C2C3871">
            <w:pPr>
              <w:widowControl/>
              <w:adjustRightInd/>
              <w:jc w:val="left"/>
              <w:rPr>
                <w:rFonts w:ascii="宋体" w:hAnsi="宋体" w:cs="宋体"/>
                <w:kern w:val="0"/>
                <w:sz w:val="24"/>
                <w:highlight w:val="none"/>
              </w:rPr>
            </w:pPr>
            <w:r>
              <w:rPr>
                <w:rFonts w:hint="eastAsia" w:ascii="宋体" w:hAnsi="宋体" w:cs="宋体"/>
                <w:kern w:val="0"/>
                <w:sz w:val="24"/>
                <w:highlight w:val="none"/>
              </w:rPr>
              <w:t>▲内存管理</w:t>
            </w:r>
          </w:p>
        </w:tc>
        <w:tc>
          <w:tcPr>
            <w:tcW w:w="3150" w:type="dxa"/>
            <w:tcBorders>
              <w:top w:val="nil"/>
              <w:left w:val="nil"/>
              <w:bottom w:val="single" w:color="auto" w:sz="4" w:space="0"/>
              <w:right w:val="single" w:color="auto" w:sz="4" w:space="0"/>
            </w:tcBorders>
            <w:shd w:val="clear" w:color="000000" w:fill="FFFFFF"/>
            <w:vAlign w:val="center"/>
          </w:tcPr>
          <w:p w14:paraId="064EAC1D">
            <w:pPr>
              <w:widowControl/>
              <w:adjustRightInd/>
              <w:jc w:val="left"/>
              <w:rPr>
                <w:rFonts w:ascii="宋体" w:hAnsi="宋体" w:cs="宋体"/>
                <w:kern w:val="0"/>
                <w:sz w:val="24"/>
                <w:highlight w:val="none"/>
              </w:rPr>
            </w:pPr>
            <w:r>
              <w:rPr>
                <w:rFonts w:hint="eastAsia" w:ascii="宋体" w:hAnsi="宋体" w:cs="宋体"/>
                <w:kern w:val="0"/>
                <w:sz w:val="24"/>
                <w:highlight w:val="none"/>
              </w:rPr>
              <w:t>▲内存容量</w:t>
            </w:r>
          </w:p>
        </w:tc>
        <w:tc>
          <w:tcPr>
            <w:tcW w:w="3959" w:type="dxa"/>
            <w:tcBorders>
              <w:top w:val="nil"/>
              <w:left w:val="nil"/>
              <w:bottom w:val="single" w:color="auto" w:sz="4" w:space="0"/>
              <w:right w:val="single" w:color="auto" w:sz="4" w:space="0"/>
            </w:tcBorders>
            <w:shd w:val="clear" w:color="000000" w:fill="FFFFFF"/>
            <w:vAlign w:val="center"/>
          </w:tcPr>
          <w:p w14:paraId="05AF814F">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操作系统支持最大内存不小于</w:t>
            </w:r>
            <w:r>
              <w:rPr>
                <w:rFonts w:ascii="宋体" w:hAnsi="宋体" w:cs="宋体"/>
                <w:kern w:val="0"/>
                <w:sz w:val="24"/>
                <w:highlight w:val="none"/>
              </w:rPr>
              <w:t>4TB</w:t>
            </w:r>
          </w:p>
        </w:tc>
      </w:tr>
      <w:tr w14:paraId="0E17153F">
        <w:tblPrEx>
          <w:tblCellMar>
            <w:top w:w="0" w:type="dxa"/>
            <w:left w:w="108" w:type="dxa"/>
            <w:bottom w:w="0" w:type="dxa"/>
            <w:right w:w="108" w:type="dxa"/>
          </w:tblCellMar>
        </w:tblPrEx>
        <w:trPr>
          <w:trHeight w:val="312"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6C7BC687">
            <w:pPr>
              <w:widowControl/>
              <w:adjustRightInd/>
              <w:jc w:val="center"/>
              <w:rPr>
                <w:rFonts w:ascii="宋体" w:hAnsi="宋体" w:cs="宋体"/>
                <w:kern w:val="0"/>
                <w:sz w:val="24"/>
                <w:highlight w:val="none"/>
              </w:rPr>
            </w:pPr>
            <w:r>
              <w:rPr>
                <w:rFonts w:ascii="宋体" w:hAnsi="宋体" w:cs="宋体"/>
                <w:kern w:val="0"/>
                <w:sz w:val="24"/>
                <w:highlight w:val="none"/>
              </w:rPr>
              <w:t>21</w:t>
            </w:r>
          </w:p>
        </w:tc>
        <w:tc>
          <w:tcPr>
            <w:tcW w:w="1306" w:type="dxa"/>
            <w:vMerge w:val="continue"/>
            <w:tcBorders>
              <w:top w:val="nil"/>
              <w:left w:val="single" w:color="auto" w:sz="4" w:space="0"/>
              <w:bottom w:val="nil"/>
              <w:right w:val="single" w:color="auto" w:sz="4" w:space="0"/>
            </w:tcBorders>
            <w:shd w:val="clear" w:color="auto" w:fill="auto"/>
            <w:vAlign w:val="center"/>
          </w:tcPr>
          <w:p w14:paraId="22D87F6E">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29C97A9A">
            <w:pPr>
              <w:widowControl/>
              <w:adjustRightInd/>
              <w:jc w:val="left"/>
              <w:rPr>
                <w:rFonts w:ascii="宋体" w:hAnsi="宋体" w:cs="宋体"/>
                <w:kern w:val="0"/>
                <w:sz w:val="24"/>
                <w:highlight w:val="none"/>
              </w:rPr>
            </w:pPr>
            <w:r>
              <w:rPr>
                <w:rFonts w:hint="eastAsia" w:ascii="宋体" w:hAnsi="宋体" w:cs="宋体"/>
                <w:kern w:val="0"/>
                <w:sz w:val="24"/>
                <w:highlight w:val="none"/>
              </w:rPr>
              <w:t>▲内存大页管理</w:t>
            </w:r>
          </w:p>
        </w:tc>
        <w:tc>
          <w:tcPr>
            <w:tcW w:w="3959" w:type="dxa"/>
            <w:tcBorders>
              <w:top w:val="nil"/>
              <w:left w:val="nil"/>
              <w:bottom w:val="single" w:color="auto" w:sz="4" w:space="0"/>
              <w:right w:val="single" w:color="auto" w:sz="4" w:space="0"/>
            </w:tcBorders>
            <w:shd w:val="clear" w:color="000000" w:fill="FFFFFF"/>
            <w:vAlign w:val="center"/>
          </w:tcPr>
          <w:p w14:paraId="6EC5796E">
            <w:pPr>
              <w:widowControl/>
              <w:adjustRightInd/>
              <w:jc w:val="left"/>
              <w:rPr>
                <w:rFonts w:ascii="宋体" w:hAnsi="宋体" w:cs="宋体"/>
                <w:kern w:val="0"/>
                <w:sz w:val="24"/>
                <w:highlight w:val="none"/>
              </w:rPr>
            </w:pPr>
            <w:r>
              <w:rPr>
                <w:rFonts w:hint="eastAsia" w:ascii="宋体" w:hAnsi="宋体" w:cs="宋体"/>
                <w:kern w:val="0"/>
                <w:sz w:val="24"/>
                <w:highlight w:val="none"/>
              </w:rPr>
              <w:t>操作系统允许应用申请内存大页降低页表转换</w:t>
            </w:r>
          </w:p>
        </w:tc>
      </w:tr>
      <w:tr w14:paraId="07FE20D6">
        <w:tblPrEx>
          <w:tblCellMar>
            <w:top w:w="0" w:type="dxa"/>
            <w:left w:w="108" w:type="dxa"/>
            <w:bottom w:w="0" w:type="dxa"/>
            <w:right w:w="108" w:type="dxa"/>
          </w:tblCellMar>
        </w:tblPrEx>
        <w:trPr>
          <w:trHeight w:val="312"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2C950E6E">
            <w:pPr>
              <w:widowControl/>
              <w:adjustRightInd/>
              <w:jc w:val="center"/>
              <w:rPr>
                <w:rFonts w:ascii="宋体" w:hAnsi="宋体" w:cs="宋体"/>
                <w:kern w:val="0"/>
                <w:sz w:val="24"/>
                <w:highlight w:val="none"/>
              </w:rPr>
            </w:pPr>
            <w:r>
              <w:rPr>
                <w:rFonts w:ascii="宋体" w:hAnsi="宋体" w:cs="宋体"/>
                <w:kern w:val="0"/>
                <w:sz w:val="24"/>
                <w:highlight w:val="none"/>
              </w:rPr>
              <w:t>22</w:t>
            </w:r>
          </w:p>
        </w:tc>
        <w:tc>
          <w:tcPr>
            <w:tcW w:w="1306" w:type="dxa"/>
            <w:vMerge w:val="continue"/>
            <w:tcBorders>
              <w:top w:val="nil"/>
              <w:left w:val="single" w:color="auto" w:sz="4" w:space="0"/>
              <w:bottom w:val="nil"/>
              <w:right w:val="single" w:color="auto" w:sz="4" w:space="0"/>
            </w:tcBorders>
            <w:shd w:val="clear" w:color="auto" w:fill="auto"/>
            <w:vAlign w:val="center"/>
          </w:tcPr>
          <w:p w14:paraId="1FAA3DE3">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08715178">
            <w:pPr>
              <w:widowControl/>
              <w:adjustRightInd/>
              <w:jc w:val="left"/>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NUMA</w:t>
            </w:r>
          </w:p>
        </w:tc>
        <w:tc>
          <w:tcPr>
            <w:tcW w:w="3959" w:type="dxa"/>
            <w:tcBorders>
              <w:top w:val="nil"/>
              <w:left w:val="nil"/>
              <w:bottom w:val="single" w:color="auto" w:sz="4" w:space="0"/>
              <w:right w:val="single" w:color="auto" w:sz="4" w:space="0"/>
            </w:tcBorders>
            <w:shd w:val="clear" w:color="000000" w:fill="FFFFFF"/>
            <w:vAlign w:val="center"/>
          </w:tcPr>
          <w:p w14:paraId="6627CD60">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w:t>
            </w:r>
            <w:r>
              <w:rPr>
                <w:rFonts w:ascii="宋体" w:hAnsi="宋体" w:cs="宋体"/>
                <w:kern w:val="0"/>
                <w:sz w:val="24"/>
                <w:highlight w:val="none"/>
              </w:rPr>
              <w:t>NUMA近节点优化</w:t>
            </w:r>
          </w:p>
        </w:tc>
      </w:tr>
      <w:tr w14:paraId="4A1DBE85">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3EC66AB5">
            <w:pPr>
              <w:widowControl/>
              <w:adjustRightInd/>
              <w:jc w:val="center"/>
              <w:rPr>
                <w:rFonts w:ascii="宋体" w:hAnsi="宋体" w:cs="宋体"/>
                <w:kern w:val="0"/>
                <w:sz w:val="24"/>
                <w:highlight w:val="none"/>
              </w:rPr>
            </w:pPr>
            <w:r>
              <w:rPr>
                <w:rFonts w:ascii="宋体" w:hAnsi="宋体" w:cs="宋体"/>
                <w:kern w:val="0"/>
                <w:sz w:val="24"/>
                <w:highlight w:val="none"/>
              </w:rPr>
              <w:t>23</w:t>
            </w:r>
          </w:p>
        </w:tc>
        <w:tc>
          <w:tcPr>
            <w:tcW w:w="1306" w:type="dxa"/>
            <w:vMerge w:val="restart"/>
            <w:tcBorders>
              <w:top w:val="single" w:color="auto" w:sz="4" w:space="0"/>
              <w:left w:val="single" w:color="auto" w:sz="4" w:space="0"/>
              <w:bottom w:val="nil"/>
              <w:right w:val="single" w:color="auto" w:sz="4" w:space="0"/>
            </w:tcBorders>
            <w:shd w:val="clear" w:color="000000" w:fill="FFFFFF"/>
            <w:vAlign w:val="center"/>
          </w:tcPr>
          <w:p w14:paraId="7E65F211">
            <w:pPr>
              <w:widowControl/>
              <w:adjustRightInd/>
              <w:jc w:val="left"/>
              <w:rPr>
                <w:rFonts w:ascii="宋体" w:hAnsi="宋体" w:cs="宋体"/>
                <w:kern w:val="0"/>
                <w:sz w:val="24"/>
                <w:highlight w:val="none"/>
              </w:rPr>
            </w:pPr>
            <w:r>
              <w:rPr>
                <w:rFonts w:hint="eastAsia" w:ascii="宋体" w:hAnsi="宋体" w:cs="宋体"/>
                <w:kern w:val="0"/>
                <w:sz w:val="24"/>
                <w:highlight w:val="none"/>
              </w:rPr>
              <w:t>▲存储管理</w:t>
            </w:r>
          </w:p>
        </w:tc>
        <w:tc>
          <w:tcPr>
            <w:tcW w:w="3150" w:type="dxa"/>
            <w:tcBorders>
              <w:top w:val="nil"/>
              <w:left w:val="nil"/>
              <w:bottom w:val="single" w:color="auto" w:sz="4" w:space="0"/>
              <w:right w:val="single" w:color="auto" w:sz="4" w:space="0"/>
            </w:tcBorders>
            <w:shd w:val="clear" w:color="000000" w:fill="FFFFFF"/>
            <w:vAlign w:val="center"/>
          </w:tcPr>
          <w:p w14:paraId="11B44046">
            <w:pPr>
              <w:widowControl/>
              <w:adjustRightInd/>
              <w:jc w:val="left"/>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RAID支持</w:t>
            </w:r>
          </w:p>
        </w:tc>
        <w:tc>
          <w:tcPr>
            <w:tcW w:w="3959" w:type="dxa"/>
            <w:tcBorders>
              <w:top w:val="nil"/>
              <w:left w:val="nil"/>
              <w:bottom w:val="single" w:color="auto" w:sz="4" w:space="0"/>
              <w:right w:val="single" w:color="auto" w:sz="4" w:space="0"/>
            </w:tcBorders>
            <w:shd w:val="clear" w:color="000000" w:fill="FFFFFF"/>
            <w:vAlign w:val="center"/>
          </w:tcPr>
          <w:p w14:paraId="4E97F3DA">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操作系统支持硬</w:t>
            </w:r>
            <w:r>
              <w:rPr>
                <w:rFonts w:ascii="宋体" w:hAnsi="宋体" w:cs="宋体"/>
                <w:kern w:val="0"/>
                <w:sz w:val="24"/>
                <w:highlight w:val="none"/>
              </w:rPr>
              <w:t>RAID和软RAID，支持软RAID级别0、1、5、6、10</w:t>
            </w:r>
          </w:p>
        </w:tc>
      </w:tr>
      <w:tr w14:paraId="2917F2EF">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3F9D91EF">
            <w:pPr>
              <w:widowControl/>
              <w:adjustRightInd/>
              <w:jc w:val="center"/>
              <w:rPr>
                <w:rFonts w:ascii="宋体" w:hAnsi="宋体" w:cs="宋体"/>
                <w:kern w:val="0"/>
                <w:sz w:val="24"/>
                <w:highlight w:val="none"/>
              </w:rPr>
            </w:pPr>
            <w:r>
              <w:rPr>
                <w:rFonts w:ascii="宋体" w:hAnsi="宋体" w:cs="宋体"/>
                <w:kern w:val="0"/>
                <w:sz w:val="24"/>
                <w:highlight w:val="none"/>
              </w:rPr>
              <w:t>24</w:t>
            </w:r>
          </w:p>
        </w:tc>
        <w:tc>
          <w:tcPr>
            <w:tcW w:w="1306" w:type="dxa"/>
            <w:vMerge w:val="continue"/>
            <w:tcBorders>
              <w:top w:val="single" w:color="auto" w:sz="4" w:space="0"/>
              <w:left w:val="single" w:color="auto" w:sz="4" w:space="0"/>
              <w:bottom w:val="nil"/>
              <w:right w:val="single" w:color="auto" w:sz="4" w:space="0"/>
            </w:tcBorders>
            <w:shd w:val="clear" w:color="auto" w:fill="auto"/>
            <w:vAlign w:val="center"/>
          </w:tcPr>
          <w:p w14:paraId="20536BF1">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37F953B9">
            <w:pPr>
              <w:widowControl/>
              <w:adjustRightInd/>
              <w:jc w:val="left"/>
              <w:rPr>
                <w:rFonts w:ascii="宋体" w:hAnsi="宋体" w:cs="宋体"/>
                <w:kern w:val="0"/>
                <w:sz w:val="24"/>
                <w:highlight w:val="none"/>
              </w:rPr>
            </w:pPr>
            <w:r>
              <w:rPr>
                <w:rFonts w:hint="eastAsia" w:ascii="宋体" w:hAnsi="宋体" w:cs="宋体"/>
                <w:kern w:val="0"/>
                <w:sz w:val="24"/>
                <w:highlight w:val="none"/>
              </w:rPr>
              <w:t>▲虚拟文件系统</w:t>
            </w:r>
          </w:p>
        </w:tc>
        <w:tc>
          <w:tcPr>
            <w:tcW w:w="3959" w:type="dxa"/>
            <w:tcBorders>
              <w:top w:val="nil"/>
              <w:left w:val="nil"/>
              <w:bottom w:val="single" w:color="auto" w:sz="4" w:space="0"/>
              <w:right w:val="single" w:color="auto" w:sz="4" w:space="0"/>
            </w:tcBorders>
            <w:shd w:val="clear" w:color="000000" w:fill="FFFFFF"/>
            <w:vAlign w:val="center"/>
          </w:tcPr>
          <w:p w14:paraId="77BA6F03">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操作系统支持将不同功能的外部设备抽象为统一的文件操作接口，包括存储、输入输出设备</w:t>
            </w:r>
          </w:p>
        </w:tc>
      </w:tr>
      <w:tr w14:paraId="51E3E511">
        <w:tblPrEx>
          <w:tblCellMar>
            <w:top w:w="0" w:type="dxa"/>
            <w:left w:w="108" w:type="dxa"/>
            <w:bottom w:w="0" w:type="dxa"/>
            <w:right w:w="108" w:type="dxa"/>
          </w:tblCellMar>
        </w:tblPrEx>
        <w:trPr>
          <w:trHeight w:val="312"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62F2A0B8">
            <w:pPr>
              <w:widowControl/>
              <w:adjustRightInd/>
              <w:jc w:val="center"/>
              <w:rPr>
                <w:rFonts w:ascii="宋体" w:hAnsi="宋体" w:cs="宋体"/>
                <w:kern w:val="0"/>
                <w:sz w:val="24"/>
                <w:highlight w:val="none"/>
              </w:rPr>
            </w:pPr>
            <w:r>
              <w:rPr>
                <w:rFonts w:ascii="宋体" w:hAnsi="宋体" w:cs="宋体"/>
                <w:kern w:val="0"/>
                <w:sz w:val="24"/>
                <w:highlight w:val="none"/>
              </w:rPr>
              <w:t>25</w:t>
            </w:r>
          </w:p>
        </w:tc>
        <w:tc>
          <w:tcPr>
            <w:tcW w:w="1306" w:type="dxa"/>
            <w:vMerge w:val="continue"/>
            <w:tcBorders>
              <w:top w:val="single" w:color="auto" w:sz="4" w:space="0"/>
              <w:left w:val="single" w:color="auto" w:sz="4" w:space="0"/>
              <w:bottom w:val="nil"/>
              <w:right w:val="single" w:color="auto" w:sz="4" w:space="0"/>
            </w:tcBorders>
            <w:shd w:val="clear" w:color="auto" w:fill="auto"/>
            <w:vAlign w:val="center"/>
          </w:tcPr>
          <w:p w14:paraId="6DCDD926">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367A56CD">
            <w:pPr>
              <w:widowControl/>
              <w:adjustRightInd/>
              <w:jc w:val="left"/>
              <w:rPr>
                <w:rFonts w:ascii="宋体" w:hAnsi="宋体" w:cs="宋体"/>
                <w:kern w:val="0"/>
                <w:sz w:val="24"/>
                <w:highlight w:val="none"/>
              </w:rPr>
            </w:pPr>
            <w:r>
              <w:rPr>
                <w:rFonts w:hint="eastAsia" w:ascii="宋体" w:hAnsi="宋体" w:cs="宋体"/>
                <w:kern w:val="0"/>
                <w:sz w:val="24"/>
                <w:highlight w:val="none"/>
              </w:rPr>
              <w:t>▲文件管理</w:t>
            </w:r>
          </w:p>
        </w:tc>
        <w:tc>
          <w:tcPr>
            <w:tcW w:w="3959" w:type="dxa"/>
            <w:tcBorders>
              <w:top w:val="nil"/>
              <w:left w:val="nil"/>
              <w:bottom w:val="single" w:color="auto" w:sz="4" w:space="0"/>
              <w:right w:val="single" w:color="auto" w:sz="4" w:space="0"/>
            </w:tcBorders>
            <w:shd w:val="clear" w:color="000000" w:fill="FFFFFF"/>
            <w:vAlign w:val="center"/>
          </w:tcPr>
          <w:p w14:paraId="5F66CE0C">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操作系统支持文件存储、检索和共享</w:t>
            </w:r>
          </w:p>
        </w:tc>
      </w:tr>
      <w:tr w14:paraId="7EA449A3">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375FA30C">
            <w:pPr>
              <w:widowControl/>
              <w:adjustRightInd/>
              <w:jc w:val="center"/>
              <w:rPr>
                <w:rFonts w:ascii="宋体" w:hAnsi="宋体" w:cs="宋体"/>
                <w:kern w:val="0"/>
                <w:sz w:val="24"/>
                <w:highlight w:val="none"/>
              </w:rPr>
            </w:pPr>
            <w:r>
              <w:rPr>
                <w:rFonts w:ascii="宋体" w:hAnsi="宋体" w:cs="宋体"/>
                <w:kern w:val="0"/>
                <w:sz w:val="24"/>
                <w:highlight w:val="none"/>
              </w:rPr>
              <w:t>26</w:t>
            </w:r>
          </w:p>
        </w:tc>
        <w:tc>
          <w:tcPr>
            <w:tcW w:w="1306" w:type="dxa"/>
            <w:vMerge w:val="continue"/>
            <w:tcBorders>
              <w:top w:val="single" w:color="auto" w:sz="4" w:space="0"/>
              <w:left w:val="single" w:color="auto" w:sz="4" w:space="0"/>
              <w:bottom w:val="nil"/>
              <w:right w:val="single" w:color="auto" w:sz="4" w:space="0"/>
            </w:tcBorders>
            <w:shd w:val="clear" w:color="auto" w:fill="auto"/>
            <w:vAlign w:val="center"/>
          </w:tcPr>
          <w:p w14:paraId="227F048F">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65D68712">
            <w:pPr>
              <w:widowControl/>
              <w:adjustRightInd/>
              <w:jc w:val="left"/>
              <w:rPr>
                <w:rFonts w:ascii="宋体" w:hAnsi="宋体" w:cs="宋体"/>
                <w:kern w:val="0"/>
                <w:sz w:val="24"/>
                <w:highlight w:val="none"/>
              </w:rPr>
            </w:pPr>
            <w:r>
              <w:rPr>
                <w:rFonts w:hint="eastAsia" w:ascii="宋体" w:hAnsi="宋体" w:cs="宋体"/>
                <w:kern w:val="0"/>
                <w:sz w:val="24"/>
                <w:highlight w:val="none"/>
              </w:rPr>
              <w:t>▲可移动存储</w:t>
            </w:r>
          </w:p>
        </w:tc>
        <w:tc>
          <w:tcPr>
            <w:tcW w:w="3959" w:type="dxa"/>
            <w:tcBorders>
              <w:top w:val="nil"/>
              <w:left w:val="nil"/>
              <w:bottom w:val="single" w:color="auto" w:sz="4" w:space="0"/>
              <w:right w:val="single" w:color="auto" w:sz="4" w:space="0"/>
            </w:tcBorders>
            <w:shd w:val="clear" w:color="000000" w:fill="FFFFFF"/>
            <w:vAlign w:val="center"/>
          </w:tcPr>
          <w:p w14:paraId="555478E0">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操作系统支持对可移动外部存储的管理，包括启停、禁用、恢复等</w:t>
            </w:r>
          </w:p>
        </w:tc>
      </w:tr>
      <w:tr w14:paraId="2480DBEB">
        <w:tblPrEx>
          <w:tblCellMar>
            <w:top w:w="0" w:type="dxa"/>
            <w:left w:w="108" w:type="dxa"/>
            <w:bottom w:w="0" w:type="dxa"/>
            <w:right w:w="108" w:type="dxa"/>
          </w:tblCellMar>
        </w:tblPrEx>
        <w:trPr>
          <w:trHeight w:val="312"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53BEAA21">
            <w:pPr>
              <w:widowControl/>
              <w:adjustRightInd/>
              <w:jc w:val="center"/>
              <w:rPr>
                <w:rFonts w:ascii="宋体" w:hAnsi="宋体" w:cs="宋体"/>
                <w:kern w:val="0"/>
                <w:sz w:val="24"/>
                <w:highlight w:val="none"/>
              </w:rPr>
            </w:pPr>
            <w:r>
              <w:rPr>
                <w:rFonts w:ascii="宋体" w:hAnsi="宋体" w:cs="宋体"/>
                <w:kern w:val="0"/>
                <w:sz w:val="24"/>
                <w:highlight w:val="none"/>
              </w:rPr>
              <w:t>27</w:t>
            </w:r>
          </w:p>
        </w:tc>
        <w:tc>
          <w:tcPr>
            <w:tcW w:w="1306" w:type="dxa"/>
            <w:vMerge w:val="continue"/>
            <w:tcBorders>
              <w:top w:val="single" w:color="auto" w:sz="4" w:space="0"/>
              <w:left w:val="single" w:color="auto" w:sz="4" w:space="0"/>
              <w:bottom w:val="nil"/>
              <w:right w:val="single" w:color="auto" w:sz="4" w:space="0"/>
            </w:tcBorders>
            <w:shd w:val="clear" w:color="auto" w:fill="auto"/>
            <w:vAlign w:val="center"/>
          </w:tcPr>
          <w:p w14:paraId="0D87FD61">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5DBB621E">
            <w:pPr>
              <w:widowControl/>
              <w:adjustRightInd/>
              <w:jc w:val="left"/>
              <w:rPr>
                <w:rFonts w:ascii="宋体" w:hAnsi="宋体" w:cs="宋体"/>
                <w:kern w:val="0"/>
                <w:sz w:val="24"/>
                <w:highlight w:val="none"/>
              </w:rPr>
            </w:pPr>
            <w:r>
              <w:rPr>
                <w:rFonts w:hint="eastAsia" w:ascii="宋体" w:hAnsi="宋体" w:cs="宋体"/>
                <w:kern w:val="0"/>
                <w:sz w:val="24"/>
                <w:highlight w:val="none"/>
              </w:rPr>
              <w:t>▲外部独立存储</w:t>
            </w:r>
          </w:p>
        </w:tc>
        <w:tc>
          <w:tcPr>
            <w:tcW w:w="3959" w:type="dxa"/>
            <w:tcBorders>
              <w:top w:val="nil"/>
              <w:left w:val="nil"/>
              <w:bottom w:val="single" w:color="auto" w:sz="4" w:space="0"/>
              <w:right w:val="single" w:color="auto" w:sz="4" w:space="0"/>
            </w:tcBorders>
            <w:shd w:val="clear" w:color="000000" w:fill="FFFFFF"/>
            <w:vAlign w:val="center"/>
          </w:tcPr>
          <w:p w14:paraId="48CCCBCF">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操作系统支持使用外部独立存储设备</w:t>
            </w:r>
          </w:p>
        </w:tc>
      </w:tr>
      <w:tr w14:paraId="45B21D78">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6D3DF96C">
            <w:pPr>
              <w:widowControl/>
              <w:adjustRightInd/>
              <w:jc w:val="center"/>
              <w:rPr>
                <w:rFonts w:ascii="宋体" w:hAnsi="宋体" w:cs="宋体"/>
                <w:kern w:val="0"/>
                <w:sz w:val="24"/>
                <w:highlight w:val="none"/>
              </w:rPr>
            </w:pPr>
            <w:r>
              <w:rPr>
                <w:rFonts w:ascii="宋体" w:hAnsi="宋体" w:cs="宋体"/>
                <w:kern w:val="0"/>
                <w:sz w:val="24"/>
                <w:highlight w:val="none"/>
              </w:rPr>
              <w:t>28</w:t>
            </w:r>
          </w:p>
        </w:tc>
        <w:tc>
          <w:tcPr>
            <w:tcW w:w="1306" w:type="dxa"/>
            <w:vMerge w:val="continue"/>
            <w:tcBorders>
              <w:top w:val="single" w:color="auto" w:sz="4" w:space="0"/>
              <w:left w:val="single" w:color="auto" w:sz="4" w:space="0"/>
              <w:bottom w:val="nil"/>
              <w:right w:val="single" w:color="auto" w:sz="4" w:space="0"/>
            </w:tcBorders>
            <w:shd w:val="clear" w:color="auto" w:fill="auto"/>
            <w:vAlign w:val="center"/>
          </w:tcPr>
          <w:p w14:paraId="5A1CBF44">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25A1D157">
            <w:pPr>
              <w:widowControl/>
              <w:adjustRightInd/>
              <w:jc w:val="left"/>
              <w:rPr>
                <w:rFonts w:ascii="宋体" w:hAnsi="宋体" w:cs="宋体"/>
                <w:kern w:val="0"/>
                <w:sz w:val="24"/>
                <w:highlight w:val="none"/>
              </w:rPr>
            </w:pPr>
            <w:r>
              <w:rPr>
                <w:rFonts w:hint="eastAsia" w:ascii="宋体" w:hAnsi="宋体" w:cs="宋体"/>
                <w:kern w:val="0"/>
                <w:sz w:val="24"/>
                <w:highlight w:val="none"/>
              </w:rPr>
              <w:t>▲多路径聚合</w:t>
            </w:r>
          </w:p>
        </w:tc>
        <w:tc>
          <w:tcPr>
            <w:tcW w:w="3959" w:type="dxa"/>
            <w:tcBorders>
              <w:top w:val="nil"/>
              <w:left w:val="nil"/>
              <w:bottom w:val="single" w:color="auto" w:sz="4" w:space="0"/>
              <w:right w:val="single" w:color="auto" w:sz="4" w:space="0"/>
            </w:tcBorders>
            <w:shd w:val="clear" w:color="000000" w:fill="FFFFFF"/>
            <w:vAlign w:val="center"/>
          </w:tcPr>
          <w:p w14:paraId="0E8BE37F">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操作系统支持存储多路径聚合及</w:t>
            </w:r>
            <w:r>
              <w:rPr>
                <w:rFonts w:ascii="宋体" w:hAnsi="宋体" w:cs="宋体"/>
                <w:kern w:val="0"/>
                <w:sz w:val="24"/>
                <w:highlight w:val="none"/>
              </w:rPr>
              <w:t>I/O动态负载均衡</w:t>
            </w:r>
          </w:p>
        </w:tc>
      </w:tr>
      <w:tr w14:paraId="509ACD59">
        <w:tblPrEx>
          <w:tblCellMar>
            <w:top w:w="0" w:type="dxa"/>
            <w:left w:w="108" w:type="dxa"/>
            <w:bottom w:w="0" w:type="dxa"/>
            <w:right w:w="108" w:type="dxa"/>
          </w:tblCellMar>
        </w:tblPrEx>
        <w:trPr>
          <w:trHeight w:val="312"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5809B192">
            <w:pPr>
              <w:widowControl/>
              <w:adjustRightInd/>
              <w:jc w:val="center"/>
              <w:rPr>
                <w:rFonts w:ascii="宋体" w:hAnsi="宋体" w:cs="宋体"/>
                <w:kern w:val="0"/>
                <w:sz w:val="24"/>
                <w:highlight w:val="none"/>
              </w:rPr>
            </w:pPr>
            <w:r>
              <w:rPr>
                <w:rFonts w:ascii="宋体" w:hAnsi="宋体" w:cs="宋体"/>
                <w:kern w:val="0"/>
                <w:sz w:val="24"/>
                <w:highlight w:val="none"/>
              </w:rPr>
              <w:t>29</w:t>
            </w:r>
          </w:p>
        </w:tc>
        <w:tc>
          <w:tcPr>
            <w:tcW w:w="1306" w:type="dxa"/>
            <w:vMerge w:val="continue"/>
            <w:tcBorders>
              <w:top w:val="single" w:color="auto" w:sz="4" w:space="0"/>
              <w:left w:val="single" w:color="auto" w:sz="4" w:space="0"/>
              <w:bottom w:val="nil"/>
              <w:right w:val="single" w:color="auto" w:sz="4" w:space="0"/>
            </w:tcBorders>
            <w:shd w:val="clear" w:color="auto" w:fill="auto"/>
            <w:vAlign w:val="center"/>
          </w:tcPr>
          <w:p w14:paraId="4C3FA3E8">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43BAE47A">
            <w:pPr>
              <w:widowControl/>
              <w:adjustRightInd/>
              <w:jc w:val="left"/>
              <w:rPr>
                <w:rFonts w:ascii="宋体" w:hAnsi="宋体" w:cs="宋体"/>
                <w:kern w:val="0"/>
                <w:sz w:val="24"/>
                <w:highlight w:val="none"/>
              </w:rPr>
            </w:pPr>
            <w:r>
              <w:rPr>
                <w:rFonts w:hint="eastAsia" w:ascii="宋体" w:hAnsi="宋体" w:cs="宋体"/>
                <w:kern w:val="0"/>
                <w:sz w:val="24"/>
                <w:highlight w:val="none"/>
              </w:rPr>
              <w:t>▲故障检测</w:t>
            </w:r>
          </w:p>
        </w:tc>
        <w:tc>
          <w:tcPr>
            <w:tcW w:w="3959" w:type="dxa"/>
            <w:tcBorders>
              <w:top w:val="nil"/>
              <w:left w:val="nil"/>
              <w:bottom w:val="single" w:color="auto" w:sz="4" w:space="0"/>
              <w:right w:val="single" w:color="auto" w:sz="4" w:space="0"/>
            </w:tcBorders>
            <w:shd w:val="clear" w:color="000000" w:fill="FFFFFF"/>
            <w:vAlign w:val="center"/>
          </w:tcPr>
          <w:p w14:paraId="5881A4FF">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操作系统支持硬盘损坏或老化检测及信息收集</w:t>
            </w:r>
          </w:p>
        </w:tc>
      </w:tr>
      <w:tr w14:paraId="0A5EA4EB">
        <w:tblPrEx>
          <w:tblCellMar>
            <w:top w:w="0" w:type="dxa"/>
            <w:left w:w="108" w:type="dxa"/>
            <w:bottom w:w="0" w:type="dxa"/>
            <w:right w:w="108" w:type="dxa"/>
          </w:tblCellMar>
        </w:tblPrEx>
        <w:trPr>
          <w:trHeight w:val="936"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3087C074">
            <w:pPr>
              <w:widowControl/>
              <w:adjustRightInd/>
              <w:jc w:val="center"/>
              <w:rPr>
                <w:rFonts w:ascii="宋体" w:hAnsi="宋体" w:cs="宋体"/>
                <w:kern w:val="0"/>
                <w:sz w:val="24"/>
                <w:highlight w:val="none"/>
              </w:rPr>
            </w:pPr>
            <w:r>
              <w:rPr>
                <w:rFonts w:ascii="宋体" w:hAnsi="宋体" w:cs="宋体"/>
                <w:kern w:val="0"/>
                <w:sz w:val="24"/>
                <w:highlight w:val="none"/>
              </w:rPr>
              <w:t>30</w:t>
            </w:r>
          </w:p>
        </w:tc>
        <w:tc>
          <w:tcPr>
            <w:tcW w:w="1306" w:type="dxa"/>
            <w:vMerge w:val="continue"/>
            <w:tcBorders>
              <w:top w:val="single" w:color="auto" w:sz="4" w:space="0"/>
              <w:left w:val="single" w:color="auto" w:sz="4" w:space="0"/>
              <w:bottom w:val="nil"/>
              <w:right w:val="single" w:color="auto" w:sz="4" w:space="0"/>
            </w:tcBorders>
            <w:shd w:val="clear" w:color="auto" w:fill="auto"/>
            <w:vAlign w:val="center"/>
          </w:tcPr>
          <w:p w14:paraId="6BE107A5">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60DD9648">
            <w:pPr>
              <w:widowControl/>
              <w:adjustRightInd/>
              <w:jc w:val="left"/>
              <w:rPr>
                <w:rFonts w:ascii="宋体" w:hAnsi="宋体" w:cs="宋体"/>
                <w:kern w:val="0"/>
                <w:sz w:val="24"/>
                <w:highlight w:val="none"/>
              </w:rPr>
            </w:pPr>
            <w:r>
              <w:rPr>
                <w:rFonts w:hint="eastAsia" w:ascii="宋体" w:hAnsi="宋体" w:cs="宋体"/>
                <w:kern w:val="0"/>
                <w:sz w:val="24"/>
                <w:highlight w:val="none"/>
              </w:rPr>
              <w:t>▲虚拟内存</w:t>
            </w:r>
          </w:p>
        </w:tc>
        <w:tc>
          <w:tcPr>
            <w:tcW w:w="3959" w:type="dxa"/>
            <w:tcBorders>
              <w:top w:val="nil"/>
              <w:left w:val="nil"/>
              <w:bottom w:val="single" w:color="auto" w:sz="4" w:space="0"/>
              <w:right w:val="single" w:color="auto" w:sz="4" w:space="0"/>
            </w:tcBorders>
            <w:shd w:val="clear" w:color="000000" w:fill="FFFFFF"/>
            <w:vAlign w:val="center"/>
          </w:tcPr>
          <w:p w14:paraId="5C09A806">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操作系统支持将硬盘的特定分区或文件作为虚拟扩展内存用于存放内存数据，支持虚拟内存压缩</w:t>
            </w:r>
          </w:p>
        </w:tc>
      </w:tr>
      <w:tr w14:paraId="4649A324">
        <w:tblPrEx>
          <w:tblCellMar>
            <w:top w:w="0" w:type="dxa"/>
            <w:left w:w="108" w:type="dxa"/>
            <w:bottom w:w="0" w:type="dxa"/>
            <w:right w:w="108" w:type="dxa"/>
          </w:tblCellMar>
        </w:tblPrEx>
        <w:trPr>
          <w:trHeight w:val="936"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73F1523E">
            <w:pPr>
              <w:widowControl/>
              <w:adjustRightInd/>
              <w:jc w:val="center"/>
              <w:rPr>
                <w:rFonts w:ascii="宋体" w:hAnsi="宋体" w:cs="宋体"/>
                <w:kern w:val="0"/>
                <w:sz w:val="24"/>
                <w:highlight w:val="none"/>
              </w:rPr>
            </w:pPr>
            <w:r>
              <w:rPr>
                <w:rFonts w:ascii="宋体" w:hAnsi="宋体" w:cs="宋体"/>
                <w:kern w:val="0"/>
                <w:sz w:val="24"/>
                <w:highlight w:val="none"/>
              </w:rPr>
              <w:t>31</w:t>
            </w:r>
          </w:p>
        </w:tc>
        <w:tc>
          <w:tcPr>
            <w:tcW w:w="1306" w:type="dxa"/>
            <w:vMerge w:val="continue"/>
            <w:tcBorders>
              <w:top w:val="single" w:color="auto" w:sz="4" w:space="0"/>
              <w:left w:val="single" w:color="auto" w:sz="4" w:space="0"/>
              <w:bottom w:val="nil"/>
              <w:right w:val="single" w:color="auto" w:sz="4" w:space="0"/>
            </w:tcBorders>
            <w:shd w:val="clear" w:color="auto" w:fill="auto"/>
            <w:vAlign w:val="center"/>
          </w:tcPr>
          <w:p w14:paraId="2335C7D9">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0EB3C6B7">
            <w:pPr>
              <w:widowControl/>
              <w:adjustRightInd/>
              <w:jc w:val="left"/>
              <w:rPr>
                <w:rFonts w:ascii="宋体" w:hAnsi="宋体" w:cs="宋体"/>
                <w:kern w:val="0"/>
                <w:sz w:val="24"/>
                <w:highlight w:val="none"/>
              </w:rPr>
            </w:pPr>
            <w:r>
              <w:rPr>
                <w:rFonts w:hint="eastAsia" w:ascii="宋体" w:hAnsi="宋体" w:cs="宋体"/>
                <w:kern w:val="0"/>
                <w:sz w:val="24"/>
                <w:highlight w:val="none"/>
              </w:rPr>
              <w:t>▲网络块设备挂载</w:t>
            </w:r>
          </w:p>
        </w:tc>
        <w:tc>
          <w:tcPr>
            <w:tcW w:w="3959" w:type="dxa"/>
            <w:tcBorders>
              <w:top w:val="nil"/>
              <w:left w:val="nil"/>
              <w:bottom w:val="single" w:color="auto" w:sz="4" w:space="0"/>
              <w:right w:val="single" w:color="auto" w:sz="4" w:space="0"/>
            </w:tcBorders>
            <w:shd w:val="clear" w:color="000000" w:fill="FFFFFF"/>
            <w:vAlign w:val="center"/>
          </w:tcPr>
          <w:p w14:paraId="548DBA83">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w:t>
            </w:r>
            <w:r>
              <w:rPr>
                <w:rFonts w:ascii="宋体" w:hAnsi="宋体" w:cs="宋体"/>
                <w:kern w:val="0"/>
                <w:sz w:val="24"/>
                <w:highlight w:val="none"/>
              </w:rPr>
              <w:t>FCoE、iSCSI，支持将Ceph块设备视为常规存储设备挂载到某个目录并作为标准文件系统使用</w:t>
            </w:r>
          </w:p>
        </w:tc>
      </w:tr>
      <w:tr w14:paraId="6192F571">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42A783A1">
            <w:pPr>
              <w:widowControl/>
              <w:adjustRightInd/>
              <w:jc w:val="center"/>
              <w:rPr>
                <w:rFonts w:ascii="宋体" w:hAnsi="宋体" w:cs="宋体"/>
                <w:kern w:val="0"/>
                <w:sz w:val="24"/>
                <w:highlight w:val="none"/>
              </w:rPr>
            </w:pPr>
            <w:r>
              <w:rPr>
                <w:rFonts w:ascii="宋体" w:hAnsi="宋体" w:cs="宋体"/>
                <w:kern w:val="0"/>
                <w:sz w:val="24"/>
                <w:highlight w:val="none"/>
              </w:rPr>
              <w:t>32</w:t>
            </w:r>
          </w:p>
        </w:tc>
        <w:tc>
          <w:tcPr>
            <w:tcW w:w="1306" w:type="dxa"/>
            <w:vMerge w:val="restart"/>
            <w:tcBorders>
              <w:top w:val="single" w:color="auto" w:sz="4" w:space="0"/>
              <w:left w:val="single" w:color="auto" w:sz="4" w:space="0"/>
              <w:bottom w:val="nil"/>
              <w:right w:val="single" w:color="auto" w:sz="4" w:space="0"/>
            </w:tcBorders>
            <w:shd w:val="clear" w:color="000000" w:fill="FFFFFF"/>
            <w:vAlign w:val="center"/>
          </w:tcPr>
          <w:p w14:paraId="5138351A">
            <w:pPr>
              <w:widowControl/>
              <w:adjustRightInd/>
              <w:jc w:val="left"/>
              <w:rPr>
                <w:rFonts w:ascii="宋体" w:hAnsi="宋体" w:cs="宋体"/>
                <w:kern w:val="0"/>
                <w:sz w:val="24"/>
                <w:highlight w:val="none"/>
              </w:rPr>
            </w:pPr>
            <w:r>
              <w:rPr>
                <w:rFonts w:hint="eastAsia" w:ascii="宋体" w:hAnsi="宋体" w:cs="宋体"/>
                <w:kern w:val="0"/>
                <w:sz w:val="24"/>
                <w:highlight w:val="none"/>
              </w:rPr>
              <w:t>▲网络管理</w:t>
            </w:r>
          </w:p>
        </w:tc>
        <w:tc>
          <w:tcPr>
            <w:tcW w:w="3150" w:type="dxa"/>
            <w:tcBorders>
              <w:top w:val="nil"/>
              <w:left w:val="nil"/>
              <w:bottom w:val="single" w:color="auto" w:sz="4" w:space="0"/>
              <w:right w:val="single" w:color="auto" w:sz="4" w:space="0"/>
            </w:tcBorders>
            <w:shd w:val="clear" w:color="000000" w:fill="FFFFFF"/>
            <w:vAlign w:val="center"/>
          </w:tcPr>
          <w:p w14:paraId="7DCA272A">
            <w:pPr>
              <w:widowControl/>
              <w:adjustRightInd/>
              <w:jc w:val="left"/>
              <w:rPr>
                <w:rFonts w:ascii="宋体" w:hAnsi="宋体" w:cs="宋体"/>
                <w:kern w:val="0"/>
                <w:sz w:val="24"/>
                <w:highlight w:val="none"/>
              </w:rPr>
            </w:pPr>
            <w:r>
              <w:rPr>
                <w:rFonts w:hint="eastAsia" w:ascii="宋体" w:hAnsi="宋体" w:cs="宋体"/>
                <w:kern w:val="0"/>
                <w:sz w:val="24"/>
                <w:highlight w:val="none"/>
              </w:rPr>
              <w:t>▲网络链路检测</w:t>
            </w:r>
          </w:p>
        </w:tc>
        <w:tc>
          <w:tcPr>
            <w:tcW w:w="3959" w:type="dxa"/>
            <w:tcBorders>
              <w:top w:val="nil"/>
              <w:left w:val="nil"/>
              <w:bottom w:val="single" w:color="auto" w:sz="4" w:space="0"/>
              <w:right w:val="single" w:color="auto" w:sz="4" w:space="0"/>
            </w:tcBorders>
            <w:shd w:val="clear" w:color="000000" w:fill="FFFFFF"/>
            <w:vAlign w:val="center"/>
          </w:tcPr>
          <w:p w14:paraId="6B20BF8A">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操作系统支持网络链路故障检测、链路事件通知和链路状态查询</w:t>
            </w:r>
          </w:p>
        </w:tc>
      </w:tr>
      <w:tr w14:paraId="54F544AE">
        <w:tblPrEx>
          <w:tblCellMar>
            <w:top w:w="0" w:type="dxa"/>
            <w:left w:w="108" w:type="dxa"/>
            <w:bottom w:w="0" w:type="dxa"/>
            <w:right w:w="108" w:type="dxa"/>
          </w:tblCellMar>
        </w:tblPrEx>
        <w:trPr>
          <w:trHeight w:val="312"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5059A466">
            <w:pPr>
              <w:widowControl/>
              <w:adjustRightInd/>
              <w:jc w:val="center"/>
              <w:rPr>
                <w:rFonts w:ascii="宋体" w:hAnsi="宋体" w:cs="宋体"/>
                <w:kern w:val="0"/>
                <w:sz w:val="24"/>
                <w:highlight w:val="none"/>
              </w:rPr>
            </w:pPr>
            <w:r>
              <w:rPr>
                <w:rFonts w:ascii="宋体" w:hAnsi="宋体" w:cs="宋体"/>
                <w:kern w:val="0"/>
                <w:sz w:val="24"/>
                <w:highlight w:val="none"/>
              </w:rPr>
              <w:t>33</w:t>
            </w:r>
          </w:p>
        </w:tc>
        <w:tc>
          <w:tcPr>
            <w:tcW w:w="1306" w:type="dxa"/>
            <w:vMerge w:val="continue"/>
            <w:tcBorders>
              <w:top w:val="single" w:color="auto" w:sz="4" w:space="0"/>
              <w:left w:val="single" w:color="auto" w:sz="4" w:space="0"/>
              <w:bottom w:val="nil"/>
              <w:right w:val="single" w:color="auto" w:sz="4" w:space="0"/>
            </w:tcBorders>
            <w:shd w:val="clear" w:color="auto" w:fill="auto"/>
            <w:vAlign w:val="center"/>
          </w:tcPr>
          <w:p w14:paraId="067650CA">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5830FB22">
            <w:pPr>
              <w:widowControl/>
              <w:adjustRightInd/>
              <w:jc w:val="left"/>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TCP卸载引擎</w:t>
            </w:r>
          </w:p>
        </w:tc>
        <w:tc>
          <w:tcPr>
            <w:tcW w:w="3959" w:type="dxa"/>
            <w:tcBorders>
              <w:top w:val="nil"/>
              <w:left w:val="nil"/>
              <w:bottom w:val="single" w:color="auto" w:sz="4" w:space="0"/>
              <w:right w:val="single" w:color="auto" w:sz="4" w:space="0"/>
            </w:tcBorders>
            <w:shd w:val="clear" w:color="000000" w:fill="FFFFFF"/>
            <w:vAlign w:val="center"/>
          </w:tcPr>
          <w:p w14:paraId="389BD3D4">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操作系统支持运行</w:t>
            </w:r>
            <w:r>
              <w:rPr>
                <w:rFonts w:ascii="宋体" w:hAnsi="宋体" w:cs="宋体"/>
                <w:kern w:val="0"/>
                <w:sz w:val="24"/>
                <w:highlight w:val="none"/>
              </w:rPr>
              <w:t>TCP协议卸载引擎的网卡</w:t>
            </w:r>
          </w:p>
        </w:tc>
      </w:tr>
      <w:tr w14:paraId="1E91E8C0">
        <w:tblPrEx>
          <w:tblCellMar>
            <w:top w:w="0" w:type="dxa"/>
            <w:left w:w="108" w:type="dxa"/>
            <w:bottom w:w="0" w:type="dxa"/>
            <w:right w:w="108" w:type="dxa"/>
          </w:tblCellMar>
        </w:tblPrEx>
        <w:trPr>
          <w:trHeight w:val="312"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5C4445E1">
            <w:pPr>
              <w:widowControl/>
              <w:adjustRightInd/>
              <w:jc w:val="center"/>
              <w:rPr>
                <w:rFonts w:ascii="宋体" w:hAnsi="宋体" w:cs="宋体"/>
                <w:kern w:val="0"/>
                <w:sz w:val="24"/>
                <w:highlight w:val="none"/>
              </w:rPr>
            </w:pPr>
            <w:r>
              <w:rPr>
                <w:rFonts w:ascii="宋体" w:hAnsi="宋体" w:cs="宋体"/>
                <w:kern w:val="0"/>
                <w:sz w:val="24"/>
                <w:highlight w:val="none"/>
              </w:rPr>
              <w:t>34</w:t>
            </w:r>
          </w:p>
        </w:tc>
        <w:tc>
          <w:tcPr>
            <w:tcW w:w="1306" w:type="dxa"/>
            <w:vMerge w:val="continue"/>
            <w:tcBorders>
              <w:top w:val="single" w:color="auto" w:sz="4" w:space="0"/>
              <w:left w:val="single" w:color="auto" w:sz="4" w:space="0"/>
              <w:bottom w:val="nil"/>
              <w:right w:val="single" w:color="auto" w:sz="4" w:space="0"/>
            </w:tcBorders>
            <w:shd w:val="clear" w:color="auto" w:fill="auto"/>
            <w:vAlign w:val="center"/>
          </w:tcPr>
          <w:p w14:paraId="1E02AF96">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1EF5232A">
            <w:pPr>
              <w:widowControl/>
              <w:adjustRightInd/>
              <w:jc w:val="left"/>
              <w:rPr>
                <w:rFonts w:ascii="宋体" w:hAnsi="宋体" w:cs="宋体"/>
                <w:kern w:val="0"/>
                <w:sz w:val="24"/>
                <w:highlight w:val="none"/>
              </w:rPr>
            </w:pPr>
            <w:r>
              <w:rPr>
                <w:rFonts w:hint="eastAsia" w:ascii="宋体" w:hAnsi="宋体" w:cs="宋体"/>
                <w:kern w:val="0"/>
                <w:sz w:val="24"/>
                <w:highlight w:val="none"/>
              </w:rPr>
              <w:t>▲网络协议</w:t>
            </w:r>
          </w:p>
        </w:tc>
        <w:tc>
          <w:tcPr>
            <w:tcW w:w="3959" w:type="dxa"/>
            <w:tcBorders>
              <w:top w:val="nil"/>
              <w:left w:val="nil"/>
              <w:bottom w:val="single" w:color="auto" w:sz="4" w:space="0"/>
              <w:right w:val="single" w:color="auto" w:sz="4" w:space="0"/>
            </w:tcBorders>
            <w:shd w:val="clear" w:color="000000" w:fill="FFFFFF"/>
            <w:vAlign w:val="center"/>
          </w:tcPr>
          <w:p w14:paraId="2D2D6A0E">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w:t>
            </w:r>
            <w:r>
              <w:rPr>
                <w:rFonts w:ascii="宋体" w:hAnsi="宋体" w:cs="宋体"/>
                <w:kern w:val="0"/>
                <w:sz w:val="24"/>
                <w:highlight w:val="none"/>
              </w:rPr>
              <w:t>IPv4、IPv6</w:t>
            </w:r>
          </w:p>
        </w:tc>
      </w:tr>
      <w:tr w14:paraId="38376092">
        <w:tblPrEx>
          <w:tblCellMar>
            <w:top w:w="0" w:type="dxa"/>
            <w:left w:w="108" w:type="dxa"/>
            <w:bottom w:w="0" w:type="dxa"/>
            <w:right w:w="108" w:type="dxa"/>
          </w:tblCellMar>
        </w:tblPrEx>
        <w:trPr>
          <w:trHeight w:val="312"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3E844C2F">
            <w:pPr>
              <w:widowControl/>
              <w:adjustRightInd/>
              <w:jc w:val="center"/>
              <w:rPr>
                <w:rFonts w:ascii="宋体" w:hAnsi="宋体" w:cs="宋体"/>
                <w:kern w:val="0"/>
                <w:sz w:val="24"/>
                <w:highlight w:val="none"/>
              </w:rPr>
            </w:pPr>
            <w:r>
              <w:rPr>
                <w:rFonts w:ascii="宋体" w:hAnsi="宋体" w:cs="宋体"/>
                <w:kern w:val="0"/>
                <w:sz w:val="24"/>
                <w:highlight w:val="none"/>
              </w:rPr>
              <w:t>35</w:t>
            </w:r>
          </w:p>
        </w:tc>
        <w:tc>
          <w:tcPr>
            <w:tcW w:w="1306" w:type="dxa"/>
            <w:vMerge w:val="continue"/>
            <w:tcBorders>
              <w:top w:val="single" w:color="auto" w:sz="4" w:space="0"/>
              <w:left w:val="single" w:color="auto" w:sz="4" w:space="0"/>
              <w:bottom w:val="nil"/>
              <w:right w:val="single" w:color="auto" w:sz="4" w:space="0"/>
            </w:tcBorders>
            <w:shd w:val="clear" w:color="auto" w:fill="auto"/>
            <w:vAlign w:val="center"/>
          </w:tcPr>
          <w:p w14:paraId="5C315D2F">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38F0101D">
            <w:pPr>
              <w:widowControl/>
              <w:adjustRightInd/>
              <w:jc w:val="left"/>
              <w:rPr>
                <w:rFonts w:ascii="宋体" w:hAnsi="宋体" w:cs="宋体"/>
                <w:kern w:val="0"/>
                <w:sz w:val="24"/>
                <w:highlight w:val="none"/>
              </w:rPr>
            </w:pPr>
            <w:r>
              <w:rPr>
                <w:rFonts w:hint="eastAsia" w:ascii="宋体" w:hAnsi="宋体" w:cs="宋体"/>
                <w:kern w:val="0"/>
                <w:sz w:val="24"/>
                <w:highlight w:val="none"/>
              </w:rPr>
              <w:t>▲多网卡绑定</w:t>
            </w:r>
          </w:p>
        </w:tc>
        <w:tc>
          <w:tcPr>
            <w:tcW w:w="3959" w:type="dxa"/>
            <w:tcBorders>
              <w:top w:val="nil"/>
              <w:left w:val="nil"/>
              <w:bottom w:val="single" w:color="auto" w:sz="4" w:space="0"/>
              <w:right w:val="single" w:color="auto" w:sz="4" w:space="0"/>
            </w:tcBorders>
            <w:shd w:val="clear" w:color="000000" w:fill="FFFFFF"/>
            <w:vAlign w:val="center"/>
          </w:tcPr>
          <w:p w14:paraId="53953EF0">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操作系统支持多网卡绑定</w:t>
            </w:r>
          </w:p>
        </w:tc>
      </w:tr>
      <w:tr w14:paraId="5FDC41D2">
        <w:tblPrEx>
          <w:tblCellMar>
            <w:top w:w="0" w:type="dxa"/>
            <w:left w:w="108" w:type="dxa"/>
            <w:bottom w:w="0" w:type="dxa"/>
            <w:right w:w="108" w:type="dxa"/>
          </w:tblCellMar>
        </w:tblPrEx>
        <w:trPr>
          <w:trHeight w:val="936"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029C1CFC">
            <w:pPr>
              <w:widowControl/>
              <w:adjustRightInd/>
              <w:jc w:val="center"/>
              <w:rPr>
                <w:rFonts w:ascii="宋体" w:hAnsi="宋体" w:cs="宋体"/>
                <w:kern w:val="0"/>
                <w:sz w:val="24"/>
                <w:highlight w:val="none"/>
              </w:rPr>
            </w:pPr>
            <w:r>
              <w:rPr>
                <w:rFonts w:ascii="宋体" w:hAnsi="宋体" w:cs="宋体"/>
                <w:kern w:val="0"/>
                <w:sz w:val="24"/>
                <w:highlight w:val="none"/>
              </w:rPr>
              <w:t>36</w:t>
            </w:r>
          </w:p>
        </w:tc>
        <w:tc>
          <w:tcPr>
            <w:tcW w:w="1306"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39182484">
            <w:pPr>
              <w:widowControl/>
              <w:adjustRightInd/>
              <w:jc w:val="left"/>
              <w:rPr>
                <w:rFonts w:ascii="宋体" w:hAnsi="宋体" w:cs="宋体"/>
                <w:kern w:val="0"/>
                <w:sz w:val="24"/>
                <w:highlight w:val="none"/>
              </w:rPr>
            </w:pPr>
            <w:r>
              <w:rPr>
                <w:rFonts w:hint="eastAsia" w:ascii="宋体" w:hAnsi="宋体" w:cs="宋体"/>
                <w:kern w:val="0"/>
                <w:sz w:val="24"/>
                <w:highlight w:val="none"/>
              </w:rPr>
              <w:t>▲文件系统</w:t>
            </w:r>
          </w:p>
        </w:tc>
        <w:tc>
          <w:tcPr>
            <w:tcW w:w="3150" w:type="dxa"/>
            <w:tcBorders>
              <w:top w:val="nil"/>
              <w:left w:val="nil"/>
              <w:bottom w:val="single" w:color="auto" w:sz="4" w:space="0"/>
              <w:right w:val="single" w:color="auto" w:sz="4" w:space="0"/>
            </w:tcBorders>
            <w:shd w:val="clear" w:color="000000" w:fill="FFFFFF"/>
            <w:vAlign w:val="center"/>
          </w:tcPr>
          <w:p w14:paraId="47ABDA78">
            <w:pPr>
              <w:widowControl/>
              <w:adjustRightInd/>
              <w:jc w:val="left"/>
              <w:rPr>
                <w:rFonts w:ascii="宋体" w:hAnsi="宋体" w:cs="宋体"/>
                <w:kern w:val="0"/>
                <w:sz w:val="24"/>
                <w:highlight w:val="none"/>
              </w:rPr>
            </w:pPr>
            <w:r>
              <w:rPr>
                <w:rFonts w:hint="eastAsia" w:ascii="宋体" w:hAnsi="宋体" w:cs="宋体"/>
                <w:kern w:val="0"/>
                <w:sz w:val="24"/>
                <w:highlight w:val="none"/>
              </w:rPr>
              <w:t>▲文件系统支持</w:t>
            </w:r>
          </w:p>
        </w:tc>
        <w:tc>
          <w:tcPr>
            <w:tcW w:w="3959" w:type="dxa"/>
            <w:tcBorders>
              <w:top w:val="nil"/>
              <w:left w:val="nil"/>
              <w:bottom w:val="single" w:color="auto" w:sz="4" w:space="0"/>
              <w:right w:val="single" w:color="auto" w:sz="4" w:space="0"/>
            </w:tcBorders>
            <w:shd w:val="clear" w:color="000000" w:fill="FFFFFF"/>
            <w:vAlign w:val="center"/>
          </w:tcPr>
          <w:p w14:paraId="369337CA">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w:t>
            </w:r>
            <w:r>
              <w:rPr>
                <w:rFonts w:ascii="宋体" w:hAnsi="宋体" w:cs="宋体"/>
                <w:kern w:val="0"/>
                <w:sz w:val="24"/>
                <w:highlight w:val="none"/>
              </w:rPr>
              <w:t>XFS、EXT3、EXT4、NTFS、FAT32等文件系统，支持相应格式分区创建、删除、格式化等</w:t>
            </w:r>
          </w:p>
        </w:tc>
      </w:tr>
      <w:tr w14:paraId="6406D5C2">
        <w:tblPrEx>
          <w:tblCellMar>
            <w:top w:w="0" w:type="dxa"/>
            <w:left w:w="108" w:type="dxa"/>
            <w:bottom w:w="0" w:type="dxa"/>
            <w:right w:w="108" w:type="dxa"/>
          </w:tblCellMar>
        </w:tblPrEx>
        <w:trPr>
          <w:trHeight w:val="312"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4751DEC1">
            <w:pPr>
              <w:widowControl/>
              <w:adjustRightInd/>
              <w:jc w:val="center"/>
              <w:rPr>
                <w:rFonts w:ascii="宋体" w:hAnsi="宋体" w:cs="宋体"/>
                <w:kern w:val="0"/>
                <w:sz w:val="24"/>
                <w:highlight w:val="none"/>
              </w:rPr>
            </w:pPr>
            <w:r>
              <w:rPr>
                <w:rFonts w:ascii="宋体" w:hAnsi="宋体" w:cs="宋体"/>
                <w:kern w:val="0"/>
                <w:sz w:val="24"/>
                <w:highlight w:val="none"/>
              </w:rPr>
              <w:t>37</w:t>
            </w:r>
          </w:p>
        </w:tc>
        <w:tc>
          <w:tcPr>
            <w:tcW w:w="1306"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01C3A879">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4D590147">
            <w:pPr>
              <w:widowControl/>
              <w:adjustRightInd/>
              <w:jc w:val="left"/>
              <w:rPr>
                <w:rFonts w:ascii="宋体" w:hAnsi="宋体" w:cs="宋体"/>
                <w:kern w:val="0"/>
                <w:sz w:val="24"/>
                <w:highlight w:val="none"/>
              </w:rPr>
            </w:pPr>
            <w:r>
              <w:rPr>
                <w:rFonts w:hint="eastAsia" w:ascii="宋体" w:hAnsi="宋体" w:cs="宋体"/>
                <w:kern w:val="0"/>
                <w:sz w:val="24"/>
                <w:highlight w:val="none"/>
              </w:rPr>
              <w:t>▲日志式文件系统</w:t>
            </w:r>
          </w:p>
        </w:tc>
        <w:tc>
          <w:tcPr>
            <w:tcW w:w="3959" w:type="dxa"/>
            <w:tcBorders>
              <w:top w:val="nil"/>
              <w:left w:val="nil"/>
              <w:bottom w:val="single" w:color="auto" w:sz="4" w:space="0"/>
              <w:right w:val="single" w:color="auto" w:sz="4" w:space="0"/>
            </w:tcBorders>
            <w:shd w:val="clear" w:color="000000" w:fill="FFFFFF"/>
            <w:vAlign w:val="center"/>
          </w:tcPr>
          <w:p w14:paraId="2C4B00D3">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操作系统支持日志式文件系统</w:t>
            </w:r>
          </w:p>
        </w:tc>
      </w:tr>
      <w:tr w14:paraId="6129D41F">
        <w:tblPrEx>
          <w:tblCellMar>
            <w:top w:w="0" w:type="dxa"/>
            <w:left w:w="108" w:type="dxa"/>
            <w:bottom w:w="0" w:type="dxa"/>
            <w:right w:w="108" w:type="dxa"/>
          </w:tblCellMar>
        </w:tblPrEx>
        <w:trPr>
          <w:trHeight w:val="936"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155A1FDE">
            <w:pPr>
              <w:widowControl/>
              <w:adjustRightInd/>
              <w:jc w:val="center"/>
              <w:rPr>
                <w:rFonts w:ascii="宋体" w:hAnsi="宋体" w:cs="宋体"/>
                <w:kern w:val="0"/>
                <w:sz w:val="24"/>
                <w:highlight w:val="none"/>
              </w:rPr>
            </w:pPr>
            <w:r>
              <w:rPr>
                <w:rFonts w:ascii="宋体" w:hAnsi="宋体" w:cs="宋体"/>
                <w:kern w:val="0"/>
                <w:sz w:val="24"/>
                <w:highlight w:val="none"/>
              </w:rPr>
              <w:t>38</w:t>
            </w:r>
          </w:p>
        </w:tc>
        <w:tc>
          <w:tcPr>
            <w:tcW w:w="1306"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07F79789">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79C4D387">
            <w:pPr>
              <w:widowControl/>
              <w:adjustRightInd/>
              <w:jc w:val="left"/>
              <w:rPr>
                <w:rFonts w:ascii="宋体" w:hAnsi="宋体" w:cs="宋体"/>
                <w:kern w:val="0"/>
                <w:sz w:val="24"/>
                <w:highlight w:val="none"/>
              </w:rPr>
            </w:pPr>
            <w:r>
              <w:rPr>
                <w:rFonts w:hint="eastAsia" w:ascii="宋体" w:hAnsi="宋体" w:cs="宋体"/>
                <w:kern w:val="0"/>
                <w:sz w:val="24"/>
                <w:highlight w:val="none"/>
              </w:rPr>
              <w:t>▲文件处理能力</w:t>
            </w:r>
          </w:p>
        </w:tc>
        <w:tc>
          <w:tcPr>
            <w:tcW w:w="3959" w:type="dxa"/>
            <w:tcBorders>
              <w:top w:val="nil"/>
              <w:left w:val="nil"/>
              <w:bottom w:val="single" w:color="auto" w:sz="4" w:space="0"/>
              <w:right w:val="single" w:color="auto" w:sz="4" w:space="0"/>
            </w:tcBorders>
            <w:shd w:val="clear" w:color="000000" w:fill="FFFFFF"/>
            <w:vAlign w:val="center"/>
          </w:tcPr>
          <w:p w14:paraId="18E6E35A">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操作系统支持最大文件不小于</w:t>
            </w:r>
            <w:r>
              <w:rPr>
                <w:rFonts w:ascii="宋体" w:hAnsi="宋体" w:cs="宋体"/>
                <w:kern w:val="0"/>
                <w:sz w:val="24"/>
                <w:highlight w:val="none"/>
              </w:rPr>
              <w:t>4TB，最大分区与文件系统不小于10PB，最大文件名长度不小于255字节</w:t>
            </w:r>
          </w:p>
        </w:tc>
      </w:tr>
      <w:tr w14:paraId="0C4FA743">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76C4B244">
            <w:pPr>
              <w:widowControl/>
              <w:adjustRightInd/>
              <w:jc w:val="center"/>
              <w:rPr>
                <w:rFonts w:ascii="宋体" w:hAnsi="宋体" w:cs="宋体"/>
                <w:kern w:val="0"/>
                <w:sz w:val="24"/>
                <w:highlight w:val="none"/>
              </w:rPr>
            </w:pPr>
            <w:r>
              <w:rPr>
                <w:rFonts w:ascii="宋体" w:hAnsi="宋体" w:cs="宋体"/>
                <w:kern w:val="0"/>
                <w:sz w:val="24"/>
                <w:highlight w:val="none"/>
              </w:rPr>
              <w:t>39</w:t>
            </w:r>
          </w:p>
        </w:tc>
        <w:tc>
          <w:tcPr>
            <w:tcW w:w="1306"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3BC79203">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03E28615">
            <w:pPr>
              <w:widowControl/>
              <w:adjustRightInd/>
              <w:jc w:val="left"/>
              <w:rPr>
                <w:rFonts w:ascii="宋体" w:hAnsi="宋体" w:cs="宋体"/>
                <w:kern w:val="0"/>
                <w:sz w:val="24"/>
                <w:highlight w:val="none"/>
              </w:rPr>
            </w:pPr>
            <w:r>
              <w:rPr>
                <w:rFonts w:hint="eastAsia" w:ascii="宋体" w:hAnsi="宋体" w:cs="宋体"/>
                <w:kern w:val="0"/>
                <w:sz w:val="24"/>
                <w:highlight w:val="none"/>
              </w:rPr>
              <w:t>▲分区大小调整</w:t>
            </w:r>
          </w:p>
        </w:tc>
        <w:tc>
          <w:tcPr>
            <w:tcW w:w="3959" w:type="dxa"/>
            <w:tcBorders>
              <w:top w:val="nil"/>
              <w:left w:val="nil"/>
              <w:bottom w:val="single" w:color="auto" w:sz="4" w:space="0"/>
              <w:right w:val="single" w:color="auto" w:sz="4" w:space="0"/>
            </w:tcBorders>
            <w:shd w:val="clear" w:color="000000" w:fill="FFFFFF"/>
            <w:vAlign w:val="center"/>
          </w:tcPr>
          <w:p w14:paraId="721ED7C6">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操作系统支持动态调整分区大小，对系统分区容量进行改变</w:t>
            </w:r>
          </w:p>
        </w:tc>
      </w:tr>
      <w:tr w14:paraId="683D4BC4">
        <w:tblPrEx>
          <w:tblCellMar>
            <w:top w:w="0" w:type="dxa"/>
            <w:left w:w="108" w:type="dxa"/>
            <w:bottom w:w="0" w:type="dxa"/>
            <w:right w:w="108" w:type="dxa"/>
          </w:tblCellMar>
        </w:tblPrEx>
        <w:trPr>
          <w:trHeight w:val="936"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1CDF0741">
            <w:pPr>
              <w:widowControl/>
              <w:adjustRightInd/>
              <w:jc w:val="center"/>
              <w:rPr>
                <w:rFonts w:ascii="宋体" w:hAnsi="宋体" w:cs="宋体"/>
                <w:kern w:val="0"/>
                <w:sz w:val="24"/>
                <w:highlight w:val="none"/>
              </w:rPr>
            </w:pPr>
            <w:r>
              <w:rPr>
                <w:rFonts w:ascii="宋体" w:hAnsi="宋体" w:cs="宋体"/>
                <w:kern w:val="0"/>
                <w:sz w:val="24"/>
                <w:highlight w:val="none"/>
              </w:rPr>
              <w:t>40</w:t>
            </w:r>
          </w:p>
        </w:tc>
        <w:tc>
          <w:tcPr>
            <w:tcW w:w="1306" w:type="dxa"/>
            <w:vMerge w:val="restart"/>
            <w:tcBorders>
              <w:top w:val="nil"/>
              <w:left w:val="single" w:color="auto" w:sz="4" w:space="0"/>
              <w:bottom w:val="single" w:color="000000" w:sz="4" w:space="0"/>
              <w:right w:val="single" w:color="auto" w:sz="4" w:space="0"/>
            </w:tcBorders>
            <w:shd w:val="clear" w:color="000000" w:fill="FFFFFF"/>
            <w:vAlign w:val="center"/>
          </w:tcPr>
          <w:p w14:paraId="552E0362">
            <w:pPr>
              <w:widowControl/>
              <w:adjustRightInd/>
              <w:jc w:val="left"/>
              <w:rPr>
                <w:rFonts w:ascii="宋体" w:hAnsi="宋体" w:cs="宋体"/>
                <w:kern w:val="0"/>
                <w:sz w:val="24"/>
                <w:highlight w:val="none"/>
              </w:rPr>
            </w:pPr>
            <w:r>
              <w:rPr>
                <w:rFonts w:hint="eastAsia" w:ascii="宋体" w:hAnsi="宋体" w:cs="宋体"/>
                <w:kern w:val="0"/>
                <w:sz w:val="24"/>
                <w:highlight w:val="none"/>
              </w:rPr>
              <w:t>▲应用开发运行环境</w:t>
            </w:r>
          </w:p>
        </w:tc>
        <w:tc>
          <w:tcPr>
            <w:tcW w:w="3150" w:type="dxa"/>
            <w:tcBorders>
              <w:top w:val="nil"/>
              <w:left w:val="nil"/>
              <w:bottom w:val="single" w:color="auto" w:sz="4" w:space="0"/>
              <w:right w:val="single" w:color="auto" w:sz="4" w:space="0"/>
            </w:tcBorders>
            <w:shd w:val="clear" w:color="000000" w:fill="FFFFFF"/>
            <w:vAlign w:val="center"/>
          </w:tcPr>
          <w:p w14:paraId="78DC6B14">
            <w:pPr>
              <w:widowControl/>
              <w:adjustRightInd/>
              <w:jc w:val="left"/>
              <w:rPr>
                <w:rFonts w:ascii="宋体" w:hAnsi="宋体" w:cs="宋体"/>
                <w:kern w:val="0"/>
                <w:sz w:val="24"/>
                <w:highlight w:val="none"/>
              </w:rPr>
            </w:pPr>
            <w:r>
              <w:rPr>
                <w:rFonts w:hint="eastAsia" w:ascii="宋体" w:hAnsi="宋体" w:cs="宋体"/>
                <w:kern w:val="0"/>
                <w:sz w:val="24"/>
                <w:highlight w:val="none"/>
              </w:rPr>
              <w:t>▲集成开发环境</w:t>
            </w:r>
            <w:r>
              <w:rPr>
                <w:rFonts w:ascii="宋体" w:hAnsi="宋体" w:cs="宋体"/>
                <w:kern w:val="0"/>
                <w:sz w:val="24"/>
                <w:highlight w:val="none"/>
              </w:rPr>
              <w:t>/开发框架</w:t>
            </w:r>
          </w:p>
        </w:tc>
        <w:tc>
          <w:tcPr>
            <w:tcW w:w="3959" w:type="dxa"/>
            <w:tcBorders>
              <w:top w:val="nil"/>
              <w:left w:val="nil"/>
              <w:bottom w:val="single" w:color="auto" w:sz="4" w:space="0"/>
              <w:right w:val="single" w:color="auto" w:sz="4" w:space="0"/>
            </w:tcBorders>
            <w:shd w:val="clear" w:color="000000" w:fill="FFFFFF"/>
            <w:vAlign w:val="center"/>
          </w:tcPr>
          <w:p w14:paraId="6F442CB5">
            <w:pPr>
              <w:widowControl/>
              <w:adjustRightInd/>
              <w:jc w:val="left"/>
              <w:rPr>
                <w:rFonts w:ascii="宋体" w:hAnsi="宋体" w:cs="宋体"/>
                <w:kern w:val="0"/>
                <w:sz w:val="24"/>
                <w:highlight w:val="none"/>
              </w:rPr>
            </w:pPr>
            <w:r>
              <w:rPr>
                <w:rFonts w:hint="eastAsia" w:ascii="宋体" w:hAnsi="宋体" w:cs="宋体"/>
                <w:kern w:val="0"/>
                <w:sz w:val="24"/>
                <w:highlight w:val="none"/>
              </w:rPr>
              <w:t>操作系统通过内置、软件仓库或附加光盘等方式提供开发环境，包括</w:t>
            </w:r>
            <w:r>
              <w:rPr>
                <w:rFonts w:ascii="宋体" w:hAnsi="宋体" w:cs="宋体"/>
                <w:kern w:val="0"/>
                <w:sz w:val="24"/>
                <w:highlight w:val="none"/>
              </w:rPr>
              <w:t>Qt、Eclipse、VSCode等</w:t>
            </w:r>
          </w:p>
        </w:tc>
      </w:tr>
      <w:tr w14:paraId="148B56B5">
        <w:tblPrEx>
          <w:tblCellMar>
            <w:top w:w="0" w:type="dxa"/>
            <w:left w:w="108" w:type="dxa"/>
            <w:bottom w:w="0" w:type="dxa"/>
            <w:right w:w="108" w:type="dxa"/>
          </w:tblCellMar>
        </w:tblPrEx>
        <w:trPr>
          <w:trHeight w:val="1248"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015FB3BC">
            <w:pPr>
              <w:widowControl/>
              <w:adjustRightInd/>
              <w:jc w:val="center"/>
              <w:rPr>
                <w:rFonts w:ascii="宋体" w:hAnsi="宋体" w:cs="宋体"/>
                <w:kern w:val="0"/>
                <w:sz w:val="24"/>
                <w:highlight w:val="none"/>
              </w:rPr>
            </w:pPr>
            <w:r>
              <w:rPr>
                <w:rFonts w:ascii="宋体" w:hAnsi="宋体" w:cs="宋体"/>
                <w:kern w:val="0"/>
                <w:sz w:val="24"/>
                <w:highlight w:val="none"/>
              </w:rPr>
              <w:t>41</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5DB6C297">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71FFD40E">
            <w:pPr>
              <w:widowControl/>
              <w:adjustRightInd/>
              <w:jc w:val="left"/>
              <w:rPr>
                <w:rFonts w:ascii="宋体" w:hAnsi="宋体" w:cs="宋体"/>
                <w:kern w:val="0"/>
                <w:sz w:val="24"/>
                <w:highlight w:val="none"/>
              </w:rPr>
            </w:pPr>
            <w:r>
              <w:rPr>
                <w:rFonts w:hint="eastAsia" w:ascii="宋体" w:hAnsi="宋体" w:cs="宋体"/>
                <w:kern w:val="0"/>
                <w:sz w:val="24"/>
                <w:highlight w:val="none"/>
              </w:rPr>
              <w:t>▲开发工具库</w:t>
            </w:r>
          </w:p>
        </w:tc>
        <w:tc>
          <w:tcPr>
            <w:tcW w:w="3959" w:type="dxa"/>
            <w:tcBorders>
              <w:top w:val="nil"/>
              <w:left w:val="nil"/>
              <w:bottom w:val="single" w:color="auto" w:sz="4" w:space="0"/>
              <w:right w:val="single" w:color="auto" w:sz="4" w:space="0"/>
            </w:tcBorders>
            <w:shd w:val="clear" w:color="000000" w:fill="FFFFFF"/>
            <w:vAlign w:val="center"/>
          </w:tcPr>
          <w:p w14:paraId="69D24944">
            <w:pPr>
              <w:widowControl/>
              <w:adjustRightInd/>
              <w:jc w:val="left"/>
              <w:rPr>
                <w:rFonts w:ascii="宋体" w:hAnsi="宋体" w:cs="宋体"/>
                <w:kern w:val="0"/>
                <w:sz w:val="24"/>
                <w:highlight w:val="none"/>
              </w:rPr>
            </w:pPr>
            <w:r>
              <w:rPr>
                <w:rFonts w:hint="eastAsia" w:ascii="宋体" w:hAnsi="宋体" w:cs="宋体"/>
                <w:kern w:val="0"/>
                <w:sz w:val="24"/>
                <w:highlight w:val="none"/>
              </w:rPr>
              <w:t>操作系统通过内置、软件仓库或附加光盘等方式提供开发库，包括</w:t>
            </w:r>
            <w:r>
              <w:rPr>
                <w:rFonts w:ascii="宋体" w:hAnsi="宋体" w:cs="宋体"/>
                <w:kern w:val="0"/>
                <w:sz w:val="24"/>
                <w:highlight w:val="none"/>
              </w:rPr>
              <w:t>GNUC、GNUC++、Java、Qt、Gtk+、Cairo、OpenGL、Perl、Python、Ruby、Rust、Golang、JS等</w:t>
            </w:r>
          </w:p>
        </w:tc>
      </w:tr>
      <w:tr w14:paraId="3803A01A">
        <w:tblPrEx>
          <w:tblCellMar>
            <w:top w:w="0" w:type="dxa"/>
            <w:left w:w="108" w:type="dxa"/>
            <w:bottom w:w="0" w:type="dxa"/>
            <w:right w:w="108" w:type="dxa"/>
          </w:tblCellMar>
        </w:tblPrEx>
        <w:trPr>
          <w:trHeight w:val="936"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407BCA4B">
            <w:pPr>
              <w:widowControl/>
              <w:adjustRightInd/>
              <w:jc w:val="center"/>
              <w:rPr>
                <w:rFonts w:ascii="宋体" w:hAnsi="宋体" w:cs="宋体"/>
                <w:kern w:val="0"/>
                <w:sz w:val="24"/>
                <w:highlight w:val="none"/>
              </w:rPr>
            </w:pPr>
            <w:r>
              <w:rPr>
                <w:rFonts w:ascii="宋体" w:hAnsi="宋体" w:cs="宋体"/>
                <w:kern w:val="0"/>
                <w:sz w:val="24"/>
                <w:highlight w:val="none"/>
              </w:rPr>
              <w:t>42</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78EBFFE9">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4CF72F33">
            <w:pPr>
              <w:widowControl/>
              <w:adjustRightInd/>
              <w:jc w:val="left"/>
              <w:rPr>
                <w:rFonts w:ascii="宋体" w:hAnsi="宋体" w:cs="宋体"/>
                <w:kern w:val="0"/>
                <w:sz w:val="24"/>
                <w:highlight w:val="none"/>
              </w:rPr>
            </w:pPr>
            <w:r>
              <w:rPr>
                <w:rFonts w:hint="eastAsia" w:ascii="宋体" w:hAnsi="宋体" w:cs="宋体"/>
                <w:kern w:val="0"/>
                <w:sz w:val="24"/>
                <w:highlight w:val="none"/>
              </w:rPr>
              <w:t>▲编译器开发工具</w:t>
            </w:r>
          </w:p>
        </w:tc>
        <w:tc>
          <w:tcPr>
            <w:tcW w:w="3959" w:type="dxa"/>
            <w:tcBorders>
              <w:top w:val="nil"/>
              <w:left w:val="nil"/>
              <w:bottom w:val="single" w:color="auto" w:sz="4" w:space="0"/>
              <w:right w:val="single" w:color="auto" w:sz="4" w:space="0"/>
            </w:tcBorders>
            <w:shd w:val="clear" w:color="000000" w:fill="FFFFFF"/>
            <w:vAlign w:val="center"/>
          </w:tcPr>
          <w:p w14:paraId="5F613DE4">
            <w:pPr>
              <w:widowControl/>
              <w:adjustRightInd/>
              <w:jc w:val="left"/>
              <w:rPr>
                <w:rFonts w:ascii="宋体" w:hAnsi="宋体" w:cs="宋体"/>
                <w:kern w:val="0"/>
                <w:sz w:val="24"/>
                <w:highlight w:val="none"/>
              </w:rPr>
            </w:pPr>
            <w:r>
              <w:rPr>
                <w:rFonts w:hint="eastAsia" w:ascii="宋体" w:hAnsi="宋体" w:cs="宋体"/>
                <w:kern w:val="0"/>
                <w:sz w:val="24"/>
                <w:highlight w:val="none"/>
              </w:rPr>
              <w:t>操作系统通过内置、软件仓库或附加光盘等方式提供编译开发工具，包括</w:t>
            </w:r>
            <w:r>
              <w:rPr>
                <w:rFonts w:ascii="宋体" w:hAnsi="宋体" w:cs="宋体"/>
                <w:kern w:val="0"/>
                <w:sz w:val="24"/>
                <w:highlight w:val="none"/>
              </w:rPr>
              <w:t>GCC、G++、Binutils、GDB、Make、CMake等</w:t>
            </w:r>
          </w:p>
        </w:tc>
      </w:tr>
      <w:tr w14:paraId="711FEE87">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6EA6CA6A">
            <w:pPr>
              <w:widowControl/>
              <w:adjustRightInd/>
              <w:jc w:val="center"/>
              <w:rPr>
                <w:rFonts w:ascii="宋体" w:hAnsi="宋体" w:cs="宋体"/>
                <w:kern w:val="0"/>
                <w:sz w:val="24"/>
                <w:highlight w:val="none"/>
              </w:rPr>
            </w:pPr>
            <w:r>
              <w:rPr>
                <w:rFonts w:ascii="宋体" w:hAnsi="宋体" w:cs="宋体"/>
                <w:kern w:val="0"/>
                <w:sz w:val="24"/>
                <w:highlight w:val="none"/>
              </w:rPr>
              <w:t>43</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6F2F5C7C">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45D52B4F">
            <w:pPr>
              <w:widowControl/>
              <w:adjustRightInd/>
              <w:jc w:val="left"/>
              <w:rPr>
                <w:rFonts w:ascii="宋体" w:hAnsi="宋体" w:cs="宋体"/>
                <w:kern w:val="0"/>
                <w:sz w:val="24"/>
                <w:highlight w:val="none"/>
              </w:rPr>
            </w:pPr>
            <w:r>
              <w:rPr>
                <w:rFonts w:hint="eastAsia" w:ascii="宋体" w:hAnsi="宋体" w:cs="宋体"/>
                <w:kern w:val="0"/>
                <w:sz w:val="24"/>
                <w:highlight w:val="none"/>
              </w:rPr>
              <w:t>▲文本编辑工具</w:t>
            </w:r>
          </w:p>
        </w:tc>
        <w:tc>
          <w:tcPr>
            <w:tcW w:w="3959" w:type="dxa"/>
            <w:tcBorders>
              <w:top w:val="nil"/>
              <w:left w:val="nil"/>
              <w:bottom w:val="single" w:color="auto" w:sz="4" w:space="0"/>
              <w:right w:val="single" w:color="auto" w:sz="4" w:space="0"/>
            </w:tcBorders>
            <w:shd w:val="clear" w:color="000000" w:fill="FFFFFF"/>
            <w:vAlign w:val="center"/>
          </w:tcPr>
          <w:p w14:paraId="7AA5176B">
            <w:pPr>
              <w:widowControl/>
              <w:adjustRightInd/>
              <w:jc w:val="left"/>
              <w:rPr>
                <w:rFonts w:ascii="宋体" w:hAnsi="宋体" w:cs="宋体"/>
                <w:kern w:val="0"/>
                <w:sz w:val="24"/>
                <w:highlight w:val="none"/>
              </w:rPr>
            </w:pPr>
            <w:r>
              <w:rPr>
                <w:rFonts w:hint="eastAsia" w:ascii="宋体" w:hAnsi="宋体" w:cs="宋体"/>
                <w:kern w:val="0"/>
                <w:sz w:val="24"/>
                <w:highlight w:val="none"/>
              </w:rPr>
              <w:t>操作系统通过内置、软件仓库或附加光盘等方式提供文本编辑工具，包括</w:t>
            </w:r>
            <w:r>
              <w:rPr>
                <w:rFonts w:ascii="宋体" w:hAnsi="宋体" w:cs="宋体"/>
                <w:kern w:val="0"/>
                <w:sz w:val="24"/>
                <w:highlight w:val="none"/>
              </w:rPr>
              <w:t>Emacs、Vim等</w:t>
            </w:r>
          </w:p>
        </w:tc>
      </w:tr>
      <w:tr w14:paraId="2CB924AA">
        <w:tblPrEx>
          <w:tblCellMar>
            <w:top w:w="0" w:type="dxa"/>
            <w:left w:w="108" w:type="dxa"/>
            <w:bottom w:w="0" w:type="dxa"/>
            <w:right w:w="108" w:type="dxa"/>
          </w:tblCellMar>
        </w:tblPrEx>
        <w:trPr>
          <w:trHeight w:val="936"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1D8C4E07">
            <w:pPr>
              <w:widowControl/>
              <w:adjustRightInd/>
              <w:jc w:val="center"/>
              <w:rPr>
                <w:rFonts w:ascii="宋体" w:hAnsi="宋体" w:cs="宋体"/>
                <w:kern w:val="0"/>
                <w:sz w:val="24"/>
                <w:highlight w:val="none"/>
              </w:rPr>
            </w:pPr>
            <w:r>
              <w:rPr>
                <w:rFonts w:ascii="宋体" w:hAnsi="宋体" w:cs="宋体"/>
                <w:kern w:val="0"/>
                <w:sz w:val="24"/>
                <w:highlight w:val="none"/>
              </w:rPr>
              <w:t>44</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70C87B07">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2B6C8CE3">
            <w:pPr>
              <w:widowControl/>
              <w:adjustRightInd/>
              <w:jc w:val="left"/>
              <w:rPr>
                <w:rFonts w:ascii="宋体" w:hAnsi="宋体" w:cs="宋体"/>
                <w:kern w:val="0"/>
                <w:sz w:val="24"/>
                <w:highlight w:val="none"/>
              </w:rPr>
            </w:pPr>
            <w:r>
              <w:rPr>
                <w:rFonts w:hint="eastAsia" w:ascii="宋体" w:hAnsi="宋体" w:cs="宋体"/>
                <w:kern w:val="0"/>
                <w:sz w:val="24"/>
                <w:highlight w:val="none"/>
              </w:rPr>
              <w:t>▲软件包管理</w:t>
            </w:r>
          </w:p>
        </w:tc>
        <w:tc>
          <w:tcPr>
            <w:tcW w:w="3959" w:type="dxa"/>
            <w:tcBorders>
              <w:top w:val="nil"/>
              <w:left w:val="nil"/>
              <w:bottom w:val="single" w:color="auto" w:sz="4" w:space="0"/>
              <w:right w:val="single" w:color="auto" w:sz="4" w:space="0"/>
            </w:tcBorders>
            <w:shd w:val="clear" w:color="000000" w:fill="FFFFFF"/>
            <w:vAlign w:val="center"/>
          </w:tcPr>
          <w:p w14:paraId="256EC346">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操作系统支持查询软件包描述和包含文件，以及软件包依赖；支持在安装时自动提示并下载安装缺失的依赖软件包</w:t>
            </w:r>
          </w:p>
        </w:tc>
      </w:tr>
      <w:tr w14:paraId="36B220C3">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45B46407">
            <w:pPr>
              <w:widowControl/>
              <w:adjustRightInd/>
              <w:jc w:val="center"/>
              <w:rPr>
                <w:rFonts w:ascii="宋体" w:hAnsi="宋体" w:cs="宋体"/>
                <w:kern w:val="0"/>
                <w:sz w:val="24"/>
                <w:highlight w:val="none"/>
              </w:rPr>
            </w:pPr>
            <w:r>
              <w:rPr>
                <w:rFonts w:ascii="宋体" w:hAnsi="宋体" w:cs="宋体"/>
                <w:kern w:val="0"/>
                <w:sz w:val="24"/>
                <w:highlight w:val="none"/>
              </w:rPr>
              <w:t>45</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15D1383F">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75466ABB">
            <w:pPr>
              <w:widowControl/>
              <w:adjustRightInd/>
              <w:jc w:val="left"/>
              <w:rPr>
                <w:rFonts w:ascii="宋体" w:hAnsi="宋体" w:cs="宋体"/>
                <w:kern w:val="0"/>
                <w:sz w:val="24"/>
                <w:highlight w:val="none"/>
              </w:rPr>
            </w:pPr>
            <w:r>
              <w:rPr>
                <w:rFonts w:hint="eastAsia" w:ascii="宋体" w:hAnsi="宋体" w:cs="宋体"/>
                <w:kern w:val="0"/>
                <w:sz w:val="24"/>
                <w:highlight w:val="none"/>
              </w:rPr>
              <w:t>▲开发文档</w:t>
            </w:r>
          </w:p>
        </w:tc>
        <w:tc>
          <w:tcPr>
            <w:tcW w:w="3959" w:type="dxa"/>
            <w:tcBorders>
              <w:top w:val="nil"/>
              <w:left w:val="nil"/>
              <w:bottom w:val="single" w:color="auto" w:sz="4" w:space="0"/>
              <w:right w:val="single" w:color="auto" w:sz="4" w:space="0"/>
            </w:tcBorders>
            <w:shd w:val="clear" w:color="000000" w:fill="FFFFFF"/>
            <w:vAlign w:val="center"/>
          </w:tcPr>
          <w:p w14:paraId="0B0FA407">
            <w:pPr>
              <w:widowControl/>
              <w:adjustRightInd/>
              <w:jc w:val="left"/>
              <w:rPr>
                <w:rFonts w:ascii="宋体" w:hAnsi="宋体" w:cs="宋体"/>
                <w:kern w:val="0"/>
                <w:sz w:val="24"/>
                <w:highlight w:val="none"/>
              </w:rPr>
            </w:pPr>
            <w:r>
              <w:rPr>
                <w:rFonts w:hint="eastAsia" w:ascii="宋体" w:hAnsi="宋体" w:cs="宋体"/>
                <w:kern w:val="0"/>
                <w:sz w:val="24"/>
                <w:highlight w:val="none"/>
              </w:rPr>
              <w:t>供应商应提供软件开发参考文档、驱动开发参考文档、应用移植开发文档、</w:t>
            </w:r>
            <w:r>
              <w:rPr>
                <w:rFonts w:ascii="宋体" w:hAnsi="宋体" w:cs="宋体"/>
                <w:kern w:val="0"/>
                <w:sz w:val="24"/>
                <w:highlight w:val="none"/>
              </w:rPr>
              <w:t>API文档</w:t>
            </w:r>
          </w:p>
        </w:tc>
      </w:tr>
      <w:tr w14:paraId="31E7DF1A">
        <w:tblPrEx>
          <w:tblCellMar>
            <w:top w:w="0" w:type="dxa"/>
            <w:left w:w="108" w:type="dxa"/>
            <w:bottom w:w="0" w:type="dxa"/>
            <w:right w:w="108" w:type="dxa"/>
          </w:tblCellMar>
        </w:tblPrEx>
        <w:trPr>
          <w:trHeight w:val="312"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49A81347">
            <w:pPr>
              <w:widowControl/>
              <w:adjustRightInd/>
              <w:jc w:val="center"/>
              <w:rPr>
                <w:rFonts w:ascii="宋体" w:hAnsi="宋体" w:cs="宋体"/>
                <w:kern w:val="0"/>
                <w:sz w:val="24"/>
                <w:highlight w:val="none"/>
              </w:rPr>
            </w:pPr>
            <w:r>
              <w:rPr>
                <w:rFonts w:ascii="宋体" w:hAnsi="宋体" w:cs="宋体"/>
                <w:kern w:val="0"/>
                <w:sz w:val="24"/>
                <w:highlight w:val="none"/>
              </w:rPr>
              <w:t>46</w:t>
            </w:r>
          </w:p>
        </w:tc>
        <w:tc>
          <w:tcPr>
            <w:tcW w:w="1306" w:type="dxa"/>
            <w:vMerge w:val="restart"/>
            <w:tcBorders>
              <w:top w:val="nil"/>
              <w:left w:val="single" w:color="auto" w:sz="4" w:space="0"/>
              <w:bottom w:val="single" w:color="000000" w:sz="4" w:space="0"/>
              <w:right w:val="single" w:color="auto" w:sz="4" w:space="0"/>
            </w:tcBorders>
            <w:shd w:val="clear" w:color="000000" w:fill="FFFFFF"/>
            <w:vAlign w:val="center"/>
          </w:tcPr>
          <w:p w14:paraId="346C0AD2">
            <w:pPr>
              <w:widowControl/>
              <w:adjustRightInd/>
              <w:jc w:val="left"/>
              <w:rPr>
                <w:rFonts w:ascii="宋体" w:hAnsi="宋体" w:cs="宋体"/>
                <w:kern w:val="0"/>
                <w:sz w:val="24"/>
                <w:highlight w:val="none"/>
              </w:rPr>
            </w:pPr>
            <w:r>
              <w:rPr>
                <w:rFonts w:hint="eastAsia" w:ascii="宋体" w:hAnsi="宋体" w:cs="宋体"/>
                <w:kern w:val="0"/>
                <w:sz w:val="24"/>
                <w:highlight w:val="none"/>
              </w:rPr>
              <w:t>▲服务支持</w:t>
            </w:r>
          </w:p>
        </w:tc>
        <w:tc>
          <w:tcPr>
            <w:tcW w:w="3150" w:type="dxa"/>
            <w:tcBorders>
              <w:top w:val="nil"/>
              <w:left w:val="nil"/>
              <w:bottom w:val="single" w:color="auto" w:sz="4" w:space="0"/>
              <w:right w:val="single" w:color="auto" w:sz="4" w:space="0"/>
            </w:tcBorders>
            <w:shd w:val="clear" w:color="000000" w:fill="FFFFFF"/>
            <w:vAlign w:val="center"/>
          </w:tcPr>
          <w:p w14:paraId="0605C655">
            <w:pPr>
              <w:widowControl/>
              <w:adjustRightInd/>
              <w:jc w:val="left"/>
              <w:rPr>
                <w:rFonts w:ascii="宋体" w:hAnsi="宋体" w:cs="宋体"/>
                <w:kern w:val="0"/>
                <w:sz w:val="24"/>
                <w:highlight w:val="none"/>
              </w:rPr>
            </w:pPr>
            <w:r>
              <w:rPr>
                <w:rFonts w:hint="eastAsia" w:ascii="宋体" w:hAnsi="宋体" w:cs="宋体"/>
                <w:kern w:val="0"/>
                <w:sz w:val="24"/>
                <w:highlight w:val="none"/>
              </w:rPr>
              <w:t>▲网络服务</w:t>
            </w:r>
          </w:p>
        </w:tc>
        <w:tc>
          <w:tcPr>
            <w:tcW w:w="3959" w:type="dxa"/>
            <w:tcBorders>
              <w:top w:val="nil"/>
              <w:left w:val="nil"/>
              <w:bottom w:val="single" w:color="auto" w:sz="4" w:space="0"/>
              <w:right w:val="single" w:color="auto" w:sz="4" w:space="0"/>
            </w:tcBorders>
            <w:shd w:val="clear" w:color="000000" w:fill="FFFFFF"/>
            <w:vAlign w:val="center"/>
          </w:tcPr>
          <w:p w14:paraId="0A6F6CA6">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w:t>
            </w:r>
            <w:r>
              <w:rPr>
                <w:rFonts w:ascii="宋体" w:hAnsi="宋体" w:cs="宋体"/>
                <w:kern w:val="0"/>
                <w:sz w:val="24"/>
                <w:highlight w:val="none"/>
              </w:rPr>
              <w:t>TCP/UDP</w:t>
            </w:r>
          </w:p>
        </w:tc>
      </w:tr>
      <w:tr w14:paraId="275407AB">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48E176E7">
            <w:pPr>
              <w:widowControl/>
              <w:adjustRightInd/>
              <w:jc w:val="center"/>
              <w:rPr>
                <w:rFonts w:ascii="宋体" w:hAnsi="宋体" w:cs="宋体"/>
                <w:kern w:val="0"/>
                <w:sz w:val="24"/>
                <w:highlight w:val="none"/>
              </w:rPr>
            </w:pPr>
            <w:r>
              <w:rPr>
                <w:rFonts w:ascii="宋体" w:hAnsi="宋体" w:cs="宋体"/>
                <w:kern w:val="0"/>
                <w:sz w:val="24"/>
                <w:highlight w:val="none"/>
              </w:rPr>
              <w:t>47</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3CEFE834">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3F5B6E8E">
            <w:pPr>
              <w:widowControl/>
              <w:adjustRightInd/>
              <w:jc w:val="left"/>
              <w:rPr>
                <w:rFonts w:ascii="宋体" w:hAnsi="宋体" w:cs="宋体"/>
                <w:kern w:val="0"/>
                <w:sz w:val="24"/>
                <w:highlight w:val="none"/>
              </w:rPr>
            </w:pPr>
            <w:r>
              <w:rPr>
                <w:rFonts w:hint="eastAsia" w:ascii="宋体" w:hAnsi="宋体" w:cs="宋体"/>
                <w:kern w:val="0"/>
                <w:sz w:val="24"/>
                <w:highlight w:val="none"/>
              </w:rPr>
              <w:t>▲网络共享</w:t>
            </w:r>
          </w:p>
        </w:tc>
        <w:tc>
          <w:tcPr>
            <w:tcW w:w="3959" w:type="dxa"/>
            <w:tcBorders>
              <w:top w:val="nil"/>
              <w:left w:val="nil"/>
              <w:bottom w:val="single" w:color="auto" w:sz="4" w:space="0"/>
              <w:right w:val="single" w:color="auto" w:sz="4" w:space="0"/>
            </w:tcBorders>
            <w:shd w:val="clear" w:color="000000" w:fill="FFFFFF"/>
            <w:vAlign w:val="center"/>
          </w:tcPr>
          <w:p w14:paraId="63DD56FF">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操作系统支持基于</w:t>
            </w:r>
            <w:r>
              <w:rPr>
                <w:rFonts w:ascii="宋体" w:hAnsi="宋体" w:cs="宋体"/>
                <w:kern w:val="0"/>
                <w:sz w:val="24"/>
                <w:highlight w:val="none"/>
              </w:rPr>
              <w:t>NFS、SMB、FTP、CIFS等协议的数据网络共享服务</w:t>
            </w:r>
          </w:p>
        </w:tc>
      </w:tr>
      <w:tr w14:paraId="1C086E9D">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48E59E5F">
            <w:pPr>
              <w:widowControl/>
              <w:adjustRightInd/>
              <w:jc w:val="center"/>
              <w:rPr>
                <w:rFonts w:ascii="宋体" w:hAnsi="宋体" w:cs="宋体"/>
                <w:kern w:val="0"/>
                <w:sz w:val="24"/>
                <w:highlight w:val="none"/>
              </w:rPr>
            </w:pPr>
            <w:r>
              <w:rPr>
                <w:rFonts w:ascii="宋体" w:hAnsi="宋体" w:cs="宋体"/>
                <w:kern w:val="0"/>
                <w:sz w:val="24"/>
                <w:highlight w:val="none"/>
              </w:rPr>
              <w:t>48</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2A2DC1B9">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390D4AF4">
            <w:pPr>
              <w:widowControl/>
              <w:adjustRightInd/>
              <w:jc w:val="left"/>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WEB服务</w:t>
            </w:r>
          </w:p>
        </w:tc>
        <w:tc>
          <w:tcPr>
            <w:tcW w:w="3959" w:type="dxa"/>
            <w:tcBorders>
              <w:top w:val="nil"/>
              <w:left w:val="nil"/>
              <w:bottom w:val="single" w:color="auto" w:sz="4" w:space="0"/>
              <w:right w:val="single" w:color="auto" w:sz="4" w:space="0"/>
            </w:tcBorders>
            <w:shd w:val="clear" w:color="000000" w:fill="FFFFFF"/>
            <w:vAlign w:val="center"/>
          </w:tcPr>
          <w:p w14:paraId="159D3678">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操作系统支持基于</w:t>
            </w:r>
            <w:r>
              <w:rPr>
                <w:rFonts w:ascii="宋体" w:hAnsi="宋体" w:cs="宋体"/>
                <w:kern w:val="0"/>
                <w:sz w:val="24"/>
                <w:highlight w:val="none"/>
              </w:rPr>
              <w:t>HTTP、HTTPS、FastCGI等协议WEB服务</w:t>
            </w:r>
          </w:p>
        </w:tc>
      </w:tr>
      <w:tr w14:paraId="69F43830">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0320070B">
            <w:pPr>
              <w:widowControl/>
              <w:adjustRightInd/>
              <w:jc w:val="center"/>
              <w:rPr>
                <w:rFonts w:ascii="宋体" w:hAnsi="宋体" w:cs="宋体"/>
                <w:kern w:val="0"/>
                <w:sz w:val="24"/>
                <w:highlight w:val="none"/>
              </w:rPr>
            </w:pPr>
            <w:r>
              <w:rPr>
                <w:rFonts w:ascii="宋体" w:hAnsi="宋体" w:cs="宋体"/>
                <w:kern w:val="0"/>
                <w:sz w:val="24"/>
                <w:highlight w:val="none"/>
              </w:rPr>
              <w:t>49</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0BF16390">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32DFCEDC">
            <w:pPr>
              <w:widowControl/>
              <w:adjustRightInd/>
              <w:jc w:val="left"/>
              <w:rPr>
                <w:rFonts w:ascii="宋体" w:hAnsi="宋体" w:cs="宋体"/>
                <w:kern w:val="0"/>
                <w:sz w:val="24"/>
                <w:highlight w:val="none"/>
              </w:rPr>
            </w:pPr>
            <w:r>
              <w:rPr>
                <w:rFonts w:hint="eastAsia" w:ascii="宋体" w:hAnsi="宋体" w:cs="宋体"/>
                <w:kern w:val="0"/>
                <w:sz w:val="24"/>
                <w:highlight w:val="none"/>
              </w:rPr>
              <w:t>▲加密传输服务</w:t>
            </w:r>
          </w:p>
        </w:tc>
        <w:tc>
          <w:tcPr>
            <w:tcW w:w="3959" w:type="dxa"/>
            <w:tcBorders>
              <w:top w:val="nil"/>
              <w:left w:val="nil"/>
              <w:bottom w:val="single" w:color="auto" w:sz="4" w:space="0"/>
              <w:right w:val="single" w:color="auto" w:sz="4" w:space="0"/>
            </w:tcBorders>
            <w:shd w:val="clear" w:color="000000" w:fill="FFFFFF"/>
            <w:vAlign w:val="center"/>
          </w:tcPr>
          <w:p w14:paraId="2521553E">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操作系统支持基于</w:t>
            </w:r>
            <w:r>
              <w:rPr>
                <w:rFonts w:ascii="宋体" w:hAnsi="宋体" w:cs="宋体"/>
                <w:kern w:val="0"/>
                <w:sz w:val="24"/>
                <w:highlight w:val="none"/>
              </w:rPr>
              <w:t>IPSec和SSL协议的隧道加密传输服务</w:t>
            </w:r>
          </w:p>
        </w:tc>
      </w:tr>
      <w:tr w14:paraId="0947F146">
        <w:tblPrEx>
          <w:tblCellMar>
            <w:top w:w="0" w:type="dxa"/>
            <w:left w:w="108" w:type="dxa"/>
            <w:bottom w:w="0" w:type="dxa"/>
            <w:right w:w="108" w:type="dxa"/>
          </w:tblCellMar>
        </w:tblPrEx>
        <w:trPr>
          <w:trHeight w:val="312"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2B2BE1D1">
            <w:pPr>
              <w:widowControl/>
              <w:adjustRightInd/>
              <w:jc w:val="center"/>
              <w:rPr>
                <w:rFonts w:ascii="宋体" w:hAnsi="宋体" w:cs="宋体"/>
                <w:kern w:val="0"/>
                <w:sz w:val="24"/>
                <w:highlight w:val="none"/>
              </w:rPr>
            </w:pPr>
            <w:r>
              <w:rPr>
                <w:rFonts w:ascii="宋体" w:hAnsi="宋体" w:cs="宋体"/>
                <w:kern w:val="0"/>
                <w:sz w:val="24"/>
                <w:highlight w:val="none"/>
              </w:rPr>
              <w:t>50</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651E1D42">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60CDF7C5">
            <w:pPr>
              <w:widowControl/>
              <w:adjustRightInd/>
              <w:jc w:val="left"/>
              <w:rPr>
                <w:rFonts w:ascii="宋体" w:hAnsi="宋体" w:cs="宋体"/>
                <w:kern w:val="0"/>
                <w:sz w:val="24"/>
                <w:highlight w:val="none"/>
              </w:rPr>
            </w:pPr>
            <w:r>
              <w:rPr>
                <w:rFonts w:hint="eastAsia" w:ascii="宋体" w:hAnsi="宋体" w:cs="宋体"/>
                <w:kern w:val="0"/>
                <w:sz w:val="24"/>
                <w:highlight w:val="none"/>
              </w:rPr>
              <w:t>▲数字证书服务</w:t>
            </w:r>
          </w:p>
        </w:tc>
        <w:tc>
          <w:tcPr>
            <w:tcW w:w="3959" w:type="dxa"/>
            <w:tcBorders>
              <w:top w:val="nil"/>
              <w:left w:val="nil"/>
              <w:bottom w:val="single" w:color="auto" w:sz="4" w:space="0"/>
              <w:right w:val="single" w:color="auto" w:sz="4" w:space="0"/>
            </w:tcBorders>
            <w:shd w:val="clear" w:color="000000" w:fill="FFFFFF"/>
            <w:vAlign w:val="center"/>
          </w:tcPr>
          <w:p w14:paraId="5E6D25E0">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操作系统支持基于</w:t>
            </w:r>
            <w:r>
              <w:rPr>
                <w:rFonts w:ascii="宋体" w:hAnsi="宋体" w:cs="宋体"/>
                <w:kern w:val="0"/>
                <w:sz w:val="24"/>
                <w:highlight w:val="none"/>
              </w:rPr>
              <w:t>PKI体系的数字证书服务</w:t>
            </w:r>
          </w:p>
        </w:tc>
      </w:tr>
      <w:tr w14:paraId="475A2208">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09D3C0B3">
            <w:pPr>
              <w:widowControl/>
              <w:adjustRightInd/>
              <w:jc w:val="center"/>
              <w:rPr>
                <w:rFonts w:ascii="宋体" w:hAnsi="宋体" w:cs="宋体"/>
                <w:kern w:val="0"/>
                <w:sz w:val="24"/>
                <w:highlight w:val="none"/>
              </w:rPr>
            </w:pPr>
            <w:r>
              <w:rPr>
                <w:rFonts w:ascii="宋体" w:hAnsi="宋体" w:cs="宋体"/>
                <w:kern w:val="0"/>
                <w:sz w:val="24"/>
                <w:highlight w:val="none"/>
              </w:rPr>
              <w:t>51</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4D4C772B">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1FF7E311">
            <w:pPr>
              <w:widowControl/>
              <w:adjustRightInd/>
              <w:jc w:val="left"/>
              <w:rPr>
                <w:rFonts w:ascii="宋体" w:hAnsi="宋体" w:cs="宋体"/>
                <w:kern w:val="0"/>
                <w:sz w:val="24"/>
                <w:highlight w:val="none"/>
              </w:rPr>
            </w:pPr>
            <w:r>
              <w:rPr>
                <w:rFonts w:hint="eastAsia" w:ascii="宋体" w:hAnsi="宋体" w:cs="宋体"/>
                <w:kern w:val="0"/>
                <w:sz w:val="24"/>
                <w:highlight w:val="none"/>
              </w:rPr>
              <w:t>▲访问控制服务</w:t>
            </w:r>
          </w:p>
        </w:tc>
        <w:tc>
          <w:tcPr>
            <w:tcW w:w="3959" w:type="dxa"/>
            <w:tcBorders>
              <w:top w:val="nil"/>
              <w:left w:val="nil"/>
              <w:bottom w:val="single" w:color="auto" w:sz="4" w:space="0"/>
              <w:right w:val="single" w:color="auto" w:sz="4" w:space="0"/>
            </w:tcBorders>
            <w:shd w:val="clear" w:color="000000" w:fill="FFFFFF"/>
            <w:vAlign w:val="center"/>
          </w:tcPr>
          <w:p w14:paraId="6B731755">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操作系统支持基于</w:t>
            </w:r>
            <w:r>
              <w:rPr>
                <w:rFonts w:ascii="宋体" w:hAnsi="宋体" w:cs="宋体"/>
                <w:kern w:val="0"/>
                <w:sz w:val="24"/>
                <w:highlight w:val="none"/>
              </w:rPr>
              <w:t>RBAC(基于角色的访问控制)机制的访问控制服务</w:t>
            </w:r>
          </w:p>
        </w:tc>
      </w:tr>
      <w:tr w14:paraId="5F51FB95">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2C9D959F">
            <w:pPr>
              <w:widowControl/>
              <w:adjustRightInd/>
              <w:jc w:val="center"/>
              <w:rPr>
                <w:rFonts w:ascii="宋体" w:hAnsi="宋体" w:cs="宋体"/>
                <w:kern w:val="0"/>
                <w:sz w:val="24"/>
                <w:highlight w:val="none"/>
              </w:rPr>
            </w:pPr>
            <w:r>
              <w:rPr>
                <w:rFonts w:ascii="宋体" w:hAnsi="宋体" w:cs="宋体"/>
                <w:kern w:val="0"/>
                <w:sz w:val="24"/>
                <w:highlight w:val="none"/>
              </w:rPr>
              <w:t>52</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397EF733">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745E2FE9">
            <w:pPr>
              <w:widowControl/>
              <w:adjustRightInd/>
              <w:jc w:val="left"/>
              <w:rPr>
                <w:rFonts w:ascii="宋体" w:hAnsi="宋体" w:cs="宋体"/>
                <w:kern w:val="0"/>
                <w:sz w:val="24"/>
                <w:highlight w:val="none"/>
              </w:rPr>
            </w:pPr>
            <w:r>
              <w:rPr>
                <w:rFonts w:hint="eastAsia" w:ascii="宋体" w:hAnsi="宋体" w:cs="宋体"/>
                <w:kern w:val="0"/>
                <w:sz w:val="24"/>
                <w:highlight w:val="none"/>
              </w:rPr>
              <w:t>▲网络管理服务</w:t>
            </w:r>
          </w:p>
        </w:tc>
        <w:tc>
          <w:tcPr>
            <w:tcW w:w="3959" w:type="dxa"/>
            <w:tcBorders>
              <w:top w:val="nil"/>
              <w:left w:val="nil"/>
              <w:bottom w:val="single" w:color="auto" w:sz="4" w:space="0"/>
              <w:right w:val="single" w:color="auto" w:sz="4" w:space="0"/>
            </w:tcBorders>
            <w:shd w:val="clear" w:color="000000" w:fill="FFFFFF"/>
            <w:vAlign w:val="center"/>
          </w:tcPr>
          <w:p w14:paraId="4F8E4F77">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操作系统支持基于</w:t>
            </w:r>
            <w:r>
              <w:rPr>
                <w:rFonts w:ascii="宋体" w:hAnsi="宋体" w:cs="宋体"/>
                <w:kern w:val="0"/>
                <w:sz w:val="24"/>
                <w:highlight w:val="none"/>
              </w:rPr>
              <w:t>SNMP、NETCONF、RESTCONF等协议的网络管理服务</w:t>
            </w:r>
          </w:p>
        </w:tc>
      </w:tr>
      <w:tr w14:paraId="451046DE">
        <w:tblPrEx>
          <w:tblCellMar>
            <w:top w:w="0" w:type="dxa"/>
            <w:left w:w="108" w:type="dxa"/>
            <w:bottom w:w="0" w:type="dxa"/>
            <w:right w:w="108" w:type="dxa"/>
          </w:tblCellMar>
        </w:tblPrEx>
        <w:trPr>
          <w:trHeight w:val="312"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2D9A43AB">
            <w:pPr>
              <w:widowControl/>
              <w:adjustRightInd/>
              <w:jc w:val="center"/>
              <w:rPr>
                <w:rFonts w:ascii="宋体" w:hAnsi="宋体" w:cs="宋体"/>
                <w:kern w:val="0"/>
                <w:sz w:val="24"/>
                <w:highlight w:val="none"/>
              </w:rPr>
            </w:pPr>
            <w:r>
              <w:rPr>
                <w:rFonts w:ascii="宋体" w:hAnsi="宋体" w:cs="宋体"/>
                <w:kern w:val="0"/>
                <w:sz w:val="24"/>
                <w:highlight w:val="none"/>
              </w:rPr>
              <w:t>53</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1501EB53">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005A8888">
            <w:pPr>
              <w:widowControl/>
              <w:adjustRightInd/>
              <w:jc w:val="left"/>
              <w:rPr>
                <w:rFonts w:ascii="宋体" w:hAnsi="宋体" w:cs="宋体"/>
                <w:kern w:val="0"/>
                <w:sz w:val="24"/>
                <w:highlight w:val="none"/>
              </w:rPr>
            </w:pPr>
            <w:r>
              <w:rPr>
                <w:rFonts w:hint="eastAsia" w:ascii="宋体" w:hAnsi="宋体" w:cs="宋体"/>
                <w:kern w:val="0"/>
                <w:sz w:val="24"/>
                <w:highlight w:val="none"/>
              </w:rPr>
              <w:t>▲时间同步服务</w:t>
            </w:r>
          </w:p>
        </w:tc>
        <w:tc>
          <w:tcPr>
            <w:tcW w:w="3959" w:type="dxa"/>
            <w:tcBorders>
              <w:top w:val="nil"/>
              <w:left w:val="nil"/>
              <w:bottom w:val="single" w:color="auto" w:sz="4" w:space="0"/>
              <w:right w:val="single" w:color="auto" w:sz="4" w:space="0"/>
            </w:tcBorders>
            <w:shd w:val="clear" w:color="000000" w:fill="FFFFFF"/>
            <w:vAlign w:val="center"/>
          </w:tcPr>
          <w:p w14:paraId="3856A263">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操作系统支持基于</w:t>
            </w:r>
            <w:r>
              <w:rPr>
                <w:rFonts w:ascii="宋体" w:hAnsi="宋体" w:cs="宋体"/>
                <w:kern w:val="0"/>
                <w:sz w:val="24"/>
                <w:highlight w:val="none"/>
              </w:rPr>
              <w:t>NTP协议网络时间同步服务</w:t>
            </w:r>
          </w:p>
        </w:tc>
      </w:tr>
      <w:tr w14:paraId="42075320">
        <w:tblPrEx>
          <w:tblCellMar>
            <w:top w:w="0" w:type="dxa"/>
            <w:left w:w="108" w:type="dxa"/>
            <w:bottom w:w="0" w:type="dxa"/>
            <w:right w:w="108" w:type="dxa"/>
          </w:tblCellMar>
        </w:tblPrEx>
        <w:trPr>
          <w:trHeight w:val="312"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2E4D75E9">
            <w:pPr>
              <w:widowControl/>
              <w:adjustRightInd/>
              <w:jc w:val="center"/>
              <w:rPr>
                <w:rFonts w:ascii="宋体" w:hAnsi="宋体" w:cs="宋体"/>
                <w:kern w:val="0"/>
                <w:sz w:val="24"/>
                <w:highlight w:val="none"/>
              </w:rPr>
            </w:pPr>
            <w:r>
              <w:rPr>
                <w:rFonts w:ascii="宋体" w:hAnsi="宋体" w:cs="宋体"/>
                <w:kern w:val="0"/>
                <w:sz w:val="24"/>
                <w:highlight w:val="none"/>
              </w:rPr>
              <w:t>54</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021E5189">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1B034E09">
            <w:pPr>
              <w:widowControl/>
              <w:adjustRightInd/>
              <w:jc w:val="left"/>
              <w:rPr>
                <w:rFonts w:ascii="宋体" w:hAnsi="宋体" w:cs="宋体"/>
                <w:kern w:val="0"/>
                <w:sz w:val="24"/>
                <w:highlight w:val="none"/>
              </w:rPr>
            </w:pPr>
            <w:r>
              <w:rPr>
                <w:rFonts w:hint="eastAsia" w:ascii="宋体" w:hAnsi="宋体" w:cs="宋体"/>
                <w:kern w:val="0"/>
                <w:sz w:val="24"/>
                <w:highlight w:val="none"/>
              </w:rPr>
              <w:t>▲远程连接服务</w:t>
            </w:r>
          </w:p>
        </w:tc>
        <w:tc>
          <w:tcPr>
            <w:tcW w:w="3959" w:type="dxa"/>
            <w:tcBorders>
              <w:top w:val="nil"/>
              <w:left w:val="nil"/>
              <w:bottom w:val="single" w:color="auto" w:sz="4" w:space="0"/>
              <w:right w:val="single" w:color="auto" w:sz="4" w:space="0"/>
            </w:tcBorders>
            <w:shd w:val="clear" w:color="000000" w:fill="FFFFFF"/>
            <w:vAlign w:val="center"/>
          </w:tcPr>
          <w:p w14:paraId="6563656E">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w:t>
            </w:r>
            <w:r>
              <w:rPr>
                <w:rFonts w:ascii="宋体" w:hAnsi="宋体" w:cs="宋体"/>
                <w:kern w:val="0"/>
                <w:sz w:val="24"/>
                <w:highlight w:val="none"/>
              </w:rPr>
              <w:t>RPC、rsync、SSH等远程服务</w:t>
            </w:r>
          </w:p>
        </w:tc>
      </w:tr>
      <w:tr w14:paraId="60A37469">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54689832">
            <w:pPr>
              <w:widowControl/>
              <w:adjustRightInd/>
              <w:jc w:val="center"/>
              <w:rPr>
                <w:rFonts w:ascii="宋体" w:hAnsi="宋体" w:cs="宋体"/>
                <w:kern w:val="0"/>
                <w:sz w:val="24"/>
                <w:highlight w:val="none"/>
              </w:rPr>
            </w:pPr>
            <w:r>
              <w:rPr>
                <w:rFonts w:ascii="宋体" w:hAnsi="宋体" w:cs="宋体"/>
                <w:kern w:val="0"/>
                <w:sz w:val="24"/>
                <w:highlight w:val="none"/>
              </w:rPr>
              <w:t>55</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3A3D3817">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5B096284">
            <w:pPr>
              <w:widowControl/>
              <w:adjustRightInd/>
              <w:jc w:val="left"/>
              <w:rPr>
                <w:rFonts w:ascii="宋体" w:hAnsi="宋体" w:cs="宋体"/>
                <w:kern w:val="0"/>
                <w:sz w:val="24"/>
                <w:highlight w:val="none"/>
              </w:rPr>
            </w:pPr>
            <w:r>
              <w:rPr>
                <w:rFonts w:hint="eastAsia" w:ascii="宋体" w:hAnsi="宋体" w:cs="宋体"/>
                <w:kern w:val="0"/>
                <w:sz w:val="24"/>
                <w:highlight w:val="none"/>
              </w:rPr>
              <w:t>▲邮件服务</w:t>
            </w:r>
          </w:p>
        </w:tc>
        <w:tc>
          <w:tcPr>
            <w:tcW w:w="3959" w:type="dxa"/>
            <w:tcBorders>
              <w:top w:val="nil"/>
              <w:left w:val="nil"/>
              <w:bottom w:val="single" w:color="auto" w:sz="4" w:space="0"/>
              <w:right w:val="single" w:color="auto" w:sz="4" w:space="0"/>
            </w:tcBorders>
            <w:shd w:val="clear" w:color="000000" w:fill="FFFFFF"/>
            <w:vAlign w:val="center"/>
          </w:tcPr>
          <w:p w14:paraId="46215748">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操作系统支持基于</w:t>
            </w:r>
            <w:r>
              <w:rPr>
                <w:rFonts w:ascii="宋体" w:hAnsi="宋体" w:cs="宋体"/>
                <w:kern w:val="0"/>
                <w:sz w:val="24"/>
                <w:highlight w:val="none"/>
              </w:rPr>
              <w:t>SMTP、POP3、IMAP等的邮件服务</w:t>
            </w:r>
          </w:p>
        </w:tc>
      </w:tr>
      <w:tr w14:paraId="3D70CECC">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3814FAAA">
            <w:pPr>
              <w:widowControl/>
              <w:adjustRightInd/>
              <w:jc w:val="center"/>
              <w:rPr>
                <w:rFonts w:ascii="宋体" w:hAnsi="宋体" w:cs="宋体"/>
                <w:kern w:val="0"/>
                <w:sz w:val="24"/>
                <w:highlight w:val="none"/>
              </w:rPr>
            </w:pPr>
            <w:r>
              <w:rPr>
                <w:rFonts w:ascii="宋体" w:hAnsi="宋体" w:cs="宋体"/>
                <w:kern w:val="0"/>
                <w:sz w:val="24"/>
                <w:highlight w:val="none"/>
              </w:rPr>
              <w:t>56</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3BB4C77A">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3F874179">
            <w:pPr>
              <w:widowControl/>
              <w:adjustRightInd/>
              <w:jc w:val="left"/>
              <w:rPr>
                <w:rFonts w:ascii="宋体" w:hAnsi="宋体" w:cs="宋体"/>
                <w:kern w:val="0"/>
                <w:sz w:val="24"/>
                <w:highlight w:val="none"/>
              </w:rPr>
            </w:pPr>
            <w:r>
              <w:rPr>
                <w:rFonts w:hint="eastAsia" w:ascii="宋体" w:hAnsi="宋体" w:cs="宋体"/>
                <w:kern w:val="0"/>
                <w:sz w:val="24"/>
                <w:highlight w:val="none"/>
              </w:rPr>
              <w:t>▲身份鉴别服务</w:t>
            </w:r>
          </w:p>
        </w:tc>
        <w:tc>
          <w:tcPr>
            <w:tcW w:w="3959" w:type="dxa"/>
            <w:tcBorders>
              <w:top w:val="nil"/>
              <w:left w:val="nil"/>
              <w:bottom w:val="single" w:color="auto" w:sz="4" w:space="0"/>
              <w:right w:val="single" w:color="auto" w:sz="4" w:space="0"/>
            </w:tcBorders>
            <w:shd w:val="clear" w:color="000000" w:fill="FFFFFF"/>
            <w:vAlign w:val="center"/>
          </w:tcPr>
          <w:p w14:paraId="1C2E6490">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操作系统支持基于轻量级目录访问协议的统一身份鉴别服务</w:t>
            </w:r>
          </w:p>
        </w:tc>
      </w:tr>
      <w:tr w14:paraId="1BA53559">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3C975778">
            <w:pPr>
              <w:widowControl/>
              <w:adjustRightInd/>
              <w:jc w:val="center"/>
              <w:rPr>
                <w:rFonts w:ascii="宋体" w:hAnsi="宋体" w:cs="宋体"/>
                <w:kern w:val="0"/>
                <w:sz w:val="24"/>
                <w:highlight w:val="none"/>
              </w:rPr>
            </w:pPr>
            <w:r>
              <w:rPr>
                <w:rFonts w:ascii="宋体" w:hAnsi="宋体" w:cs="宋体"/>
                <w:kern w:val="0"/>
                <w:sz w:val="24"/>
                <w:highlight w:val="none"/>
              </w:rPr>
              <w:t>57</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4983338B">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62B4C690">
            <w:pPr>
              <w:widowControl/>
              <w:adjustRightInd/>
              <w:jc w:val="left"/>
              <w:rPr>
                <w:rFonts w:ascii="宋体" w:hAnsi="宋体" w:cs="宋体"/>
                <w:kern w:val="0"/>
                <w:sz w:val="24"/>
                <w:highlight w:val="none"/>
              </w:rPr>
            </w:pPr>
            <w:r>
              <w:rPr>
                <w:rFonts w:hint="eastAsia" w:ascii="宋体" w:hAnsi="宋体" w:cs="宋体"/>
                <w:kern w:val="0"/>
                <w:sz w:val="24"/>
                <w:highlight w:val="none"/>
              </w:rPr>
              <w:t>▲数据存储和查询服务</w:t>
            </w:r>
          </w:p>
        </w:tc>
        <w:tc>
          <w:tcPr>
            <w:tcW w:w="3959" w:type="dxa"/>
            <w:tcBorders>
              <w:top w:val="nil"/>
              <w:left w:val="nil"/>
              <w:bottom w:val="single" w:color="auto" w:sz="4" w:space="0"/>
              <w:right w:val="single" w:color="auto" w:sz="4" w:space="0"/>
            </w:tcBorders>
            <w:shd w:val="clear" w:color="000000" w:fill="FFFFFF"/>
            <w:vAlign w:val="center"/>
          </w:tcPr>
          <w:p w14:paraId="730C2B14">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操作系统支持结构化和非结构化格式数据的存储和查询服务</w:t>
            </w:r>
          </w:p>
        </w:tc>
      </w:tr>
      <w:tr w14:paraId="0D044870">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2CAEE470">
            <w:pPr>
              <w:widowControl/>
              <w:adjustRightInd/>
              <w:jc w:val="center"/>
              <w:rPr>
                <w:rFonts w:ascii="宋体" w:hAnsi="宋体" w:cs="宋体"/>
                <w:kern w:val="0"/>
                <w:sz w:val="24"/>
                <w:highlight w:val="none"/>
              </w:rPr>
            </w:pPr>
            <w:r>
              <w:rPr>
                <w:rFonts w:ascii="宋体" w:hAnsi="宋体" w:cs="宋体"/>
                <w:kern w:val="0"/>
                <w:sz w:val="24"/>
                <w:highlight w:val="none"/>
              </w:rPr>
              <w:t>58</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6562A909">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3201195F">
            <w:pPr>
              <w:widowControl/>
              <w:adjustRightInd/>
              <w:jc w:val="left"/>
              <w:rPr>
                <w:rFonts w:ascii="宋体" w:hAnsi="宋体" w:cs="宋体"/>
                <w:kern w:val="0"/>
                <w:sz w:val="24"/>
                <w:highlight w:val="none"/>
              </w:rPr>
            </w:pPr>
            <w:r>
              <w:rPr>
                <w:rFonts w:hint="eastAsia" w:ascii="宋体" w:hAnsi="宋体" w:cs="宋体"/>
                <w:kern w:val="0"/>
                <w:sz w:val="24"/>
                <w:highlight w:val="none"/>
              </w:rPr>
              <w:t>▲数据存储和查询服务</w:t>
            </w:r>
          </w:p>
        </w:tc>
        <w:tc>
          <w:tcPr>
            <w:tcW w:w="3959" w:type="dxa"/>
            <w:tcBorders>
              <w:top w:val="nil"/>
              <w:left w:val="nil"/>
              <w:bottom w:val="single" w:color="auto" w:sz="4" w:space="0"/>
              <w:right w:val="single" w:color="auto" w:sz="4" w:space="0"/>
            </w:tcBorders>
            <w:shd w:val="clear" w:color="000000" w:fill="FFFFFF"/>
            <w:vAlign w:val="center"/>
          </w:tcPr>
          <w:p w14:paraId="2F18D717">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操作系统支持块、文件、对象等类型的数据存储服务</w:t>
            </w:r>
          </w:p>
        </w:tc>
      </w:tr>
      <w:tr w14:paraId="15627651">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14183914">
            <w:pPr>
              <w:widowControl/>
              <w:adjustRightInd/>
              <w:jc w:val="center"/>
              <w:rPr>
                <w:rFonts w:ascii="宋体" w:hAnsi="宋体" w:cs="宋体"/>
                <w:kern w:val="0"/>
                <w:sz w:val="24"/>
                <w:highlight w:val="none"/>
              </w:rPr>
            </w:pPr>
            <w:r>
              <w:rPr>
                <w:rFonts w:ascii="宋体" w:hAnsi="宋体" w:cs="宋体"/>
                <w:kern w:val="0"/>
                <w:sz w:val="24"/>
                <w:highlight w:val="none"/>
              </w:rPr>
              <w:t>59</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20707D19">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757F7915">
            <w:pPr>
              <w:widowControl/>
              <w:adjustRightInd/>
              <w:jc w:val="left"/>
              <w:rPr>
                <w:rFonts w:ascii="宋体" w:hAnsi="宋体" w:cs="宋体"/>
                <w:kern w:val="0"/>
                <w:sz w:val="24"/>
                <w:highlight w:val="none"/>
              </w:rPr>
            </w:pPr>
            <w:r>
              <w:rPr>
                <w:rFonts w:hint="eastAsia" w:ascii="宋体" w:hAnsi="宋体" w:cs="宋体"/>
                <w:kern w:val="0"/>
                <w:sz w:val="24"/>
                <w:highlight w:val="none"/>
              </w:rPr>
              <w:t>▲数据存储和查询服务</w:t>
            </w:r>
          </w:p>
        </w:tc>
        <w:tc>
          <w:tcPr>
            <w:tcW w:w="3959" w:type="dxa"/>
            <w:tcBorders>
              <w:top w:val="nil"/>
              <w:left w:val="nil"/>
              <w:bottom w:val="single" w:color="auto" w:sz="4" w:space="0"/>
              <w:right w:val="single" w:color="auto" w:sz="4" w:space="0"/>
            </w:tcBorders>
            <w:shd w:val="clear" w:color="000000" w:fill="FFFFFF"/>
            <w:vAlign w:val="center"/>
          </w:tcPr>
          <w:p w14:paraId="7C821A1E">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w:t>
            </w:r>
            <w:r>
              <w:rPr>
                <w:rFonts w:ascii="宋体" w:hAnsi="宋体" w:cs="宋体"/>
                <w:kern w:val="0"/>
                <w:sz w:val="24"/>
                <w:highlight w:val="none"/>
              </w:rPr>
              <w:t>SQL、NoSQL、键值等类型的数据库</w:t>
            </w:r>
          </w:p>
        </w:tc>
      </w:tr>
      <w:tr w14:paraId="69366788">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345ECCC9">
            <w:pPr>
              <w:widowControl/>
              <w:adjustRightInd/>
              <w:jc w:val="center"/>
              <w:rPr>
                <w:rFonts w:ascii="宋体" w:hAnsi="宋体" w:cs="宋体"/>
                <w:kern w:val="0"/>
                <w:sz w:val="24"/>
                <w:highlight w:val="none"/>
              </w:rPr>
            </w:pPr>
            <w:r>
              <w:rPr>
                <w:rFonts w:ascii="宋体" w:hAnsi="宋体" w:cs="宋体"/>
                <w:kern w:val="0"/>
                <w:sz w:val="24"/>
                <w:highlight w:val="none"/>
              </w:rPr>
              <w:t>60</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449048D0">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2CF2EBD8">
            <w:pPr>
              <w:widowControl/>
              <w:adjustRightInd/>
              <w:jc w:val="left"/>
              <w:rPr>
                <w:rFonts w:ascii="宋体" w:hAnsi="宋体" w:cs="宋体"/>
                <w:kern w:val="0"/>
                <w:sz w:val="24"/>
                <w:highlight w:val="none"/>
              </w:rPr>
            </w:pPr>
            <w:r>
              <w:rPr>
                <w:rFonts w:hint="eastAsia" w:ascii="宋体" w:hAnsi="宋体" w:cs="宋体"/>
                <w:kern w:val="0"/>
                <w:sz w:val="24"/>
                <w:highlight w:val="none"/>
              </w:rPr>
              <w:t>▲存储服务</w:t>
            </w:r>
          </w:p>
        </w:tc>
        <w:tc>
          <w:tcPr>
            <w:tcW w:w="3959" w:type="dxa"/>
            <w:tcBorders>
              <w:top w:val="nil"/>
              <w:left w:val="nil"/>
              <w:bottom w:val="single" w:color="auto" w:sz="4" w:space="0"/>
              <w:right w:val="single" w:color="auto" w:sz="4" w:space="0"/>
            </w:tcBorders>
            <w:shd w:val="clear" w:color="000000" w:fill="FFFFFF"/>
            <w:vAlign w:val="center"/>
          </w:tcPr>
          <w:p w14:paraId="3ACD58A1">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操作系统支持多种传输速率和存储协议的</w:t>
            </w:r>
            <w:r>
              <w:rPr>
                <w:rFonts w:ascii="宋体" w:hAnsi="宋体" w:cs="宋体"/>
                <w:kern w:val="0"/>
                <w:sz w:val="24"/>
                <w:highlight w:val="none"/>
              </w:rPr>
              <w:t>SAN和NAS存储</w:t>
            </w:r>
          </w:p>
        </w:tc>
      </w:tr>
      <w:tr w14:paraId="6770E4CE">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6129910F">
            <w:pPr>
              <w:widowControl/>
              <w:adjustRightInd/>
              <w:jc w:val="center"/>
              <w:rPr>
                <w:rFonts w:ascii="宋体" w:hAnsi="宋体" w:cs="宋体"/>
                <w:kern w:val="0"/>
                <w:sz w:val="24"/>
                <w:highlight w:val="none"/>
              </w:rPr>
            </w:pPr>
            <w:r>
              <w:rPr>
                <w:rFonts w:ascii="宋体" w:hAnsi="宋体" w:cs="宋体"/>
                <w:kern w:val="0"/>
                <w:sz w:val="24"/>
                <w:highlight w:val="none"/>
              </w:rPr>
              <w:t>61</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142C9D60">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30DC45A8">
            <w:pPr>
              <w:widowControl/>
              <w:adjustRightInd/>
              <w:jc w:val="left"/>
              <w:rPr>
                <w:rFonts w:ascii="宋体" w:hAnsi="宋体" w:cs="宋体"/>
                <w:kern w:val="0"/>
                <w:sz w:val="24"/>
                <w:highlight w:val="none"/>
              </w:rPr>
            </w:pPr>
            <w:r>
              <w:rPr>
                <w:rFonts w:hint="eastAsia" w:ascii="宋体" w:hAnsi="宋体" w:cs="宋体"/>
                <w:kern w:val="0"/>
                <w:sz w:val="24"/>
                <w:highlight w:val="none"/>
              </w:rPr>
              <w:t>▲集群支持</w:t>
            </w:r>
          </w:p>
        </w:tc>
        <w:tc>
          <w:tcPr>
            <w:tcW w:w="3959" w:type="dxa"/>
            <w:tcBorders>
              <w:top w:val="nil"/>
              <w:left w:val="nil"/>
              <w:bottom w:val="single" w:color="auto" w:sz="4" w:space="0"/>
              <w:right w:val="single" w:color="auto" w:sz="4" w:space="0"/>
            </w:tcBorders>
            <w:shd w:val="clear" w:color="000000" w:fill="FFFFFF"/>
            <w:vAlign w:val="center"/>
          </w:tcPr>
          <w:p w14:paraId="596BC733">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操作系统支持服务基于主备机制的分布式集群、高可用集群的部署模式</w:t>
            </w:r>
          </w:p>
        </w:tc>
      </w:tr>
      <w:tr w14:paraId="4907FF3D">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0B6F6144">
            <w:pPr>
              <w:widowControl/>
              <w:adjustRightInd/>
              <w:jc w:val="center"/>
              <w:rPr>
                <w:rFonts w:ascii="宋体" w:hAnsi="宋体" w:cs="宋体"/>
                <w:kern w:val="0"/>
                <w:sz w:val="24"/>
                <w:highlight w:val="none"/>
              </w:rPr>
            </w:pPr>
            <w:r>
              <w:rPr>
                <w:rFonts w:ascii="宋体" w:hAnsi="宋体" w:cs="宋体"/>
                <w:kern w:val="0"/>
                <w:sz w:val="24"/>
                <w:highlight w:val="none"/>
              </w:rPr>
              <w:t>62</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0648895C">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6CE681E9">
            <w:pPr>
              <w:widowControl/>
              <w:adjustRightInd/>
              <w:jc w:val="left"/>
              <w:rPr>
                <w:rFonts w:ascii="宋体" w:hAnsi="宋体" w:cs="宋体"/>
                <w:kern w:val="0"/>
                <w:sz w:val="24"/>
                <w:highlight w:val="none"/>
              </w:rPr>
            </w:pPr>
            <w:r>
              <w:rPr>
                <w:rFonts w:hint="eastAsia" w:ascii="宋体" w:hAnsi="宋体" w:cs="宋体"/>
                <w:kern w:val="0"/>
                <w:sz w:val="24"/>
                <w:highlight w:val="none"/>
              </w:rPr>
              <w:t>▲集群支持</w:t>
            </w:r>
          </w:p>
        </w:tc>
        <w:tc>
          <w:tcPr>
            <w:tcW w:w="3959" w:type="dxa"/>
            <w:tcBorders>
              <w:top w:val="nil"/>
              <w:left w:val="nil"/>
              <w:bottom w:val="single" w:color="auto" w:sz="4" w:space="0"/>
              <w:right w:val="single" w:color="auto" w:sz="4" w:space="0"/>
            </w:tcBorders>
            <w:shd w:val="clear" w:color="000000" w:fill="FFFFFF"/>
            <w:vAlign w:val="center"/>
          </w:tcPr>
          <w:p w14:paraId="62AA3BCE">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操作系统支持服务基于分布式通信协议的分布式集群、高可用集群的部署模式</w:t>
            </w:r>
          </w:p>
        </w:tc>
      </w:tr>
      <w:tr w14:paraId="76ABB68A">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355588F9">
            <w:pPr>
              <w:widowControl/>
              <w:adjustRightInd/>
              <w:jc w:val="center"/>
              <w:rPr>
                <w:rFonts w:ascii="宋体" w:hAnsi="宋体" w:cs="宋体"/>
                <w:kern w:val="0"/>
                <w:sz w:val="24"/>
                <w:highlight w:val="none"/>
              </w:rPr>
            </w:pPr>
            <w:r>
              <w:rPr>
                <w:rFonts w:ascii="宋体" w:hAnsi="宋体" w:cs="宋体"/>
                <w:kern w:val="0"/>
                <w:sz w:val="24"/>
                <w:highlight w:val="none"/>
              </w:rPr>
              <w:t>63</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0DA67E58">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50F8B659">
            <w:pPr>
              <w:widowControl/>
              <w:adjustRightInd/>
              <w:jc w:val="left"/>
              <w:rPr>
                <w:rFonts w:ascii="宋体" w:hAnsi="宋体" w:cs="宋体"/>
                <w:kern w:val="0"/>
                <w:sz w:val="24"/>
                <w:highlight w:val="none"/>
              </w:rPr>
            </w:pPr>
            <w:r>
              <w:rPr>
                <w:rFonts w:hint="eastAsia" w:ascii="宋体" w:hAnsi="宋体" w:cs="宋体"/>
                <w:kern w:val="0"/>
                <w:sz w:val="24"/>
                <w:highlight w:val="none"/>
              </w:rPr>
              <w:t>▲集群支持</w:t>
            </w:r>
          </w:p>
        </w:tc>
        <w:tc>
          <w:tcPr>
            <w:tcW w:w="3959" w:type="dxa"/>
            <w:tcBorders>
              <w:top w:val="nil"/>
              <w:left w:val="nil"/>
              <w:bottom w:val="single" w:color="auto" w:sz="4" w:space="0"/>
              <w:right w:val="single" w:color="auto" w:sz="4" w:space="0"/>
            </w:tcBorders>
            <w:shd w:val="clear" w:color="000000" w:fill="FFFFFF"/>
            <w:vAlign w:val="center"/>
          </w:tcPr>
          <w:p w14:paraId="0DDFCE37">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操作系统支持基于虚拟路由器冗余协议的高可用集群部署模式</w:t>
            </w:r>
          </w:p>
        </w:tc>
      </w:tr>
      <w:tr w14:paraId="4AC5B93F">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4A783634">
            <w:pPr>
              <w:widowControl/>
              <w:adjustRightInd/>
              <w:jc w:val="center"/>
              <w:rPr>
                <w:rFonts w:ascii="宋体" w:hAnsi="宋体" w:cs="宋体"/>
                <w:kern w:val="0"/>
                <w:sz w:val="24"/>
                <w:highlight w:val="none"/>
              </w:rPr>
            </w:pPr>
            <w:r>
              <w:rPr>
                <w:rFonts w:ascii="宋体" w:hAnsi="宋体" w:cs="宋体"/>
                <w:kern w:val="0"/>
                <w:sz w:val="24"/>
                <w:highlight w:val="none"/>
              </w:rPr>
              <w:t>64</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258225C2">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0C34BCAB">
            <w:pPr>
              <w:widowControl/>
              <w:adjustRightInd/>
              <w:jc w:val="left"/>
              <w:rPr>
                <w:rFonts w:ascii="宋体" w:hAnsi="宋体" w:cs="宋体"/>
                <w:kern w:val="0"/>
                <w:sz w:val="24"/>
                <w:highlight w:val="none"/>
              </w:rPr>
            </w:pPr>
            <w:r>
              <w:rPr>
                <w:rFonts w:hint="eastAsia" w:ascii="宋体" w:hAnsi="宋体" w:cs="宋体"/>
                <w:kern w:val="0"/>
                <w:sz w:val="24"/>
                <w:highlight w:val="none"/>
              </w:rPr>
              <w:t>▲分布式服务</w:t>
            </w:r>
          </w:p>
        </w:tc>
        <w:tc>
          <w:tcPr>
            <w:tcW w:w="3959" w:type="dxa"/>
            <w:tcBorders>
              <w:top w:val="nil"/>
              <w:left w:val="nil"/>
              <w:bottom w:val="single" w:color="auto" w:sz="4" w:space="0"/>
              <w:right w:val="single" w:color="auto" w:sz="4" w:space="0"/>
            </w:tcBorders>
            <w:shd w:val="clear" w:color="000000" w:fill="FFFFFF"/>
            <w:vAlign w:val="center"/>
          </w:tcPr>
          <w:p w14:paraId="535B1A17">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操作系统支持基于同步、异步请求处理机制的分布式服务</w:t>
            </w:r>
          </w:p>
        </w:tc>
      </w:tr>
      <w:tr w14:paraId="4FEAD132">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3460C702">
            <w:pPr>
              <w:widowControl/>
              <w:adjustRightInd/>
              <w:jc w:val="center"/>
              <w:rPr>
                <w:rFonts w:ascii="宋体" w:hAnsi="宋体" w:cs="宋体"/>
                <w:kern w:val="0"/>
                <w:sz w:val="24"/>
                <w:highlight w:val="none"/>
              </w:rPr>
            </w:pPr>
            <w:r>
              <w:rPr>
                <w:rFonts w:ascii="宋体" w:hAnsi="宋体" w:cs="宋体"/>
                <w:kern w:val="0"/>
                <w:sz w:val="24"/>
                <w:highlight w:val="none"/>
              </w:rPr>
              <w:t>65</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1AB38928">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2A02D439">
            <w:pPr>
              <w:widowControl/>
              <w:adjustRightInd/>
              <w:jc w:val="left"/>
              <w:rPr>
                <w:rFonts w:ascii="宋体" w:hAnsi="宋体" w:cs="宋体"/>
                <w:kern w:val="0"/>
                <w:sz w:val="24"/>
                <w:highlight w:val="none"/>
              </w:rPr>
            </w:pPr>
            <w:r>
              <w:rPr>
                <w:rFonts w:hint="eastAsia" w:ascii="宋体" w:hAnsi="宋体" w:cs="宋体"/>
                <w:kern w:val="0"/>
                <w:sz w:val="24"/>
                <w:highlight w:val="none"/>
              </w:rPr>
              <w:t>▲负载均衡模式</w:t>
            </w:r>
          </w:p>
        </w:tc>
        <w:tc>
          <w:tcPr>
            <w:tcW w:w="3959" w:type="dxa"/>
            <w:tcBorders>
              <w:top w:val="nil"/>
              <w:left w:val="nil"/>
              <w:bottom w:val="single" w:color="auto" w:sz="4" w:space="0"/>
              <w:right w:val="single" w:color="auto" w:sz="4" w:space="0"/>
            </w:tcBorders>
            <w:shd w:val="clear" w:color="000000" w:fill="FFFFFF"/>
            <w:vAlign w:val="center"/>
          </w:tcPr>
          <w:p w14:paraId="71023B6A">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操作系统支持基于</w:t>
            </w:r>
            <w:r>
              <w:rPr>
                <w:rFonts w:ascii="宋体" w:hAnsi="宋体" w:cs="宋体"/>
                <w:kern w:val="0"/>
                <w:sz w:val="24"/>
                <w:highlight w:val="none"/>
              </w:rPr>
              <w:t>OSI模型的4/7层和链路层的负载均衡模式</w:t>
            </w:r>
          </w:p>
        </w:tc>
      </w:tr>
      <w:tr w14:paraId="6F45EF98">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3D5CB67E">
            <w:pPr>
              <w:widowControl/>
              <w:adjustRightInd/>
              <w:jc w:val="center"/>
              <w:rPr>
                <w:rFonts w:ascii="宋体" w:hAnsi="宋体" w:cs="宋体"/>
                <w:kern w:val="0"/>
                <w:sz w:val="24"/>
                <w:highlight w:val="none"/>
              </w:rPr>
            </w:pPr>
            <w:r>
              <w:rPr>
                <w:rFonts w:ascii="宋体" w:hAnsi="宋体" w:cs="宋体"/>
                <w:kern w:val="0"/>
                <w:sz w:val="24"/>
                <w:highlight w:val="none"/>
              </w:rPr>
              <w:t>66</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33B2E559">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3F6AE3F1">
            <w:pPr>
              <w:widowControl/>
              <w:adjustRightInd/>
              <w:jc w:val="left"/>
              <w:rPr>
                <w:rFonts w:ascii="宋体" w:hAnsi="宋体" w:cs="宋体"/>
                <w:kern w:val="0"/>
                <w:sz w:val="24"/>
                <w:highlight w:val="none"/>
              </w:rPr>
            </w:pPr>
            <w:r>
              <w:rPr>
                <w:rFonts w:hint="eastAsia" w:ascii="宋体" w:hAnsi="宋体" w:cs="宋体"/>
                <w:kern w:val="0"/>
                <w:sz w:val="24"/>
                <w:highlight w:val="none"/>
              </w:rPr>
              <w:t>▲负载均衡模式</w:t>
            </w:r>
          </w:p>
        </w:tc>
        <w:tc>
          <w:tcPr>
            <w:tcW w:w="3959" w:type="dxa"/>
            <w:tcBorders>
              <w:top w:val="nil"/>
              <w:left w:val="nil"/>
              <w:bottom w:val="single" w:color="auto" w:sz="4" w:space="0"/>
              <w:right w:val="single" w:color="auto" w:sz="4" w:space="0"/>
            </w:tcBorders>
            <w:shd w:val="clear" w:color="000000" w:fill="FFFFFF"/>
            <w:vAlign w:val="center"/>
          </w:tcPr>
          <w:p w14:paraId="787A2629">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操作系统支持基于不同调度算法的负载均衡模式</w:t>
            </w:r>
          </w:p>
        </w:tc>
      </w:tr>
      <w:tr w14:paraId="40024904">
        <w:tblPrEx>
          <w:tblCellMar>
            <w:top w:w="0" w:type="dxa"/>
            <w:left w:w="108" w:type="dxa"/>
            <w:bottom w:w="0" w:type="dxa"/>
            <w:right w:w="108" w:type="dxa"/>
          </w:tblCellMar>
        </w:tblPrEx>
        <w:trPr>
          <w:trHeight w:val="936"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6A37B879">
            <w:pPr>
              <w:widowControl/>
              <w:adjustRightInd/>
              <w:jc w:val="center"/>
              <w:rPr>
                <w:rFonts w:ascii="宋体" w:hAnsi="宋体" w:cs="宋体"/>
                <w:kern w:val="0"/>
                <w:sz w:val="24"/>
                <w:highlight w:val="none"/>
              </w:rPr>
            </w:pPr>
            <w:r>
              <w:rPr>
                <w:rFonts w:ascii="宋体" w:hAnsi="宋体" w:cs="宋体"/>
                <w:kern w:val="0"/>
                <w:sz w:val="24"/>
                <w:highlight w:val="none"/>
              </w:rPr>
              <w:t>67</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06BD4AC9">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37F920D9">
            <w:pPr>
              <w:widowControl/>
              <w:adjustRightInd/>
              <w:jc w:val="left"/>
              <w:rPr>
                <w:rFonts w:ascii="宋体" w:hAnsi="宋体" w:cs="宋体"/>
                <w:kern w:val="0"/>
                <w:sz w:val="24"/>
                <w:highlight w:val="none"/>
              </w:rPr>
            </w:pPr>
            <w:r>
              <w:rPr>
                <w:rFonts w:hint="eastAsia" w:ascii="宋体" w:hAnsi="宋体" w:cs="宋体"/>
                <w:kern w:val="0"/>
                <w:sz w:val="24"/>
                <w:highlight w:val="none"/>
              </w:rPr>
              <w:t>▲高可用服务</w:t>
            </w:r>
          </w:p>
        </w:tc>
        <w:tc>
          <w:tcPr>
            <w:tcW w:w="3959" w:type="dxa"/>
            <w:tcBorders>
              <w:top w:val="nil"/>
              <w:left w:val="nil"/>
              <w:bottom w:val="single" w:color="auto" w:sz="4" w:space="0"/>
              <w:right w:val="single" w:color="auto" w:sz="4" w:space="0"/>
            </w:tcBorders>
            <w:shd w:val="clear" w:color="000000" w:fill="FFFFFF"/>
            <w:vAlign w:val="center"/>
          </w:tcPr>
          <w:p w14:paraId="3CF5E4A2">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操作系统提供对</w:t>
            </w:r>
            <w:r>
              <w:rPr>
                <w:rFonts w:ascii="宋体" w:hAnsi="宋体" w:cs="宋体"/>
                <w:kern w:val="0"/>
                <w:sz w:val="24"/>
                <w:highlight w:val="none"/>
              </w:rPr>
              <w:t>HA的支持，支持多种集群配置模式，包括主主模式、主备模式、N+1模式和N+M模式，支持资源及节点故障检测</w:t>
            </w:r>
          </w:p>
        </w:tc>
      </w:tr>
      <w:tr w14:paraId="2FB300ED">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29847537">
            <w:pPr>
              <w:widowControl/>
              <w:adjustRightInd/>
              <w:jc w:val="center"/>
              <w:rPr>
                <w:rFonts w:ascii="宋体" w:hAnsi="宋体" w:cs="宋体"/>
                <w:kern w:val="0"/>
                <w:sz w:val="24"/>
                <w:highlight w:val="none"/>
              </w:rPr>
            </w:pPr>
            <w:r>
              <w:rPr>
                <w:rFonts w:ascii="宋体" w:hAnsi="宋体" w:cs="宋体"/>
                <w:kern w:val="0"/>
                <w:sz w:val="24"/>
                <w:highlight w:val="none"/>
              </w:rPr>
              <w:t>68</w:t>
            </w:r>
          </w:p>
        </w:tc>
        <w:tc>
          <w:tcPr>
            <w:tcW w:w="1306" w:type="dxa"/>
            <w:vMerge w:val="restart"/>
            <w:tcBorders>
              <w:top w:val="nil"/>
              <w:left w:val="single" w:color="auto" w:sz="4" w:space="0"/>
              <w:bottom w:val="single" w:color="000000" w:sz="4" w:space="0"/>
              <w:right w:val="single" w:color="auto" w:sz="4" w:space="0"/>
            </w:tcBorders>
            <w:shd w:val="clear" w:color="000000" w:fill="FFFFFF"/>
            <w:vAlign w:val="center"/>
          </w:tcPr>
          <w:p w14:paraId="7C7CEAC3">
            <w:pPr>
              <w:widowControl/>
              <w:adjustRightInd/>
              <w:jc w:val="left"/>
              <w:rPr>
                <w:rFonts w:ascii="宋体" w:hAnsi="宋体" w:cs="宋体"/>
                <w:kern w:val="0"/>
                <w:sz w:val="24"/>
                <w:highlight w:val="none"/>
              </w:rPr>
            </w:pPr>
            <w:r>
              <w:rPr>
                <w:rFonts w:hint="eastAsia" w:ascii="宋体" w:hAnsi="宋体" w:cs="宋体"/>
                <w:kern w:val="0"/>
                <w:sz w:val="24"/>
                <w:highlight w:val="none"/>
              </w:rPr>
              <w:t>▲虚拟化</w:t>
            </w:r>
          </w:p>
        </w:tc>
        <w:tc>
          <w:tcPr>
            <w:tcW w:w="3150" w:type="dxa"/>
            <w:tcBorders>
              <w:top w:val="nil"/>
              <w:left w:val="nil"/>
              <w:bottom w:val="single" w:color="auto" w:sz="4" w:space="0"/>
              <w:right w:val="single" w:color="auto" w:sz="4" w:space="0"/>
            </w:tcBorders>
            <w:shd w:val="clear" w:color="000000" w:fill="FFFFFF"/>
            <w:vAlign w:val="center"/>
          </w:tcPr>
          <w:p w14:paraId="5E7C5153">
            <w:pPr>
              <w:widowControl/>
              <w:adjustRightInd/>
              <w:jc w:val="left"/>
              <w:rPr>
                <w:rFonts w:ascii="宋体" w:hAnsi="宋体" w:cs="宋体"/>
                <w:kern w:val="0"/>
                <w:sz w:val="24"/>
                <w:highlight w:val="none"/>
              </w:rPr>
            </w:pPr>
            <w:r>
              <w:rPr>
                <w:rFonts w:hint="eastAsia" w:ascii="宋体" w:hAnsi="宋体" w:cs="宋体"/>
                <w:kern w:val="0"/>
                <w:sz w:val="24"/>
                <w:highlight w:val="none"/>
              </w:rPr>
              <w:t>▲虚拟化部署</w:t>
            </w:r>
          </w:p>
        </w:tc>
        <w:tc>
          <w:tcPr>
            <w:tcW w:w="3959" w:type="dxa"/>
            <w:tcBorders>
              <w:top w:val="nil"/>
              <w:left w:val="nil"/>
              <w:bottom w:val="single" w:color="auto" w:sz="4" w:space="0"/>
              <w:right w:val="single" w:color="auto" w:sz="4" w:space="0"/>
            </w:tcBorders>
            <w:shd w:val="clear" w:color="000000" w:fill="FFFFFF"/>
            <w:vAlign w:val="center"/>
          </w:tcPr>
          <w:p w14:paraId="1F71F150">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操作系统支持在</w:t>
            </w:r>
            <w:r>
              <w:rPr>
                <w:rFonts w:ascii="宋体" w:hAnsi="宋体" w:cs="宋体"/>
                <w:kern w:val="0"/>
                <w:sz w:val="24"/>
                <w:highlight w:val="none"/>
              </w:rPr>
              <w:t>KVM、Xen、Hyper-V虚拟机上安装部署操作系统</w:t>
            </w:r>
          </w:p>
        </w:tc>
      </w:tr>
      <w:tr w14:paraId="52AE10E4">
        <w:tblPrEx>
          <w:tblCellMar>
            <w:top w:w="0" w:type="dxa"/>
            <w:left w:w="108" w:type="dxa"/>
            <w:bottom w:w="0" w:type="dxa"/>
            <w:right w:w="108" w:type="dxa"/>
          </w:tblCellMar>
        </w:tblPrEx>
        <w:trPr>
          <w:trHeight w:val="1018"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7FD9E8AA">
            <w:pPr>
              <w:widowControl/>
              <w:adjustRightInd/>
              <w:jc w:val="center"/>
              <w:rPr>
                <w:rFonts w:ascii="宋体" w:hAnsi="宋体" w:cs="宋体"/>
                <w:kern w:val="0"/>
                <w:sz w:val="24"/>
                <w:highlight w:val="none"/>
              </w:rPr>
            </w:pPr>
            <w:r>
              <w:rPr>
                <w:rFonts w:ascii="宋体" w:hAnsi="宋体" w:cs="宋体"/>
                <w:kern w:val="0"/>
                <w:sz w:val="24"/>
                <w:highlight w:val="none"/>
              </w:rPr>
              <w:t>69</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2D0C7C5F">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415D3835">
            <w:pPr>
              <w:widowControl/>
              <w:adjustRightInd/>
              <w:jc w:val="left"/>
              <w:rPr>
                <w:rFonts w:ascii="宋体" w:hAnsi="宋体" w:cs="宋体"/>
                <w:kern w:val="0"/>
                <w:sz w:val="24"/>
                <w:highlight w:val="none"/>
              </w:rPr>
            </w:pPr>
            <w:r>
              <w:rPr>
                <w:rFonts w:hint="eastAsia" w:ascii="宋体" w:hAnsi="宋体" w:cs="宋体"/>
                <w:kern w:val="0"/>
                <w:sz w:val="24"/>
                <w:highlight w:val="none"/>
              </w:rPr>
              <w:t>▲内核虚拟化</w:t>
            </w:r>
            <w:r>
              <w:rPr>
                <w:rFonts w:ascii="宋体" w:hAnsi="宋体" w:cs="宋体"/>
                <w:kern w:val="0"/>
                <w:sz w:val="24"/>
                <w:highlight w:val="none"/>
              </w:rPr>
              <w:t>(KVM)</w:t>
            </w:r>
          </w:p>
        </w:tc>
        <w:tc>
          <w:tcPr>
            <w:tcW w:w="3959" w:type="dxa"/>
            <w:tcBorders>
              <w:top w:val="nil"/>
              <w:left w:val="nil"/>
              <w:bottom w:val="single" w:color="auto" w:sz="4" w:space="0"/>
              <w:right w:val="single" w:color="auto" w:sz="4" w:space="0"/>
            </w:tcBorders>
            <w:shd w:val="clear" w:color="000000" w:fill="FFFFFF"/>
            <w:vAlign w:val="center"/>
          </w:tcPr>
          <w:p w14:paraId="4613E28D">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w:t>
            </w:r>
            <w:r>
              <w:rPr>
                <w:rFonts w:ascii="宋体" w:hAnsi="宋体" w:cs="宋体"/>
                <w:kern w:val="0"/>
                <w:sz w:val="24"/>
                <w:highlight w:val="none"/>
              </w:rPr>
              <w:t>KVM虚拟化：对虚拟机进行启、停等管理操作；对虚拟机硬盘做快照并从快照恢复；兼容qemu、libvirt标准接口；</w:t>
            </w:r>
          </w:p>
          <w:p w14:paraId="64DF97D4">
            <w:pPr>
              <w:widowControl/>
              <w:adjustRightInd/>
              <w:jc w:val="left"/>
              <w:rPr>
                <w:rFonts w:ascii="宋体" w:hAnsi="宋体" w:cs="宋体"/>
                <w:kern w:val="0"/>
                <w:sz w:val="24"/>
                <w:highlight w:val="none"/>
              </w:rPr>
            </w:pPr>
            <w:r>
              <w:rPr>
                <w:rFonts w:hint="eastAsia" w:ascii="宋体" w:hAnsi="宋体" w:cs="宋体"/>
                <w:kern w:val="0"/>
                <w:sz w:val="24"/>
                <w:highlight w:val="none"/>
              </w:rPr>
              <w:t>支持</w:t>
            </w:r>
            <w:r>
              <w:rPr>
                <w:rFonts w:ascii="宋体" w:hAnsi="宋体" w:cs="宋体"/>
                <w:kern w:val="0"/>
                <w:sz w:val="24"/>
                <w:highlight w:val="none"/>
              </w:rPr>
              <w:t>UEFI或legacyBIOS方式启动；</w:t>
            </w:r>
          </w:p>
          <w:p w14:paraId="27D08EA7">
            <w:pPr>
              <w:widowControl/>
              <w:adjustRightInd/>
              <w:jc w:val="left"/>
              <w:rPr>
                <w:rFonts w:ascii="宋体" w:hAnsi="宋体" w:cs="宋体"/>
                <w:kern w:val="0"/>
                <w:sz w:val="24"/>
                <w:highlight w:val="none"/>
              </w:rPr>
            </w:pPr>
            <w:r>
              <w:rPr>
                <w:rFonts w:hint="eastAsia" w:ascii="宋体" w:hAnsi="宋体" w:cs="宋体"/>
                <w:kern w:val="0"/>
                <w:sz w:val="24"/>
                <w:highlight w:val="none"/>
              </w:rPr>
              <w:t>支持虚拟时钟</w:t>
            </w:r>
            <w:r>
              <w:rPr>
                <w:rFonts w:ascii="宋体" w:hAnsi="宋体" w:cs="宋体"/>
                <w:kern w:val="0"/>
                <w:sz w:val="24"/>
                <w:highlight w:val="none"/>
              </w:rPr>
              <w:t>arch-timer；</w:t>
            </w:r>
          </w:p>
          <w:p w14:paraId="52802736">
            <w:pPr>
              <w:widowControl/>
              <w:adjustRightInd/>
              <w:jc w:val="left"/>
              <w:rPr>
                <w:rFonts w:ascii="宋体" w:hAnsi="宋体" w:cs="宋体"/>
                <w:kern w:val="0"/>
                <w:sz w:val="24"/>
                <w:highlight w:val="none"/>
              </w:rPr>
            </w:pPr>
            <w:r>
              <w:rPr>
                <w:rFonts w:hint="eastAsia" w:ascii="宋体" w:hAnsi="宋体" w:cs="宋体"/>
                <w:kern w:val="0"/>
                <w:sz w:val="24"/>
                <w:highlight w:val="none"/>
              </w:rPr>
              <w:t>支持虚拟鼠标、键盘、触控板、声卡、显卡、硬盘、</w:t>
            </w:r>
            <w:r>
              <w:rPr>
                <w:rFonts w:ascii="宋体" w:hAnsi="宋体" w:cs="宋体"/>
                <w:kern w:val="0"/>
                <w:sz w:val="24"/>
                <w:highlight w:val="none"/>
              </w:rPr>
              <w:t>CDROM、串口pty/pipe/file等设备；</w:t>
            </w:r>
          </w:p>
          <w:p w14:paraId="189178BC">
            <w:pPr>
              <w:widowControl/>
              <w:adjustRightInd/>
              <w:jc w:val="left"/>
              <w:rPr>
                <w:rFonts w:ascii="宋体" w:hAnsi="宋体" w:cs="宋体"/>
                <w:kern w:val="0"/>
                <w:sz w:val="24"/>
                <w:highlight w:val="none"/>
              </w:rPr>
            </w:pPr>
            <w:r>
              <w:rPr>
                <w:rFonts w:hint="eastAsia" w:ascii="宋体" w:hAnsi="宋体" w:cs="宋体"/>
                <w:kern w:val="0"/>
                <w:sz w:val="24"/>
                <w:highlight w:val="none"/>
              </w:rPr>
              <w:t>支持</w:t>
            </w:r>
            <w:r>
              <w:rPr>
                <w:rFonts w:ascii="宋体" w:hAnsi="宋体" w:cs="宋体"/>
                <w:kern w:val="0"/>
                <w:sz w:val="24"/>
                <w:highlight w:val="none"/>
              </w:rPr>
              <w:t>Virtio协议下的虚拟设备，包括串口、blk驱动硬盘、SCSI驱动硬盘、不同后端控制器类型的Virtio网卡(包括内核态、用户态、qemu)、GPU、vsock设备等；</w:t>
            </w:r>
          </w:p>
          <w:p w14:paraId="28B64A1A">
            <w:pPr>
              <w:widowControl/>
              <w:adjustRightInd/>
              <w:jc w:val="left"/>
              <w:rPr>
                <w:rFonts w:ascii="宋体" w:hAnsi="宋体" w:cs="宋体"/>
                <w:kern w:val="0"/>
                <w:sz w:val="24"/>
                <w:highlight w:val="none"/>
              </w:rPr>
            </w:pPr>
            <w:r>
              <w:rPr>
                <w:rFonts w:hint="eastAsia" w:ascii="宋体" w:hAnsi="宋体" w:cs="宋体"/>
                <w:kern w:val="0"/>
                <w:sz w:val="24"/>
                <w:highlight w:val="none"/>
              </w:rPr>
              <w:t>支持硬盘和网卡选择类型</w:t>
            </w:r>
            <w:r>
              <w:rPr>
                <w:rFonts w:ascii="宋体" w:hAnsi="宋体" w:cs="宋体"/>
                <w:kern w:val="0"/>
                <w:sz w:val="24"/>
                <w:highlight w:val="none"/>
              </w:rPr>
              <w:t>VFIO设备；</w:t>
            </w:r>
          </w:p>
          <w:p w14:paraId="03B8BBFF">
            <w:pPr>
              <w:widowControl/>
              <w:adjustRightInd/>
              <w:jc w:val="left"/>
              <w:rPr>
                <w:rFonts w:ascii="宋体" w:hAnsi="宋体" w:cs="宋体"/>
                <w:kern w:val="0"/>
                <w:sz w:val="24"/>
                <w:highlight w:val="none"/>
              </w:rPr>
            </w:pPr>
            <w:r>
              <w:rPr>
                <w:rFonts w:hint="eastAsia" w:ascii="宋体" w:hAnsi="宋体" w:cs="宋体"/>
                <w:kern w:val="0"/>
                <w:sz w:val="24"/>
                <w:highlight w:val="none"/>
              </w:rPr>
              <w:t>支持虚拟机</w:t>
            </w:r>
            <w:r>
              <w:rPr>
                <w:rFonts w:ascii="宋体" w:hAnsi="宋体" w:cs="宋体"/>
                <w:kern w:val="0"/>
                <w:sz w:val="24"/>
                <w:highlight w:val="none"/>
              </w:rPr>
              <w:t>CPU、内存、网卡、硬盘等离线调整；</w:t>
            </w:r>
          </w:p>
          <w:p w14:paraId="3C22EB0F">
            <w:pPr>
              <w:widowControl/>
              <w:adjustRightInd/>
              <w:jc w:val="left"/>
              <w:rPr>
                <w:rFonts w:ascii="宋体" w:hAnsi="宋体" w:cs="宋体"/>
                <w:kern w:val="0"/>
                <w:sz w:val="24"/>
                <w:highlight w:val="none"/>
              </w:rPr>
            </w:pPr>
            <w:r>
              <w:rPr>
                <w:rFonts w:hint="eastAsia" w:ascii="宋体" w:hAnsi="宋体" w:cs="宋体"/>
                <w:kern w:val="0"/>
                <w:sz w:val="24"/>
                <w:highlight w:val="none"/>
              </w:rPr>
              <w:t>支持虚拟机网卡、硬盘、</w:t>
            </w:r>
            <w:r>
              <w:rPr>
                <w:rFonts w:ascii="宋体" w:hAnsi="宋体" w:cs="宋体"/>
                <w:kern w:val="0"/>
                <w:sz w:val="24"/>
                <w:highlight w:val="none"/>
              </w:rPr>
              <w:t>USB设备热插拔；</w:t>
            </w:r>
          </w:p>
          <w:p w14:paraId="64366A6E">
            <w:pPr>
              <w:widowControl/>
              <w:adjustRightInd/>
              <w:jc w:val="left"/>
              <w:rPr>
                <w:rFonts w:ascii="宋体" w:hAnsi="宋体" w:cs="宋体"/>
                <w:kern w:val="0"/>
                <w:sz w:val="24"/>
                <w:highlight w:val="none"/>
              </w:rPr>
            </w:pPr>
            <w:r>
              <w:rPr>
                <w:rFonts w:hint="eastAsia" w:ascii="宋体" w:hAnsi="宋体" w:cs="宋体"/>
                <w:kern w:val="0"/>
                <w:sz w:val="24"/>
                <w:highlight w:val="none"/>
              </w:rPr>
              <w:t>支持</w:t>
            </w:r>
            <w:r>
              <w:rPr>
                <w:rFonts w:ascii="宋体" w:hAnsi="宋体" w:cs="宋体"/>
                <w:kern w:val="0"/>
                <w:sz w:val="24"/>
                <w:highlight w:val="none"/>
              </w:rPr>
              <w:t>PCI/PCIE设备直通；</w:t>
            </w:r>
          </w:p>
          <w:p w14:paraId="7CC63AAE">
            <w:pPr>
              <w:widowControl/>
              <w:adjustRightInd/>
              <w:jc w:val="left"/>
              <w:rPr>
                <w:rFonts w:ascii="宋体" w:hAnsi="宋体" w:cs="宋体"/>
                <w:kern w:val="0"/>
                <w:sz w:val="24"/>
                <w:highlight w:val="none"/>
              </w:rPr>
            </w:pPr>
            <w:r>
              <w:rPr>
                <w:rFonts w:hint="eastAsia" w:ascii="宋体" w:hAnsi="宋体" w:cs="宋体"/>
                <w:kern w:val="0"/>
                <w:sz w:val="24"/>
                <w:highlight w:val="none"/>
              </w:rPr>
              <w:t>支持虚拟机热迁移和加密传输；</w:t>
            </w:r>
          </w:p>
          <w:p w14:paraId="31B319B4">
            <w:pPr>
              <w:widowControl/>
              <w:adjustRightInd/>
              <w:jc w:val="left"/>
              <w:rPr>
                <w:rFonts w:ascii="宋体" w:hAnsi="宋体" w:cs="宋体"/>
                <w:kern w:val="0"/>
                <w:sz w:val="24"/>
                <w:highlight w:val="none"/>
              </w:rPr>
            </w:pPr>
            <w:r>
              <w:rPr>
                <w:rFonts w:hint="eastAsia" w:ascii="宋体" w:hAnsi="宋体" w:cs="宋体"/>
                <w:kern w:val="0"/>
                <w:sz w:val="24"/>
                <w:highlight w:val="none"/>
              </w:rPr>
              <w:t>支持虚拟机远程访问；支持虚拟机</w:t>
            </w:r>
            <w:r>
              <w:rPr>
                <w:rFonts w:ascii="宋体" w:hAnsi="宋体" w:cs="宋体"/>
                <w:kern w:val="0"/>
                <w:sz w:val="24"/>
                <w:highlight w:val="none"/>
              </w:rPr>
              <w:t>CPU和I/O线程绑定</w:t>
            </w:r>
          </w:p>
        </w:tc>
      </w:tr>
      <w:tr w14:paraId="36FC6E51">
        <w:tblPrEx>
          <w:tblCellMar>
            <w:top w:w="0" w:type="dxa"/>
            <w:left w:w="108" w:type="dxa"/>
            <w:bottom w:w="0" w:type="dxa"/>
            <w:right w:w="108" w:type="dxa"/>
          </w:tblCellMar>
        </w:tblPrEx>
        <w:trPr>
          <w:trHeight w:val="218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3E65F6C1">
            <w:pPr>
              <w:widowControl/>
              <w:adjustRightInd/>
              <w:jc w:val="center"/>
              <w:rPr>
                <w:rFonts w:ascii="宋体" w:hAnsi="宋体" w:cs="宋体"/>
                <w:kern w:val="0"/>
                <w:sz w:val="24"/>
                <w:highlight w:val="none"/>
              </w:rPr>
            </w:pPr>
            <w:r>
              <w:rPr>
                <w:rFonts w:ascii="宋体" w:hAnsi="宋体" w:cs="宋体"/>
                <w:kern w:val="0"/>
                <w:sz w:val="24"/>
                <w:highlight w:val="none"/>
              </w:rPr>
              <w:t>70</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77135A96">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0680C430">
            <w:pPr>
              <w:widowControl/>
              <w:adjustRightInd/>
              <w:jc w:val="left"/>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KVM虚拟机管理</w:t>
            </w:r>
          </w:p>
        </w:tc>
        <w:tc>
          <w:tcPr>
            <w:tcW w:w="3959" w:type="dxa"/>
            <w:tcBorders>
              <w:top w:val="nil"/>
              <w:left w:val="nil"/>
              <w:bottom w:val="single" w:color="auto" w:sz="4" w:space="0"/>
              <w:right w:val="single" w:color="auto" w:sz="4" w:space="0"/>
            </w:tcBorders>
            <w:shd w:val="clear" w:color="000000" w:fill="FFFFFF"/>
            <w:vAlign w:val="center"/>
          </w:tcPr>
          <w:p w14:paraId="4E77CBFA">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操作系统支持虚拟机对主机的访问控制；虚拟机可以拥有独立的物理资源，且各个虚拟机之间严格隔离；支持大页内存运行虚拟机；支持三种</w:t>
            </w:r>
            <w:r>
              <w:rPr>
                <w:rFonts w:ascii="宋体" w:hAnsi="宋体" w:cs="宋体"/>
                <w:kern w:val="0"/>
                <w:sz w:val="24"/>
                <w:highlight w:val="none"/>
              </w:rPr>
              <w:t>CPU型号模拟模式，包括直通、宿主模型、自定义；支持虚拟机资源调配控制，包括Numa、CPU、内存、I/O、网卡；支持CPU拓扑模拟和透传</w:t>
            </w:r>
          </w:p>
        </w:tc>
      </w:tr>
      <w:tr w14:paraId="70B34D77">
        <w:tblPrEx>
          <w:tblCellMar>
            <w:top w:w="0" w:type="dxa"/>
            <w:left w:w="108" w:type="dxa"/>
            <w:bottom w:w="0" w:type="dxa"/>
            <w:right w:w="108" w:type="dxa"/>
          </w:tblCellMar>
        </w:tblPrEx>
        <w:trPr>
          <w:trHeight w:val="4368"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4C954EBE">
            <w:pPr>
              <w:widowControl/>
              <w:adjustRightInd/>
              <w:jc w:val="center"/>
              <w:rPr>
                <w:rFonts w:ascii="宋体" w:hAnsi="宋体" w:cs="宋体"/>
                <w:kern w:val="0"/>
                <w:sz w:val="24"/>
                <w:highlight w:val="none"/>
              </w:rPr>
            </w:pPr>
            <w:r>
              <w:rPr>
                <w:rFonts w:ascii="宋体" w:hAnsi="宋体" w:cs="宋体"/>
                <w:kern w:val="0"/>
                <w:sz w:val="24"/>
                <w:highlight w:val="none"/>
              </w:rPr>
              <w:t>71</w:t>
            </w:r>
          </w:p>
        </w:tc>
        <w:tc>
          <w:tcPr>
            <w:tcW w:w="1306" w:type="dxa"/>
            <w:tcBorders>
              <w:top w:val="nil"/>
              <w:left w:val="nil"/>
              <w:bottom w:val="single" w:color="auto" w:sz="4" w:space="0"/>
              <w:right w:val="single" w:color="auto" w:sz="4" w:space="0"/>
            </w:tcBorders>
            <w:shd w:val="clear" w:color="000000" w:fill="FFFFFF"/>
            <w:vAlign w:val="center"/>
          </w:tcPr>
          <w:p w14:paraId="4C5712D6">
            <w:pPr>
              <w:widowControl/>
              <w:adjustRightInd/>
              <w:jc w:val="left"/>
              <w:rPr>
                <w:rFonts w:ascii="宋体" w:hAnsi="宋体" w:cs="宋体"/>
                <w:kern w:val="0"/>
                <w:sz w:val="24"/>
                <w:highlight w:val="none"/>
              </w:rPr>
            </w:pPr>
            <w:r>
              <w:rPr>
                <w:rFonts w:hint="eastAsia" w:ascii="宋体" w:hAnsi="宋体" w:cs="宋体"/>
                <w:kern w:val="0"/>
                <w:sz w:val="24"/>
                <w:highlight w:val="none"/>
              </w:rPr>
              <w:t>▲容器</w:t>
            </w:r>
          </w:p>
        </w:tc>
        <w:tc>
          <w:tcPr>
            <w:tcW w:w="3150" w:type="dxa"/>
            <w:tcBorders>
              <w:top w:val="nil"/>
              <w:left w:val="nil"/>
              <w:bottom w:val="single" w:color="auto" w:sz="4" w:space="0"/>
              <w:right w:val="single" w:color="auto" w:sz="4" w:space="0"/>
            </w:tcBorders>
            <w:shd w:val="clear" w:color="000000" w:fill="FFFFFF"/>
            <w:vAlign w:val="center"/>
          </w:tcPr>
          <w:p w14:paraId="5F89B17C">
            <w:pPr>
              <w:widowControl/>
              <w:adjustRightInd/>
              <w:jc w:val="left"/>
              <w:rPr>
                <w:rFonts w:ascii="宋体" w:hAnsi="宋体" w:cs="宋体"/>
                <w:kern w:val="0"/>
                <w:sz w:val="24"/>
                <w:highlight w:val="none"/>
              </w:rPr>
            </w:pPr>
            <w:r>
              <w:rPr>
                <w:rFonts w:hint="eastAsia" w:ascii="宋体" w:hAnsi="宋体" w:cs="宋体"/>
                <w:kern w:val="0"/>
                <w:sz w:val="24"/>
                <w:highlight w:val="none"/>
              </w:rPr>
              <w:t>▲容器虚拟化</w:t>
            </w:r>
          </w:p>
        </w:tc>
        <w:tc>
          <w:tcPr>
            <w:tcW w:w="3959" w:type="dxa"/>
            <w:tcBorders>
              <w:top w:val="nil"/>
              <w:left w:val="nil"/>
              <w:bottom w:val="single" w:color="auto" w:sz="4" w:space="0"/>
              <w:right w:val="single" w:color="auto" w:sz="4" w:space="0"/>
            </w:tcBorders>
            <w:shd w:val="clear" w:color="000000" w:fill="FFFFFF"/>
            <w:vAlign w:val="center"/>
          </w:tcPr>
          <w:p w14:paraId="141348BE">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w:t>
            </w:r>
            <w:r>
              <w:rPr>
                <w:rFonts w:ascii="宋体" w:hAnsi="宋体" w:cs="宋体"/>
                <w:kern w:val="0"/>
                <w:sz w:val="24"/>
                <w:highlight w:val="none"/>
              </w:rPr>
              <w:t>OCI；支持进程命名空间隔离技术包括不限于mnt、pid、ipc、uts、user、network等；支持在同CPU指令架构下的不同规格硬件上无缝分发，保障运行兼容性；支持沙箱扩展；支持面向容器的独立逻辑文件管理，具备在容器创建时指定专用根文件夹，容器内进程文件访问重定向等功能；支持日志查询功能；支持通过控制终端对容器内主进程的标准输入输出对接交互；支持通过控制终端对容器内新建进程的标准输入输出对接交互；支持容器存储卷管理（新增、删除、卷容量配置、自动回收）、卷共享；支持面向容器的网络设备资源分配和使用；支持CNI；支持容器获取物理节点资源信息</w:t>
            </w:r>
          </w:p>
        </w:tc>
      </w:tr>
      <w:tr w14:paraId="38F9BA4C">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37394C48">
            <w:pPr>
              <w:widowControl/>
              <w:adjustRightInd/>
              <w:jc w:val="center"/>
              <w:rPr>
                <w:rFonts w:ascii="宋体" w:hAnsi="宋体" w:cs="宋体"/>
                <w:kern w:val="0"/>
                <w:sz w:val="24"/>
                <w:highlight w:val="none"/>
              </w:rPr>
            </w:pPr>
            <w:r>
              <w:rPr>
                <w:rFonts w:ascii="宋体" w:hAnsi="宋体" w:cs="宋体"/>
                <w:kern w:val="0"/>
                <w:sz w:val="24"/>
                <w:highlight w:val="none"/>
              </w:rPr>
              <w:t>72</w:t>
            </w:r>
          </w:p>
        </w:tc>
        <w:tc>
          <w:tcPr>
            <w:tcW w:w="1306" w:type="dxa"/>
            <w:tcBorders>
              <w:top w:val="nil"/>
              <w:left w:val="nil"/>
              <w:bottom w:val="single" w:color="auto" w:sz="4" w:space="0"/>
              <w:right w:val="single" w:color="auto" w:sz="4" w:space="0"/>
            </w:tcBorders>
            <w:shd w:val="clear" w:color="000000" w:fill="FFFFFF"/>
            <w:vAlign w:val="center"/>
          </w:tcPr>
          <w:p w14:paraId="38CDD0A6">
            <w:pPr>
              <w:widowControl/>
              <w:adjustRightInd/>
              <w:jc w:val="left"/>
              <w:rPr>
                <w:rFonts w:ascii="宋体" w:hAnsi="宋体" w:cs="宋体"/>
                <w:kern w:val="0"/>
                <w:sz w:val="24"/>
                <w:highlight w:val="none"/>
              </w:rPr>
            </w:pPr>
            <w:r>
              <w:rPr>
                <w:rFonts w:hint="eastAsia" w:ascii="宋体" w:hAnsi="宋体" w:cs="宋体"/>
                <w:kern w:val="0"/>
                <w:sz w:val="24"/>
                <w:highlight w:val="none"/>
              </w:rPr>
              <w:t>▲容器</w:t>
            </w:r>
          </w:p>
        </w:tc>
        <w:tc>
          <w:tcPr>
            <w:tcW w:w="3150" w:type="dxa"/>
            <w:tcBorders>
              <w:top w:val="nil"/>
              <w:left w:val="nil"/>
              <w:bottom w:val="single" w:color="auto" w:sz="4" w:space="0"/>
              <w:right w:val="single" w:color="auto" w:sz="4" w:space="0"/>
            </w:tcBorders>
            <w:shd w:val="clear" w:color="000000" w:fill="FFFFFF"/>
            <w:vAlign w:val="center"/>
          </w:tcPr>
          <w:p w14:paraId="369D439D">
            <w:pPr>
              <w:widowControl/>
              <w:adjustRightInd/>
              <w:jc w:val="left"/>
              <w:rPr>
                <w:rFonts w:ascii="宋体" w:hAnsi="宋体" w:cs="宋体"/>
                <w:kern w:val="0"/>
                <w:sz w:val="24"/>
                <w:highlight w:val="none"/>
              </w:rPr>
            </w:pPr>
            <w:r>
              <w:rPr>
                <w:rFonts w:hint="eastAsia" w:ascii="宋体" w:hAnsi="宋体" w:cs="宋体"/>
                <w:kern w:val="0"/>
                <w:sz w:val="24"/>
                <w:highlight w:val="none"/>
              </w:rPr>
              <w:t>▲容器镜像和存储管理</w:t>
            </w:r>
          </w:p>
        </w:tc>
        <w:tc>
          <w:tcPr>
            <w:tcW w:w="3959" w:type="dxa"/>
            <w:tcBorders>
              <w:top w:val="nil"/>
              <w:left w:val="nil"/>
              <w:bottom w:val="single" w:color="auto" w:sz="4" w:space="0"/>
              <w:right w:val="single" w:color="auto" w:sz="4" w:space="0"/>
            </w:tcBorders>
            <w:shd w:val="clear" w:color="000000" w:fill="FFFFFF"/>
            <w:vAlign w:val="center"/>
          </w:tcPr>
          <w:p w14:paraId="5FA76A4C">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操作系统支持容器镜像导入、导出；支持容器镜像分层保存、导入</w:t>
            </w:r>
          </w:p>
        </w:tc>
      </w:tr>
      <w:tr w14:paraId="791AF01E">
        <w:tblPrEx>
          <w:tblCellMar>
            <w:top w:w="0" w:type="dxa"/>
            <w:left w:w="108" w:type="dxa"/>
            <w:bottom w:w="0" w:type="dxa"/>
            <w:right w:w="108" w:type="dxa"/>
          </w:tblCellMar>
        </w:tblPrEx>
        <w:trPr>
          <w:trHeight w:val="435"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4AC05205">
            <w:pPr>
              <w:widowControl/>
              <w:adjustRightInd/>
              <w:jc w:val="center"/>
              <w:rPr>
                <w:rFonts w:ascii="宋体" w:hAnsi="宋体" w:cs="宋体"/>
                <w:kern w:val="0"/>
                <w:sz w:val="24"/>
                <w:highlight w:val="none"/>
              </w:rPr>
            </w:pPr>
            <w:r>
              <w:rPr>
                <w:rFonts w:ascii="宋体" w:hAnsi="宋体" w:cs="宋体"/>
                <w:kern w:val="0"/>
                <w:sz w:val="24"/>
                <w:highlight w:val="none"/>
              </w:rPr>
              <w:t>73</w:t>
            </w:r>
          </w:p>
        </w:tc>
        <w:tc>
          <w:tcPr>
            <w:tcW w:w="1306" w:type="dxa"/>
            <w:tcBorders>
              <w:top w:val="nil"/>
              <w:left w:val="nil"/>
              <w:bottom w:val="single" w:color="auto" w:sz="4" w:space="0"/>
              <w:right w:val="single" w:color="auto" w:sz="4" w:space="0"/>
            </w:tcBorders>
            <w:shd w:val="clear" w:color="000000" w:fill="FFFFFF"/>
            <w:vAlign w:val="center"/>
          </w:tcPr>
          <w:p w14:paraId="7E632E81">
            <w:pPr>
              <w:widowControl/>
              <w:adjustRightInd/>
              <w:jc w:val="left"/>
              <w:rPr>
                <w:rFonts w:ascii="宋体" w:hAnsi="宋体" w:cs="宋体"/>
                <w:kern w:val="0"/>
                <w:sz w:val="24"/>
                <w:highlight w:val="none"/>
              </w:rPr>
            </w:pPr>
            <w:r>
              <w:rPr>
                <w:rFonts w:hint="eastAsia" w:ascii="宋体" w:hAnsi="宋体" w:cs="宋体"/>
                <w:kern w:val="0"/>
                <w:sz w:val="24"/>
                <w:highlight w:val="none"/>
              </w:rPr>
              <w:t>▲容器</w:t>
            </w:r>
          </w:p>
        </w:tc>
        <w:tc>
          <w:tcPr>
            <w:tcW w:w="3150" w:type="dxa"/>
            <w:tcBorders>
              <w:top w:val="nil"/>
              <w:left w:val="nil"/>
              <w:bottom w:val="single" w:color="auto" w:sz="4" w:space="0"/>
              <w:right w:val="single" w:color="auto" w:sz="4" w:space="0"/>
            </w:tcBorders>
            <w:shd w:val="clear" w:color="000000" w:fill="FFFFFF"/>
            <w:vAlign w:val="center"/>
          </w:tcPr>
          <w:p w14:paraId="70363690">
            <w:pPr>
              <w:widowControl/>
              <w:adjustRightInd/>
              <w:jc w:val="left"/>
              <w:rPr>
                <w:rFonts w:ascii="宋体" w:hAnsi="宋体" w:cs="宋体"/>
                <w:kern w:val="0"/>
                <w:sz w:val="24"/>
                <w:highlight w:val="none"/>
              </w:rPr>
            </w:pPr>
            <w:r>
              <w:rPr>
                <w:rFonts w:hint="eastAsia" w:ascii="宋体" w:hAnsi="宋体" w:cs="宋体"/>
                <w:kern w:val="0"/>
                <w:sz w:val="24"/>
                <w:highlight w:val="none"/>
              </w:rPr>
              <w:t>▲容器资源隔离和调配</w:t>
            </w:r>
          </w:p>
        </w:tc>
        <w:tc>
          <w:tcPr>
            <w:tcW w:w="3959" w:type="dxa"/>
            <w:tcBorders>
              <w:top w:val="nil"/>
              <w:left w:val="nil"/>
              <w:bottom w:val="single" w:color="auto" w:sz="4" w:space="0"/>
              <w:right w:val="single" w:color="auto" w:sz="4" w:space="0"/>
            </w:tcBorders>
            <w:shd w:val="clear" w:color="000000" w:fill="FFFFFF"/>
            <w:vAlign w:val="center"/>
          </w:tcPr>
          <w:p w14:paraId="3723FEF8">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操作系统支持容器资源在线调整，包括</w:t>
            </w:r>
            <w:r>
              <w:rPr>
                <w:rFonts w:ascii="宋体" w:hAnsi="宋体" w:cs="宋体"/>
                <w:kern w:val="0"/>
                <w:sz w:val="24"/>
                <w:highlight w:val="none"/>
              </w:rPr>
              <w:t>CPU资源、内存资源、I/O资源等；支持文件配额分配、存储带宽资源使用量监控等机制，实现容器级I/O控制能力；支持面向容器的网络带宽调度策略，实现容器级网络带宽分配、使用量监控等机制；支持面向容器的存储空间使用监控、分配机制；支持容器CPU核独占；支持面向容器的CPU时间片资源按需划分机制；支持面向容器的内存分配和回收机制，实现内存使用量跟踪和管理；支持同一集群在线、离线业务混合部署；支持对容器的编排、负载均衡、调度等能力；支持根据容器在线与离线混合部署状态进行资源优先调度，提高计算机资源利用率</w:t>
            </w:r>
          </w:p>
        </w:tc>
      </w:tr>
      <w:tr w14:paraId="6F880B3D">
        <w:tblPrEx>
          <w:tblCellMar>
            <w:top w:w="0" w:type="dxa"/>
            <w:left w:w="108" w:type="dxa"/>
            <w:bottom w:w="0" w:type="dxa"/>
            <w:right w:w="108" w:type="dxa"/>
          </w:tblCellMar>
        </w:tblPrEx>
        <w:trPr>
          <w:trHeight w:val="312"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1A72102D">
            <w:pPr>
              <w:widowControl/>
              <w:adjustRightInd/>
              <w:jc w:val="center"/>
              <w:rPr>
                <w:rFonts w:ascii="宋体" w:hAnsi="宋体" w:cs="宋体"/>
                <w:kern w:val="0"/>
                <w:sz w:val="24"/>
                <w:highlight w:val="none"/>
              </w:rPr>
            </w:pPr>
            <w:r>
              <w:rPr>
                <w:rFonts w:ascii="宋体" w:hAnsi="宋体" w:cs="宋体"/>
                <w:kern w:val="0"/>
                <w:sz w:val="24"/>
                <w:highlight w:val="none"/>
              </w:rPr>
              <w:t>74</w:t>
            </w:r>
          </w:p>
        </w:tc>
        <w:tc>
          <w:tcPr>
            <w:tcW w:w="1306" w:type="dxa"/>
            <w:vMerge w:val="restart"/>
            <w:tcBorders>
              <w:top w:val="nil"/>
              <w:left w:val="single" w:color="auto" w:sz="4" w:space="0"/>
              <w:bottom w:val="single" w:color="000000" w:sz="4" w:space="0"/>
              <w:right w:val="single" w:color="auto" w:sz="4" w:space="0"/>
            </w:tcBorders>
            <w:shd w:val="clear" w:color="000000" w:fill="FFFFFF"/>
            <w:vAlign w:val="center"/>
          </w:tcPr>
          <w:p w14:paraId="1A00F876">
            <w:pPr>
              <w:widowControl/>
              <w:adjustRightInd/>
              <w:jc w:val="left"/>
              <w:rPr>
                <w:rFonts w:ascii="宋体" w:hAnsi="宋体" w:cs="宋体"/>
                <w:kern w:val="0"/>
                <w:sz w:val="24"/>
                <w:highlight w:val="none"/>
              </w:rPr>
            </w:pPr>
            <w:r>
              <w:rPr>
                <w:rFonts w:hint="eastAsia" w:ascii="宋体" w:hAnsi="宋体" w:cs="宋体"/>
                <w:kern w:val="0"/>
                <w:sz w:val="24"/>
                <w:highlight w:val="none"/>
              </w:rPr>
              <w:t>▲中文支持</w:t>
            </w:r>
          </w:p>
        </w:tc>
        <w:tc>
          <w:tcPr>
            <w:tcW w:w="3150" w:type="dxa"/>
            <w:tcBorders>
              <w:top w:val="nil"/>
              <w:left w:val="nil"/>
              <w:bottom w:val="single" w:color="auto" w:sz="4" w:space="0"/>
              <w:right w:val="single" w:color="auto" w:sz="4" w:space="0"/>
            </w:tcBorders>
            <w:shd w:val="clear" w:color="000000" w:fill="FFFFFF"/>
            <w:vAlign w:val="center"/>
          </w:tcPr>
          <w:p w14:paraId="0E148723">
            <w:pPr>
              <w:widowControl/>
              <w:adjustRightInd/>
              <w:jc w:val="left"/>
              <w:rPr>
                <w:rFonts w:ascii="宋体" w:hAnsi="宋体" w:cs="宋体"/>
                <w:kern w:val="0"/>
                <w:sz w:val="24"/>
                <w:highlight w:val="none"/>
              </w:rPr>
            </w:pPr>
            <w:r>
              <w:rPr>
                <w:rFonts w:hint="eastAsia" w:ascii="宋体" w:hAnsi="宋体" w:cs="宋体"/>
                <w:kern w:val="0"/>
                <w:sz w:val="24"/>
                <w:highlight w:val="none"/>
              </w:rPr>
              <w:t>▲字符编码集</w:t>
            </w:r>
          </w:p>
        </w:tc>
        <w:tc>
          <w:tcPr>
            <w:tcW w:w="3959" w:type="dxa"/>
            <w:tcBorders>
              <w:top w:val="nil"/>
              <w:left w:val="nil"/>
              <w:bottom w:val="single" w:color="auto" w:sz="4" w:space="0"/>
              <w:right w:val="single" w:color="auto" w:sz="4" w:space="0"/>
            </w:tcBorders>
            <w:shd w:val="clear" w:color="000000" w:fill="FFFFFF"/>
            <w:vAlign w:val="center"/>
          </w:tcPr>
          <w:p w14:paraId="046F7CB3">
            <w:pPr>
              <w:widowControl/>
              <w:adjustRightInd/>
              <w:jc w:val="left"/>
              <w:rPr>
                <w:rFonts w:ascii="宋体" w:hAnsi="宋体" w:cs="宋体"/>
                <w:kern w:val="0"/>
                <w:sz w:val="24"/>
                <w:highlight w:val="none"/>
              </w:rPr>
            </w:pPr>
            <w:r>
              <w:rPr>
                <w:rFonts w:hint="eastAsia" w:ascii="宋体" w:hAnsi="宋体" w:cs="宋体"/>
                <w:kern w:val="0"/>
                <w:sz w:val="24"/>
                <w:highlight w:val="none"/>
              </w:rPr>
              <w:t>操作系统应符合</w:t>
            </w:r>
            <w:r>
              <w:rPr>
                <w:rFonts w:ascii="宋体" w:hAnsi="宋体" w:cs="宋体"/>
                <w:kern w:val="0"/>
                <w:sz w:val="24"/>
                <w:highlight w:val="none"/>
              </w:rPr>
              <w:t>GB18030的要求</w:t>
            </w:r>
          </w:p>
        </w:tc>
      </w:tr>
      <w:tr w14:paraId="1D0C1897">
        <w:tblPrEx>
          <w:tblCellMar>
            <w:top w:w="0" w:type="dxa"/>
            <w:left w:w="108" w:type="dxa"/>
            <w:bottom w:w="0" w:type="dxa"/>
            <w:right w:w="108" w:type="dxa"/>
          </w:tblCellMar>
        </w:tblPrEx>
        <w:trPr>
          <w:trHeight w:val="312"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3D721FE7">
            <w:pPr>
              <w:widowControl/>
              <w:adjustRightInd/>
              <w:jc w:val="center"/>
              <w:rPr>
                <w:rFonts w:ascii="宋体" w:hAnsi="宋体" w:cs="宋体"/>
                <w:kern w:val="0"/>
                <w:sz w:val="24"/>
                <w:highlight w:val="none"/>
              </w:rPr>
            </w:pPr>
            <w:r>
              <w:rPr>
                <w:rFonts w:ascii="宋体" w:hAnsi="宋体" w:cs="宋体"/>
                <w:kern w:val="0"/>
                <w:sz w:val="24"/>
                <w:highlight w:val="none"/>
              </w:rPr>
              <w:t>75</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7C5A815D">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20249A3D">
            <w:pPr>
              <w:widowControl/>
              <w:adjustRightInd/>
              <w:jc w:val="left"/>
              <w:rPr>
                <w:rFonts w:ascii="宋体" w:hAnsi="宋体" w:cs="宋体"/>
                <w:kern w:val="0"/>
                <w:sz w:val="24"/>
                <w:highlight w:val="none"/>
              </w:rPr>
            </w:pPr>
            <w:r>
              <w:rPr>
                <w:rFonts w:hint="eastAsia" w:ascii="宋体" w:hAnsi="宋体" w:cs="宋体"/>
                <w:kern w:val="0"/>
                <w:sz w:val="24"/>
                <w:highlight w:val="none"/>
              </w:rPr>
              <w:t>▲中文帮助文档</w:t>
            </w:r>
          </w:p>
        </w:tc>
        <w:tc>
          <w:tcPr>
            <w:tcW w:w="3959" w:type="dxa"/>
            <w:tcBorders>
              <w:top w:val="nil"/>
              <w:left w:val="nil"/>
              <w:bottom w:val="single" w:color="auto" w:sz="4" w:space="0"/>
              <w:right w:val="single" w:color="auto" w:sz="4" w:space="0"/>
            </w:tcBorders>
            <w:shd w:val="clear" w:color="000000" w:fill="FFFFFF"/>
            <w:vAlign w:val="center"/>
          </w:tcPr>
          <w:p w14:paraId="50AA1E26">
            <w:pPr>
              <w:widowControl/>
              <w:adjustRightInd/>
              <w:jc w:val="left"/>
              <w:rPr>
                <w:rFonts w:ascii="宋体" w:hAnsi="宋体" w:cs="宋体"/>
                <w:kern w:val="0"/>
                <w:sz w:val="24"/>
                <w:highlight w:val="none"/>
              </w:rPr>
            </w:pPr>
            <w:r>
              <w:rPr>
                <w:rFonts w:hint="eastAsia" w:ascii="宋体" w:hAnsi="宋体" w:cs="宋体"/>
                <w:kern w:val="0"/>
                <w:sz w:val="24"/>
                <w:highlight w:val="none"/>
              </w:rPr>
              <w:t>操作系统内置中文帮助文档</w:t>
            </w:r>
          </w:p>
        </w:tc>
      </w:tr>
      <w:tr w14:paraId="1F9E8DFF">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3ECCF046">
            <w:pPr>
              <w:widowControl/>
              <w:adjustRightInd/>
              <w:jc w:val="center"/>
              <w:rPr>
                <w:rFonts w:ascii="宋体" w:hAnsi="宋体" w:cs="宋体"/>
                <w:kern w:val="0"/>
                <w:sz w:val="24"/>
                <w:highlight w:val="none"/>
              </w:rPr>
            </w:pPr>
            <w:r>
              <w:rPr>
                <w:rFonts w:ascii="宋体" w:hAnsi="宋体" w:cs="宋体"/>
                <w:kern w:val="0"/>
                <w:sz w:val="24"/>
                <w:highlight w:val="none"/>
              </w:rPr>
              <w:t>76</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3A73F9A0">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2DAE43EE">
            <w:pPr>
              <w:widowControl/>
              <w:adjustRightInd/>
              <w:jc w:val="left"/>
              <w:rPr>
                <w:rFonts w:ascii="宋体" w:hAnsi="宋体" w:cs="宋体"/>
                <w:kern w:val="0"/>
                <w:sz w:val="24"/>
                <w:highlight w:val="none"/>
              </w:rPr>
            </w:pPr>
            <w:r>
              <w:rPr>
                <w:rFonts w:hint="eastAsia" w:ascii="宋体" w:hAnsi="宋体" w:cs="宋体"/>
                <w:kern w:val="0"/>
                <w:sz w:val="24"/>
                <w:highlight w:val="none"/>
              </w:rPr>
              <w:t>▲系统信息查看工具</w:t>
            </w:r>
          </w:p>
        </w:tc>
        <w:tc>
          <w:tcPr>
            <w:tcW w:w="3959" w:type="dxa"/>
            <w:tcBorders>
              <w:top w:val="nil"/>
              <w:left w:val="nil"/>
              <w:bottom w:val="single" w:color="auto" w:sz="4" w:space="0"/>
              <w:right w:val="single" w:color="auto" w:sz="4" w:space="0"/>
            </w:tcBorders>
            <w:shd w:val="clear" w:color="000000" w:fill="FFFFFF"/>
            <w:vAlign w:val="center"/>
          </w:tcPr>
          <w:p w14:paraId="2E85140A">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操作系统支持查看系统版本、内核版本、内存容量、</w:t>
            </w:r>
            <w:r>
              <w:rPr>
                <w:rFonts w:ascii="宋体" w:hAnsi="宋体" w:cs="宋体"/>
                <w:kern w:val="0"/>
                <w:sz w:val="24"/>
                <w:highlight w:val="none"/>
              </w:rPr>
              <w:t>CPU型号等信息</w:t>
            </w:r>
          </w:p>
        </w:tc>
      </w:tr>
      <w:tr w14:paraId="513A8D68">
        <w:tblPrEx>
          <w:tblCellMar>
            <w:top w:w="0" w:type="dxa"/>
            <w:left w:w="108" w:type="dxa"/>
            <w:bottom w:w="0" w:type="dxa"/>
            <w:right w:w="108" w:type="dxa"/>
          </w:tblCellMar>
        </w:tblPrEx>
        <w:trPr>
          <w:trHeight w:val="1248"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056A36C0">
            <w:pPr>
              <w:widowControl/>
              <w:adjustRightInd/>
              <w:jc w:val="center"/>
              <w:rPr>
                <w:rFonts w:ascii="宋体" w:hAnsi="宋体" w:cs="宋体"/>
                <w:kern w:val="0"/>
                <w:sz w:val="24"/>
                <w:highlight w:val="none"/>
              </w:rPr>
            </w:pPr>
            <w:r>
              <w:rPr>
                <w:rFonts w:ascii="宋体" w:hAnsi="宋体" w:cs="宋体"/>
                <w:kern w:val="0"/>
                <w:sz w:val="24"/>
                <w:highlight w:val="none"/>
              </w:rPr>
              <w:t>77</w:t>
            </w:r>
          </w:p>
        </w:tc>
        <w:tc>
          <w:tcPr>
            <w:tcW w:w="1306" w:type="dxa"/>
            <w:vMerge w:val="restart"/>
            <w:tcBorders>
              <w:top w:val="nil"/>
              <w:left w:val="single" w:color="auto" w:sz="4" w:space="0"/>
              <w:bottom w:val="single" w:color="000000" w:sz="4" w:space="0"/>
              <w:right w:val="single" w:color="auto" w:sz="4" w:space="0"/>
            </w:tcBorders>
            <w:shd w:val="clear" w:color="000000" w:fill="FFFFFF"/>
            <w:vAlign w:val="center"/>
          </w:tcPr>
          <w:p w14:paraId="01CB3D32">
            <w:pPr>
              <w:widowControl/>
              <w:adjustRightInd/>
              <w:jc w:val="left"/>
              <w:rPr>
                <w:rFonts w:ascii="宋体" w:hAnsi="宋体" w:cs="宋体"/>
                <w:kern w:val="0"/>
                <w:sz w:val="24"/>
                <w:highlight w:val="none"/>
              </w:rPr>
            </w:pPr>
            <w:r>
              <w:rPr>
                <w:rFonts w:hint="eastAsia" w:ascii="宋体" w:hAnsi="宋体" w:cs="宋体"/>
                <w:kern w:val="0"/>
                <w:sz w:val="24"/>
                <w:highlight w:val="none"/>
              </w:rPr>
              <w:t>▲管理工具</w:t>
            </w:r>
          </w:p>
        </w:tc>
        <w:tc>
          <w:tcPr>
            <w:tcW w:w="3150" w:type="dxa"/>
            <w:tcBorders>
              <w:top w:val="nil"/>
              <w:left w:val="nil"/>
              <w:bottom w:val="single" w:color="auto" w:sz="4" w:space="0"/>
              <w:right w:val="single" w:color="auto" w:sz="4" w:space="0"/>
            </w:tcBorders>
            <w:shd w:val="clear" w:color="000000" w:fill="FFFFFF"/>
            <w:vAlign w:val="center"/>
          </w:tcPr>
          <w:p w14:paraId="49CFEE52">
            <w:pPr>
              <w:widowControl/>
              <w:adjustRightInd/>
              <w:jc w:val="left"/>
              <w:rPr>
                <w:rFonts w:ascii="宋体" w:hAnsi="宋体" w:cs="宋体"/>
                <w:kern w:val="0"/>
                <w:sz w:val="24"/>
                <w:highlight w:val="none"/>
              </w:rPr>
            </w:pPr>
            <w:r>
              <w:rPr>
                <w:rFonts w:hint="eastAsia" w:ascii="宋体" w:hAnsi="宋体" w:cs="宋体"/>
                <w:kern w:val="0"/>
                <w:sz w:val="24"/>
                <w:highlight w:val="none"/>
              </w:rPr>
              <w:t>▲网络管理工具</w:t>
            </w:r>
          </w:p>
        </w:tc>
        <w:tc>
          <w:tcPr>
            <w:tcW w:w="3959" w:type="dxa"/>
            <w:tcBorders>
              <w:top w:val="nil"/>
              <w:left w:val="nil"/>
              <w:bottom w:val="single" w:color="auto" w:sz="4" w:space="0"/>
              <w:right w:val="single" w:color="auto" w:sz="4" w:space="0"/>
            </w:tcBorders>
            <w:shd w:val="clear" w:color="000000" w:fill="FFFFFF"/>
            <w:vAlign w:val="center"/>
          </w:tcPr>
          <w:p w14:paraId="48DE8F2C">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操作系统支持多网口自动连接、网络地址（常被称为“</w:t>
            </w:r>
            <w:r>
              <w:rPr>
                <w:rFonts w:ascii="宋体" w:hAnsi="宋体" w:cs="宋体"/>
                <w:kern w:val="0"/>
                <w:sz w:val="24"/>
                <w:highlight w:val="none"/>
              </w:rPr>
              <w:t>IP地址”）设置、DNS设置、路由设置；支持多网卡链路聚合，模式类型包括但不仅限于轮询、主备、802.3AD动态链路聚合</w:t>
            </w:r>
          </w:p>
        </w:tc>
      </w:tr>
      <w:tr w14:paraId="366BC54B">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2C109D2E">
            <w:pPr>
              <w:widowControl/>
              <w:adjustRightInd/>
              <w:jc w:val="center"/>
              <w:rPr>
                <w:rFonts w:ascii="宋体" w:hAnsi="宋体" w:cs="宋体"/>
                <w:kern w:val="0"/>
                <w:sz w:val="24"/>
                <w:highlight w:val="none"/>
              </w:rPr>
            </w:pPr>
            <w:r>
              <w:rPr>
                <w:rFonts w:ascii="宋体" w:hAnsi="宋体" w:cs="宋体"/>
                <w:kern w:val="0"/>
                <w:sz w:val="24"/>
                <w:highlight w:val="none"/>
              </w:rPr>
              <w:t>78</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38079C10">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55469DC8">
            <w:pPr>
              <w:widowControl/>
              <w:adjustRightInd/>
              <w:jc w:val="left"/>
              <w:rPr>
                <w:rFonts w:ascii="宋体" w:hAnsi="宋体" w:cs="宋体"/>
                <w:kern w:val="0"/>
                <w:sz w:val="24"/>
                <w:highlight w:val="none"/>
              </w:rPr>
            </w:pPr>
            <w:r>
              <w:rPr>
                <w:rFonts w:hint="eastAsia" w:ascii="宋体" w:hAnsi="宋体" w:cs="宋体"/>
                <w:kern w:val="0"/>
                <w:sz w:val="24"/>
                <w:highlight w:val="none"/>
              </w:rPr>
              <w:t>▲日期和时间管理工具</w:t>
            </w:r>
          </w:p>
        </w:tc>
        <w:tc>
          <w:tcPr>
            <w:tcW w:w="3959" w:type="dxa"/>
            <w:tcBorders>
              <w:top w:val="nil"/>
              <w:left w:val="nil"/>
              <w:bottom w:val="single" w:color="auto" w:sz="4" w:space="0"/>
              <w:right w:val="single" w:color="auto" w:sz="4" w:space="0"/>
            </w:tcBorders>
            <w:shd w:val="clear" w:color="000000" w:fill="FFFFFF"/>
            <w:vAlign w:val="center"/>
          </w:tcPr>
          <w:p w14:paraId="15C01C79">
            <w:pPr>
              <w:widowControl/>
              <w:adjustRightInd/>
              <w:jc w:val="left"/>
              <w:rPr>
                <w:rFonts w:ascii="宋体" w:hAnsi="宋体" w:cs="宋体"/>
                <w:kern w:val="0"/>
                <w:sz w:val="24"/>
                <w:highlight w:val="none"/>
              </w:rPr>
            </w:pPr>
            <w:r>
              <w:rPr>
                <w:rFonts w:hint="eastAsia" w:ascii="宋体" w:hAnsi="宋体" w:cs="宋体"/>
                <w:kern w:val="0"/>
                <w:sz w:val="24"/>
                <w:highlight w:val="none"/>
              </w:rPr>
              <w:t>操作系统可设置时间同步服务器地址，支持局域网和广域网的同步设置</w:t>
            </w:r>
          </w:p>
        </w:tc>
      </w:tr>
      <w:tr w14:paraId="35A18F80">
        <w:tblPrEx>
          <w:tblCellMar>
            <w:top w:w="0" w:type="dxa"/>
            <w:left w:w="108" w:type="dxa"/>
            <w:bottom w:w="0" w:type="dxa"/>
            <w:right w:w="108" w:type="dxa"/>
          </w:tblCellMar>
        </w:tblPrEx>
        <w:trPr>
          <w:trHeight w:val="312"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0985175C">
            <w:pPr>
              <w:widowControl/>
              <w:adjustRightInd/>
              <w:jc w:val="center"/>
              <w:rPr>
                <w:rFonts w:ascii="宋体" w:hAnsi="宋体" w:cs="宋体"/>
                <w:kern w:val="0"/>
                <w:sz w:val="24"/>
                <w:highlight w:val="none"/>
              </w:rPr>
            </w:pPr>
            <w:r>
              <w:rPr>
                <w:rFonts w:ascii="宋体" w:hAnsi="宋体" w:cs="宋体"/>
                <w:kern w:val="0"/>
                <w:sz w:val="24"/>
                <w:highlight w:val="none"/>
              </w:rPr>
              <w:t>79</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67D91703">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3623B221">
            <w:pPr>
              <w:widowControl/>
              <w:adjustRightInd/>
              <w:jc w:val="left"/>
              <w:rPr>
                <w:rFonts w:ascii="宋体" w:hAnsi="宋体" w:cs="宋体"/>
                <w:kern w:val="0"/>
                <w:sz w:val="24"/>
                <w:highlight w:val="none"/>
              </w:rPr>
            </w:pPr>
            <w:r>
              <w:rPr>
                <w:rFonts w:hint="eastAsia" w:ascii="宋体" w:hAnsi="宋体" w:cs="宋体"/>
                <w:kern w:val="0"/>
                <w:sz w:val="24"/>
                <w:highlight w:val="none"/>
              </w:rPr>
              <w:t>▲日志服务管理工具</w:t>
            </w:r>
          </w:p>
        </w:tc>
        <w:tc>
          <w:tcPr>
            <w:tcW w:w="3959" w:type="dxa"/>
            <w:tcBorders>
              <w:top w:val="nil"/>
              <w:left w:val="nil"/>
              <w:bottom w:val="single" w:color="auto" w:sz="4" w:space="0"/>
              <w:right w:val="single" w:color="auto" w:sz="4" w:space="0"/>
            </w:tcBorders>
            <w:shd w:val="clear" w:color="000000" w:fill="FFFFFF"/>
            <w:vAlign w:val="center"/>
          </w:tcPr>
          <w:p w14:paraId="7D9EEDE7">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操作系统支持收集系统日志</w:t>
            </w:r>
          </w:p>
        </w:tc>
      </w:tr>
      <w:tr w14:paraId="0401CBB9">
        <w:tblPrEx>
          <w:tblCellMar>
            <w:top w:w="0" w:type="dxa"/>
            <w:left w:w="108" w:type="dxa"/>
            <w:bottom w:w="0" w:type="dxa"/>
            <w:right w:w="108" w:type="dxa"/>
          </w:tblCellMar>
        </w:tblPrEx>
        <w:trPr>
          <w:trHeight w:val="312"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55996E1A">
            <w:pPr>
              <w:widowControl/>
              <w:adjustRightInd/>
              <w:jc w:val="center"/>
              <w:rPr>
                <w:rFonts w:ascii="宋体" w:hAnsi="宋体" w:cs="宋体"/>
                <w:kern w:val="0"/>
                <w:sz w:val="24"/>
                <w:highlight w:val="none"/>
              </w:rPr>
            </w:pPr>
            <w:r>
              <w:rPr>
                <w:rFonts w:ascii="宋体" w:hAnsi="宋体" w:cs="宋体"/>
                <w:kern w:val="0"/>
                <w:sz w:val="24"/>
                <w:highlight w:val="none"/>
              </w:rPr>
              <w:t>80</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0C5E1BD7">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17FAC2E4">
            <w:pPr>
              <w:widowControl/>
              <w:adjustRightInd/>
              <w:jc w:val="left"/>
              <w:rPr>
                <w:rFonts w:ascii="宋体" w:hAnsi="宋体" w:cs="宋体"/>
                <w:kern w:val="0"/>
                <w:sz w:val="24"/>
                <w:highlight w:val="none"/>
              </w:rPr>
            </w:pPr>
            <w:r>
              <w:rPr>
                <w:rFonts w:hint="eastAsia" w:ascii="宋体" w:hAnsi="宋体" w:cs="宋体"/>
                <w:kern w:val="0"/>
                <w:sz w:val="24"/>
                <w:highlight w:val="none"/>
              </w:rPr>
              <w:t>▲帐户管理工具</w:t>
            </w:r>
          </w:p>
        </w:tc>
        <w:tc>
          <w:tcPr>
            <w:tcW w:w="3959" w:type="dxa"/>
            <w:tcBorders>
              <w:top w:val="nil"/>
              <w:left w:val="nil"/>
              <w:bottom w:val="single" w:color="auto" w:sz="4" w:space="0"/>
              <w:right w:val="single" w:color="auto" w:sz="4" w:space="0"/>
            </w:tcBorders>
            <w:shd w:val="clear" w:color="000000" w:fill="FFFFFF"/>
            <w:vAlign w:val="center"/>
          </w:tcPr>
          <w:p w14:paraId="643955F3">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操作系统支持帐户添加、删除、属性修改等</w:t>
            </w:r>
          </w:p>
        </w:tc>
      </w:tr>
      <w:tr w14:paraId="3F5BDACB">
        <w:tblPrEx>
          <w:tblCellMar>
            <w:top w:w="0" w:type="dxa"/>
            <w:left w:w="108" w:type="dxa"/>
            <w:bottom w:w="0" w:type="dxa"/>
            <w:right w:w="108" w:type="dxa"/>
          </w:tblCellMar>
        </w:tblPrEx>
        <w:trPr>
          <w:trHeight w:val="312"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7FE6E888">
            <w:pPr>
              <w:widowControl/>
              <w:adjustRightInd/>
              <w:jc w:val="center"/>
              <w:rPr>
                <w:rFonts w:ascii="宋体" w:hAnsi="宋体" w:cs="宋体"/>
                <w:kern w:val="0"/>
                <w:sz w:val="24"/>
                <w:highlight w:val="none"/>
              </w:rPr>
            </w:pPr>
            <w:r>
              <w:rPr>
                <w:rFonts w:ascii="宋体" w:hAnsi="宋体" w:cs="宋体"/>
                <w:kern w:val="0"/>
                <w:sz w:val="24"/>
                <w:highlight w:val="none"/>
              </w:rPr>
              <w:t>81</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5BB770B2">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4CAA890B">
            <w:pPr>
              <w:widowControl/>
              <w:adjustRightInd/>
              <w:jc w:val="left"/>
              <w:rPr>
                <w:rFonts w:ascii="宋体" w:hAnsi="宋体" w:cs="宋体"/>
                <w:kern w:val="0"/>
                <w:sz w:val="24"/>
                <w:highlight w:val="none"/>
              </w:rPr>
            </w:pPr>
            <w:r>
              <w:rPr>
                <w:rFonts w:hint="eastAsia" w:ascii="宋体" w:hAnsi="宋体" w:cs="宋体"/>
                <w:kern w:val="0"/>
                <w:sz w:val="24"/>
                <w:highlight w:val="none"/>
              </w:rPr>
              <w:t>▲用户操作审计工具</w:t>
            </w:r>
          </w:p>
        </w:tc>
        <w:tc>
          <w:tcPr>
            <w:tcW w:w="3959" w:type="dxa"/>
            <w:tcBorders>
              <w:top w:val="nil"/>
              <w:left w:val="nil"/>
              <w:bottom w:val="single" w:color="auto" w:sz="4" w:space="0"/>
              <w:right w:val="single" w:color="auto" w:sz="4" w:space="0"/>
            </w:tcBorders>
            <w:shd w:val="clear" w:color="000000" w:fill="FFFFFF"/>
            <w:vAlign w:val="center"/>
          </w:tcPr>
          <w:p w14:paraId="2970FD80">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操作系统支持用户操作痕迹查询</w:t>
            </w:r>
          </w:p>
        </w:tc>
      </w:tr>
      <w:tr w14:paraId="3533F38B">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5C89ED61">
            <w:pPr>
              <w:widowControl/>
              <w:adjustRightInd/>
              <w:jc w:val="center"/>
              <w:rPr>
                <w:rFonts w:ascii="宋体" w:hAnsi="宋体" w:cs="宋体"/>
                <w:kern w:val="0"/>
                <w:sz w:val="24"/>
                <w:highlight w:val="none"/>
              </w:rPr>
            </w:pPr>
            <w:r>
              <w:rPr>
                <w:rFonts w:ascii="宋体" w:hAnsi="宋体" w:cs="宋体"/>
                <w:kern w:val="0"/>
                <w:sz w:val="24"/>
                <w:highlight w:val="none"/>
              </w:rPr>
              <w:t>82</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7DDAB033">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17AF4970">
            <w:pPr>
              <w:widowControl/>
              <w:adjustRightInd/>
              <w:jc w:val="left"/>
              <w:rPr>
                <w:rFonts w:ascii="宋体" w:hAnsi="宋体" w:cs="宋体"/>
                <w:kern w:val="0"/>
                <w:sz w:val="24"/>
                <w:highlight w:val="none"/>
              </w:rPr>
            </w:pPr>
            <w:r>
              <w:rPr>
                <w:rFonts w:hint="eastAsia" w:ascii="宋体" w:hAnsi="宋体" w:cs="宋体"/>
                <w:kern w:val="0"/>
                <w:sz w:val="24"/>
                <w:highlight w:val="none"/>
              </w:rPr>
              <w:t>▲存储管理工具</w:t>
            </w:r>
          </w:p>
        </w:tc>
        <w:tc>
          <w:tcPr>
            <w:tcW w:w="3959" w:type="dxa"/>
            <w:tcBorders>
              <w:top w:val="nil"/>
              <w:left w:val="nil"/>
              <w:bottom w:val="single" w:color="auto" w:sz="4" w:space="0"/>
              <w:right w:val="single" w:color="auto" w:sz="4" w:space="0"/>
            </w:tcBorders>
            <w:shd w:val="clear" w:color="000000" w:fill="FFFFFF"/>
            <w:vAlign w:val="center"/>
          </w:tcPr>
          <w:p w14:paraId="1CA6C522">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w:t>
            </w:r>
            <w:r>
              <w:rPr>
                <w:rFonts w:ascii="宋体" w:hAnsi="宋体" w:cs="宋体"/>
                <w:kern w:val="0"/>
                <w:sz w:val="24"/>
                <w:highlight w:val="none"/>
              </w:rPr>
              <w:t>EXT、XFS、NTFS、FAT、SWAP等多种格式的分区管理</w:t>
            </w:r>
          </w:p>
        </w:tc>
      </w:tr>
      <w:tr w14:paraId="0AD96545">
        <w:tblPrEx>
          <w:tblCellMar>
            <w:top w:w="0" w:type="dxa"/>
            <w:left w:w="108" w:type="dxa"/>
            <w:bottom w:w="0" w:type="dxa"/>
            <w:right w:w="108" w:type="dxa"/>
          </w:tblCellMar>
        </w:tblPrEx>
        <w:trPr>
          <w:trHeight w:val="312"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5ABA70C0">
            <w:pPr>
              <w:widowControl/>
              <w:adjustRightInd/>
              <w:jc w:val="center"/>
              <w:rPr>
                <w:rFonts w:ascii="宋体" w:hAnsi="宋体" w:cs="宋体"/>
                <w:kern w:val="0"/>
                <w:sz w:val="24"/>
                <w:highlight w:val="none"/>
              </w:rPr>
            </w:pPr>
            <w:r>
              <w:rPr>
                <w:rFonts w:ascii="宋体" w:hAnsi="宋体" w:cs="宋体"/>
                <w:kern w:val="0"/>
                <w:sz w:val="24"/>
                <w:highlight w:val="none"/>
              </w:rPr>
              <w:t>83</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00D01B24">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1EF5AF18">
            <w:pPr>
              <w:widowControl/>
              <w:adjustRightInd/>
              <w:jc w:val="left"/>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SNMP协议工具包</w:t>
            </w:r>
          </w:p>
        </w:tc>
        <w:tc>
          <w:tcPr>
            <w:tcW w:w="3959" w:type="dxa"/>
            <w:tcBorders>
              <w:top w:val="nil"/>
              <w:left w:val="nil"/>
              <w:bottom w:val="single" w:color="auto" w:sz="4" w:space="0"/>
              <w:right w:val="single" w:color="auto" w:sz="4" w:space="0"/>
            </w:tcBorders>
            <w:shd w:val="clear" w:color="000000" w:fill="FFFFFF"/>
            <w:vAlign w:val="center"/>
          </w:tcPr>
          <w:p w14:paraId="3EEAA566">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w:t>
            </w:r>
            <w:r>
              <w:rPr>
                <w:rFonts w:ascii="宋体" w:hAnsi="宋体" w:cs="宋体"/>
                <w:kern w:val="0"/>
                <w:sz w:val="24"/>
                <w:highlight w:val="none"/>
              </w:rPr>
              <w:t>SNMP设备和操作信息检索</w:t>
            </w:r>
          </w:p>
        </w:tc>
      </w:tr>
      <w:tr w14:paraId="5DFFB731">
        <w:tblPrEx>
          <w:tblCellMar>
            <w:top w:w="0" w:type="dxa"/>
            <w:left w:w="108" w:type="dxa"/>
            <w:bottom w:w="0" w:type="dxa"/>
            <w:right w:w="108" w:type="dxa"/>
          </w:tblCellMar>
        </w:tblPrEx>
        <w:trPr>
          <w:trHeight w:val="312"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4F5D51A6">
            <w:pPr>
              <w:widowControl/>
              <w:adjustRightInd/>
              <w:jc w:val="center"/>
              <w:rPr>
                <w:rFonts w:ascii="宋体" w:hAnsi="宋体" w:cs="宋体"/>
                <w:kern w:val="0"/>
                <w:sz w:val="24"/>
                <w:highlight w:val="none"/>
              </w:rPr>
            </w:pPr>
            <w:r>
              <w:rPr>
                <w:rFonts w:ascii="宋体" w:hAnsi="宋体" w:cs="宋体"/>
                <w:kern w:val="0"/>
                <w:sz w:val="24"/>
                <w:highlight w:val="none"/>
              </w:rPr>
              <w:t>84</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784FF491">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1F68B615">
            <w:pPr>
              <w:widowControl/>
              <w:adjustRightInd/>
              <w:jc w:val="left"/>
              <w:rPr>
                <w:rFonts w:ascii="宋体" w:hAnsi="宋体" w:cs="宋体"/>
                <w:kern w:val="0"/>
                <w:sz w:val="24"/>
                <w:highlight w:val="none"/>
              </w:rPr>
            </w:pPr>
            <w:r>
              <w:rPr>
                <w:rFonts w:hint="eastAsia" w:ascii="宋体" w:hAnsi="宋体" w:cs="宋体"/>
                <w:kern w:val="0"/>
                <w:sz w:val="24"/>
                <w:highlight w:val="none"/>
              </w:rPr>
              <w:t>▲文本终端连接工具</w:t>
            </w:r>
          </w:p>
        </w:tc>
        <w:tc>
          <w:tcPr>
            <w:tcW w:w="3959" w:type="dxa"/>
            <w:tcBorders>
              <w:top w:val="nil"/>
              <w:left w:val="nil"/>
              <w:bottom w:val="single" w:color="auto" w:sz="4" w:space="0"/>
              <w:right w:val="single" w:color="auto" w:sz="4" w:space="0"/>
            </w:tcBorders>
            <w:shd w:val="clear" w:color="000000" w:fill="FFFFFF"/>
            <w:vAlign w:val="center"/>
          </w:tcPr>
          <w:p w14:paraId="3A5EF77C">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操作系统支持多终端协同管理</w:t>
            </w:r>
          </w:p>
        </w:tc>
      </w:tr>
      <w:tr w14:paraId="1C07AB7E">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3CB63763">
            <w:pPr>
              <w:widowControl/>
              <w:adjustRightInd/>
              <w:jc w:val="center"/>
              <w:rPr>
                <w:rFonts w:ascii="宋体" w:hAnsi="宋体" w:cs="宋体"/>
                <w:kern w:val="0"/>
                <w:sz w:val="24"/>
                <w:highlight w:val="none"/>
              </w:rPr>
            </w:pPr>
            <w:r>
              <w:rPr>
                <w:rFonts w:ascii="宋体" w:hAnsi="宋体" w:cs="宋体"/>
                <w:kern w:val="0"/>
                <w:sz w:val="24"/>
                <w:highlight w:val="none"/>
              </w:rPr>
              <w:t>85</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44853980">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34978532">
            <w:pPr>
              <w:widowControl/>
              <w:adjustRightInd/>
              <w:jc w:val="left"/>
              <w:rPr>
                <w:rFonts w:ascii="宋体" w:hAnsi="宋体" w:cs="宋体"/>
                <w:kern w:val="0"/>
                <w:sz w:val="24"/>
                <w:highlight w:val="none"/>
              </w:rPr>
            </w:pPr>
            <w:r>
              <w:rPr>
                <w:rFonts w:hint="eastAsia" w:ascii="宋体" w:hAnsi="宋体" w:cs="宋体"/>
                <w:kern w:val="0"/>
                <w:sz w:val="24"/>
                <w:highlight w:val="none"/>
              </w:rPr>
              <w:t>▲服务管理工具集</w:t>
            </w:r>
          </w:p>
        </w:tc>
        <w:tc>
          <w:tcPr>
            <w:tcW w:w="3959" w:type="dxa"/>
            <w:tcBorders>
              <w:top w:val="nil"/>
              <w:left w:val="nil"/>
              <w:bottom w:val="single" w:color="auto" w:sz="4" w:space="0"/>
              <w:right w:val="single" w:color="auto" w:sz="4" w:space="0"/>
            </w:tcBorders>
            <w:shd w:val="clear" w:color="000000" w:fill="FFFFFF"/>
            <w:vAlign w:val="center"/>
          </w:tcPr>
          <w:p w14:paraId="1CB880CD">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操作系统支持服务启动与停止，查看服务状态及日志，查询服务启动顺序及依赖关系</w:t>
            </w:r>
          </w:p>
        </w:tc>
      </w:tr>
      <w:tr w14:paraId="07B5A4FC">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4836B8DE">
            <w:pPr>
              <w:widowControl/>
              <w:adjustRightInd/>
              <w:jc w:val="center"/>
              <w:rPr>
                <w:rFonts w:ascii="宋体" w:hAnsi="宋体" w:cs="宋体"/>
                <w:kern w:val="0"/>
                <w:sz w:val="24"/>
                <w:highlight w:val="none"/>
              </w:rPr>
            </w:pPr>
            <w:r>
              <w:rPr>
                <w:rFonts w:ascii="宋体" w:hAnsi="宋体" w:cs="宋体"/>
                <w:kern w:val="0"/>
                <w:sz w:val="24"/>
                <w:highlight w:val="none"/>
              </w:rPr>
              <w:t>86</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10994BD9">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3D9498D6">
            <w:pPr>
              <w:widowControl/>
              <w:adjustRightInd/>
              <w:jc w:val="left"/>
              <w:rPr>
                <w:rFonts w:ascii="宋体" w:hAnsi="宋体" w:cs="宋体"/>
                <w:kern w:val="0"/>
                <w:sz w:val="24"/>
                <w:highlight w:val="none"/>
              </w:rPr>
            </w:pPr>
            <w:r>
              <w:rPr>
                <w:rFonts w:hint="eastAsia" w:ascii="宋体" w:hAnsi="宋体" w:cs="宋体"/>
                <w:kern w:val="0"/>
                <w:sz w:val="24"/>
                <w:highlight w:val="none"/>
              </w:rPr>
              <w:t>▲配置管理工具</w:t>
            </w:r>
          </w:p>
        </w:tc>
        <w:tc>
          <w:tcPr>
            <w:tcW w:w="3959" w:type="dxa"/>
            <w:tcBorders>
              <w:top w:val="nil"/>
              <w:left w:val="nil"/>
              <w:bottom w:val="single" w:color="auto" w:sz="4" w:space="0"/>
              <w:right w:val="single" w:color="auto" w:sz="4" w:space="0"/>
            </w:tcBorders>
            <w:shd w:val="clear" w:color="000000" w:fill="FFFFFF"/>
            <w:vAlign w:val="center"/>
          </w:tcPr>
          <w:p w14:paraId="73923AF8">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操作系统提供配置管理工具，可以简化任务配置及服务管理</w:t>
            </w:r>
          </w:p>
        </w:tc>
      </w:tr>
      <w:tr w14:paraId="43DF36CC">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78A8ACCE">
            <w:pPr>
              <w:widowControl/>
              <w:adjustRightInd/>
              <w:jc w:val="center"/>
              <w:rPr>
                <w:rFonts w:ascii="宋体" w:hAnsi="宋体" w:cs="宋体"/>
                <w:kern w:val="0"/>
                <w:sz w:val="24"/>
                <w:highlight w:val="none"/>
              </w:rPr>
            </w:pPr>
            <w:r>
              <w:rPr>
                <w:rFonts w:ascii="宋体" w:hAnsi="宋体" w:cs="宋体"/>
                <w:kern w:val="0"/>
                <w:sz w:val="24"/>
                <w:highlight w:val="none"/>
              </w:rPr>
              <w:t>87</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3138519F">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6C636D6A">
            <w:pPr>
              <w:widowControl/>
              <w:adjustRightInd/>
              <w:jc w:val="left"/>
              <w:rPr>
                <w:rFonts w:ascii="宋体" w:hAnsi="宋体" w:cs="宋体"/>
                <w:kern w:val="0"/>
                <w:sz w:val="24"/>
                <w:highlight w:val="none"/>
              </w:rPr>
            </w:pPr>
            <w:r>
              <w:rPr>
                <w:rFonts w:hint="eastAsia" w:ascii="宋体" w:hAnsi="宋体" w:cs="宋体"/>
                <w:kern w:val="0"/>
                <w:sz w:val="24"/>
                <w:highlight w:val="none"/>
              </w:rPr>
              <w:t>▲监控管理工具</w:t>
            </w:r>
          </w:p>
        </w:tc>
        <w:tc>
          <w:tcPr>
            <w:tcW w:w="3959" w:type="dxa"/>
            <w:tcBorders>
              <w:top w:val="nil"/>
              <w:left w:val="nil"/>
              <w:bottom w:val="single" w:color="auto" w:sz="4" w:space="0"/>
              <w:right w:val="single" w:color="auto" w:sz="4" w:space="0"/>
            </w:tcBorders>
            <w:shd w:val="clear" w:color="000000" w:fill="FFFFFF"/>
            <w:vAlign w:val="center"/>
          </w:tcPr>
          <w:p w14:paraId="7F9EA4FF">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操作系统支持监控系统资源使用情况，包含</w:t>
            </w:r>
            <w:r>
              <w:rPr>
                <w:rFonts w:ascii="宋体" w:hAnsi="宋体" w:cs="宋体"/>
                <w:kern w:val="0"/>
                <w:sz w:val="24"/>
                <w:highlight w:val="none"/>
              </w:rPr>
              <w:t>CPU、内存、存储I/O、网络I/O等</w:t>
            </w:r>
          </w:p>
        </w:tc>
      </w:tr>
      <w:tr w14:paraId="620A8C06">
        <w:tblPrEx>
          <w:tblCellMar>
            <w:top w:w="0" w:type="dxa"/>
            <w:left w:w="108" w:type="dxa"/>
            <w:bottom w:w="0" w:type="dxa"/>
            <w:right w:w="108" w:type="dxa"/>
          </w:tblCellMar>
        </w:tblPrEx>
        <w:trPr>
          <w:trHeight w:val="936"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0ADC8EAF">
            <w:pPr>
              <w:widowControl/>
              <w:adjustRightInd/>
              <w:jc w:val="center"/>
              <w:rPr>
                <w:rFonts w:ascii="宋体" w:hAnsi="宋体" w:cs="宋体"/>
                <w:kern w:val="0"/>
                <w:sz w:val="24"/>
                <w:highlight w:val="none"/>
              </w:rPr>
            </w:pPr>
            <w:r>
              <w:rPr>
                <w:rFonts w:ascii="宋体" w:hAnsi="宋体" w:cs="宋体"/>
                <w:kern w:val="0"/>
                <w:sz w:val="24"/>
                <w:highlight w:val="none"/>
              </w:rPr>
              <w:t>88</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51835A3E">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1DEDC525">
            <w:pPr>
              <w:widowControl/>
              <w:adjustRightInd/>
              <w:jc w:val="left"/>
              <w:rPr>
                <w:rFonts w:ascii="宋体" w:hAnsi="宋体" w:cs="宋体"/>
                <w:kern w:val="0"/>
                <w:sz w:val="24"/>
                <w:highlight w:val="none"/>
              </w:rPr>
            </w:pPr>
            <w:r>
              <w:rPr>
                <w:rFonts w:hint="eastAsia" w:ascii="宋体" w:hAnsi="宋体" w:cs="宋体"/>
                <w:kern w:val="0"/>
                <w:sz w:val="24"/>
                <w:highlight w:val="none"/>
              </w:rPr>
              <w:t>▲守护进程</w:t>
            </w:r>
          </w:p>
        </w:tc>
        <w:tc>
          <w:tcPr>
            <w:tcW w:w="3959" w:type="dxa"/>
            <w:tcBorders>
              <w:top w:val="nil"/>
              <w:left w:val="nil"/>
              <w:bottom w:val="single" w:color="auto" w:sz="4" w:space="0"/>
              <w:right w:val="single" w:color="auto" w:sz="4" w:space="0"/>
            </w:tcBorders>
            <w:shd w:val="clear" w:color="000000" w:fill="FFFFFF"/>
            <w:vAlign w:val="center"/>
          </w:tcPr>
          <w:p w14:paraId="0913E018">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操作系统支持按需启动守护进程，用户可自定义设定需求守护的进程，如遇异常可重新加载，实现应用持续运行</w:t>
            </w:r>
          </w:p>
        </w:tc>
      </w:tr>
      <w:tr w14:paraId="16FB5B26">
        <w:tblPrEx>
          <w:tblCellMar>
            <w:top w:w="0" w:type="dxa"/>
            <w:left w:w="108" w:type="dxa"/>
            <w:bottom w:w="0" w:type="dxa"/>
            <w:right w:w="108" w:type="dxa"/>
          </w:tblCellMar>
        </w:tblPrEx>
        <w:trPr>
          <w:trHeight w:val="936"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57E903F5">
            <w:pPr>
              <w:widowControl/>
              <w:adjustRightInd/>
              <w:jc w:val="center"/>
              <w:rPr>
                <w:rFonts w:ascii="宋体" w:hAnsi="宋体" w:cs="宋体"/>
                <w:kern w:val="0"/>
                <w:sz w:val="24"/>
                <w:highlight w:val="none"/>
              </w:rPr>
            </w:pPr>
            <w:r>
              <w:rPr>
                <w:rFonts w:ascii="宋体" w:hAnsi="宋体" w:cs="宋体"/>
                <w:kern w:val="0"/>
                <w:sz w:val="24"/>
                <w:highlight w:val="none"/>
              </w:rPr>
              <w:t>89</w:t>
            </w:r>
          </w:p>
        </w:tc>
        <w:tc>
          <w:tcPr>
            <w:tcW w:w="1306" w:type="dxa"/>
            <w:vMerge w:val="restart"/>
            <w:tcBorders>
              <w:top w:val="nil"/>
              <w:left w:val="single" w:color="auto" w:sz="4" w:space="0"/>
              <w:bottom w:val="nil"/>
              <w:right w:val="single" w:color="auto" w:sz="4" w:space="0"/>
            </w:tcBorders>
            <w:shd w:val="clear" w:color="000000" w:fill="FFFFFF"/>
            <w:vAlign w:val="center"/>
          </w:tcPr>
          <w:p w14:paraId="6DEF56FE">
            <w:pPr>
              <w:widowControl/>
              <w:adjustRightInd/>
              <w:jc w:val="left"/>
              <w:rPr>
                <w:rFonts w:ascii="宋体" w:hAnsi="宋体" w:cs="宋体"/>
                <w:kern w:val="0"/>
                <w:sz w:val="24"/>
                <w:highlight w:val="none"/>
              </w:rPr>
            </w:pPr>
            <w:r>
              <w:rPr>
                <w:rFonts w:hint="eastAsia" w:ascii="宋体" w:hAnsi="宋体" w:cs="宋体"/>
                <w:kern w:val="0"/>
                <w:sz w:val="24"/>
                <w:highlight w:val="none"/>
              </w:rPr>
              <w:t>▲基础组件兼容</w:t>
            </w:r>
          </w:p>
        </w:tc>
        <w:tc>
          <w:tcPr>
            <w:tcW w:w="3150" w:type="dxa"/>
            <w:tcBorders>
              <w:top w:val="nil"/>
              <w:left w:val="nil"/>
              <w:bottom w:val="single" w:color="auto" w:sz="4" w:space="0"/>
              <w:right w:val="single" w:color="auto" w:sz="4" w:space="0"/>
            </w:tcBorders>
            <w:shd w:val="clear" w:color="000000" w:fill="FFFFFF"/>
            <w:vAlign w:val="center"/>
          </w:tcPr>
          <w:p w14:paraId="7177031B">
            <w:pPr>
              <w:widowControl/>
              <w:adjustRightInd/>
              <w:jc w:val="left"/>
              <w:rPr>
                <w:rFonts w:ascii="宋体" w:hAnsi="宋体" w:cs="宋体"/>
                <w:kern w:val="0"/>
                <w:sz w:val="24"/>
                <w:highlight w:val="none"/>
              </w:rPr>
            </w:pPr>
            <w:r>
              <w:rPr>
                <w:rFonts w:hint="eastAsia" w:ascii="宋体" w:hAnsi="宋体" w:cs="宋体"/>
                <w:kern w:val="0"/>
                <w:sz w:val="24"/>
                <w:highlight w:val="none"/>
              </w:rPr>
              <w:t>▲版本兼容</w:t>
            </w:r>
          </w:p>
        </w:tc>
        <w:tc>
          <w:tcPr>
            <w:tcW w:w="3959" w:type="dxa"/>
            <w:tcBorders>
              <w:top w:val="nil"/>
              <w:left w:val="nil"/>
              <w:bottom w:val="single" w:color="auto" w:sz="4" w:space="0"/>
              <w:right w:val="single" w:color="auto" w:sz="4" w:space="0"/>
            </w:tcBorders>
            <w:shd w:val="clear" w:color="000000" w:fill="FFFFFF"/>
            <w:vAlign w:val="center"/>
          </w:tcPr>
          <w:p w14:paraId="13FB04AA">
            <w:pPr>
              <w:widowControl/>
              <w:adjustRightInd/>
              <w:jc w:val="left"/>
              <w:rPr>
                <w:rFonts w:ascii="宋体" w:hAnsi="宋体" w:cs="宋体"/>
                <w:kern w:val="0"/>
                <w:sz w:val="24"/>
                <w:highlight w:val="none"/>
              </w:rPr>
            </w:pPr>
            <w:r>
              <w:rPr>
                <w:rFonts w:hint="eastAsia" w:ascii="宋体" w:hAnsi="宋体" w:cs="宋体"/>
                <w:kern w:val="0"/>
                <w:sz w:val="24"/>
                <w:highlight w:val="none"/>
              </w:rPr>
              <w:t>操作系统基础运行库或开发环境向后（向下）兼容，即系统版本升级后，能兼容上一版本所运行的软件与设备</w:t>
            </w:r>
          </w:p>
        </w:tc>
      </w:tr>
      <w:tr w14:paraId="4356BC29">
        <w:tblPrEx>
          <w:tblCellMar>
            <w:top w:w="0" w:type="dxa"/>
            <w:left w:w="108" w:type="dxa"/>
            <w:bottom w:w="0" w:type="dxa"/>
            <w:right w:w="108" w:type="dxa"/>
          </w:tblCellMar>
        </w:tblPrEx>
        <w:trPr>
          <w:trHeight w:val="936"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666881F4">
            <w:pPr>
              <w:widowControl/>
              <w:adjustRightInd/>
              <w:jc w:val="center"/>
              <w:rPr>
                <w:rFonts w:ascii="宋体" w:hAnsi="宋体" w:cs="宋体"/>
                <w:kern w:val="0"/>
                <w:sz w:val="24"/>
                <w:highlight w:val="none"/>
              </w:rPr>
            </w:pPr>
            <w:r>
              <w:rPr>
                <w:rFonts w:ascii="宋体" w:hAnsi="宋体" w:cs="宋体"/>
                <w:kern w:val="0"/>
                <w:sz w:val="24"/>
                <w:highlight w:val="none"/>
              </w:rPr>
              <w:t>90</w:t>
            </w:r>
          </w:p>
        </w:tc>
        <w:tc>
          <w:tcPr>
            <w:tcW w:w="1306" w:type="dxa"/>
            <w:vMerge w:val="continue"/>
            <w:tcBorders>
              <w:top w:val="nil"/>
              <w:left w:val="single" w:color="auto" w:sz="4" w:space="0"/>
              <w:bottom w:val="nil"/>
              <w:right w:val="single" w:color="auto" w:sz="4" w:space="0"/>
            </w:tcBorders>
            <w:shd w:val="clear" w:color="auto" w:fill="auto"/>
            <w:vAlign w:val="center"/>
          </w:tcPr>
          <w:p w14:paraId="46B82541">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4CDD9521">
            <w:pPr>
              <w:widowControl/>
              <w:adjustRightInd/>
              <w:jc w:val="left"/>
              <w:rPr>
                <w:rFonts w:ascii="宋体" w:hAnsi="宋体" w:cs="宋体"/>
                <w:kern w:val="0"/>
                <w:sz w:val="24"/>
                <w:highlight w:val="none"/>
              </w:rPr>
            </w:pPr>
            <w:r>
              <w:rPr>
                <w:rFonts w:hint="eastAsia" w:ascii="宋体" w:hAnsi="宋体" w:cs="宋体"/>
                <w:kern w:val="0"/>
                <w:sz w:val="24"/>
                <w:highlight w:val="none"/>
              </w:rPr>
              <w:t>▲兼容周期</w:t>
            </w:r>
          </w:p>
        </w:tc>
        <w:tc>
          <w:tcPr>
            <w:tcW w:w="3959" w:type="dxa"/>
            <w:tcBorders>
              <w:top w:val="nil"/>
              <w:left w:val="nil"/>
              <w:bottom w:val="single" w:color="auto" w:sz="4" w:space="0"/>
              <w:right w:val="single" w:color="auto" w:sz="4" w:space="0"/>
            </w:tcBorders>
            <w:shd w:val="clear" w:color="000000" w:fill="FFFFFF"/>
            <w:vAlign w:val="center"/>
          </w:tcPr>
          <w:p w14:paraId="1007A815">
            <w:pPr>
              <w:widowControl/>
              <w:adjustRightInd/>
              <w:jc w:val="left"/>
              <w:rPr>
                <w:rFonts w:ascii="宋体" w:hAnsi="宋体" w:cs="宋体"/>
                <w:kern w:val="0"/>
                <w:sz w:val="24"/>
                <w:highlight w:val="none"/>
              </w:rPr>
            </w:pPr>
            <w:r>
              <w:rPr>
                <w:rFonts w:hint="eastAsia" w:ascii="宋体" w:hAnsi="宋体" w:cs="宋体"/>
                <w:kern w:val="0"/>
                <w:sz w:val="24"/>
                <w:highlight w:val="none"/>
              </w:rPr>
              <w:t>操作系统主版本兼容维护时间自发布之日起不低于</w:t>
            </w:r>
            <w:r>
              <w:rPr>
                <w:rFonts w:ascii="宋体" w:hAnsi="宋体" w:cs="宋体"/>
                <w:kern w:val="0"/>
                <w:sz w:val="24"/>
                <w:highlight w:val="none"/>
              </w:rPr>
              <w:t>5年，包括但不限于安全修复、功能升级、新硬件支持等</w:t>
            </w:r>
          </w:p>
        </w:tc>
      </w:tr>
      <w:tr w14:paraId="1815BED2">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31D73313">
            <w:pPr>
              <w:widowControl/>
              <w:adjustRightInd/>
              <w:jc w:val="center"/>
              <w:rPr>
                <w:rFonts w:ascii="宋体" w:hAnsi="宋体" w:cs="宋体"/>
                <w:kern w:val="0"/>
                <w:sz w:val="24"/>
                <w:highlight w:val="none"/>
              </w:rPr>
            </w:pPr>
            <w:r>
              <w:rPr>
                <w:rFonts w:ascii="宋体" w:hAnsi="宋体" w:cs="宋体"/>
                <w:kern w:val="0"/>
                <w:sz w:val="24"/>
                <w:highlight w:val="none"/>
              </w:rPr>
              <w:t>91</w:t>
            </w:r>
          </w:p>
        </w:tc>
        <w:tc>
          <w:tcPr>
            <w:tcW w:w="1306"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5BA1985D">
            <w:pPr>
              <w:widowControl/>
              <w:adjustRightInd/>
              <w:jc w:val="left"/>
              <w:rPr>
                <w:rFonts w:ascii="宋体" w:hAnsi="宋体" w:cs="宋体"/>
                <w:kern w:val="0"/>
                <w:sz w:val="24"/>
                <w:highlight w:val="none"/>
              </w:rPr>
            </w:pPr>
            <w:r>
              <w:rPr>
                <w:rFonts w:hint="eastAsia" w:ascii="宋体" w:hAnsi="宋体" w:cs="宋体"/>
                <w:kern w:val="0"/>
                <w:sz w:val="24"/>
                <w:highlight w:val="none"/>
              </w:rPr>
              <w:t>▲运行环境</w:t>
            </w:r>
          </w:p>
        </w:tc>
        <w:tc>
          <w:tcPr>
            <w:tcW w:w="3150" w:type="dxa"/>
            <w:tcBorders>
              <w:top w:val="nil"/>
              <w:left w:val="nil"/>
              <w:bottom w:val="single" w:color="auto" w:sz="4" w:space="0"/>
              <w:right w:val="single" w:color="auto" w:sz="4" w:space="0"/>
            </w:tcBorders>
            <w:shd w:val="clear" w:color="000000" w:fill="FFFFFF"/>
            <w:vAlign w:val="center"/>
          </w:tcPr>
          <w:p w14:paraId="27C47BDD">
            <w:pPr>
              <w:widowControl/>
              <w:adjustRightInd/>
              <w:jc w:val="left"/>
              <w:rPr>
                <w:rFonts w:ascii="宋体" w:hAnsi="宋体" w:cs="宋体"/>
                <w:kern w:val="0"/>
                <w:sz w:val="24"/>
                <w:highlight w:val="none"/>
              </w:rPr>
            </w:pPr>
            <w:r>
              <w:rPr>
                <w:rFonts w:hint="eastAsia" w:ascii="宋体" w:hAnsi="宋体" w:cs="宋体"/>
                <w:kern w:val="0"/>
                <w:sz w:val="24"/>
                <w:highlight w:val="none"/>
              </w:rPr>
              <w:t>▲文件系统层次结构</w:t>
            </w:r>
          </w:p>
        </w:tc>
        <w:tc>
          <w:tcPr>
            <w:tcW w:w="3959" w:type="dxa"/>
            <w:tcBorders>
              <w:top w:val="nil"/>
              <w:left w:val="nil"/>
              <w:bottom w:val="single" w:color="auto" w:sz="4" w:space="0"/>
              <w:right w:val="single" w:color="auto" w:sz="4" w:space="0"/>
            </w:tcBorders>
            <w:shd w:val="clear" w:color="000000" w:fill="FFFFFF"/>
            <w:vAlign w:val="center"/>
          </w:tcPr>
          <w:p w14:paraId="52CCED4C">
            <w:pPr>
              <w:widowControl/>
              <w:adjustRightInd/>
              <w:jc w:val="left"/>
              <w:rPr>
                <w:rFonts w:ascii="宋体" w:hAnsi="宋体" w:cs="宋体"/>
                <w:kern w:val="0"/>
                <w:sz w:val="24"/>
                <w:highlight w:val="none"/>
              </w:rPr>
            </w:pPr>
            <w:r>
              <w:rPr>
                <w:rFonts w:hint="eastAsia" w:ascii="宋体" w:hAnsi="宋体" w:cs="宋体"/>
                <w:kern w:val="0"/>
                <w:sz w:val="24"/>
                <w:highlight w:val="none"/>
              </w:rPr>
              <w:t>供应商应给出长期兼容支持的文件系统层次结构</w:t>
            </w:r>
          </w:p>
        </w:tc>
      </w:tr>
      <w:tr w14:paraId="6152248D">
        <w:tblPrEx>
          <w:tblCellMar>
            <w:top w:w="0" w:type="dxa"/>
            <w:left w:w="108" w:type="dxa"/>
            <w:bottom w:w="0" w:type="dxa"/>
            <w:right w:w="108" w:type="dxa"/>
          </w:tblCellMar>
        </w:tblPrEx>
        <w:trPr>
          <w:trHeight w:val="312"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40FAED27">
            <w:pPr>
              <w:widowControl/>
              <w:adjustRightInd/>
              <w:jc w:val="center"/>
              <w:rPr>
                <w:rFonts w:ascii="宋体" w:hAnsi="宋体" w:cs="宋体"/>
                <w:kern w:val="0"/>
                <w:sz w:val="24"/>
                <w:highlight w:val="none"/>
              </w:rPr>
            </w:pPr>
            <w:r>
              <w:rPr>
                <w:rFonts w:ascii="宋体" w:hAnsi="宋体" w:cs="宋体"/>
                <w:kern w:val="0"/>
                <w:sz w:val="24"/>
                <w:highlight w:val="none"/>
              </w:rPr>
              <w:t>92</w:t>
            </w:r>
          </w:p>
        </w:tc>
        <w:tc>
          <w:tcPr>
            <w:tcW w:w="1306"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4D3D527D">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3D6AAEDA">
            <w:pPr>
              <w:widowControl/>
              <w:adjustRightInd/>
              <w:jc w:val="left"/>
              <w:rPr>
                <w:rFonts w:ascii="宋体" w:hAnsi="宋体" w:cs="宋体"/>
                <w:kern w:val="0"/>
                <w:sz w:val="24"/>
                <w:highlight w:val="none"/>
              </w:rPr>
            </w:pPr>
            <w:r>
              <w:rPr>
                <w:rFonts w:hint="eastAsia" w:ascii="宋体" w:hAnsi="宋体" w:cs="宋体"/>
                <w:kern w:val="0"/>
                <w:sz w:val="24"/>
                <w:highlight w:val="none"/>
              </w:rPr>
              <w:t>▲运行库</w:t>
            </w:r>
          </w:p>
        </w:tc>
        <w:tc>
          <w:tcPr>
            <w:tcW w:w="3959" w:type="dxa"/>
            <w:tcBorders>
              <w:top w:val="nil"/>
              <w:left w:val="nil"/>
              <w:bottom w:val="single" w:color="auto" w:sz="4" w:space="0"/>
              <w:right w:val="single" w:color="auto" w:sz="4" w:space="0"/>
            </w:tcBorders>
            <w:shd w:val="clear" w:color="000000" w:fill="FFFFFF"/>
            <w:vAlign w:val="center"/>
          </w:tcPr>
          <w:p w14:paraId="776F9A5D">
            <w:pPr>
              <w:widowControl/>
              <w:adjustRightInd/>
              <w:jc w:val="left"/>
              <w:rPr>
                <w:rFonts w:ascii="宋体" w:hAnsi="宋体" w:cs="宋体"/>
                <w:kern w:val="0"/>
                <w:sz w:val="24"/>
                <w:highlight w:val="none"/>
              </w:rPr>
            </w:pPr>
            <w:r>
              <w:rPr>
                <w:rFonts w:hint="eastAsia" w:ascii="宋体" w:hAnsi="宋体" w:cs="宋体"/>
                <w:kern w:val="0"/>
                <w:sz w:val="24"/>
                <w:highlight w:val="none"/>
              </w:rPr>
              <w:t>供应商应给出长期兼容支持的运行库</w:t>
            </w:r>
          </w:p>
        </w:tc>
      </w:tr>
      <w:tr w14:paraId="74E82550">
        <w:tblPrEx>
          <w:tblCellMar>
            <w:top w:w="0" w:type="dxa"/>
            <w:left w:w="108" w:type="dxa"/>
            <w:bottom w:w="0" w:type="dxa"/>
            <w:right w:w="108" w:type="dxa"/>
          </w:tblCellMar>
        </w:tblPrEx>
        <w:trPr>
          <w:trHeight w:val="312"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431ECDA0">
            <w:pPr>
              <w:widowControl/>
              <w:adjustRightInd/>
              <w:jc w:val="center"/>
              <w:rPr>
                <w:rFonts w:ascii="宋体" w:hAnsi="宋体" w:cs="宋体"/>
                <w:kern w:val="0"/>
                <w:sz w:val="24"/>
                <w:highlight w:val="none"/>
              </w:rPr>
            </w:pPr>
            <w:r>
              <w:rPr>
                <w:rFonts w:ascii="宋体" w:hAnsi="宋体" w:cs="宋体"/>
                <w:kern w:val="0"/>
                <w:sz w:val="24"/>
                <w:highlight w:val="none"/>
              </w:rPr>
              <w:t>93</w:t>
            </w:r>
          </w:p>
        </w:tc>
        <w:tc>
          <w:tcPr>
            <w:tcW w:w="1306"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5A57C865">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6213523F">
            <w:pPr>
              <w:widowControl/>
              <w:adjustRightInd/>
              <w:jc w:val="left"/>
              <w:rPr>
                <w:rFonts w:ascii="宋体" w:hAnsi="宋体" w:cs="宋体"/>
                <w:kern w:val="0"/>
                <w:sz w:val="24"/>
                <w:highlight w:val="none"/>
              </w:rPr>
            </w:pPr>
            <w:r>
              <w:rPr>
                <w:rFonts w:hint="eastAsia" w:ascii="宋体" w:hAnsi="宋体" w:cs="宋体"/>
                <w:kern w:val="0"/>
                <w:sz w:val="24"/>
                <w:highlight w:val="none"/>
              </w:rPr>
              <w:t>▲命令</w:t>
            </w:r>
          </w:p>
        </w:tc>
        <w:tc>
          <w:tcPr>
            <w:tcW w:w="3959" w:type="dxa"/>
            <w:tcBorders>
              <w:top w:val="nil"/>
              <w:left w:val="nil"/>
              <w:bottom w:val="single" w:color="auto" w:sz="4" w:space="0"/>
              <w:right w:val="single" w:color="auto" w:sz="4" w:space="0"/>
            </w:tcBorders>
            <w:shd w:val="clear" w:color="000000" w:fill="FFFFFF"/>
            <w:vAlign w:val="center"/>
          </w:tcPr>
          <w:p w14:paraId="4BBFAC0B">
            <w:pPr>
              <w:widowControl/>
              <w:adjustRightInd/>
              <w:jc w:val="left"/>
              <w:rPr>
                <w:rFonts w:ascii="宋体" w:hAnsi="宋体" w:cs="宋体"/>
                <w:kern w:val="0"/>
                <w:sz w:val="24"/>
                <w:highlight w:val="none"/>
              </w:rPr>
            </w:pPr>
            <w:r>
              <w:rPr>
                <w:rFonts w:hint="eastAsia" w:ascii="宋体" w:hAnsi="宋体" w:cs="宋体"/>
                <w:kern w:val="0"/>
                <w:sz w:val="24"/>
                <w:highlight w:val="none"/>
              </w:rPr>
              <w:t>供应商应给出长期兼容支持的常用命令</w:t>
            </w:r>
          </w:p>
        </w:tc>
      </w:tr>
      <w:tr w14:paraId="4E50F9B0">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0ACFD865">
            <w:pPr>
              <w:widowControl/>
              <w:adjustRightInd/>
              <w:jc w:val="center"/>
              <w:rPr>
                <w:rFonts w:ascii="宋体" w:hAnsi="宋体" w:cs="宋体"/>
                <w:kern w:val="0"/>
                <w:sz w:val="24"/>
                <w:highlight w:val="none"/>
              </w:rPr>
            </w:pPr>
            <w:r>
              <w:rPr>
                <w:rFonts w:ascii="宋体" w:hAnsi="宋体" w:cs="宋体"/>
                <w:kern w:val="0"/>
                <w:sz w:val="24"/>
                <w:highlight w:val="none"/>
              </w:rPr>
              <w:t>94</w:t>
            </w:r>
          </w:p>
        </w:tc>
        <w:tc>
          <w:tcPr>
            <w:tcW w:w="1306" w:type="dxa"/>
            <w:vMerge w:val="restart"/>
            <w:tcBorders>
              <w:top w:val="nil"/>
              <w:left w:val="single" w:color="auto" w:sz="4" w:space="0"/>
              <w:bottom w:val="single" w:color="000000" w:sz="4" w:space="0"/>
              <w:right w:val="single" w:color="auto" w:sz="4" w:space="0"/>
            </w:tcBorders>
            <w:shd w:val="clear" w:color="000000" w:fill="FFFFFF"/>
            <w:vAlign w:val="center"/>
          </w:tcPr>
          <w:p w14:paraId="1B3875E3">
            <w:pPr>
              <w:widowControl/>
              <w:adjustRightInd/>
              <w:jc w:val="left"/>
              <w:rPr>
                <w:rFonts w:ascii="宋体" w:hAnsi="宋体" w:cs="宋体"/>
                <w:kern w:val="0"/>
                <w:sz w:val="24"/>
                <w:highlight w:val="none"/>
              </w:rPr>
            </w:pPr>
            <w:r>
              <w:rPr>
                <w:rFonts w:hint="eastAsia" w:ascii="宋体" w:hAnsi="宋体" w:cs="宋体"/>
                <w:kern w:val="0"/>
                <w:sz w:val="24"/>
                <w:highlight w:val="none"/>
              </w:rPr>
              <w:t>▲软件兼容</w:t>
            </w:r>
          </w:p>
        </w:tc>
        <w:tc>
          <w:tcPr>
            <w:tcW w:w="3150" w:type="dxa"/>
            <w:tcBorders>
              <w:top w:val="nil"/>
              <w:left w:val="nil"/>
              <w:bottom w:val="single" w:color="auto" w:sz="4" w:space="0"/>
              <w:right w:val="single" w:color="auto" w:sz="4" w:space="0"/>
            </w:tcBorders>
            <w:shd w:val="clear" w:color="000000" w:fill="FFFFFF"/>
            <w:vAlign w:val="center"/>
          </w:tcPr>
          <w:p w14:paraId="1506D188">
            <w:pPr>
              <w:widowControl/>
              <w:adjustRightInd/>
              <w:jc w:val="left"/>
              <w:rPr>
                <w:rFonts w:ascii="宋体" w:hAnsi="宋体" w:cs="宋体"/>
                <w:kern w:val="0"/>
                <w:sz w:val="24"/>
                <w:highlight w:val="none"/>
              </w:rPr>
            </w:pPr>
            <w:r>
              <w:rPr>
                <w:rFonts w:hint="eastAsia" w:ascii="宋体" w:hAnsi="宋体" w:cs="宋体"/>
                <w:kern w:val="0"/>
                <w:sz w:val="24"/>
                <w:highlight w:val="none"/>
              </w:rPr>
              <w:t>▲集群软件</w:t>
            </w:r>
          </w:p>
        </w:tc>
        <w:tc>
          <w:tcPr>
            <w:tcW w:w="3959" w:type="dxa"/>
            <w:tcBorders>
              <w:top w:val="nil"/>
              <w:left w:val="nil"/>
              <w:bottom w:val="single" w:color="auto" w:sz="4" w:space="0"/>
              <w:right w:val="single" w:color="auto" w:sz="4" w:space="0"/>
            </w:tcBorders>
            <w:shd w:val="clear" w:color="000000" w:fill="FFFFFF"/>
            <w:vAlign w:val="center"/>
          </w:tcPr>
          <w:p w14:paraId="6C11D0B7">
            <w:pPr>
              <w:widowControl/>
              <w:adjustRightInd/>
              <w:jc w:val="left"/>
              <w:rPr>
                <w:rFonts w:ascii="宋体" w:hAnsi="宋体" w:cs="宋体"/>
                <w:kern w:val="0"/>
                <w:sz w:val="24"/>
                <w:highlight w:val="none"/>
              </w:rPr>
            </w:pPr>
            <w:r>
              <w:rPr>
                <w:rFonts w:hint="eastAsia" w:ascii="宋体" w:hAnsi="宋体" w:cs="宋体"/>
                <w:kern w:val="0"/>
                <w:sz w:val="24"/>
                <w:highlight w:val="none"/>
              </w:rPr>
              <w:t>供应商提供兼容的集群软件清单，且至少兼容一款产品</w:t>
            </w:r>
          </w:p>
        </w:tc>
      </w:tr>
      <w:tr w14:paraId="6F6D43DC">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25AC8EB7">
            <w:pPr>
              <w:widowControl/>
              <w:adjustRightInd/>
              <w:jc w:val="center"/>
              <w:rPr>
                <w:rFonts w:ascii="宋体" w:hAnsi="宋体" w:cs="宋体"/>
                <w:kern w:val="0"/>
                <w:sz w:val="24"/>
                <w:highlight w:val="none"/>
              </w:rPr>
            </w:pPr>
            <w:r>
              <w:rPr>
                <w:rFonts w:ascii="宋体" w:hAnsi="宋体" w:cs="宋体"/>
                <w:kern w:val="0"/>
                <w:sz w:val="24"/>
                <w:highlight w:val="none"/>
              </w:rPr>
              <w:t>95</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3F582A7B">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1E11282D">
            <w:pPr>
              <w:widowControl/>
              <w:adjustRightInd/>
              <w:jc w:val="left"/>
              <w:rPr>
                <w:rFonts w:ascii="宋体" w:hAnsi="宋体" w:cs="宋体"/>
                <w:kern w:val="0"/>
                <w:sz w:val="24"/>
                <w:highlight w:val="none"/>
              </w:rPr>
            </w:pPr>
            <w:r>
              <w:rPr>
                <w:rFonts w:hint="eastAsia" w:ascii="宋体" w:hAnsi="宋体" w:cs="宋体"/>
                <w:kern w:val="0"/>
                <w:sz w:val="24"/>
                <w:highlight w:val="none"/>
              </w:rPr>
              <w:t>▲虚拟化云平台</w:t>
            </w:r>
          </w:p>
        </w:tc>
        <w:tc>
          <w:tcPr>
            <w:tcW w:w="3959" w:type="dxa"/>
            <w:tcBorders>
              <w:top w:val="nil"/>
              <w:left w:val="nil"/>
              <w:bottom w:val="single" w:color="auto" w:sz="4" w:space="0"/>
              <w:right w:val="single" w:color="auto" w:sz="4" w:space="0"/>
            </w:tcBorders>
            <w:shd w:val="clear" w:color="000000" w:fill="FFFFFF"/>
            <w:vAlign w:val="center"/>
          </w:tcPr>
          <w:p w14:paraId="73E91ACC">
            <w:pPr>
              <w:widowControl/>
              <w:adjustRightInd/>
              <w:jc w:val="left"/>
              <w:rPr>
                <w:rFonts w:ascii="宋体" w:hAnsi="宋体" w:cs="宋体"/>
                <w:kern w:val="0"/>
                <w:sz w:val="24"/>
                <w:highlight w:val="none"/>
              </w:rPr>
            </w:pPr>
            <w:r>
              <w:rPr>
                <w:rFonts w:hint="eastAsia" w:ascii="宋体" w:hAnsi="宋体" w:cs="宋体"/>
                <w:kern w:val="0"/>
                <w:sz w:val="24"/>
                <w:highlight w:val="none"/>
              </w:rPr>
              <w:t>供应商提供兼容的虚拟化平台软件清单，且至少兼容三款产品</w:t>
            </w:r>
          </w:p>
        </w:tc>
      </w:tr>
      <w:tr w14:paraId="13855981">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154E370B">
            <w:pPr>
              <w:widowControl/>
              <w:adjustRightInd/>
              <w:jc w:val="center"/>
              <w:rPr>
                <w:rFonts w:ascii="宋体" w:hAnsi="宋体" w:cs="宋体"/>
                <w:kern w:val="0"/>
                <w:sz w:val="24"/>
                <w:highlight w:val="none"/>
              </w:rPr>
            </w:pPr>
            <w:r>
              <w:rPr>
                <w:rFonts w:ascii="宋体" w:hAnsi="宋体" w:cs="宋体"/>
                <w:kern w:val="0"/>
                <w:sz w:val="24"/>
                <w:highlight w:val="none"/>
              </w:rPr>
              <w:t>96</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1C8AEEFD">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215173A6">
            <w:pPr>
              <w:widowControl/>
              <w:adjustRightInd/>
              <w:jc w:val="left"/>
              <w:rPr>
                <w:rFonts w:ascii="宋体" w:hAnsi="宋体" w:cs="宋体"/>
                <w:kern w:val="0"/>
                <w:sz w:val="24"/>
                <w:highlight w:val="none"/>
              </w:rPr>
            </w:pPr>
            <w:r>
              <w:rPr>
                <w:rFonts w:hint="eastAsia" w:ascii="宋体" w:hAnsi="宋体" w:cs="宋体"/>
                <w:kern w:val="0"/>
                <w:sz w:val="24"/>
                <w:highlight w:val="none"/>
              </w:rPr>
              <w:t>▲容器云</w:t>
            </w:r>
          </w:p>
        </w:tc>
        <w:tc>
          <w:tcPr>
            <w:tcW w:w="3959" w:type="dxa"/>
            <w:tcBorders>
              <w:top w:val="nil"/>
              <w:left w:val="nil"/>
              <w:bottom w:val="single" w:color="auto" w:sz="4" w:space="0"/>
              <w:right w:val="single" w:color="auto" w:sz="4" w:space="0"/>
            </w:tcBorders>
            <w:shd w:val="clear" w:color="000000" w:fill="FFFFFF"/>
            <w:vAlign w:val="center"/>
          </w:tcPr>
          <w:p w14:paraId="1FAEE8D5">
            <w:pPr>
              <w:widowControl/>
              <w:adjustRightInd/>
              <w:jc w:val="left"/>
              <w:rPr>
                <w:rFonts w:ascii="宋体" w:hAnsi="宋体" w:cs="宋体"/>
                <w:kern w:val="0"/>
                <w:sz w:val="24"/>
                <w:highlight w:val="none"/>
              </w:rPr>
            </w:pPr>
            <w:r>
              <w:rPr>
                <w:rFonts w:hint="eastAsia" w:ascii="宋体" w:hAnsi="宋体" w:cs="宋体"/>
                <w:kern w:val="0"/>
                <w:sz w:val="24"/>
                <w:highlight w:val="none"/>
              </w:rPr>
              <w:t>供应商提供兼容的容器云软件清单，且至少兼容三款产品</w:t>
            </w:r>
          </w:p>
        </w:tc>
      </w:tr>
      <w:tr w14:paraId="7A3232BB">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2B308F77">
            <w:pPr>
              <w:widowControl/>
              <w:adjustRightInd/>
              <w:jc w:val="center"/>
              <w:rPr>
                <w:rFonts w:ascii="宋体" w:hAnsi="宋体" w:cs="宋体"/>
                <w:kern w:val="0"/>
                <w:sz w:val="24"/>
                <w:highlight w:val="none"/>
              </w:rPr>
            </w:pPr>
            <w:r>
              <w:rPr>
                <w:rFonts w:ascii="宋体" w:hAnsi="宋体" w:cs="宋体"/>
                <w:kern w:val="0"/>
                <w:sz w:val="24"/>
                <w:highlight w:val="none"/>
              </w:rPr>
              <w:t>97</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2FDF0D63">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11672427">
            <w:pPr>
              <w:widowControl/>
              <w:adjustRightInd/>
              <w:jc w:val="left"/>
              <w:rPr>
                <w:rFonts w:ascii="宋体" w:hAnsi="宋体" w:cs="宋体"/>
                <w:kern w:val="0"/>
                <w:sz w:val="24"/>
                <w:highlight w:val="none"/>
              </w:rPr>
            </w:pPr>
            <w:r>
              <w:rPr>
                <w:rFonts w:hint="eastAsia" w:ascii="宋体" w:hAnsi="宋体" w:cs="宋体"/>
                <w:kern w:val="0"/>
                <w:sz w:val="24"/>
                <w:highlight w:val="none"/>
              </w:rPr>
              <w:t>▲存储软件</w:t>
            </w:r>
          </w:p>
        </w:tc>
        <w:tc>
          <w:tcPr>
            <w:tcW w:w="3959" w:type="dxa"/>
            <w:tcBorders>
              <w:top w:val="nil"/>
              <w:left w:val="nil"/>
              <w:bottom w:val="single" w:color="auto" w:sz="4" w:space="0"/>
              <w:right w:val="single" w:color="auto" w:sz="4" w:space="0"/>
            </w:tcBorders>
            <w:shd w:val="clear" w:color="000000" w:fill="FFFFFF"/>
            <w:vAlign w:val="center"/>
          </w:tcPr>
          <w:p w14:paraId="3F829F03">
            <w:pPr>
              <w:widowControl/>
              <w:adjustRightInd/>
              <w:jc w:val="left"/>
              <w:rPr>
                <w:rFonts w:ascii="宋体" w:hAnsi="宋体" w:cs="宋体"/>
                <w:kern w:val="0"/>
                <w:sz w:val="24"/>
                <w:highlight w:val="none"/>
              </w:rPr>
            </w:pPr>
            <w:r>
              <w:rPr>
                <w:rFonts w:hint="eastAsia" w:ascii="宋体" w:hAnsi="宋体" w:cs="宋体"/>
                <w:kern w:val="0"/>
                <w:sz w:val="24"/>
                <w:highlight w:val="none"/>
              </w:rPr>
              <w:t>供应商提供兼容的存储软件清单，且至少兼容一款产品</w:t>
            </w:r>
          </w:p>
        </w:tc>
      </w:tr>
      <w:tr w14:paraId="5EC7A4ED">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18B96717">
            <w:pPr>
              <w:widowControl/>
              <w:adjustRightInd/>
              <w:jc w:val="center"/>
              <w:rPr>
                <w:rFonts w:ascii="宋体" w:hAnsi="宋体" w:cs="宋体"/>
                <w:kern w:val="0"/>
                <w:sz w:val="24"/>
                <w:highlight w:val="none"/>
              </w:rPr>
            </w:pPr>
            <w:r>
              <w:rPr>
                <w:rFonts w:ascii="宋体" w:hAnsi="宋体" w:cs="宋体"/>
                <w:kern w:val="0"/>
                <w:sz w:val="24"/>
                <w:highlight w:val="none"/>
              </w:rPr>
              <w:t>98</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692BCBD3">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50625EFB">
            <w:pPr>
              <w:widowControl/>
              <w:adjustRightInd/>
              <w:jc w:val="left"/>
              <w:rPr>
                <w:rFonts w:ascii="宋体" w:hAnsi="宋体" w:cs="宋体"/>
                <w:kern w:val="0"/>
                <w:sz w:val="24"/>
                <w:highlight w:val="none"/>
              </w:rPr>
            </w:pPr>
            <w:r>
              <w:rPr>
                <w:rFonts w:hint="eastAsia" w:ascii="宋体" w:hAnsi="宋体" w:cs="宋体"/>
                <w:kern w:val="0"/>
                <w:sz w:val="24"/>
                <w:highlight w:val="none"/>
              </w:rPr>
              <w:t>▲数据库管理系统</w:t>
            </w:r>
          </w:p>
        </w:tc>
        <w:tc>
          <w:tcPr>
            <w:tcW w:w="3959" w:type="dxa"/>
            <w:tcBorders>
              <w:top w:val="nil"/>
              <w:left w:val="nil"/>
              <w:bottom w:val="single" w:color="auto" w:sz="4" w:space="0"/>
              <w:right w:val="single" w:color="auto" w:sz="4" w:space="0"/>
            </w:tcBorders>
            <w:shd w:val="clear" w:color="000000" w:fill="FFFFFF"/>
            <w:vAlign w:val="center"/>
          </w:tcPr>
          <w:p w14:paraId="41789DB2">
            <w:pPr>
              <w:widowControl/>
              <w:adjustRightInd/>
              <w:jc w:val="left"/>
              <w:rPr>
                <w:rFonts w:ascii="宋体" w:hAnsi="宋体" w:cs="宋体"/>
                <w:kern w:val="0"/>
                <w:sz w:val="24"/>
                <w:highlight w:val="none"/>
              </w:rPr>
            </w:pPr>
            <w:r>
              <w:rPr>
                <w:rFonts w:hint="eastAsia" w:ascii="宋体" w:hAnsi="宋体" w:cs="宋体"/>
                <w:kern w:val="0"/>
                <w:sz w:val="24"/>
                <w:highlight w:val="none"/>
              </w:rPr>
              <w:t>供应商提供兼容的数据库软件清单，且至少兼容三款产品</w:t>
            </w:r>
          </w:p>
        </w:tc>
      </w:tr>
      <w:tr w14:paraId="59195F53">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06907A34">
            <w:pPr>
              <w:widowControl/>
              <w:adjustRightInd/>
              <w:jc w:val="center"/>
              <w:rPr>
                <w:rFonts w:ascii="宋体" w:hAnsi="宋体" w:cs="宋体"/>
                <w:kern w:val="0"/>
                <w:sz w:val="24"/>
                <w:highlight w:val="none"/>
              </w:rPr>
            </w:pPr>
            <w:r>
              <w:rPr>
                <w:rFonts w:ascii="宋体" w:hAnsi="宋体" w:cs="宋体"/>
                <w:kern w:val="0"/>
                <w:sz w:val="24"/>
                <w:highlight w:val="none"/>
              </w:rPr>
              <w:t>99</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785AFA6E">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406562D2">
            <w:pPr>
              <w:widowControl/>
              <w:adjustRightInd/>
              <w:jc w:val="left"/>
              <w:rPr>
                <w:rFonts w:ascii="宋体" w:hAnsi="宋体" w:cs="宋体"/>
                <w:kern w:val="0"/>
                <w:sz w:val="24"/>
                <w:highlight w:val="none"/>
              </w:rPr>
            </w:pPr>
            <w:r>
              <w:rPr>
                <w:rFonts w:hint="eastAsia" w:ascii="宋体" w:hAnsi="宋体" w:cs="宋体"/>
                <w:kern w:val="0"/>
                <w:sz w:val="24"/>
                <w:highlight w:val="none"/>
              </w:rPr>
              <w:t>▲中间件</w:t>
            </w:r>
          </w:p>
        </w:tc>
        <w:tc>
          <w:tcPr>
            <w:tcW w:w="3959" w:type="dxa"/>
            <w:tcBorders>
              <w:top w:val="nil"/>
              <w:left w:val="nil"/>
              <w:bottom w:val="single" w:color="auto" w:sz="4" w:space="0"/>
              <w:right w:val="single" w:color="auto" w:sz="4" w:space="0"/>
            </w:tcBorders>
            <w:shd w:val="clear" w:color="000000" w:fill="FFFFFF"/>
            <w:vAlign w:val="center"/>
          </w:tcPr>
          <w:p w14:paraId="55AE1013">
            <w:pPr>
              <w:widowControl/>
              <w:adjustRightInd/>
              <w:jc w:val="left"/>
              <w:rPr>
                <w:rFonts w:ascii="宋体" w:hAnsi="宋体" w:cs="宋体"/>
                <w:kern w:val="0"/>
                <w:sz w:val="24"/>
                <w:highlight w:val="none"/>
              </w:rPr>
            </w:pPr>
            <w:r>
              <w:rPr>
                <w:rFonts w:hint="eastAsia" w:ascii="宋体" w:hAnsi="宋体" w:cs="宋体"/>
                <w:kern w:val="0"/>
                <w:sz w:val="24"/>
                <w:highlight w:val="none"/>
              </w:rPr>
              <w:t>供应商提供兼容的中间件软件清单，且至少兼容三款产品</w:t>
            </w:r>
          </w:p>
        </w:tc>
      </w:tr>
      <w:tr w14:paraId="7BFBADFA">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73D5AE07">
            <w:pPr>
              <w:widowControl/>
              <w:adjustRightInd/>
              <w:jc w:val="center"/>
              <w:rPr>
                <w:rFonts w:ascii="宋体" w:hAnsi="宋体" w:cs="宋体"/>
                <w:kern w:val="0"/>
                <w:sz w:val="24"/>
                <w:highlight w:val="none"/>
              </w:rPr>
            </w:pPr>
            <w:r>
              <w:rPr>
                <w:rFonts w:ascii="宋体" w:hAnsi="宋体" w:cs="宋体"/>
                <w:kern w:val="0"/>
                <w:sz w:val="24"/>
                <w:highlight w:val="none"/>
              </w:rPr>
              <w:t>100</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1B24B6AD">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592DE115">
            <w:pPr>
              <w:widowControl/>
              <w:adjustRightInd/>
              <w:jc w:val="left"/>
              <w:rPr>
                <w:rFonts w:ascii="宋体" w:hAnsi="宋体" w:cs="宋体"/>
                <w:kern w:val="0"/>
                <w:sz w:val="24"/>
                <w:highlight w:val="none"/>
              </w:rPr>
            </w:pPr>
            <w:r>
              <w:rPr>
                <w:rFonts w:hint="eastAsia" w:ascii="宋体" w:hAnsi="宋体" w:cs="宋体"/>
                <w:kern w:val="0"/>
                <w:sz w:val="24"/>
                <w:highlight w:val="none"/>
              </w:rPr>
              <w:t>▲运维平台</w:t>
            </w:r>
          </w:p>
        </w:tc>
        <w:tc>
          <w:tcPr>
            <w:tcW w:w="3959" w:type="dxa"/>
            <w:tcBorders>
              <w:top w:val="nil"/>
              <w:left w:val="nil"/>
              <w:bottom w:val="single" w:color="auto" w:sz="4" w:space="0"/>
              <w:right w:val="single" w:color="auto" w:sz="4" w:space="0"/>
            </w:tcBorders>
            <w:shd w:val="clear" w:color="000000" w:fill="FFFFFF"/>
            <w:vAlign w:val="center"/>
          </w:tcPr>
          <w:p w14:paraId="14CFC3CA">
            <w:pPr>
              <w:widowControl/>
              <w:adjustRightInd/>
              <w:jc w:val="left"/>
              <w:rPr>
                <w:rFonts w:ascii="宋体" w:hAnsi="宋体" w:cs="宋体"/>
                <w:kern w:val="0"/>
                <w:sz w:val="24"/>
                <w:highlight w:val="none"/>
              </w:rPr>
            </w:pPr>
            <w:r>
              <w:rPr>
                <w:rFonts w:hint="eastAsia" w:ascii="宋体" w:hAnsi="宋体" w:cs="宋体"/>
                <w:kern w:val="0"/>
                <w:sz w:val="24"/>
                <w:highlight w:val="none"/>
              </w:rPr>
              <w:t>供应商提供兼容的运维平台软件清单，且至少兼容一款产品</w:t>
            </w:r>
          </w:p>
        </w:tc>
      </w:tr>
      <w:tr w14:paraId="099CE9E6">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3E9A46FF">
            <w:pPr>
              <w:widowControl/>
              <w:adjustRightInd/>
              <w:jc w:val="center"/>
              <w:rPr>
                <w:rFonts w:ascii="宋体" w:hAnsi="宋体" w:cs="宋体"/>
                <w:kern w:val="0"/>
                <w:sz w:val="24"/>
                <w:highlight w:val="none"/>
              </w:rPr>
            </w:pPr>
            <w:r>
              <w:rPr>
                <w:rFonts w:ascii="宋体" w:hAnsi="宋体" w:cs="宋体"/>
                <w:kern w:val="0"/>
                <w:sz w:val="24"/>
                <w:highlight w:val="none"/>
              </w:rPr>
              <w:t>101</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2DF36526">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6C8FC7ED">
            <w:pPr>
              <w:widowControl/>
              <w:adjustRightInd/>
              <w:jc w:val="left"/>
              <w:rPr>
                <w:rFonts w:ascii="宋体" w:hAnsi="宋体" w:cs="宋体"/>
                <w:kern w:val="0"/>
                <w:sz w:val="24"/>
                <w:highlight w:val="none"/>
              </w:rPr>
            </w:pPr>
            <w:r>
              <w:rPr>
                <w:rFonts w:hint="eastAsia" w:ascii="宋体" w:hAnsi="宋体" w:cs="宋体"/>
                <w:kern w:val="0"/>
                <w:sz w:val="24"/>
                <w:highlight w:val="none"/>
              </w:rPr>
              <w:t>▲备份软件</w:t>
            </w:r>
          </w:p>
        </w:tc>
        <w:tc>
          <w:tcPr>
            <w:tcW w:w="3959" w:type="dxa"/>
            <w:tcBorders>
              <w:top w:val="nil"/>
              <w:left w:val="nil"/>
              <w:bottom w:val="single" w:color="auto" w:sz="4" w:space="0"/>
              <w:right w:val="single" w:color="auto" w:sz="4" w:space="0"/>
            </w:tcBorders>
            <w:shd w:val="clear" w:color="000000" w:fill="FFFFFF"/>
            <w:vAlign w:val="center"/>
          </w:tcPr>
          <w:p w14:paraId="68522587">
            <w:pPr>
              <w:widowControl/>
              <w:adjustRightInd/>
              <w:jc w:val="left"/>
              <w:rPr>
                <w:rFonts w:ascii="宋体" w:hAnsi="宋体" w:cs="宋体"/>
                <w:kern w:val="0"/>
                <w:sz w:val="24"/>
                <w:highlight w:val="none"/>
              </w:rPr>
            </w:pPr>
            <w:r>
              <w:rPr>
                <w:rFonts w:hint="eastAsia" w:ascii="宋体" w:hAnsi="宋体" w:cs="宋体"/>
                <w:kern w:val="0"/>
                <w:sz w:val="24"/>
                <w:highlight w:val="none"/>
              </w:rPr>
              <w:t>供应商提供兼容的备份恢复软件清单，且至少兼容一款产品</w:t>
            </w:r>
          </w:p>
        </w:tc>
      </w:tr>
      <w:tr w14:paraId="480CD462">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542E67D2">
            <w:pPr>
              <w:widowControl/>
              <w:adjustRightInd/>
              <w:jc w:val="center"/>
              <w:rPr>
                <w:rFonts w:ascii="宋体" w:hAnsi="宋体" w:cs="宋体"/>
                <w:kern w:val="0"/>
                <w:sz w:val="24"/>
                <w:highlight w:val="none"/>
              </w:rPr>
            </w:pPr>
            <w:r>
              <w:rPr>
                <w:rFonts w:ascii="宋体" w:hAnsi="宋体" w:cs="宋体"/>
                <w:kern w:val="0"/>
                <w:sz w:val="24"/>
                <w:highlight w:val="none"/>
              </w:rPr>
              <w:t>102</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1A8B4610">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78C8FEA7">
            <w:pPr>
              <w:widowControl/>
              <w:adjustRightInd/>
              <w:jc w:val="left"/>
              <w:rPr>
                <w:rFonts w:ascii="宋体" w:hAnsi="宋体" w:cs="宋体"/>
                <w:kern w:val="0"/>
                <w:sz w:val="24"/>
                <w:highlight w:val="none"/>
              </w:rPr>
            </w:pPr>
            <w:r>
              <w:rPr>
                <w:rFonts w:hint="eastAsia" w:ascii="宋体" w:hAnsi="宋体" w:cs="宋体"/>
                <w:kern w:val="0"/>
                <w:sz w:val="24"/>
                <w:highlight w:val="none"/>
              </w:rPr>
              <w:t>▲大数据平台</w:t>
            </w:r>
          </w:p>
        </w:tc>
        <w:tc>
          <w:tcPr>
            <w:tcW w:w="3959" w:type="dxa"/>
            <w:tcBorders>
              <w:top w:val="nil"/>
              <w:left w:val="nil"/>
              <w:bottom w:val="single" w:color="auto" w:sz="4" w:space="0"/>
              <w:right w:val="single" w:color="auto" w:sz="4" w:space="0"/>
            </w:tcBorders>
            <w:shd w:val="clear" w:color="000000" w:fill="FFFFFF"/>
            <w:vAlign w:val="center"/>
          </w:tcPr>
          <w:p w14:paraId="7FAC8018">
            <w:pPr>
              <w:widowControl/>
              <w:adjustRightInd/>
              <w:jc w:val="left"/>
              <w:rPr>
                <w:rFonts w:ascii="宋体" w:hAnsi="宋体" w:cs="宋体"/>
                <w:kern w:val="0"/>
                <w:sz w:val="24"/>
                <w:highlight w:val="none"/>
              </w:rPr>
            </w:pPr>
            <w:r>
              <w:rPr>
                <w:rFonts w:hint="eastAsia" w:ascii="宋体" w:hAnsi="宋体" w:cs="宋体"/>
                <w:kern w:val="0"/>
                <w:sz w:val="24"/>
                <w:highlight w:val="none"/>
              </w:rPr>
              <w:t>供应商提供兼容的大数据平台软件清单，且至少兼容一款产品</w:t>
            </w:r>
          </w:p>
        </w:tc>
      </w:tr>
      <w:tr w14:paraId="303B7D45">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642CF3B6">
            <w:pPr>
              <w:widowControl/>
              <w:adjustRightInd/>
              <w:jc w:val="center"/>
              <w:rPr>
                <w:rFonts w:ascii="宋体" w:hAnsi="宋体" w:cs="宋体"/>
                <w:kern w:val="0"/>
                <w:sz w:val="24"/>
                <w:highlight w:val="none"/>
              </w:rPr>
            </w:pPr>
            <w:r>
              <w:rPr>
                <w:rFonts w:ascii="宋体" w:hAnsi="宋体" w:cs="宋体"/>
                <w:kern w:val="0"/>
                <w:sz w:val="24"/>
                <w:highlight w:val="none"/>
              </w:rPr>
              <w:t>103</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44383D19">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190B9F5E">
            <w:pPr>
              <w:widowControl/>
              <w:adjustRightInd/>
              <w:jc w:val="left"/>
              <w:rPr>
                <w:rFonts w:ascii="宋体" w:hAnsi="宋体" w:cs="宋体"/>
                <w:kern w:val="0"/>
                <w:sz w:val="24"/>
                <w:highlight w:val="none"/>
              </w:rPr>
            </w:pPr>
            <w:r>
              <w:rPr>
                <w:rFonts w:hint="eastAsia" w:ascii="宋体" w:hAnsi="宋体" w:cs="宋体"/>
                <w:kern w:val="0"/>
                <w:sz w:val="24"/>
                <w:highlight w:val="none"/>
              </w:rPr>
              <w:t>▲终端防护及杀毒</w:t>
            </w:r>
          </w:p>
        </w:tc>
        <w:tc>
          <w:tcPr>
            <w:tcW w:w="3959" w:type="dxa"/>
            <w:tcBorders>
              <w:top w:val="nil"/>
              <w:left w:val="nil"/>
              <w:bottom w:val="single" w:color="auto" w:sz="4" w:space="0"/>
              <w:right w:val="single" w:color="auto" w:sz="4" w:space="0"/>
            </w:tcBorders>
            <w:shd w:val="clear" w:color="000000" w:fill="FFFFFF"/>
            <w:vAlign w:val="center"/>
          </w:tcPr>
          <w:p w14:paraId="378EDFF9">
            <w:pPr>
              <w:widowControl/>
              <w:adjustRightInd/>
              <w:jc w:val="left"/>
              <w:rPr>
                <w:rFonts w:ascii="宋体" w:hAnsi="宋体" w:cs="宋体"/>
                <w:kern w:val="0"/>
                <w:sz w:val="24"/>
                <w:highlight w:val="none"/>
              </w:rPr>
            </w:pPr>
            <w:r>
              <w:rPr>
                <w:rFonts w:hint="eastAsia" w:ascii="宋体" w:hAnsi="宋体" w:cs="宋体"/>
                <w:kern w:val="0"/>
                <w:sz w:val="24"/>
                <w:highlight w:val="none"/>
              </w:rPr>
              <w:t>供应商提供兼容的终端防护及杀毒软件清单，且至少兼容一款产品</w:t>
            </w:r>
          </w:p>
        </w:tc>
      </w:tr>
      <w:tr w14:paraId="4C5E1806">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18949590">
            <w:pPr>
              <w:widowControl/>
              <w:adjustRightInd/>
              <w:jc w:val="center"/>
              <w:rPr>
                <w:rFonts w:ascii="宋体" w:hAnsi="宋体" w:cs="宋体"/>
                <w:kern w:val="0"/>
                <w:sz w:val="24"/>
                <w:highlight w:val="none"/>
              </w:rPr>
            </w:pPr>
            <w:r>
              <w:rPr>
                <w:rFonts w:ascii="宋体" w:hAnsi="宋体" w:cs="宋体"/>
                <w:kern w:val="0"/>
                <w:sz w:val="24"/>
                <w:highlight w:val="none"/>
              </w:rPr>
              <w:t>104</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6469F232">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249254D2">
            <w:pPr>
              <w:widowControl/>
              <w:adjustRightInd/>
              <w:jc w:val="left"/>
              <w:rPr>
                <w:rFonts w:ascii="宋体" w:hAnsi="宋体" w:cs="宋体"/>
                <w:kern w:val="0"/>
                <w:sz w:val="24"/>
                <w:highlight w:val="none"/>
              </w:rPr>
            </w:pPr>
            <w:r>
              <w:rPr>
                <w:rFonts w:hint="eastAsia" w:ascii="宋体" w:hAnsi="宋体" w:cs="宋体"/>
                <w:kern w:val="0"/>
                <w:sz w:val="24"/>
                <w:highlight w:val="none"/>
              </w:rPr>
              <w:t>▲网络防护</w:t>
            </w:r>
          </w:p>
        </w:tc>
        <w:tc>
          <w:tcPr>
            <w:tcW w:w="3959" w:type="dxa"/>
            <w:tcBorders>
              <w:top w:val="nil"/>
              <w:left w:val="nil"/>
              <w:bottom w:val="single" w:color="auto" w:sz="4" w:space="0"/>
              <w:right w:val="single" w:color="auto" w:sz="4" w:space="0"/>
            </w:tcBorders>
            <w:shd w:val="clear" w:color="000000" w:fill="FFFFFF"/>
            <w:vAlign w:val="center"/>
          </w:tcPr>
          <w:p w14:paraId="4F21DAF8">
            <w:pPr>
              <w:widowControl/>
              <w:adjustRightInd/>
              <w:jc w:val="left"/>
              <w:rPr>
                <w:rFonts w:ascii="宋体" w:hAnsi="宋体" w:cs="宋体"/>
                <w:kern w:val="0"/>
                <w:sz w:val="24"/>
                <w:highlight w:val="none"/>
              </w:rPr>
            </w:pPr>
            <w:r>
              <w:rPr>
                <w:rFonts w:hint="eastAsia" w:ascii="宋体" w:hAnsi="宋体" w:cs="宋体"/>
                <w:kern w:val="0"/>
                <w:sz w:val="24"/>
                <w:highlight w:val="none"/>
              </w:rPr>
              <w:t>供应商提供兼容的网络防护软件清单，且至少兼容一款产品</w:t>
            </w:r>
          </w:p>
        </w:tc>
      </w:tr>
      <w:tr w14:paraId="54E5B56C">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3B4B182F">
            <w:pPr>
              <w:widowControl/>
              <w:adjustRightInd/>
              <w:jc w:val="center"/>
              <w:rPr>
                <w:rFonts w:ascii="宋体" w:hAnsi="宋体" w:cs="宋体"/>
                <w:kern w:val="0"/>
                <w:sz w:val="24"/>
                <w:highlight w:val="none"/>
              </w:rPr>
            </w:pPr>
            <w:r>
              <w:rPr>
                <w:rFonts w:ascii="宋体" w:hAnsi="宋体" w:cs="宋体"/>
                <w:kern w:val="0"/>
                <w:sz w:val="24"/>
                <w:highlight w:val="none"/>
              </w:rPr>
              <w:t>105</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38E8F06C">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3508EC3E">
            <w:pPr>
              <w:widowControl/>
              <w:adjustRightInd/>
              <w:jc w:val="left"/>
              <w:rPr>
                <w:rFonts w:ascii="宋体" w:hAnsi="宋体" w:cs="宋体"/>
                <w:kern w:val="0"/>
                <w:sz w:val="24"/>
                <w:highlight w:val="none"/>
              </w:rPr>
            </w:pPr>
            <w:r>
              <w:rPr>
                <w:rFonts w:hint="eastAsia" w:ascii="宋体" w:hAnsi="宋体" w:cs="宋体"/>
                <w:kern w:val="0"/>
                <w:sz w:val="24"/>
                <w:highlight w:val="none"/>
              </w:rPr>
              <w:t>▲身份认证</w:t>
            </w:r>
          </w:p>
        </w:tc>
        <w:tc>
          <w:tcPr>
            <w:tcW w:w="3959" w:type="dxa"/>
            <w:tcBorders>
              <w:top w:val="nil"/>
              <w:left w:val="nil"/>
              <w:bottom w:val="single" w:color="auto" w:sz="4" w:space="0"/>
              <w:right w:val="single" w:color="auto" w:sz="4" w:space="0"/>
            </w:tcBorders>
            <w:shd w:val="clear" w:color="000000" w:fill="FFFFFF"/>
            <w:vAlign w:val="center"/>
          </w:tcPr>
          <w:p w14:paraId="721C0BDF">
            <w:pPr>
              <w:widowControl/>
              <w:adjustRightInd/>
              <w:jc w:val="left"/>
              <w:rPr>
                <w:rFonts w:ascii="宋体" w:hAnsi="宋体" w:cs="宋体"/>
                <w:kern w:val="0"/>
                <w:sz w:val="24"/>
                <w:highlight w:val="none"/>
              </w:rPr>
            </w:pPr>
            <w:r>
              <w:rPr>
                <w:rFonts w:hint="eastAsia" w:ascii="宋体" w:hAnsi="宋体" w:cs="宋体"/>
                <w:kern w:val="0"/>
                <w:sz w:val="24"/>
                <w:highlight w:val="none"/>
              </w:rPr>
              <w:t>供应商提供兼容的身份认证软件清单，且至少兼容一款产品</w:t>
            </w:r>
          </w:p>
        </w:tc>
      </w:tr>
      <w:tr w14:paraId="66323AFF">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6D2A0A94">
            <w:pPr>
              <w:widowControl/>
              <w:adjustRightInd/>
              <w:jc w:val="center"/>
              <w:rPr>
                <w:rFonts w:ascii="宋体" w:hAnsi="宋体" w:cs="宋体"/>
                <w:kern w:val="0"/>
                <w:sz w:val="24"/>
                <w:highlight w:val="none"/>
              </w:rPr>
            </w:pPr>
            <w:r>
              <w:rPr>
                <w:rFonts w:ascii="宋体" w:hAnsi="宋体" w:cs="宋体"/>
                <w:kern w:val="0"/>
                <w:sz w:val="24"/>
                <w:highlight w:val="none"/>
              </w:rPr>
              <w:t>106</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46BB03FC">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4D967DFF">
            <w:pPr>
              <w:widowControl/>
              <w:adjustRightInd/>
              <w:jc w:val="left"/>
              <w:rPr>
                <w:rFonts w:ascii="宋体" w:hAnsi="宋体" w:cs="宋体"/>
                <w:kern w:val="0"/>
                <w:sz w:val="24"/>
                <w:highlight w:val="none"/>
              </w:rPr>
            </w:pPr>
            <w:r>
              <w:rPr>
                <w:rFonts w:hint="eastAsia" w:ascii="宋体" w:hAnsi="宋体" w:cs="宋体"/>
                <w:kern w:val="0"/>
                <w:sz w:val="24"/>
                <w:highlight w:val="none"/>
              </w:rPr>
              <w:t>▲服务器整机</w:t>
            </w:r>
          </w:p>
        </w:tc>
        <w:tc>
          <w:tcPr>
            <w:tcW w:w="3959" w:type="dxa"/>
            <w:tcBorders>
              <w:top w:val="nil"/>
              <w:left w:val="nil"/>
              <w:bottom w:val="single" w:color="auto" w:sz="4" w:space="0"/>
              <w:right w:val="single" w:color="auto" w:sz="4" w:space="0"/>
            </w:tcBorders>
            <w:shd w:val="clear" w:color="000000" w:fill="FFFFFF"/>
            <w:vAlign w:val="center"/>
          </w:tcPr>
          <w:p w14:paraId="4CF66563">
            <w:pPr>
              <w:widowControl/>
              <w:adjustRightInd/>
              <w:jc w:val="left"/>
              <w:rPr>
                <w:rFonts w:ascii="宋体" w:hAnsi="宋体" w:cs="宋体"/>
                <w:kern w:val="0"/>
                <w:sz w:val="24"/>
                <w:highlight w:val="none"/>
              </w:rPr>
            </w:pPr>
            <w:r>
              <w:rPr>
                <w:rFonts w:hint="eastAsia" w:ascii="宋体" w:hAnsi="宋体" w:cs="宋体"/>
                <w:kern w:val="0"/>
                <w:sz w:val="24"/>
                <w:highlight w:val="none"/>
              </w:rPr>
              <w:t>供应商提供兼容的服务器整机品牌及型号清单，且至少兼容一款产品</w:t>
            </w:r>
          </w:p>
        </w:tc>
      </w:tr>
      <w:tr w14:paraId="3A391362">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4E8476E7">
            <w:pPr>
              <w:widowControl/>
              <w:adjustRightInd/>
              <w:jc w:val="center"/>
              <w:rPr>
                <w:rFonts w:ascii="宋体" w:hAnsi="宋体" w:cs="宋体"/>
                <w:kern w:val="0"/>
                <w:sz w:val="24"/>
                <w:highlight w:val="none"/>
              </w:rPr>
            </w:pPr>
            <w:r>
              <w:rPr>
                <w:rFonts w:ascii="宋体" w:hAnsi="宋体" w:cs="宋体"/>
                <w:kern w:val="0"/>
                <w:sz w:val="24"/>
                <w:highlight w:val="none"/>
              </w:rPr>
              <w:t>107</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20928442">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07808514">
            <w:pPr>
              <w:widowControl/>
              <w:adjustRightInd/>
              <w:jc w:val="left"/>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AI服务器</w:t>
            </w:r>
          </w:p>
        </w:tc>
        <w:tc>
          <w:tcPr>
            <w:tcW w:w="3959" w:type="dxa"/>
            <w:tcBorders>
              <w:top w:val="nil"/>
              <w:left w:val="nil"/>
              <w:bottom w:val="single" w:color="auto" w:sz="4" w:space="0"/>
              <w:right w:val="single" w:color="auto" w:sz="4" w:space="0"/>
            </w:tcBorders>
            <w:shd w:val="clear" w:color="000000" w:fill="FFFFFF"/>
            <w:vAlign w:val="center"/>
          </w:tcPr>
          <w:p w14:paraId="7F0FA23B">
            <w:pPr>
              <w:widowControl/>
              <w:adjustRightInd/>
              <w:jc w:val="left"/>
              <w:rPr>
                <w:rFonts w:ascii="宋体" w:hAnsi="宋体" w:cs="宋体"/>
                <w:kern w:val="0"/>
                <w:sz w:val="24"/>
                <w:highlight w:val="none"/>
              </w:rPr>
            </w:pPr>
            <w:r>
              <w:rPr>
                <w:rFonts w:hint="eastAsia" w:ascii="宋体" w:hAnsi="宋体" w:cs="宋体"/>
                <w:kern w:val="0"/>
                <w:sz w:val="24"/>
                <w:highlight w:val="none"/>
              </w:rPr>
              <w:t>供应商提供兼容的</w:t>
            </w:r>
            <w:r>
              <w:rPr>
                <w:rFonts w:ascii="宋体" w:hAnsi="宋体" w:cs="宋体"/>
                <w:kern w:val="0"/>
                <w:sz w:val="24"/>
                <w:highlight w:val="none"/>
              </w:rPr>
              <w:t>AI服务器整机品牌及型号清单，且至少兼容一款产品</w:t>
            </w:r>
          </w:p>
        </w:tc>
      </w:tr>
      <w:tr w14:paraId="13A9738B">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47800516">
            <w:pPr>
              <w:widowControl/>
              <w:adjustRightInd/>
              <w:jc w:val="center"/>
              <w:rPr>
                <w:rFonts w:ascii="宋体" w:hAnsi="宋体" w:cs="宋体"/>
                <w:kern w:val="0"/>
                <w:sz w:val="24"/>
                <w:highlight w:val="none"/>
              </w:rPr>
            </w:pPr>
            <w:r>
              <w:rPr>
                <w:rFonts w:ascii="宋体" w:hAnsi="宋体" w:cs="宋体"/>
                <w:kern w:val="0"/>
                <w:sz w:val="24"/>
                <w:highlight w:val="none"/>
              </w:rPr>
              <w:t>108</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3E7C9F47">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1C88C304">
            <w:pPr>
              <w:widowControl/>
              <w:adjustRightInd/>
              <w:jc w:val="left"/>
              <w:rPr>
                <w:rFonts w:ascii="宋体" w:hAnsi="宋体" w:cs="宋体"/>
                <w:kern w:val="0"/>
                <w:sz w:val="24"/>
                <w:highlight w:val="none"/>
              </w:rPr>
            </w:pPr>
            <w:r>
              <w:rPr>
                <w:rFonts w:hint="eastAsia" w:ascii="宋体" w:hAnsi="宋体" w:cs="宋体"/>
                <w:kern w:val="0"/>
                <w:sz w:val="24"/>
                <w:highlight w:val="none"/>
              </w:rPr>
              <w:t>▲存储</w:t>
            </w:r>
          </w:p>
        </w:tc>
        <w:tc>
          <w:tcPr>
            <w:tcW w:w="3959" w:type="dxa"/>
            <w:tcBorders>
              <w:top w:val="nil"/>
              <w:left w:val="nil"/>
              <w:bottom w:val="single" w:color="auto" w:sz="4" w:space="0"/>
              <w:right w:val="single" w:color="auto" w:sz="4" w:space="0"/>
            </w:tcBorders>
            <w:shd w:val="clear" w:color="000000" w:fill="FFFFFF"/>
            <w:vAlign w:val="center"/>
          </w:tcPr>
          <w:p w14:paraId="7C502AE9">
            <w:pPr>
              <w:widowControl/>
              <w:adjustRightInd/>
              <w:jc w:val="left"/>
              <w:rPr>
                <w:rFonts w:ascii="宋体" w:hAnsi="宋体" w:cs="宋体"/>
                <w:kern w:val="0"/>
                <w:sz w:val="24"/>
                <w:highlight w:val="none"/>
              </w:rPr>
            </w:pPr>
            <w:r>
              <w:rPr>
                <w:rFonts w:hint="eastAsia" w:ascii="宋体" w:hAnsi="宋体" w:cs="宋体"/>
                <w:kern w:val="0"/>
                <w:sz w:val="24"/>
                <w:highlight w:val="none"/>
              </w:rPr>
              <w:t>供应商提供兼容的存储服务器整机品牌及型号清单，且至少兼容一款产品</w:t>
            </w:r>
          </w:p>
        </w:tc>
      </w:tr>
      <w:tr w14:paraId="4E163495">
        <w:tblPrEx>
          <w:tblCellMar>
            <w:top w:w="0" w:type="dxa"/>
            <w:left w:w="108" w:type="dxa"/>
            <w:bottom w:w="0" w:type="dxa"/>
            <w:right w:w="108" w:type="dxa"/>
          </w:tblCellMar>
        </w:tblPrEx>
        <w:trPr>
          <w:trHeight w:val="936"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65E9D66D">
            <w:pPr>
              <w:widowControl/>
              <w:adjustRightInd/>
              <w:jc w:val="center"/>
              <w:rPr>
                <w:rFonts w:ascii="宋体" w:hAnsi="宋体" w:cs="宋体"/>
                <w:kern w:val="0"/>
                <w:sz w:val="24"/>
                <w:highlight w:val="none"/>
              </w:rPr>
            </w:pPr>
            <w:r>
              <w:rPr>
                <w:rFonts w:ascii="宋体" w:hAnsi="宋体" w:cs="宋体"/>
                <w:kern w:val="0"/>
                <w:sz w:val="24"/>
                <w:highlight w:val="none"/>
              </w:rPr>
              <w:t>109</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41A3EF9C">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2E89490A">
            <w:pPr>
              <w:widowControl/>
              <w:adjustRightInd/>
              <w:jc w:val="left"/>
              <w:rPr>
                <w:rFonts w:ascii="宋体" w:hAnsi="宋体" w:cs="宋体"/>
                <w:kern w:val="0"/>
                <w:sz w:val="24"/>
                <w:highlight w:val="none"/>
              </w:rPr>
            </w:pPr>
            <w:r>
              <w:rPr>
                <w:rFonts w:hint="eastAsia" w:ascii="宋体" w:hAnsi="宋体" w:cs="宋体"/>
                <w:kern w:val="0"/>
                <w:sz w:val="24"/>
                <w:highlight w:val="none"/>
              </w:rPr>
              <w:t>▲部件兼容</w:t>
            </w:r>
          </w:p>
        </w:tc>
        <w:tc>
          <w:tcPr>
            <w:tcW w:w="3959" w:type="dxa"/>
            <w:tcBorders>
              <w:top w:val="nil"/>
              <w:left w:val="nil"/>
              <w:bottom w:val="single" w:color="auto" w:sz="4" w:space="0"/>
              <w:right w:val="single" w:color="auto" w:sz="4" w:space="0"/>
            </w:tcBorders>
            <w:shd w:val="clear" w:color="000000" w:fill="FFFFFF"/>
            <w:vAlign w:val="center"/>
          </w:tcPr>
          <w:p w14:paraId="5BB1B3A6">
            <w:pPr>
              <w:widowControl/>
              <w:adjustRightInd/>
              <w:jc w:val="left"/>
              <w:rPr>
                <w:rFonts w:ascii="宋体" w:hAnsi="宋体" w:cs="宋体"/>
                <w:kern w:val="0"/>
                <w:sz w:val="24"/>
                <w:highlight w:val="none"/>
              </w:rPr>
            </w:pPr>
            <w:r>
              <w:rPr>
                <w:rFonts w:hint="eastAsia" w:ascii="宋体" w:hAnsi="宋体" w:cs="宋体"/>
                <w:kern w:val="0"/>
                <w:sz w:val="24"/>
                <w:highlight w:val="none"/>
              </w:rPr>
              <w:t>供应商提供兼容的系统总线、</w:t>
            </w:r>
            <w:r>
              <w:rPr>
                <w:rFonts w:ascii="宋体" w:hAnsi="宋体" w:cs="宋体"/>
                <w:kern w:val="0"/>
                <w:sz w:val="24"/>
                <w:highlight w:val="none"/>
              </w:rPr>
              <w:t>HBA卡、RAID卡、网卡、光纤卡、AI加速卡、GPU、NPU等品牌及型号清单</w:t>
            </w:r>
          </w:p>
        </w:tc>
      </w:tr>
      <w:tr w14:paraId="08421C74">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2264D3AB">
            <w:pPr>
              <w:widowControl/>
              <w:adjustRightInd/>
              <w:jc w:val="center"/>
              <w:rPr>
                <w:rFonts w:ascii="宋体" w:hAnsi="宋体" w:cs="宋体"/>
                <w:kern w:val="0"/>
                <w:sz w:val="24"/>
                <w:highlight w:val="none"/>
              </w:rPr>
            </w:pPr>
            <w:r>
              <w:rPr>
                <w:rFonts w:ascii="宋体" w:hAnsi="宋体" w:cs="宋体"/>
                <w:kern w:val="0"/>
                <w:sz w:val="24"/>
                <w:highlight w:val="none"/>
              </w:rPr>
              <w:t>110</w:t>
            </w:r>
          </w:p>
        </w:tc>
        <w:tc>
          <w:tcPr>
            <w:tcW w:w="1306" w:type="dxa"/>
            <w:tcBorders>
              <w:top w:val="nil"/>
              <w:left w:val="nil"/>
              <w:bottom w:val="single" w:color="auto" w:sz="4" w:space="0"/>
              <w:right w:val="single" w:color="auto" w:sz="4" w:space="0"/>
            </w:tcBorders>
            <w:shd w:val="clear" w:color="000000" w:fill="FFFFFF"/>
            <w:vAlign w:val="center"/>
          </w:tcPr>
          <w:p w14:paraId="40375B34">
            <w:pPr>
              <w:widowControl/>
              <w:adjustRightInd/>
              <w:jc w:val="left"/>
              <w:rPr>
                <w:rFonts w:ascii="宋体" w:hAnsi="宋体" w:cs="宋体"/>
                <w:kern w:val="0"/>
                <w:sz w:val="24"/>
                <w:highlight w:val="none"/>
              </w:rPr>
            </w:pPr>
            <w:r>
              <w:rPr>
                <w:rFonts w:hint="eastAsia" w:ascii="宋体" w:hAnsi="宋体" w:cs="宋体"/>
                <w:kern w:val="0"/>
                <w:sz w:val="24"/>
                <w:highlight w:val="none"/>
              </w:rPr>
              <w:t>▲稳定性</w:t>
            </w:r>
          </w:p>
        </w:tc>
        <w:tc>
          <w:tcPr>
            <w:tcW w:w="3150" w:type="dxa"/>
            <w:tcBorders>
              <w:top w:val="nil"/>
              <w:left w:val="nil"/>
              <w:bottom w:val="single" w:color="auto" w:sz="4" w:space="0"/>
              <w:right w:val="single" w:color="auto" w:sz="4" w:space="0"/>
            </w:tcBorders>
            <w:shd w:val="clear" w:color="000000" w:fill="FFFFFF"/>
            <w:vAlign w:val="center"/>
          </w:tcPr>
          <w:p w14:paraId="651EEF43">
            <w:pPr>
              <w:widowControl/>
              <w:adjustRightInd/>
              <w:jc w:val="left"/>
              <w:rPr>
                <w:rFonts w:ascii="宋体" w:hAnsi="宋体" w:cs="宋体"/>
                <w:kern w:val="0"/>
                <w:sz w:val="24"/>
                <w:highlight w:val="none"/>
              </w:rPr>
            </w:pPr>
            <w:r>
              <w:rPr>
                <w:rFonts w:hint="eastAsia" w:ascii="宋体" w:hAnsi="宋体" w:cs="宋体"/>
                <w:kern w:val="0"/>
                <w:sz w:val="24"/>
                <w:highlight w:val="none"/>
              </w:rPr>
              <w:t>▲操作系统连续运行</w:t>
            </w:r>
            <w:r>
              <w:rPr>
                <w:rFonts w:ascii="宋体" w:hAnsi="宋体" w:cs="宋体"/>
                <w:kern w:val="0"/>
                <w:sz w:val="24"/>
                <w:highlight w:val="none"/>
              </w:rPr>
              <w:t>168小时</w:t>
            </w:r>
          </w:p>
        </w:tc>
        <w:tc>
          <w:tcPr>
            <w:tcW w:w="3959" w:type="dxa"/>
            <w:tcBorders>
              <w:top w:val="nil"/>
              <w:left w:val="nil"/>
              <w:bottom w:val="single" w:color="auto" w:sz="4" w:space="0"/>
              <w:right w:val="single" w:color="auto" w:sz="4" w:space="0"/>
            </w:tcBorders>
            <w:shd w:val="clear" w:color="000000" w:fill="FFFFFF"/>
            <w:vAlign w:val="center"/>
          </w:tcPr>
          <w:p w14:paraId="01FC2A49">
            <w:pPr>
              <w:widowControl/>
              <w:adjustRightInd/>
              <w:jc w:val="left"/>
              <w:rPr>
                <w:rFonts w:ascii="宋体" w:hAnsi="宋体" w:cs="宋体"/>
                <w:kern w:val="0"/>
                <w:sz w:val="24"/>
                <w:highlight w:val="none"/>
              </w:rPr>
            </w:pPr>
            <w:r>
              <w:rPr>
                <w:rFonts w:hint="eastAsia" w:ascii="宋体" w:hAnsi="宋体" w:cs="宋体"/>
                <w:kern w:val="0"/>
                <w:sz w:val="24"/>
                <w:highlight w:val="none"/>
              </w:rPr>
              <w:t>操作系统高负载下连续常态运行</w:t>
            </w:r>
            <w:r>
              <w:rPr>
                <w:rFonts w:ascii="宋体" w:hAnsi="宋体" w:cs="宋体"/>
                <w:kern w:val="0"/>
                <w:sz w:val="24"/>
                <w:highlight w:val="none"/>
              </w:rPr>
              <w:t>168小时无故障</w:t>
            </w:r>
          </w:p>
        </w:tc>
      </w:tr>
      <w:tr w14:paraId="31D66B6D">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4DA98DF0">
            <w:pPr>
              <w:widowControl/>
              <w:adjustRightInd/>
              <w:jc w:val="center"/>
              <w:rPr>
                <w:rFonts w:ascii="宋体" w:hAnsi="宋体" w:cs="宋体"/>
                <w:kern w:val="0"/>
                <w:sz w:val="24"/>
                <w:highlight w:val="none"/>
              </w:rPr>
            </w:pPr>
            <w:r>
              <w:rPr>
                <w:rFonts w:ascii="宋体" w:hAnsi="宋体" w:cs="宋体"/>
                <w:kern w:val="0"/>
                <w:sz w:val="24"/>
                <w:highlight w:val="none"/>
              </w:rPr>
              <w:t>111</w:t>
            </w:r>
          </w:p>
        </w:tc>
        <w:tc>
          <w:tcPr>
            <w:tcW w:w="1306" w:type="dxa"/>
            <w:tcBorders>
              <w:top w:val="nil"/>
              <w:left w:val="nil"/>
              <w:bottom w:val="single" w:color="auto" w:sz="4" w:space="0"/>
              <w:right w:val="single" w:color="auto" w:sz="4" w:space="0"/>
            </w:tcBorders>
            <w:shd w:val="clear" w:color="000000" w:fill="FFFFFF"/>
            <w:vAlign w:val="center"/>
          </w:tcPr>
          <w:p w14:paraId="382F70DF">
            <w:pPr>
              <w:widowControl/>
              <w:adjustRightInd/>
              <w:jc w:val="left"/>
              <w:rPr>
                <w:rFonts w:ascii="宋体" w:hAnsi="宋体" w:cs="宋体"/>
                <w:kern w:val="0"/>
                <w:sz w:val="24"/>
                <w:highlight w:val="none"/>
              </w:rPr>
            </w:pPr>
            <w:r>
              <w:rPr>
                <w:rFonts w:hint="eastAsia" w:ascii="宋体" w:hAnsi="宋体" w:cs="宋体"/>
                <w:kern w:val="0"/>
                <w:sz w:val="24"/>
                <w:highlight w:val="none"/>
              </w:rPr>
              <w:t>▲备份还原</w:t>
            </w:r>
          </w:p>
        </w:tc>
        <w:tc>
          <w:tcPr>
            <w:tcW w:w="3150" w:type="dxa"/>
            <w:tcBorders>
              <w:top w:val="nil"/>
              <w:left w:val="nil"/>
              <w:bottom w:val="single" w:color="auto" w:sz="4" w:space="0"/>
              <w:right w:val="single" w:color="auto" w:sz="4" w:space="0"/>
            </w:tcBorders>
            <w:shd w:val="clear" w:color="000000" w:fill="FFFFFF"/>
            <w:vAlign w:val="center"/>
          </w:tcPr>
          <w:p w14:paraId="30F8D999">
            <w:pPr>
              <w:widowControl/>
              <w:adjustRightInd/>
              <w:jc w:val="left"/>
              <w:rPr>
                <w:rFonts w:ascii="宋体" w:hAnsi="宋体" w:cs="宋体"/>
                <w:kern w:val="0"/>
                <w:sz w:val="24"/>
                <w:highlight w:val="none"/>
              </w:rPr>
            </w:pPr>
            <w:r>
              <w:rPr>
                <w:rFonts w:hint="eastAsia" w:ascii="宋体" w:hAnsi="宋体" w:cs="宋体"/>
                <w:kern w:val="0"/>
                <w:sz w:val="24"/>
                <w:highlight w:val="none"/>
              </w:rPr>
              <w:t>▲备份还原</w:t>
            </w:r>
          </w:p>
        </w:tc>
        <w:tc>
          <w:tcPr>
            <w:tcW w:w="3959" w:type="dxa"/>
            <w:tcBorders>
              <w:top w:val="nil"/>
              <w:left w:val="nil"/>
              <w:bottom w:val="single" w:color="auto" w:sz="4" w:space="0"/>
              <w:right w:val="single" w:color="auto" w:sz="4" w:space="0"/>
            </w:tcBorders>
            <w:shd w:val="clear" w:color="000000" w:fill="FFFFFF"/>
            <w:vAlign w:val="center"/>
          </w:tcPr>
          <w:p w14:paraId="05552E96">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操作系统提供备份还原功能，支持生成系统状态快照及恢复系统状态</w:t>
            </w:r>
          </w:p>
        </w:tc>
      </w:tr>
      <w:tr w14:paraId="4171979F">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79E6050D">
            <w:pPr>
              <w:widowControl/>
              <w:adjustRightInd/>
              <w:jc w:val="center"/>
              <w:rPr>
                <w:rFonts w:ascii="宋体" w:hAnsi="宋体" w:cs="宋体"/>
                <w:kern w:val="0"/>
                <w:sz w:val="24"/>
                <w:highlight w:val="none"/>
              </w:rPr>
            </w:pPr>
            <w:r>
              <w:rPr>
                <w:rFonts w:ascii="宋体" w:hAnsi="宋体" w:cs="宋体"/>
                <w:kern w:val="0"/>
                <w:sz w:val="24"/>
                <w:highlight w:val="none"/>
              </w:rPr>
              <w:t>112</w:t>
            </w:r>
          </w:p>
        </w:tc>
        <w:tc>
          <w:tcPr>
            <w:tcW w:w="1306" w:type="dxa"/>
            <w:tcBorders>
              <w:top w:val="nil"/>
              <w:left w:val="nil"/>
              <w:bottom w:val="single" w:color="auto" w:sz="4" w:space="0"/>
              <w:right w:val="single" w:color="auto" w:sz="4" w:space="0"/>
            </w:tcBorders>
            <w:shd w:val="clear" w:color="000000" w:fill="FFFFFF"/>
            <w:vAlign w:val="center"/>
          </w:tcPr>
          <w:p w14:paraId="40379083">
            <w:pPr>
              <w:widowControl/>
              <w:adjustRightInd/>
              <w:jc w:val="left"/>
              <w:rPr>
                <w:rFonts w:ascii="宋体" w:hAnsi="宋体" w:cs="宋体"/>
                <w:kern w:val="0"/>
                <w:sz w:val="24"/>
                <w:highlight w:val="none"/>
              </w:rPr>
            </w:pPr>
            <w:r>
              <w:rPr>
                <w:rFonts w:hint="eastAsia" w:ascii="宋体" w:hAnsi="宋体" w:cs="宋体"/>
                <w:kern w:val="0"/>
                <w:sz w:val="24"/>
                <w:highlight w:val="none"/>
              </w:rPr>
              <w:t>▲内存纠错</w:t>
            </w:r>
          </w:p>
        </w:tc>
        <w:tc>
          <w:tcPr>
            <w:tcW w:w="3150" w:type="dxa"/>
            <w:tcBorders>
              <w:top w:val="nil"/>
              <w:left w:val="nil"/>
              <w:bottom w:val="single" w:color="auto" w:sz="4" w:space="0"/>
              <w:right w:val="single" w:color="auto" w:sz="4" w:space="0"/>
            </w:tcBorders>
            <w:shd w:val="clear" w:color="000000" w:fill="FFFFFF"/>
            <w:vAlign w:val="center"/>
          </w:tcPr>
          <w:p w14:paraId="4983CA6A">
            <w:pPr>
              <w:widowControl/>
              <w:adjustRightInd/>
              <w:jc w:val="left"/>
              <w:rPr>
                <w:rFonts w:ascii="宋体" w:hAnsi="宋体" w:cs="宋体"/>
                <w:kern w:val="0"/>
                <w:sz w:val="24"/>
                <w:highlight w:val="none"/>
              </w:rPr>
            </w:pPr>
            <w:r>
              <w:rPr>
                <w:rFonts w:hint="eastAsia" w:ascii="宋体" w:hAnsi="宋体" w:cs="宋体"/>
                <w:kern w:val="0"/>
                <w:sz w:val="24"/>
                <w:highlight w:val="none"/>
              </w:rPr>
              <w:t>▲内存纠错</w:t>
            </w:r>
          </w:p>
        </w:tc>
        <w:tc>
          <w:tcPr>
            <w:tcW w:w="3959" w:type="dxa"/>
            <w:tcBorders>
              <w:top w:val="nil"/>
              <w:left w:val="nil"/>
              <w:bottom w:val="single" w:color="auto" w:sz="4" w:space="0"/>
              <w:right w:val="single" w:color="auto" w:sz="4" w:space="0"/>
            </w:tcBorders>
            <w:shd w:val="clear" w:color="000000" w:fill="FFFFFF"/>
            <w:vAlign w:val="center"/>
          </w:tcPr>
          <w:p w14:paraId="258AE0C5">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w:t>
            </w:r>
            <w:r>
              <w:rPr>
                <w:rFonts w:ascii="宋体" w:hAnsi="宋体" w:cs="宋体"/>
                <w:kern w:val="0"/>
                <w:sz w:val="24"/>
                <w:highlight w:val="none"/>
              </w:rPr>
              <w:t>DDR3、DDR4等内存上的ECC查错、纠错</w:t>
            </w:r>
          </w:p>
        </w:tc>
      </w:tr>
      <w:tr w14:paraId="3F0D7119">
        <w:tblPrEx>
          <w:tblCellMar>
            <w:top w:w="0" w:type="dxa"/>
            <w:left w:w="108" w:type="dxa"/>
            <w:bottom w:w="0" w:type="dxa"/>
            <w:right w:w="108" w:type="dxa"/>
          </w:tblCellMar>
        </w:tblPrEx>
        <w:trPr>
          <w:trHeight w:val="312"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104AE096">
            <w:pPr>
              <w:widowControl/>
              <w:adjustRightInd/>
              <w:jc w:val="center"/>
              <w:rPr>
                <w:rFonts w:ascii="宋体" w:hAnsi="宋体" w:cs="宋体"/>
                <w:kern w:val="0"/>
                <w:sz w:val="24"/>
                <w:highlight w:val="none"/>
              </w:rPr>
            </w:pPr>
            <w:r>
              <w:rPr>
                <w:rFonts w:ascii="宋体" w:hAnsi="宋体" w:cs="宋体"/>
                <w:kern w:val="0"/>
                <w:sz w:val="24"/>
                <w:highlight w:val="none"/>
              </w:rPr>
              <w:t>113</w:t>
            </w:r>
          </w:p>
        </w:tc>
        <w:tc>
          <w:tcPr>
            <w:tcW w:w="1306" w:type="dxa"/>
            <w:tcBorders>
              <w:top w:val="nil"/>
              <w:left w:val="nil"/>
              <w:bottom w:val="single" w:color="auto" w:sz="4" w:space="0"/>
              <w:right w:val="single" w:color="auto" w:sz="4" w:space="0"/>
            </w:tcBorders>
            <w:shd w:val="clear" w:color="000000" w:fill="FFFFFF"/>
            <w:vAlign w:val="center"/>
          </w:tcPr>
          <w:p w14:paraId="347337CA">
            <w:pPr>
              <w:widowControl/>
              <w:adjustRightInd/>
              <w:jc w:val="left"/>
              <w:rPr>
                <w:rFonts w:ascii="宋体" w:hAnsi="宋体" w:cs="宋体"/>
                <w:kern w:val="0"/>
                <w:sz w:val="24"/>
                <w:highlight w:val="none"/>
              </w:rPr>
            </w:pPr>
            <w:r>
              <w:rPr>
                <w:rFonts w:hint="eastAsia" w:ascii="宋体" w:hAnsi="宋体" w:cs="宋体"/>
                <w:kern w:val="0"/>
                <w:sz w:val="24"/>
                <w:highlight w:val="none"/>
              </w:rPr>
              <w:t>　</w:t>
            </w:r>
          </w:p>
        </w:tc>
        <w:tc>
          <w:tcPr>
            <w:tcW w:w="3150" w:type="dxa"/>
            <w:tcBorders>
              <w:top w:val="nil"/>
              <w:left w:val="nil"/>
              <w:bottom w:val="single" w:color="auto" w:sz="4" w:space="0"/>
              <w:right w:val="single" w:color="auto" w:sz="4" w:space="0"/>
            </w:tcBorders>
            <w:shd w:val="clear" w:color="000000" w:fill="FFFFFF"/>
            <w:vAlign w:val="center"/>
          </w:tcPr>
          <w:p w14:paraId="66FA28EB">
            <w:pPr>
              <w:widowControl/>
              <w:adjustRightInd/>
              <w:jc w:val="left"/>
              <w:rPr>
                <w:rFonts w:ascii="宋体" w:hAnsi="宋体" w:cs="宋体"/>
                <w:kern w:val="0"/>
                <w:sz w:val="24"/>
                <w:highlight w:val="none"/>
              </w:rPr>
            </w:pPr>
            <w:r>
              <w:rPr>
                <w:rFonts w:hint="eastAsia" w:ascii="宋体" w:hAnsi="宋体" w:cs="宋体"/>
                <w:kern w:val="0"/>
                <w:sz w:val="24"/>
                <w:highlight w:val="none"/>
              </w:rPr>
              <w:t>▲硬盘热插拔</w:t>
            </w:r>
          </w:p>
        </w:tc>
        <w:tc>
          <w:tcPr>
            <w:tcW w:w="3959" w:type="dxa"/>
            <w:tcBorders>
              <w:top w:val="nil"/>
              <w:left w:val="nil"/>
              <w:bottom w:val="single" w:color="auto" w:sz="4" w:space="0"/>
              <w:right w:val="single" w:color="auto" w:sz="4" w:space="0"/>
            </w:tcBorders>
            <w:shd w:val="clear" w:color="000000" w:fill="FFFFFF"/>
            <w:vAlign w:val="center"/>
          </w:tcPr>
          <w:p w14:paraId="7D56C33C">
            <w:pPr>
              <w:widowControl/>
              <w:adjustRightInd/>
              <w:jc w:val="left"/>
              <w:rPr>
                <w:rFonts w:ascii="宋体" w:hAnsi="宋体" w:cs="宋体"/>
                <w:kern w:val="0"/>
                <w:sz w:val="24"/>
                <w:highlight w:val="none"/>
              </w:rPr>
            </w:pPr>
            <w:r>
              <w:rPr>
                <w:rFonts w:hint="eastAsia" w:ascii="宋体" w:hAnsi="宋体" w:cs="宋体"/>
                <w:kern w:val="0"/>
                <w:sz w:val="24"/>
                <w:highlight w:val="none"/>
              </w:rPr>
              <w:t>硬件支持时，操作系统支持硬盘热插拔</w:t>
            </w:r>
          </w:p>
        </w:tc>
      </w:tr>
      <w:tr w14:paraId="4DB46883">
        <w:tblPrEx>
          <w:tblCellMar>
            <w:top w:w="0" w:type="dxa"/>
            <w:left w:w="108" w:type="dxa"/>
            <w:bottom w:w="0" w:type="dxa"/>
            <w:right w:w="108" w:type="dxa"/>
          </w:tblCellMar>
        </w:tblPrEx>
        <w:trPr>
          <w:trHeight w:val="936"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42FF2D39">
            <w:pPr>
              <w:widowControl/>
              <w:adjustRightInd/>
              <w:jc w:val="center"/>
              <w:rPr>
                <w:rFonts w:ascii="宋体" w:hAnsi="宋体" w:cs="宋体"/>
                <w:kern w:val="0"/>
                <w:sz w:val="24"/>
                <w:highlight w:val="none"/>
              </w:rPr>
            </w:pPr>
            <w:r>
              <w:rPr>
                <w:rFonts w:ascii="宋体" w:hAnsi="宋体" w:cs="宋体"/>
                <w:kern w:val="0"/>
                <w:sz w:val="24"/>
                <w:highlight w:val="none"/>
              </w:rPr>
              <w:t>114</w:t>
            </w:r>
          </w:p>
        </w:tc>
        <w:tc>
          <w:tcPr>
            <w:tcW w:w="1306" w:type="dxa"/>
            <w:vMerge w:val="restart"/>
            <w:tcBorders>
              <w:top w:val="nil"/>
              <w:left w:val="single" w:color="auto" w:sz="4" w:space="0"/>
              <w:bottom w:val="nil"/>
              <w:right w:val="single" w:color="auto" w:sz="4" w:space="0"/>
            </w:tcBorders>
            <w:shd w:val="clear" w:color="000000" w:fill="FFFFFF"/>
            <w:vAlign w:val="center"/>
          </w:tcPr>
          <w:p w14:paraId="47F3068F">
            <w:pPr>
              <w:widowControl/>
              <w:adjustRightInd/>
              <w:jc w:val="left"/>
              <w:rPr>
                <w:rFonts w:ascii="宋体" w:hAnsi="宋体" w:cs="宋体"/>
                <w:kern w:val="0"/>
                <w:sz w:val="24"/>
                <w:highlight w:val="none"/>
              </w:rPr>
            </w:pPr>
            <w:r>
              <w:rPr>
                <w:rFonts w:hint="eastAsia" w:ascii="宋体" w:hAnsi="宋体" w:cs="宋体"/>
                <w:kern w:val="0"/>
                <w:sz w:val="24"/>
                <w:highlight w:val="none"/>
              </w:rPr>
              <w:t>▲维护工具</w:t>
            </w:r>
          </w:p>
        </w:tc>
        <w:tc>
          <w:tcPr>
            <w:tcW w:w="3150" w:type="dxa"/>
            <w:tcBorders>
              <w:top w:val="nil"/>
              <w:left w:val="nil"/>
              <w:bottom w:val="single" w:color="auto" w:sz="4" w:space="0"/>
              <w:right w:val="single" w:color="auto" w:sz="4" w:space="0"/>
            </w:tcBorders>
            <w:shd w:val="clear" w:color="000000" w:fill="FFFFFF"/>
            <w:vAlign w:val="center"/>
          </w:tcPr>
          <w:p w14:paraId="5C17BBB8">
            <w:pPr>
              <w:widowControl/>
              <w:adjustRightInd/>
              <w:jc w:val="left"/>
              <w:rPr>
                <w:rFonts w:ascii="宋体" w:hAnsi="宋体" w:cs="宋体"/>
                <w:kern w:val="0"/>
                <w:sz w:val="24"/>
                <w:highlight w:val="none"/>
              </w:rPr>
            </w:pPr>
            <w:r>
              <w:rPr>
                <w:rFonts w:hint="eastAsia" w:ascii="宋体" w:hAnsi="宋体" w:cs="宋体"/>
                <w:kern w:val="0"/>
                <w:sz w:val="24"/>
                <w:highlight w:val="none"/>
              </w:rPr>
              <w:t>▲远程维护</w:t>
            </w:r>
          </w:p>
        </w:tc>
        <w:tc>
          <w:tcPr>
            <w:tcW w:w="3959" w:type="dxa"/>
            <w:tcBorders>
              <w:top w:val="nil"/>
              <w:left w:val="nil"/>
              <w:bottom w:val="single" w:color="auto" w:sz="4" w:space="0"/>
              <w:right w:val="single" w:color="auto" w:sz="4" w:space="0"/>
            </w:tcBorders>
            <w:shd w:val="clear" w:color="000000" w:fill="FFFFFF"/>
            <w:vAlign w:val="center"/>
          </w:tcPr>
          <w:p w14:paraId="77A321BC">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操作系统提供远程控制管理工具，支持</w:t>
            </w:r>
            <w:r>
              <w:rPr>
                <w:rFonts w:ascii="宋体" w:hAnsi="宋体" w:cs="宋体"/>
                <w:kern w:val="0"/>
                <w:sz w:val="24"/>
                <w:highlight w:val="none"/>
              </w:rPr>
              <w:t>RDP、SSH、SPICE、VNC等协议，方便用户进行文本或图形化形式的远程连接及维护</w:t>
            </w:r>
          </w:p>
        </w:tc>
      </w:tr>
      <w:tr w14:paraId="3080958C">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7188956D">
            <w:pPr>
              <w:widowControl/>
              <w:adjustRightInd/>
              <w:jc w:val="center"/>
              <w:rPr>
                <w:rFonts w:ascii="宋体" w:hAnsi="宋体" w:cs="宋体"/>
                <w:kern w:val="0"/>
                <w:sz w:val="24"/>
                <w:highlight w:val="none"/>
              </w:rPr>
            </w:pPr>
            <w:r>
              <w:rPr>
                <w:rFonts w:ascii="宋体" w:hAnsi="宋体" w:cs="宋体"/>
                <w:kern w:val="0"/>
                <w:sz w:val="24"/>
                <w:highlight w:val="none"/>
              </w:rPr>
              <w:t>115</w:t>
            </w:r>
          </w:p>
        </w:tc>
        <w:tc>
          <w:tcPr>
            <w:tcW w:w="1306" w:type="dxa"/>
            <w:vMerge w:val="continue"/>
            <w:tcBorders>
              <w:top w:val="nil"/>
              <w:left w:val="single" w:color="auto" w:sz="4" w:space="0"/>
              <w:bottom w:val="nil"/>
              <w:right w:val="single" w:color="auto" w:sz="4" w:space="0"/>
            </w:tcBorders>
            <w:shd w:val="clear" w:color="auto" w:fill="auto"/>
            <w:vAlign w:val="center"/>
          </w:tcPr>
          <w:p w14:paraId="36D752F9">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22BD92AA">
            <w:pPr>
              <w:widowControl/>
              <w:adjustRightInd/>
              <w:jc w:val="left"/>
              <w:rPr>
                <w:rFonts w:ascii="宋体" w:hAnsi="宋体" w:cs="宋体"/>
                <w:kern w:val="0"/>
                <w:sz w:val="24"/>
                <w:highlight w:val="none"/>
              </w:rPr>
            </w:pPr>
            <w:r>
              <w:rPr>
                <w:rFonts w:hint="eastAsia" w:ascii="宋体" w:hAnsi="宋体" w:cs="宋体"/>
                <w:kern w:val="0"/>
                <w:sz w:val="24"/>
                <w:highlight w:val="none"/>
              </w:rPr>
              <w:t>▲文件完整检查</w:t>
            </w:r>
          </w:p>
        </w:tc>
        <w:tc>
          <w:tcPr>
            <w:tcW w:w="3959" w:type="dxa"/>
            <w:tcBorders>
              <w:top w:val="nil"/>
              <w:left w:val="nil"/>
              <w:bottom w:val="single" w:color="auto" w:sz="4" w:space="0"/>
              <w:right w:val="single" w:color="auto" w:sz="4" w:space="0"/>
            </w:tcBorders>
            <w:shd w:val="clear" w:color="000000" w:fill="FFFFFF"/>
            <w:vAlign w:val="center"/>
          </w:tcPr>
          <w:p w14:paraId="1A320324">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操作系统提供文件系统检查工具，对文件系统完整性进行检测和修复</w:t>
            </w:r>
          </w:p>
        </w:tc>
      </w:tr>
      <w:tr w14:paraId="68770DA3">
        <w:tblPrEx>
          <w:tblCellMar>
            <w:top w:w="0" w:type="dxa"/>
            <w:left w:w="108" w:type="dxa"/>
            <w:bottom w:w="0" w:type="dxa"/>
            <w:right w:w="108" w:type="dxa"/>
          </w:tblCellMar>
        </w:tblPrEx>
        <w:trPr>
          <w:trHeight w:val="1248"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1D12898D">
            <w:pPr>
              <w:widowControl/>
              <w:adjustRightInd/>
              <w:jc w:val="center"/>
              <w:rPr>
                <w:rFonts w:ascii="宋体" w:hAnsi="宋体" w:cs="宋体"/>
                <w:kern w:val="0"/>
                <w:sz w:val="24"/>
                <w:highlight w:val="none"/>
              </w:rPr>
            </w:pPr>
            <w:r>
              <w:rPr>
                <w:rFonts w:ascii="宋体" w:hAnsi="宋体" w:cs="宋体"/>
                <w:kern w:val="0"/>
                <w:sz w:val="24"/>
                <w:highlight w:val="none"/>
              </w:rPr>
              <w:t>116</w:t>
            </w:r>
          </w:p>
        </w:tc>
        <w:tc>
          <w:tcPr>
            <w:tcW w:w="1306" w:type="dxa"/>
            <w:vMerge w:val="continue"/>
            <w:tcBorders>
              <w:top w:val="nil"/>
              <w:left w:val="single" w:color="auto" w:sz="4" w:space="0"/>
              <w:bottom w:val="nil"/>
              <w:right w:val="single" w:color="auto" w:sz="4" w:space="0"/>
            </w:tcBorders>
            <w:shd w:val="clear" w:color="auto" w:fill="auto"/>
            <w:vAlign w:val="center"/>
          </w:tcPr>
          <w:p w14:paraId="5C733D74">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7C5314C2">
            <w:pPr>
              <w:widowControl/>
              <w:adjustRightInd/>
              <w:jc w:val="left"/>
              <w:rPr>
                <w:rFonts w:ascii="宋体" w:hAnsi="宋体" w:cs="宋体"/>
                <w:kern w:val="0"/>
                <w:sz w:val="24"/>
                <w:highlight w:val="none"/>
              </w:rPr>
            </w:pPr>
            <w:r>
              <w:rPr>
                <w:rFonts w:hint="eastAsia" w:ascii="宋体" w:hAnsi="宋体" w:cs="宋体"/>
                <w:kern w:val="0"/>
                <w:sz w:val="24"/>
                <w:highlight w:val="none"/>
              </w:rPr>
              <w:t>▲内核分析</w:t>
            </w:r>
          </w:p>
        </w:tc>
        <w:tc>
          <w:tcPr>
            <w:tcW w:w="3959" w:type="dxa"/>
            <w:tcBorders>
              <w:top w:val="nil"/>
              <w:left w:val="nil"/>
              <w:bottom w:val="single" w:color="auto" w:sz="4" w:space="0"/>
              <w:right w:val="single" w:color="auto" w:sz="4" w:space="0"/>
            </w:tcBorders>
            <w:shd w:val="clear" w:color="000000" w:fill="FFFFFF"/>
            <w:vAlign w:val="center"/>
          </w:tcPr>
          <w:p w14:paraId="4AEC3CD2">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操作系统提供内核性能分析工具，提供性能分析框架，支持对内核函数层面进行分析；提供内核探测工具，支持对内核及用户态程序动态追踪</w:t>
            </w:r>
          </w:p>
        </w:tc>
      </w:tr>
      <w:tr w14:paraId="7AE4E000">
        <w:tblPrEx>
          <w:tblCellMar>
            <w:top w:w="0" w:type="dxa"/>
            <w:left w:w="108" w:type="dxa"/>
            <w:bottom w:w="0" w:type="dxa"/>
            <w:right w:w="108" w:type="dxa"/>
          </w:tblCellMar>
        </w:tblPrEx>
        <w:trPr>
          <w:trHeight w:val="3432"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37C89AC8">
            <w:pPr>
              <w:widowControl/>
              <w:adjustRightInd/>
              <w:jc w:val="center"/>
              <w:rPr>
                <w:rFonts w:ascii="宋体" w:hAnsi="宋体" w:cs="宋体"/>
                <w:kern w:val="0"/>
                <w:sz w:val="24"/>
                <w:highlight w:val="none"/>
              </w:rPr>
            </w:pPr>
            <w:r>
              <w:rPr>
                <w:rFonts w:ascii="宋体" w:hAnsi="宋体" w:cs="宋体"/>
                <w:kern w:val="0"/>
                <w:sz w:val="24"/>
                <w:highlight w:val="none"/>
              </w:rPr>
              <w:t>117</w:t>
            </w:r>
          </w:p>
        </w:tc>
        <w:tc>
          <w:tcPr>
            <w:tcW w:w="1306"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1DAD67E7">
            <w:pPr>
              <w:widowControl/>
              <w:adjustRightInd/>
              <w:jc w:val="left"/>
              <w:rPr>
                <w:rFonts w:ascii="宋体" w:hAnsi="宋体" w:cs="宋体"/>
                <w:kern w:val="0"/>
                <w:sz w:val="24"/>
                <w:highlight w:val="none"/>
              </w:rPr>
            </w:pPr>
            <w:r>
              <w:rPr>
                <w:rFonts w:hint="eastAsia" w:ascii="宋体" w:hAnsi="宋体" w:cs="宋体"/>
                <w:kern w:val="0"/>
                <w:sz w:val="24"/>
                <w:highlight w:val="none"/>
              </w:rPr>
              <w:t>▲日志管理</w:t>
            </w:r>
          </w:p>
        </w:tc>
        <w:tc>
          <w:tcPr>
            <w:tcW w:w="3150" w:type="dxa"/>
            <w:tcBorders>
              <w:top w:val="nil"/>
              <w:left w:val="nil"/>
              <w:bottom w:val="single" w:color="auto" w:sz="4" w:space="0"/>
              <w:right w:val="single" w:color="auto" w:sz="4" w:space="0"/>
            </w:tcBorders>
            <w:shd w:val="clear" w:color="000000" w:fill="FFFFFF"/>
            <w:vAlign w:val="center"/>
          </w:tcPr>
          <w:p w14:paraId="0DCF5138">
            <w:pPr>
              <w:widowControl/>
              <w:adjustRightInd/>
              <w:jc w:val="left"/>
              <w:rPr>
                <w:rFonts w:ascii="宋体" w:hAnsi="宋体" w:cs="宋体"/>
                <w:kern w:val="0"/>
                <w:sz w:val="24"/>
                <w:highlight w:val="none"/>
              </w:rPr>
            </w:pPr>
            <w:r>
              <w:rPr>
                <w:rFonts w:hint="eastAsia" w:ascii="宋体" w:hAnsi="宋体" w:cs="宋体"/>
                <w:kern w:val="0"/>
                <w:sz w:val="24"/>
                <w:highlight w:val="none"/>
              </w:rPr>
              <w:t>▲日志记录与存储</w:t>
            </w:r>
          </w:p>
        </w:tc>
        <w:tc>
          <w:tcPr>
            <w:tcW w:w="3959" w:type="dxa"/>
            <w:tcBorders>
              <w:top w:val="nil"/>
              <w:left w:val="nil"/>
              <w:bottom w:val="single" w:color="auto" w:sz="4" w:space="0"/>
              <w:right w:val="single" w:color="auto" w:sz="4" w:space="0"/>
            </w:tcBorders>
            <w:shd w:val="clear" w:color="000000" w:fill="FFFFFF"/>
            <w:vAlign w:val="center"/>
          </w:tcPr>
          <w:p w14:paraId="2AD029D0">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操作系统支持对安全事件的日志记录，包括帐户增删改、成功登录、失败登录、敏感服务开启关闭、配置修改等，日志信息详实，包括所属用户、访问时间、访问地址等；</w:t>
            </w:r>
          </w:p>
          <w:p w14:paraId="58EEEF46">
            <w:pPr>
              <w:widowControl/>
              <w:adjustRightInd/>
              <w:jc w:val="left"/>
              <w:rPr>
                <w:rFonts w:ascii="宋体" w:hAnsi="宋体" w:cs="宋体"/>
                <w:kern w:val="0"/>
                <w:sz w:val="24"/>
                <w:highlight w:val="none"/>
              </w:rPr>
            </w:pPr>
            <w:r>
              <w:rPr>
                <w:rFonts w:hint="eastAsia" w:ascii="宋体" w:hAnsi="宋体" w:cs="宋体"/>
                <w:kern w:val="0"/>
                <w:sz w:val="24"/>
                <w:highlight w:val="none"/>
              </w:rPr>
              <w:t>支持内核异常日志信息的记录和存储；</w:t>
            </w:r>
          </w:p>
          <w:p w14:paraId="1922E675">
            <w:pPr>
              <w:widowControl/>
              <w:adjustRightInd/>
              <w:jc w:val="left"/>
              <w:rPr>
                <w:rFonts w:ascii="宋体" w:hAnsi="宋体" w:cs="宋体"/>
                <w:kern w:val="0"/>
                <w:sz w:val="24"/>
                <w:highlight w:val="none"/>
              </w:rPr>
            </w:pPr>
            <w:r>
              <w:rPr>
                <w:rFonts w:hint="eastAsia" w:ascii="宋体" w:hAnsi="宋体" w:cs="宋体"/>
                <w:kern w:val="0"/>
                <w:sz w:val="24"/>
                <w:highlight w:val="none"/>
              </w:rPr>
              <w:t>支持内核崩溃转储机制，系统崩溃时可收集整个内存信息；</w:t>
            </w:r>
          </w:p>
          <w:p w14:paraId="0E73985B">
            <w:pPr>
              <w:widowControl/>
              <w:adjustRightInd/>
              <w:jc w:val="left"/>
              <w:rPr>
                <w:rFonts w:ascii="宋体" w:hAnsi="宋体" w:cs="宋体"/>
                <w:kern w:val="0"/>
                <w:sz w:val="24"/>
                <w:highlight w:val="none"/>
              </w:rPr>
            </w:pPr>
            <w:r>
              <w:rPr>
                <w:rFonts w:hint="eastAsia" w:ascii="宋体" w:hAnsi="宋体" w:cs="宋体"/>
                <w:kern w:val="0"/>
                <w:sz w:val="24"/>
                <w:highlight w:val="none"/>
              </w:rPr>
              <w:t>支持配置远程日志功能，可将指定日志内容归档到日志服务器；</w:t>
            </w:r>
          </w:p>
          <w:p w14:paraId="26CEA0FC">
            <w:pPr>
              <w:widowControl/>
              <w:adjustRightInd/>
              <w:jc w:val="left"/>
              <w:rPr>
                <w:rFonts w:ascii="宋体" w:hAnsi="宋体" w:cs="宋体"/>
                <w:kern w:val="0"/>
                <w:sz w:val="24"/>
                <w:highlight w:val="none"/>
              </w:rPr>
            </w:pPr>
            <w:r>
              <w:rPr>
                <w:rFonts w:hint="eastAsia" w:ascii="宋体" w:hAnsi="宋体" w:cs="宋体"/>
                <w:kern w:val="0"/>
                <w:sz w:val="24"/>
                <w:highlight w:val="none"/>
              </w:rPr>
              <w:t>支持对日志功能进行访问控制，防止未经授权的访问</w:t>
            </w:r>
          </w:p>
        </w:tc>
      </w:tr>
      <w:tr w14:paraId="252F2878">
        <w:tblPrEx>
          <w:tblCellMar>
            <w:top w:w="0" w:type="dxa"/>
            <w:left w:w="108" w:type="dxa"/>
            <w:bottom w:w="0" w:type="dxa"/>
            <w:right w:w="108" w:type="dxa"/>
          </w:tblCellMar>
        </w:tblPrEx>
        <w:trPr>
          <w:trHeight w:val="936"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49945F92">
            <w:pPr>
              <w:widowControl/>
              <w:adjustRightInd/>
              <w:jc w:val="center"/>
              <w:rPr>
                <w:rFonts w:ascii="宋体" w:hAnsi="宋体" w:cs="宋体"/>
                <w:kern w:val="0"/>
                <w:sz w:val="24"/>
                <w:highlight w:val="none"/>
              </w:rPr>
            </w:pPr>
            <w:r>
              <w:rPr>
                <w:rFonts w:ascii="宋体" w:hAnsi="宋体" w:cs="宋体"/>
                <w:kern w:val="0"/>
                <w:sz w:val="24"/>
                <w:highlight w:val="none"/>
              </w:rPr>
              <w:t>118</w:t>
            </w:r>
          </w:p>
        </w:tc>
        <w:tc>
          <w:tcPr>
            <w:tcW w:w="1306"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61A78E7B">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6A618642">
            <w:pPr>
              <w:widowControl/>
              <w:adjustRightInd/>
              <w:jc w:val="left"/>
              <w:rPr>
                <w:rFonts w:ascii="宋体" w:hAnsi="宋体" w:cs="宋体"/>
                <w:kern w:val="0"/>
                <w:sz w:val="24"/>
                <w:highlight w:val="none"/>
              </w:rPr>
            </w:pPr>
            <w:r>
              <w:rPr>
                <w:rFonts w:hint="eastAsia" w:ascii="宋体" w:hAnsi="宋体" w:cs="宋体"/>
                <w:kern w:val="0"/>
                <w:sz w:val="24"/>
                <w:highlight w:val="none"/>
              </w:rPr>
              <w:t>▲日志处理与分析</w:t>
            </w:r>
          </w:p>
        </w:tc>
        <w:tc>
          <w:tcPr>
            <w:tcW w:w="3959" w:type="dxa"/>
            <w:tcBorders>
              <w:top w:val="nil"/>
              <w:left w:val="nil"/>
              <w:bottom w:val="single" w:color="auto" w:sz="4" w:space="0"/>
              <w:right w:val="single" w:color="auto" w:sz="4" w:space="0"/>
            </w:tcBorders>
            <w:shd w:val="clear" w:color="000000" w:fill="FFFFFF"/>
            <w:vAlign w:val="center"/>
          </w:tcPr>
          <w:p w14:paraId="643E93AC">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操作系统提供系统错误问题回溯分析工具，对系统崩溃问题及错误问题进行回溯；支持日志切分、一键收集、转储、同步机制</w:t>
            </w:r>
          </w:p>
        </w:tc>
      </w:tr>
      <w:tr w14:paraId="2ACCB863">
        <w:tblPrEx>
          <w:tblCellMar>
            <w:top w:w="0" w:type="dxa"/>
            <w:left w:w="108" w:type="dxa"/>
            <w:bottom w:w="0" w:type="dxa"/>
            <w:right w:w="108" w:type="dxa"/>
          </w:tblCellMar>
        </w:tblPrEx>
        <w:trPr>
          <w:trHeight w:val="997"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0B02EF1F">
            <w:pPr>
              <w:widowControl/>
              <w:adjustRightInd/>
              <w:jc w:val="center"/>
              <w:rPr>
                <w:rFonts w:ascii="宋体" w:hAnsi="宋体" w:cs="宋体"/>
                <w:kern w:val="0"/>
                <w:sz w:val="24"/>
                <w:highlight w:val="none"/>
              </w:rPr>
            </w:pPr>
            <w:r>
              <w:rPr>
                <w:rFonts w:ascii="宋体" w:hAnsi="宋体" w:cs="宋体"/>
                <w:kern w:val="0"/>
                <w:sz w:val="24"/>
                <w:highlight w:val="none"/>
              </w:rPr>
              <w:t>119</w:t>
            </w:r>
          </w:p>
        </w:tc>
        <w:tc>
          <w:tcPr>
            <w:tcW w:w="1306" w:type="dxa"/>
            <w:tcBorders>
              <w:top w:val="nil"/>
              <w:left w:val="nil"/>
              <w:bottom w:val="single" w:color="auto" w:sz="4" w:space="0"/>
              <w:right w:val="single" w:color="auto" w:sz="4" w:space="0"/>
            </w:tcBorders>
            <w:shd w:val="clear" w:color="000000" w:fill="FFFFFF"/>
            <w:vAlign w:val="center"/>
          </w:tcPr>
          <w:p w14:paraId="0BCCBEA1">
            <w:pPr>
              <w:widowControl/>
              <w:adjustRightInd/>
              <w:jc w:val="left"/>
              <w:rPr>
                <w:rFonts w:ascii="宋体" w:hAnsi="宋体" w:cs="宋体"/>
                <w:kern w:val="0"/>
                <w:sz w:val="24"/>
                <w:highlight w:val="none"/>
              </w:rPr>
            </w:pPr>
            <w:r>
              <w:rPr>
                <w:rFonts w:hint="eastAsia" w:ascii="宋体" w:hAnsi="宋体" w:cs="宋体"/>
                <w:kern w:val="0"/>
                <w:sz w:val="24"/>
                <w:highlight w:val="none"/>
              </w:rPr>
              <w:t>▲脆弱性管理</w:t>
            </w:r>
          </w:p>
        </w:tc>
        <w:tc>
          <w:tcPr>
            <w:tcW w:w="3150" w:type="dxa"/>
            <w:tcBorders>
              <w:top w:val="nil"/>
              <w:left w:val="nil"/>
              <w:bottom w:val="single" w:color="auto" w:sz="4" w:space="0"/>
              <w:right w:val="single" w:color="auto" w:sz="4" w:space="0"/>
            </w:tcBorders>
            <w:shd w:val="clear" w:color="000000" w:fill="FFFFFF"/>
            <w:vAlign w:val="center"/>
          </w:tcPr>
          <w:p w14:paraId="5A3899F5">
            <w:pPr>
              <w:widowControl/>
              <w:adjustRightInd/>
              <w:jc w:val="left"/>
              <w:rPr>
                <w:rFonts w:ascii="宋体" w:hAnsi="宋体" w:cs="宋体"/>
                <w:kern w:val="0"/>
                <w:sz w:val="24"/>
                <w:highlight w:val="none"/>
              </w:rPr>
            </w:pPr>
            <w:r>
              <w:rPr>
                <w:rFonts w:hint="eastAsia" w:ascii="宋体" w:hAnsi="宋体" w:cs="宋体"/>
                <w:kern w:val="0"/>
                <w:sz w:val="24"/>
                <w:highlight w:val="none"/>
              </w:rPr>
              <w:t>▲脆弱性管理</w:t>
            </w:r>
          </w:p>
        </w:tc>
        <w:tc>
          <w:tcPr>
            <w:tcW w:w="3959" w:type="dxa"/>
            <w:tcBorders>
              <w:top w:val="nil"/>
              <w:left w:val="nil"/>
              <w:bottom w:val="single" w:color="auto" w:sz="4" w:space="0"/>
              <w:right w:val="single" w:color="auto" w:sz="4" w:space="0"/>
            </w:tcBorders>
            <w:shd w:val="clear" w:color="000000" w:fill="FFFFFF"/>
            <w:vAlign w:val="center"/>
          </w:tcPr>
          <w:p w14:paraId="264CD207">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提供故障管理框架，内置故障分析专家系统，可与外部同类型系统互联；具备故障响应、故障警告功能，提供用户接口，支持故障响应、警告信息分发；支持故障管理守护进程，使用统一的传输信道或机制上报故障信息；具备硬件故障信息捕获、紧急处理功能，包括</w:t>
            </w:r>
            <w:r>
              <w:rPr>
                <w:rFonts w:ascii="宋体" w:hAnsi="宋体" w:cs="宋体"/>
                <w:kern w:val="0"/>
                <w:sz w:val="24"/>
                <w:highlight w:val="none"/>
              </w:rPr>
              <w:t>CPU、内存及PCIe设备等硬件的故障；支持诊断/响应组件动态加载机制；提供或支持第三方远程诊断框架及调测工具集，实现远程诊断及调试断点功能支持物理机、虚拟机中操作系统的故障恢复；</w:t>
            </w:r>
          </w:p>
        </w:tc>
      </w:tr>
      <w:tr w14:paraId="4CA245E2">
        <w:tblPrEx>
          <w:tblCellMar>
            <w:top w:w="0" w:type="dxa"/>
            <w:left w:w="108" w:type="dxa"/>
            <w:bottom w:w="0" w:type="dxa"/>
            <w:right w:w="108" w:type="dxa"/>
          </w:tblCellMar>
        </w:tblPrEx>
        <w:trPr>
          <w:trHeight w:val="1872"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4C46B783">
            <w:pPr>
              <w:widowControl/>
              <w:adjustRightInd/>
              <w:jc w:val="center"/>
              <w:rPr>
                <w:rFonts w:ascii="宋体" w:hAnsi="宋体" w:cs="宋体"/>
                <w:kern w:val="0"/>
                <w:sz w:val="24"/>
                <w:highlight w:val="none"/>
              </w:rPr>
            </w:pPr>
            <w:r>
              <w:rPr>
                <w:rFonts w:ascii="宋体" w:hAnsi="宋体" w:cs="宋体"/>
                <w:kern w:val="0"/>
                <w:sz w:val="24"/>
                <w:highlight w:val="none"/>
              </w:rPr>
              <w:t>120</w:t>
            </w:r>
          </w:p>
        </w:tc>
        <w:tc>
          <w:tcPr>
            <w:tcW w:w="1306" w:type="dxa"/>
            <w:tcBorders>
              <w:top w:val="nil"/>
              <w:left w:val="nil"/>
              <w:bottom w:val="single" w:color="auto" w:sz="4" w:space="0"/>
              <w:right w:val="single" w:color="auto" w:sz="4" w:space="0"/>
            </w:tcBorders>
            <w:shd w:val="clear" w:color="000000" w:fill="FFFFFF"/>
            <w:vAlign w:val="center"/>
          </w:tcPr>
          <w:p w14:paraId="2B58EA45">
            <w:pPr>
              <w:widowControl/>
              <w:adjustRightInd/>
              <w:jc w:val="left"/>
              <w:rPr>
                <w:rFonts w:ascii="宋体" w:hAnsi="宋体" w:cs="宋体"/>
                <w:kern w:val="0"/>
                <w:sz w:val="24"/>
                <w:highlight w:val="none"/>
              </w:rPr>
            </w:pPr>
            <w:r>
              <w:rPr>
                <w:rFonts w:hint="eastAsia" w:ascii="宋体" w:hAnsi="宋体" w:cs="宋体"/>
                <w:kern w:val="0"/>
                <w:sz w:val="24"/>
                <w:highlight w:val="none"/>
              </w:rPr>
              <w:t>▲热补丁</w:t>
            </w:r>
          </w:p>
        </w:tc>
        <w:tc>
          <w:tcPr>
            <w:tcW w:w="3150" w:type="dxa"/>
            <w:tcBorders>
              <w:top w:val="nil"/>
              <w:left w:val="nil"/>
              <w:bottom w:val="single" w:color="auto" w:sz="4" w:space="0"/>
              <w:right w:val="single" w:color="auto" w:sz="4" w:space="0"/>
            </w:tcBorders>
            <w:shd w:val="clear" w:color="000000" w:fill="FFFFFF"/>
            <w:vAlign w:val="center"/>
          </w:tcPr>
          <w:p w14:paraId="4FBCE671">
            <w:pPr>
              <w:widowControl/>
              <w:adjustRightInd/>
              <w:jc w:val="left"/>
              <w:rPr>
                <w:rFonts w:ascii="宋体" w:hAnsi="宋体" w:cs="宋体"/>
                <w:kern w:val="0"/>
                <w:sz w:val="24"/>
                <w:highlight w:val="none"/>
              </w:rPr>
            </w:pPr>
            <w:r>
              <w:rPr>
                <w:rFonts w:hint="eastAsia" w:ascii="宋体" w:hAnsi="宋体" w:cs="宋体"/>
                <w:kern w:val="0"/>
                <w:sz w:val="24"/>
                <w:highlight w:val="none"/>
              </w:rPr>
              <w:t>▲热补丁</w:t>
            </w:r>
          </w:p>
        </w:tc>
        <w:tc>
          <w:tcPr>
            <w:tcW w:w="3959" w:type="dxa"/>
            <w:tcBorders>
              <w:top w:val="nil"/>
              <w:left w:val="nil"/>
              <w:bottom w:val="single" w:color="auto" w:sz="4" w:space="0"/>
              <w:right w:val="single" w:color="auto" w:sz="4" w:space="0"/>
            </w:tcBorders>
            <w:shd w:val="clear" w:color="000000" w:fill="FFFFFF"/>
            <w:vAlign w:val="center"/>
          </w:tcPr>
          <w:p w14:paraId="1697CD05">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对内核热补丁进行编号，每个热补丁拥有独立编号；支持增量修复以及回滚机制；提供热补丁合法性和一致性校验功能；提供热补丁管理机制和工具，功能至少覆盖补丁查询、安装、移除；提供热补丁升级和回滚系统日志，便于查询或回溯</w:t>
            </w:r>
          </w:p>
        </w:tc>
      </w:tr>
      <w:tr w14:paraId="1FD7E3D6">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3A9F8D83">
            <w:pPr>
              <w:widowControl/>
              <w:adjustRightInd/>
              <w:jc w:val="center"/>
              <w:rPr>
                <w:rFonts w:ascii="宋体" w:hAnsi="宋体" w:cs="宋体"/>
                <w:kern w:val="0"/>
                <w:sz w:val="24"/>
                <w:highlight w:val="none"/>
              </w:rPr>
            </w:pPr>
            <w:r>
              <w:rPr>
                <w:rFonts w:ascii="宋体" w:hAnsi="宋体" w:cs="宋体"/>
                <w:kern w:val="0"/>
                <w:sz w:val="24"/>
                <w:highlight w:val="none"/>
              </w:rPr>
              <w:t>121</w:t>
            </w:r>
          </w:p>
        </w:tc>
        <w:tc>
          <w:tcPr>
            <w:tcW w:w="1306" w:type="dxa"/>
            <w:vMerge w:val="restart"/>
            <w:tcBorders>
              <w:top w:val="nil"/>
              <w:left w:val="single" w:color="auto" w:sz="4" w:space="0"/>
              <w:bottom w:val="single" w:color="000000" w:sz="4" w:space="0"/>
              <w:right w:val="single" w:color="auto" w:sz="4" w:space="0"/>
            </w:tcBorders>
            <w:shd w:val="clear" w:color="000000" w:fill="FFFFFF"/>
            <w:vAlign w:val="center"/>
          </w:tcPr>
          <w:p w14:paraId="37825D9B">
            <w:pPr>
              <w:widowControl/>
              <w:adjustRightInd/>
              <w:jc w:val="left"/>
              <w:rPr>
                <w:rFonts w:ascii="宋体" w:hAnsi="宋体" w:cs="宋体"/>
                <w:kern w:val="0"/>
                <w:sz w:val="24"/>
                <w:highlight w:val="none"/>
              </w:rPr>
            </w:pPr>
            <w:r>
              <w:rPr>
                <w:rFonts w:hint="eastAsia" w:ascii="宋体" w:hAnsi="宋体" w:cs="宋体"/>
                <w:kern w:val="0"/>
                <w:sz w:val="24"/>
                <w:highlight w:val="none"/>
              </w:rPr>
              <w:t>▲系统升级</w:t>
            </w:r>
          </w:p>
        </w:tc>
        <w:tc>
          <w:tcPr>
            <w:tcW w:w="3150" w:type="dxa"/>
            <w:tcBorders>
              <w:top w:val="nil"/>
              <w:left w:val="nil"/>
              <w:bottom w:val="single" w:color="auto" w:sz="4" w:space="0"/>
              <w:right w:val="single" w:color="auto" w:sz="4" w:space="0"/>
            </w:tcBorders>
            <w:shd w:val="clear" w:color="000000" w:fill="FFFFFF"/>
            <w:vAlign w:val="center"/>
          </w:tcPr>
          <w:p w14:paraId="693BC336">
            <w:pPr>
              <w:widowControl/>
              <w:adjustRightInd/>
              <w:jc w:val="left"/>
              <w:rPr>
                <w:rFonts w:ascii="宋体" w:hAnsi="宋体" w:cs="宋体"/>
                <w:kern w:val="0"/>
                <w:sz w:val="24"/>
                <w:highlight w:val="none"/>
              </w:rPr>
            </w:pPr>
            <w:r>
              <w:rPr>
                <w:rFonts w:hint="eastAsia" w:ascii="宋体" w:hAnsi="宋体" w:cs="宋体"/>
                <w:kern w:val="0"/>
                <w:sz w:val="24"/>
                <w:highlight w:val="none"/>
              </w:rPr>
              <w:t>▲升级内容</w:t>
            </w:r>
          </w:p>
        </w:tc>
        <w:tc>
          <w:tcPr>
            <w:tcW w:w="3959" w:type="dxa"/>
            <w:tcBorders>
              <w:top w:val="nil"/>
              <w:left w:val="nil"/>
              <w:bottom w:val="single" w:color="auto" w:sz="4" w:space="0"/>
              <w:right w:val="single" w:color="auto" w:sz="4" w:space="0"/>
            </w:tcBorders>
            <w:shd w:val="clear" w:color="000000" w:fill="FFFFFF"/>
            <w:vAlign w:val="center"/>
          </w:tcPr>
          <w:p w14:paraId="0C16D5A0">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操作系统支持系统增量升级功能，对系统部件、安全补丁等升级</w:t>
            </w:r>
          </w:p>
        </w:tc>
      </w:tr>
      <w:tr w14:paraId="5B43D81A">
        <w:tblPrEx>
          <w:tblCellMar>
            <w:top w:w="0" w:type="dxa"/>
            <w:left w:w="108" w:type="dxa"/>
            <w:bottom w:w="0" w:type="dxa"/>
            <w:right w:w="108" w:type="dxa"/>
          </w:tblCellMar>
        </w:tblPrEx>
        <w:trPr>
          <w:trHeight w:val="312"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0389800E">
            <w:pPr>
              <w:widowControl/>
              <w:adjustRightInd/>
              <w:jc w:val="center"/>
              <w:rPr>
                <w:rFonts w:ascii="宋体" w:hAnsi="宋体" w:cs="宋体"/>
                <w:kern w:val="0"/>
                <w:sz w:val="24"/>
                <w:highlight w:val="none"/>
              </w:rPr>
            </w:pPr>
            <w:r>
              <w:rPr>
                <w:rFonts w:ascii="宋体" w:hAnsi="宋体" w:cs="宋体"/>
                <w:kern w:val="0"/>
                <w:sz w:val="24"/>
                <w:highlight w:val="none"/>
              </w:rPr>
              <w:t>122</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042461AB">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01322527">
            <w:pPr>
              <w:widowControl/>
              <w:adjustRightInd/>
              <w:jc w:val="left"/>
              <w:rPr>
                <w:rFonts w:ascii="宋体" w:hAnsi="宋体" w:cs="宋体"/>
                <w:kern w:val="0"/>
                <w:sz w:val="24"/>
                <w:highlight w:val="none"/>
              </w:rPr>
            </w:pPr>
            <w:r>
              <w:rPr>
                <w:rFonts w:hint="eastAsia" w:ascii="宋体" w:hAnsi="宋体" w:cs="宋体"/>
                <w:kern w:val="0"/>
                <w:sz w:val="24"/>
                <w:highlight w:val="none"/>
              </w:rPr>
              <w:t>▲升级方式</w:t>
            </w:r>
          </w:p>
        </w:tc>
        <w:tc>
          <w:tcPr>
            <w:tcW w:w="3959" w:type="dxa"/>
            <w:tcBorders>
              <w:top w:val="nil"/>
              <w:left w:val="nil"/>
              <w:bottom w:val="single" w:color="auto" w:sz="4" w:space="0"/>
              <w:right w:val="single" w:color="auto" w:sz="4" w:space="0"/>
            </w:tcBorders>
            <w:shd w:val="clear" w:color="000000" w:fill="FFFFFF"/>
            <w:vAlign w:val="center"/>
          </w:tcPr>
          <w:p w14:paraId="00A6EC57">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操作系统支持在线升级和离线升级</w:t>
            </w:r>
          </w:p>
        </w:tc>
      </w:tr>
      <w:tr w14:paraId="7D520E08">
        <w:tblPrEx>
          <w:tblCellMar>
            <w:top w:w="0" w:type="dxa"/>
            <w:left w:w="108" w:type="dxa"/>
            <w:bottom w:w="0" w:type="dxa"/>
            <w:right w:w="108" w:type="dxa"/>
          </w:tblCellMar>
        </w:tblPrEx>
        <w:trPr>
          <w:trHeight w:val="312"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64828A63">
            <w:pPr>
              <w:widowControl/>
              <w:adjustRightInd/>
              <w:jc w:val="center"/>
              <w:rPr>
                <w:rFonts w:ascii="宋体" w:hAnsi="宋体" w:cs="宋体"/>
                <w:kern w:val="0"/>
                <w:sz w:val="24"/>
                <w:highlight w:val="none"/>
              </w:rPr>
            </w:pPr>
            <w:r>
              <w:rPr>
                <w:rFonts w:ascii="宋体" w:hAnsi="宋体" w:cs="宋体"/>
                <w:kern w:val="0"/>
                <w:sz w:val="24"/>
                <w:highlight w:val="none"/>
              </w:rPr>
              <w:t>123</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1A24F564">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5CF0488F">
            <w:pPr>
              <w:widowControl/>
              <w:adjustRightInd/>
              <w:jc w:val="left"/>
              <w:rPr>
                <w:rFonts w:ascii="宋体" w:hAnsi="宋体" w:cs="宋体"/>
                <w:kern w:val="0"/>
                <w:sz w:val="24"/>
                <w:highlight w:val="none"/>
              </w:rPr>
            </w:pPr>
            <w:r>
              <w:rPr>
                <w:rFonts w:hint="eastAsia" w:ascii="宋体" w:hAnsi="宋体" w:cs="宋体"/>
                <w:kern w:val="0"/>
                <w:sz w:val="24"/>
                <w:highlight w:val="none"/>
              </w:rPr>
              <w:t>▲数据保护</w:t>
            </w:r>
          </w:p>
        </w:tc>
        <w:tc>
          <w:tcPr>
            <w:tcW w:w="3959" w:type="dxa"/>
            <w:tcBorders>
              <w:top w:val="nil"/>
              <w:left w:val="nil"/>
              <w:bottom w:val="single" w:color="auto" w:sz="4" w:space="0"/>
              <w:right w:val="single" w:color="auto" w:sz="4" w:space="0"/>
            </w:tcBorders>
            <w:shd w:val="clear" w:color="000000" w:fill="FFFFFF"/>
            <w:vAlign w:val="center"/>
          </w:tcPr>
          <w:p w14:paraId="2B71372B">
            <w:pPr>
              <w:widowControl/>
              <w:adjustRightInd/>
              <w:jc w:val="left"/>
              <w:rPr>
                <w:rFonts w:ascii="宋体" w:hAnsi="宋体" w:cs="宋体"/>
                <w:kern w:val="0"/>
                <w:sz w:val="24"/>
                <w:highlight w:val="none"/>
              </w:rPr>
            </w:pPr>
            <w:r>
              <w:rPr>
                <w:rFonts w:hint="eastAsia" w:ascii="宋体" w:hAnsi="宋体" w:cs="宋体"/>
                <w:kern w:val="0"/>
                <w:sz w:val="24"/>
                <w:highlight w:val="none"/>
              </w:rPr>
              <w:t>操作系统升级不得修改破坏用户数据</w:t>
            </w:r>
          </w:p>
        </w:tc>
      </w:tr>
      <w:tr w14:paraId="2E018000">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5C9E55E7">
            <w:pPr>
              <w:widowControl/>
              <w:adjustRightInd/>
              <w:jc w:val="center"/>
              <w:rPr>
                <w:rFonts w:ascii="宋体" w:hAnsi="宋体" w:cs="宋体"/>
                <w:kern w:val="0"/>
                <w:sz w:val="24"/>
                <w:highlight w:val="none"/>
              </w:rPr>
            </w:pPr>
            <w:r>
              <w:rPr>
                <w:rFonts w:ascii="宋体" w:hAnsi="宋体" w:cs="宋体"/>
                <w:kern w:val="0"/>
                <w:sz w:val="24"/>
                <w:highlight w:val="none"/>
              </w:rPr>
              <w:t>124</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6B1E01B9">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540D4408">
            <w:pPr>
              <w:widowControl/>
              <w:adjustRightInd/>
              <w:jc w:val="left"/>
              <w:rPr>
                <w:rFonts w:ascii="宋体" w:hAnsi="宋体" w:cs="宋体"/>
                <w:kern w:val="0"/>
                <w:sz w:val="24"/>
                <w:highlight w:val="none"/>
              </w:rPr>
            </w:pPr>
            <w:r>
              <w:rPr>
                <w:rFonts w:hint="eastAsia" w:ascii="宋体" w:hAnsi="宋体" w:cs="宋体"/>
                <w:kern w:val="0"/>
                <w:sz w:val="24"/>
                <w:highlight w:val="none"/>
              </w:rPr>
              <w:t>▲兼容性</w:t>
            </w:r>
          </w:p>
        </w:tc>
        <w:tc>
          <w:tcPr>
            <w:tcW w:w="3959" w:type="dxa"/>
            <w:tcBorders>
              <w:top w:val="nil"/>
              <w:left w:val="nil"/>
              <w:bottom w:val="single" w:color="auto" w:sz="4" w:space="0"/>
              <w:right w:val="single" w:color="auto" w:sz="4" w:space="0"/>
            </w:tcBorders>
            <w:shd w:val="clear" w:color="000000" w:fill="FFFFFF"/>
            <w:vAlign w:val="center"/>
          </w:tcPr>
          <w:p w14:paraId="05D54B1A">
            <w:pPr>
              <w:widowControl/>
              <w:adjustRightInd/>
              <w:jc w:val="left"/>
              <w:rPr>
                <w:rFonts w:ascii="宋体" w:hAnsi="宋体" w:cs="宋体"/>
                <w:kern w:val="0"/>
                <w:sz w:val="24"/>
                <w:highlight w:val="none"/>
              </w:rPr>
            </w:pPr>
            <w:r>
              <w:rPr>
                <w:rFonts w:hint="eastAsia" w:ascii="宋体" w:hAnsi="宋体" w:cs="宋体"/>
                <w:kern w:val="0"/>
                <w:sz w:val="24"/>
                <w:highlight w:val="none"/>
              </w:rPr>
              <w:t>操作系统升级不得影响原有软硬件兼容性，如有影响应显式的提示告知用户</w:t>
            </w:r>
          </w:p>
        </w:tc>
      </w:tr>
      <w:tr w14:paraId="1967BB51">
        <w:tblPrEx>
          <w:tblCellMar>
            <w:top w:w="0" w:type="dxa"/>
            <w:left w:w="108" w:type="dxa"/>
            <w:bottom w:w="0" w:type="dxa"/>
            <w:right w:w="108" w:type="dxa"/>
          </w:tblCellMar>
        </w:tblPrEx>
        <w:trPr>
          <w:trHeight w:val="936"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74C7CD49">
            <w:pPr>
              <w:widowControl/>
              <w:adjustRightInd/>
              <w:jc w:val="center"/>
              <w:rPr>
                <w:rFonts w:ascii="宋体" w:hAnsi="宋体" w:cs="宋体"/>
                <w:kern w:val="0"/>
                <w:sz w:val="24"/>
                <w:highlight w:val="none"/>
              </w:rPr>
            </w:pPr>
            <w:r>
              <w:rPr>
                <w:rFonts w:ascii="宋体" w:hAnsi="宋体" w:cs="宋体"/>
                <w:kern w:val="0"/>
                <w:sz w:val="24"/>
                <w:highlight w:val="none"/>
              </w:rPr>
              <w:t>125</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120F65CE">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4B227AE9">
            <w:pPr>
              <w:widowControl/>
              <w:adjustRightInd/>
              <w:jc w:val="left"/>
              <w:rPr>
                <w:rFonts w:ascii="宋体" w:hAnsi="宋体" w:cs="宋体"/>
                <w:kern w:val="0"/>
                <w:sz w:val="24"/>
                <w:highlight w:val="none"/>
              </w:rPr>
            </w:pPr>
            <w:r>
              <w:rPr>
                <w:rFonts w:hint="eastAsia" w:ascii="宋体" w:hAnsi="宋体" w:cs="宋体"/>
                <w:kern w:val="0"/>
                <w:sz w:val="24"/>
                <w:highlight w:val="none"/>
              </w:rPr>
              <w:t>▲回退</w:t>
            </w:r>
          </w:p>
        </w:tc>
        <w:tc>
          <w:tcPr>
            <w:tcW w:w="3959" w:type="dxa"/>
            <w:tcBorders>
              <w:top w:val="nil"/>
              <w:left w:val="nil"/>
              <w:bottom w:val="single" w:color="auto" w:sz="4" w:space="0"/>
              <w:right w:val="single" w:color="auto" w:sz="4" w:space="0"/>
            </w:tcBorders>
            <w:shd w:val="clear" w:color="000000" w:fill="FFFFFF"/>
            <w:vAlign w:val="center"/>
          </w:tcPr>
          <w:p w14:paraId="0FA6F074">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操作系统提供升级回退机制，能卸载已升级的软件包，恢复系统原有状态，如升级为不可回退，则系统升级前以显式的提示告知用户</w:t>
            </w:r>
          </w:p>
        </w:tc>
      </w:tr>
      <w:tr w14:paraId="37C12203">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5517A8FE">
            <w:pPr>
              <w:widowControl/>
              <w:adjustRightInd/>
              <w:jc w:val="center"/>
              <w:rPr>
                <w:rFonts w:ascii="宋体" w:hAnsi="宋体" w:cs="宋体"/>
                <w:kern w:val="0"/>
                <w:sz w:val="24"/>
                <w:highlight w:val="none"/>
              </w:rPr>
            </w:pPr>
            <w:r>
              <w:rPr>
                <w:rFonts w:ascii="宋体" w:hAnsi="宋体" w:cs="宋体"/>
                <w:kern w:val="0"/>
                <w:sz w:val="24"/>
                <w:highlight w:val="none"/>
              </w:rPr>
              <w:t>126</w:t>
            </w:r>
          </w:p>
        </w:tc>
        <w:tc>
          <w:tcPr>
            <w:tcW w:w="1306" w:type="dxa"/>
            <w:tcBorders>
              <w:top w:val="nil"/>
              <w:left w:val="nil"/>
              <w:bottom w:val="single" w:color="auto" w:sz="4" w:space="0"/>
              <w:right w:val="single" w:color="auto" w:sz="4" w:space="0"/>
            </w:tcBorders>
            <w:shd w:val="clear" w:color="000000" w:fill="FFFFFF"/>
            <w:vAlign w:val="center"/>
          </w:tcPr>
          <w:p w14:paraId="7F2AFC79">
            <w:pPr>
              <w:widowControl/>
              <w:adjustRightInd/>
              <w:jc w:val="left"/>
              <w:rPr>
                <w:rFonts w:ascii="宋体" w:hAnsi="宋体" w:cs="宋体"/>
                <w:kern w:val="0"/>
                <w:sz w:val="24"/>
                <w:highlight w:val="none"/>
              </w:rPr>
            </w:pPr>
            <w:r>
              <w:rPr>
                <w:rFonts w:hint="eastAsia" w:ascii="宋体" w:hAnsi="宋体" w:cs="宋体"/>
                <w:kern w:val="0"/>
                <w:sz w:val="24"/>
                <w:highlight w:val="none"/>
              </w:rPr>
              <w:t>▲交付方式</w:t>
            </w:r>
          </w:p>
        </w:tc>
        <w:tc>
          <w:tcPr>
            <w:tcW w:w="3150" w:type="dxa"/>
            <w:tcBorders>
              <w:top w:val="nil"/>
              <w:left w:val="nil"/>
              <w:bottom w:val="single" w:color="auto" w:sz="4" w:space="0"/>
              <w:right w:val="single" w:color="auto" w:sz="4" w:space="0"/>
            </w:tcBorders>
            <w:shd w:val="clear" w:color="000000" w:fill="FFFFFF"/>
            <w:vAlign w:val="center"/>
          </w:tcPr>
          <w:p w14:paraId="44342ED5">
            <w:pPr>
              <w:widowControl/>
              <w:adjustRightInd/>
              <w:jc w:val="left"/>
              <w:rPr>
                <w:rFonts w:ascii="宋体" w:hAnsi="宋体" w:cs="宋体"/>
                <w:kern w:val="0"/>
                <w:sz w:val="24"/>
                <w:highlight w:val="none"/>
              </w:rPr>
            </w:pPr>
            <w:r>
              <w:rPr>
                <w:rFonts w:hint="eastAsia" w:ascii="宋体" w:hAnsi="宋体" w:cs="宋体"/>
                <w:kern w:val="0"/>
                <w:sz w:val="24"/>
                <w:highlight w:val="none"/>
              </w:rPr>
              <w:t>▲交付方式</w:t>
            </w:r>
          </w:p>
        </w:tc>
        <w:tc>
          <w:tcPr>
            <w:tcW w:w="3959" w:type="dxa"/>
            <w:tcBorders>
              <w:top w:val="nil"/>
              <w:left w:val="nil"/>
              <w:bottom w:val="single" w:color="auto" w:sz="4" w:space="0"/>
              <w:right w:val="single" w:color="auto" w:sz="4" w:space="0"/>
            </w:tcBorders>
            <w:shd w:val="clear" w:color="000000" w:fill="FFFFFF"/>
            <w:vAlign w:val="center"/>
          </w:tcPr>
          <w:p w14:paraId="7E032AF5">
            <w:pPr>
              <w:widowControl/>
              <w:adjustRightInd/>
              <w:jc w:val="left"/>
              <w:rPr>
                <w:rFonts w:ascii="宋体" w:hAnsi="宋体" w:cs="宋体"/>
                <w:kern w:val="0"/>
                <w:sz w:val="24"/>
                <w:highlight w:val="none"/>
              </w:rPr>
            </w:pPr>
            <w:r>
              <w:rPr>
                <w:rFonts w:hint="eastAsia" w:ascii="宋体" w:hAnsi="宋体" w:cs="宋体"/>
                <w:kern w:val="0"/>
                <w:sz w:val="24"/>
                <w:highlight w:val="none"/>
              </w:rPr>
              <w:t>供应商提供光盘、</w:t>
            </w:r>
            <w:r>
              <w:rPr>
                <w:rFonts w:ascii="宋体" w:hAnsi="宋体" w:cs="宋体"/>
                <w:kern w:val="0"/>
                <w:sz w:val="24"/>
                <w:highlight w:val="none"/>
              </w:rPr>
              <w:t>USB闪存盘、镜像文件（下载）等交付方式</w:t>
            </w:r>
          </w:p>
        </w:tc>
      </w:tr>
      <w:tr w14:paraId="62B734F0">
        <w:tblPrEx>
          <w:tblCellMar>
            <w:top w:w="0" w:type="dxa"/>
            <w:left w:w="108" w:type="dxa"/>
            <w:bottom w:w="0" w:type="dxa"/>
            <w:right w:w="108" w:type="dxa"/>
          </w:tblCellMar>
        </w:tblPrEx>
        <w:trPr>
          <w:trHeight w:val="312"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296AAF78">
            <w:pPr>
              <w:widowControl/>
              <w:adjustRightInd/>
              <w:jc w:val="center"/>
              <w:rPr>
                <w:rFonts w:ascii="宋体" w:hAnsi="宋体" w:cs="宋体"/>
                <w:kern w:val="0"/>
                <w:sz w:val="24"/>
                <w:highlight w:val="none"/>
              </w:rPr>
            </w:pPr>
            <w:r>
              <w:rPr>
                <w:rFonts w:ascii="宋体" w:hAnsi="宋体" w:cs="宋体"/>
                <w:kern w:val="0"/>
                <w:sz w:val="24"/>
                <w:highlight w:val="none"/>
              </w:rPr>
              <w:t>127</w:t>
            </w:r>
          </w:p>
        </w:tc>
        <w:tc>
          <w:tcPr>
            <w:tcW w:w="1306" w:type="dxa"/>
            <w:vMerge w:val="restart"/>
            <w:tcBorders>
              <w:top w:val="nil"/>
              <w:left w:val="single" w:color="auto" w:sz="4" w:space="0"/>
              <w:bottom w:val="single" w:color="000000" w:sz="4" w:space="0"/>
              <w:right w:val="single" w:color="auto" w:sz="4" w:space="0"/>
            </w:tcBorders>
            <w:shd w:val="clear" w:color="auto" w:fill="auto"/>
            <w:vAlign w:val="center"/>
          </w:tcPr>
          <w:p w14:paraId="4F42D565">
            <w:pPr>
              <w:widowControl/>
              <w:adjustRightInd/>
              <w:jc w:val="left"/>
              <w:rPr>
                <w:rFonts w:ascii="宋体" w:hAnsi="宋体" w:cs="宋体"/>
                <w:kern w:val="0"/>
                <w:sz w:val="24"/>
                <w:szCs w:val="20"/>
                <w:highlight w:val="none"/>
              </w:rPr>
            </w:pPr>
            <w:r>
              <w:rPr>
                <w:rFonts w:hint="eastAsia" w:ascii="宋体" w:hAnsi="宋体" w:cs="宋体"/>
                <w:kern w:val="0"/>
                <w:sz w:val="24"/>
                <w:szCs w:val="20"/>
                <w:highlight w:val="none"/>
              </w:rPr>
              <w:t>▲服务周期</w:t>
            </w:r>
          </w:p>
        </w:tc>
        <w:tc>
          <w:tcPr>
            <w:tcW w:w="3150" w:type="dxa"/>
            <w:tcBorders>
              <w:top w:val="nil"/>
              <w:left w:val="nil"/>
              <w:bottom w:val="single" w:color="auto" w:sz="4" w:space="0"/>
              <w:right w:val="single" w:color="auto" w:sz="4" w:space="0"/>
            </w:tcBorders>
            <w:shd w:val="clear" w:color="000000" w:fill="FFFFFF"/>
            <w:vAlign w:val="center"/>
          </w:tcPr>
          <w:p w14:paraId="62EC67EC">
            <w:pPr>
              <w:widowControl/>
              <w:adjustRightInd/>
              <w:jc w:val="left"/>
              <w:rPr>
                <w:rFonts w:ascii="宋体" w:hAnsi="宋体" w:cs="宋体"/>
                <w:kern w:val="0"/>
                <w:sz w:val="24"/>
                <w:highlight w:val="none"/>
              </w:rPr>
            </w:pPr>
            <w:r>
              <w:rPr>
                <w:rFonts w:hint="eastAsia" w:ascii="宋体" w:hAnsi="宋体" w:cs="宋体"/>
                <w:kern w:val="0"/>
                <w:sz w:val="24"/>
                <w:highlight w:val="none"/>
              </w:rPr>
              <w:t>▲产品维护周期</w:t>
            </w:r>
          </w:p>
        </w:tc>
        <w:tc>
          <w:tcPr>
            <w:tcW w:w="3959" w:type="dxa"/>
            <w:tcBorders>
              <w:top w:val="nil"/>
              <w:left w:val="nil"/>
              <w:bottom w:val="single" w:color="auto" w:sz="4" w:space="0"/>
              <w:right w:val="single" w:color="auto" w:sz="4" w:space="0"/>
            </w:tcBorders>
            <w:shd w:val="clear" w:color="000000" w:fill="FFFFFF"/>
            <w:vAlign w:val="center"/>
          </w:tcPr>
          <w:p w14:paraId="5CD376A3">
            <w:pPr>
              <w:widowControl/>
              <w:adjustRightInd/>
              <w:jc w:val="left"/>
              <w:rPr>
                <w:rFonts w:ascii="宋体" w:hAnsi="宋体" w:cs="宋体"/>
                <w:kern w:val="0"/>
                <w:sz w:val="24"/>
                <w:highlight w:val="none"/>
              </w:rPr>
            </w:pPr>
            <w:r>
              <w:rPr>
                <w:rFonts w:hint="eastAsia" w:ascii="宋体" w:hAnsi="宋体" w:cs="宋体"/>
                <w:kern w:val="0"/>
                <w:sz w:val="24"/>
                <w:highlight w:val="none"/>
              </w:rPr>
              <w:t>服务期内，提供维护；</w:t>
            </w:r>
          </w:p>
        </w:tc>
      </w:tr>
      <w:tr w14:paraId="7A4F0351">
        <w:tblPrEx>
          <w:tblCellMar>
            <w:top w:w="0" w:type="dxa"/>
            <w:left w:w="108" w:type="dxa"/>
            <w:bottom w:w="0" w:type="dxa"/>
            <w:right w:w="108" w:type="dxa"/>
          </w:tblCellMar>
        </w:tblPrEx>
        <w:trPr>
          <w:trHeight w:val="312"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24A06A6C">
            <w:pPr>
              <w:widowControl/>
              <w:adjustRightInd/>
              <w:jc w:val="center"/>
              <w:rPr>
                <w:rFonts w:ascii="宋体" w:hAnsi="宋体" w:cs="宋体"/>
                <w:kern w:val="0"/>
                <w:sz w:val="24"/>
                <w:highlight w:val="none"/>
              </w:rPr>
            </w:pPr>
            <w:r>
              <w:rPr>
                <w:rFonts w:ascii="宋体" w:hAnsi="宋体" w:cs="宋体"/>
                <w:kern w:val="0"/>
                <w:sz w:val="24"/>
                <w:highlight w:val="none"/>
              </w:rPr>
              <w:t>128</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5C2CC42B">
            <w:pPr>
              <w:widowControl/>
              <w:adjustRightInd/>
              <w:jc w:val="left"/>
              <w:rPr>
                <w:rFonts w:ascii="宋体" w:hAnsi="宋体" w:cs="宋体"/>
                <w:kern w:val="0"/>
                <w:sz w:val="24"/>
                <w:szCs w:val="20"/>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2E38506B">
            <w:pPr>
              <w:widowControl/>
              <w:adjustRightInd/>
              <w:jc w:val="left"/>
              <w:rPr>
                <w:rFonts w:ascii="宋体" w:hAnsi="宋体" w:cs="宋体"/>
                <w:kern w:val="0"/>
                <w:sz w:val="24"/>
                <w:highlight w:val="none"/>
              </w:rPr>
            </w:pPr>
            <w:r>
              <w:rPr>
                <w:rFonts w:hint="eastAsia" w:ascii="宋体" w:hAnsi="宋体" w:cs="宋体"/>
                <w:kern w:val="0"/>
                <w:sz w:val="24"/>
                <w:highlight w:val="none"/>
              </w:rPr>
              <w:t>▲产品延伸服务周期</w:t>
            </w:r>
          </w:p>
        </w:tc>
        <w:tc>
          <w:tcPr>
            <w:tcW w:w="3959" w:type="dxa"/>
            <w:tcBorders>
              <w:top w:val="nil"/>
              <w:left w:val="nil"/>
              <w:bottom w:val="single" w:color="auto" w:sz="4" w:space="0"/>
              <w:right w:val="single" w:color="auto" w:sz="4" w:space="0"/>
            </w:tcBorders>
            <w:shd w:val="clear" w:color="000000" w:fill="FFFFFF"/>
            <w:vAlign w:val="center"/>
          </w:tcPr>
          <w:p w14:paraId="3F86F25F">
            <w:pPr>
              <w:widowControl/>
              <w:adjustRightInd/>
              <w:jc w:val="left"/>
              <w:rPr>
                <w:rFonts w:ascii="宋体" w:hAnsi="宋体" w:cs="宋体"/>
                <w:kern w:val="0"/>
                <w:sz w:val="24"/>
                <w:highlight w:val="none"/>
              </w:rPr>
            </w:pPr>
            <w:r>
              <w:rPr>
                <w:rFonts w:hint="eastAsia" w:ascii="宋体" w:hAnsi="宋体" w:cs="宋体"/>
                <w:kern w:val="0"/>
                <w:sz w:val="24"/>
                <w:highlight w:val="none"/>
              </w:rPr>
              <w:t>服务期内，提供维护；</w:t>
            </w:r>
          </w:p>
        </w:tc>
      </w:tr>
      <w:tr w14:paraId="7C69B43E">
        <w:tblPrEx>
          <w:tblCellMar>
            <w:top w:w="0" w:type="dxa"/>
            <w:left w:w="108" w:type="dxa"/>
            <w:bottom w:w="0" w:type="dxa"/>
            <w:right w:w="108" w:type="dxa"/>
          </w:tblCellMar>
        </w:tblPrEx>
        <w:trPr>
          <w:trHeight w:val="312"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58D40582">
            <w:pPr>
              <w:widowControl/>
              <w:adjustRightInd/>
              <w:jc w:val="center"/>
              <w:rPr>
                <w:rFonts w:ascii="宋体" w:hAnsi="宋体" w:cs="宋体"/>
                <w:kern w:val="0"/>
                <w:sz w:val="24"/>
                <w:highlight w:val="none"/>
              </w:rPr>
            </w:pPr>
            <w:r>
              <w:rPr>
                <w:rFonts w:ascii="宋体" w:hAnsi="宋体" w:cs="宋体"/>
                <w:kern w:val="0"/>
                <w:sz w:val="24"/>
                <w:highlight w:val="none"/>
              </w:rPr>
              <w:t>129</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76D4A84D">
            <w:pPr>
              <w:widowControl/>
              <w:adjustRightInd/>
              <w:jc w:val="left"/>
              <w:rPr>
                <w:rFonts w:ascii="宋体" w:hAnsi="宋体" w:cs="宋体"/>
                <w:kern w:val="0"/>
                <w:sz w:val="24"/>
                <w:szCs w:val="20"/>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137B1082">
            <w:pPr>
              <w:widowControl/>
              <w:adjustRightInd/>
              <w:jc w:val="left"/>
              <w:rPr>
                <w:rFonts w:ascii="宋体" w:hAnsi="宋体" w:cs="宋体"/>
                <w:kern w:val="0"/>
                <w:sz w:val="24"/>
                <w:highlight w:val="none"/>
              </w:rPr>
            </w:pPr>
            <w:r>
              <w:rPr>
                <w:rFonts w:hint="eastAsia" w:ascii="宋体" w:hAnsi="宋体" w:cs="宋体"/>
                <w:kern w:val="0"/>
                <w:sz w:val="24"/>
                <w:highlight w:val="none"/>
              </w:rPr>
              <w:t>▲产品延伸安全服务周期</w:t>
            </w:r>
          </w:p>
        </w:tc>
        <w:tc>
          <w:tcPr>
            <w:tcW w:w="3959" w:type="dxa"/>
            <w:tcBorders>
              <w:top w:val="nil"/>
              <w:left w:val="nil"/>
              <w:bottom w:val="single" w:color="auto" w:sz="4" w:space="0"/>
              <w:right w:val="single" w:color="auto" w:sz="4" w:space="0"/>
            </w:tcBorders>
            <w:shd w:val="clear" w:color="000000" w:fill="FFFFFF"/>
            <w:vAlign w:val="center"/>
          </w:tcPr>
          <w:p w14:paraId="20BD8164">
            <w:pPr>
              <w:widowControl/>
              <w:adjustRightInd/>
              <w:jc w:val="left"/>
              <w:rPr>
                <w:rFonts w:ascii="宋体" w:hAnsi="宋体" w:cs="宋体"/>
                <w:kern w:val="0"/>
                <w:sz w:val="24"/>
                <w:highlight w:val="none"/>
              </w:rPr>
            </w:pPr>
            <w:r>
              <w:rPr>
                <w:rFonts w:hint="eastAsia" w:ascii="宋体" w:hAnsi="宋体" w:cs="宋体"/>
                <w:kern w:val="0"/>
                <w:sz w:val="24"/>
                <w:highlight w:val="none"/>
              </w:rPr>
              <w:t>服务期内，提供维护；</w:t>
            </w:r>
          </w:p>
        </w:tc>
      </w:tr>
      <w:tr w14:paraId="57A0CD9D">
        <w:tblPrEx>
          <w:tblCellMar>
            <w:top w:w="0" w:type="dxa"/>
            <w:left w:w="108" w:type="dxa"/>
            <w:bottom w:w="0" w:type="dxa"/>
            <w:right w:w="108" w:type="dxa"/>
          </w:tblCellMar>
        </w:tblPrEx>
        <w:trPr>
          <w:trHeight w:val="312"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60322899">
            <w:pPr>
              <w:widowControl/>
              <w:adjustRightInd/>
              <w:jc w:val="center"/>
              <w:rPr>
                <w:rFonts w:ascii="宋体" w:hAnsi="宋体" w:cs="宋体"/>
                <w:kern w:val="0"/>
                <w:sz w:val="24"/>
                <w:highlight w:val="none"/>
              </w:rPr>
            </w:pPr>
            <w:r>
              <w:rPr>
                <w:rFonts w:ascii="宋体" w:hAnsi="宋体" w:cs="宋体"/>
                <w:kern w:val="0"/>
                <w:sz w:val="24"/>
                <w:highlight w:val="none"/>
              </w:rPr>
              <w:t>130</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4F29392D">
            <w:pPr>
              <w:widowControl/>
              <w:adjustRightInd/>
              <w:jc w:val="left"/>
              <w:rPr>
                <w:rFonts w:ascii="宋体" w:hAnsi="宋体" w:cs="宋体"/>
                <w:kern w:val="0"/>
                <w:sz w:val="24"/>
                <w:szCs w:val="20"/>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4C3A4C9A">
            <w:pPr>
              <w:widowControl/>
              <w:adjustRightInd/>
              <w:jc w:val="left"/>
              <w:rPr>
                <w:rFonts w:ascii="宋体" w:hAnsi="宋体" w:cs="宋体"/>
                <w:kern w:val="0"/>
                <w:sz w:val="24"/>
                <w:highlight w:val="none"/>
              </w:rPr>
            </w:pPr>
            <w:r>
              <w:rPr>
                <w:rFonts w:hint="eastAsia" w:ascii="宋体" w:hAnsi="宋体" w:cs="宋体"/>
                <w:kern w:val="0"/>
                <w:sz w:val="24"/>
                <w:highlight w:val="none"/>
              </w:rPr>
              <w:t>▲售后服务最小保障期</w:t>
            </w:r>
          </w:p>
        </w:tc>
        <w:tc>
          <w:tcPr>
            <w:tcW w:w="3959" w:type="dxa"/>
            <w:tcBorders>
              <w:top w:val="nil"/>
              <w:left w:val="nil"/>
              <w:bottom w:val="single" w:color="auto" w:sz="4" w:space="0"/>
              <w:right w:val="single" w:color="auto" w:sz="4" w:space="0"/>
            </w:tcBorders>
            <w:shd w:val="clear" w:color="000000" w:fill="FFFFFF"/>
            <w:vAlign w:val="center"/>
          </w:tcPr>
          <w:p w14:paraId="10C951B9">
            <w:pPr>
              <w:widowControl/>
              <w:adjustRightInd/>
              <w:jc w:val="left"/>
              <w:rPr>
                <w:rFonts w:ascii="宋体" w:hAnsi="宋体" w:cs="宋体"/>
                <w:kern w:val="0"/>
                <w:sz w:val="24"/>
                <w:highlight w:val="none"/>
              </w:rPr>
            </w:pPr>
            <w:r>
              <w:rPr>
                <w:rFonts w:hint="eastAsia" w:ascii="宋体" w:hAnsi="宋体" w:cs="宋体"/>
                <w:kern w:val="0"/>
                <w:sz w:val="24"/>
                <w:highlight w:val="none"/>
              </w:rPr>
              <w:t>服务期内，提供维护；</w:t>
            </w:r>
          </w:p>
        </w:tc>
      </w:tr>
      <w:tr w14:paraId="4594068F">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3905DEDE">
            <w:pPr>
              <w:widowControl/>
              <w:adjustRightInd/>
              <w:jc w:val="center"/>
              <w:rPr>
                <w:rFonts w:ascii="宋体" w:hAnsi="宋体" w:cs="宋体"/>
                <w:kern w:val="0"/>
                <w:sz w:val="24"/>
                <w:highlight w:val="none"/>
              </w:rPr>
            </w:pPr>
            <w:r>
              <w:rPr>
                <w:rFonts w:ascii="宋体" w:hAnsi="宋体" w:cs="宋体"/>
                <w:kern w:val="0"/>
                <w:sz w:val="24"/>
                <w:highlight w:val="none"/>
              </w:rPr>
              <w:t>131</w:t>
            </w:r>
          </w:p>
        </w:tc>
        <w:tc>
          <w:tcPr>
            <w:tcW w:w="1306" w:type="dxa"/>
            <w:vMerge w:val="restart"/>
            <w:tcBorders>
              <w:top w:val="nil"/>
              <w:left w:val="single" w:color="auto" w:sz="4" w:space="0"/>
              <w:bottom w:val="single" w:color="000000" w:sz="4" w:space="0"/>
              <w:right w:val="single" w:color="auto" w:sz="4" w:space="0"/>
            </w:tcBorders>
            <w:shd w:val="clear" w:color="000000" w:fill="FFFFFF"/>
            <w:vAlign w:val="center"/>
          </w:tcPr>
          <w:p w14:paraId="204FFD9E">
            <w:pPr>
              <w:widowControl/>
              <w:adjustRightInd/>
              <w:jc w:val="left"/>
              <w:rPr>
                <w:rFonts w:ascii="宋体" w:hAnsi="宋体" w:cs="宋体"/>
                <w:kern w:val="0"/>
                <w:sz w:val="24"/>
                <w:highlight w:val="none"/>
              </w:rPr>
            </w:pPr>
            <w:r>
              <w:rPr>
                <w:rFonts w:hint="eastAsia" w:ascii="宋体" w:hAnsi="宋体" w:cs="宋体"/>
                <w:kern w:val="0"/>
                <w:sz w:val="24"/>
                <w:highlight w:val="none"/>
              </w:rPr>
              <w:t>▲售后服务</w:t>
            </w:r>
          </w:p>
        </w:tc>
        <w:tc>
          <w:tcPr>
            <w:tcW w:w="3150" w:type="dxa"/>
            <w:tcBorders>
              <w:top w:val="nil"/>
              <w:left w:val="nil"/>
              <w:bottom w:val="single" w:color="auto" w:sz="4" w:space="0"/>
              <w:right w:val="single" w:color="auto" w:sz="4" w:space="0"/>
            </w:tcBorders>
            <w:shd w:val="clear" w:color="000000" w:fill="FFFFFF"/>
            <w:vAlign w:val="center"/>
          </w:tcPr>
          <w:p w14:paraId="5B1726DF">
            <w:pPr>
              <w:widowControl/>
              <w:adjustRightInd/>
              <w:jc w:val="left"/>
              <w:rPr>
                <w:rFonts w:ascii="宋体" w:hAnsi="宋体" w:cs="宋体"/>
                <w:kern w:val="0"/>
                <w:sz w:val="24"/>
                <w:highlight w:val="none"/>
              </w:rPr>
            </w:pPr>
            <w:r>
              <w:rPr>
                <w:rFonts w:hint="eastAsia" w:ascii="宋体" w:hAnsi="宋体" w:cs="宋体"/>
                <w:kern w:val="0"/>
                <w:sz w:val="24"/>
                <w:highlight w:val="none"/>
              </w:rPr>
              <w:t>▲原厂服务</w:t>
            </w:r>
          </w:p>
        </w:tc>
        <w:tc>
          <w:tcPr>
            <w:tcW w:w="3959" w:type="dxa"/>
            <w:tcBorders>
              <w:top w:val="nil"/>
              <w:left w:val="nil"/>
              <w:bottom w:val="single" w:color="auto" w:sz="4" w:space="0"/>
              <w:right w:val="single" w:color="auto" w:sz="4" w:space="0"/>
            </w:tcBorders>
            <w:shd w:val="clear" w:color="000000" w:fill="FFFFFF"/>
            <w:vAlign w:val="center"/>
          </w:tcPr>
          <w:p w14:paraId="6D126A80">
            <w:pPr>
              <w:widowControl/>
              <w:adjustRightInd/>
              <w:jc w:val="left"/>
              <w:rPr>
                <w:rFonts w:ascii="宋体" w:hAnsi="宋体" w:cs="宋体"/>
                <w:kern w:val="0"/>
                <w:sz w:val="24"/>
                <w:highlight w:val="none"/>
              </w:rPr>
            </w:pPr>
            <w:r>
              <w:rPr>
                <w:rFonts w:hint="eastAsia" w:ascii="宋体" w:hAnsi="宋体" w:cs="宋体"/>
                <w:kern w:val="0"/>
                <w:sz w:val="24"/>
                <w:highlight w:val="none"/>
              </w:rPr>
              <w:t>服务由操作系统厂商的正式员工提供，不由代理商提供</w:t>
            </w:r>
          </w:p>
        </w:tc>
      </w:tr>
      <w:tr w14:paraId="61D5C844">
        <w:tblPrEx>
          <w:tblCellMar>
            <w:top w:w="0" w:type="dxa"/>
            <w:left w:w="108" w:type="dxa"/>
            <w:bottom w:w="0" w:type="dxa"/>
            <w:right w:w="108" w:type="dxa"/>
          </w:tblCellMar>
        </w:tblPrEx>
        <w:trPr>
          <w:trHeight w:val="936"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351691DF">
            <w:pPr>
              <w:widowControl/>
              <w:adjustRightInd/>
              <w:jc w:val="center"/>
              <w:rPr>
                <w:rFonts w:ascii="宋体" w:hAnsi="宋体" w:cs="宋体"/>
                <w:kern w:val="0"/>
                <w:sz w:val="24"/>
                <w:highlight w:val="none"/>
              </w:rPr>
            </w:pPr>
            <w:r>
              <w:rPr>
                <w:rFonts w:ascii="宋体" w:hAnsi="宋体" w:cs="宋体"/>
                <w:kern w:val="0"/>
                <w:sz w:val="24"/>
                <w:highlight w:val="none"/>
              </w:rPr>
              <w:t>132</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54B24D53">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36271307">
            <w:pPr>
              <w:widowControl/>
              <w:adjustRightInd/>
              <w:jc w:val="left"/>
              <w:rPr>
                <w:rFonts w:ascii="宋体" w:hAnsi="宋体" w:cs="宋体"/>
                <w:kern w:val="0"/>
                <w:sz w:val="24"/>
                <w:highlight w:val="none"/>
              </w:rPr>
            </w:pPr>
            <w:r>
              <w:rPr>
                <w:rFonts w:hint="eastAsia" w:ascii="宋体" w:hAnsi="宋体" w:cs="宋体"/>
                <w:kern w:val="0"/>
                <w:sz w:val="24"/>
                <w:highlight w:val="none"/>
              </w:rPr>
              <w:t>▲服务热线电话</w:t>
            </w:r>
          </w:p>
        </w:tc>
        <w:tc>
          <w:tcPr>
            <w:tcW w:w="3959" w:type="dxa"/>
            <w:tcBorders>
              <w:top w:val="nil"/>
              <w:left w:val="nil"/>
              <w:bottom w:val="single" w:color="auto" w:sz="4" w:space="0"/>
              <w:right w:val="single" w:color="auto" w:sz="4" w:space="0"/>
            </w:tcBorders>
            <w:shd w:val="clear" w:color="000000" w:fill="FFFFFF"/>
            <w:vAlign w:val="center"/>
          </w:tcPr>
          <w:p w14:paraId="18CDB5D3">
            <w:pPr>
              <w:widowControl/>
              <w:adjustRightInd/>
              <w:jc w:val="left"/>
              <w:rPr>
                <w:rFonts w:ascii="宋体" w:hAnsi="宋体" w:cs="宋体"/>
                <w:kern w:val="0"/>
                <w:sz w:val="24"/>
                <w:highlight w:val="none"/>
              </w:rPr>
            </w:pPr>
            <w:r>
              <w:rPr>
                <w:rFonts w:hint="eastAsia" w:ascii="宋体" w:hAnsi="宋体" w:cs="宋体"/>
                <w:kern w:val="0"/>
                <w:sz w:val="24"/>
                <w:highlight w:val="none"/>
              </w:rPr>
              <w:t>操作系统厂商为最终用户提供工作日，每日不少于</w:t>
            </w:r>
            <w:r>
              <w:rPr>
                <w:rFonts w:ascii="宋体" w:hAnsi="宋体" w:cs="宋体"/>
                <w:kern w:val="0"/>
                <w:sz w:val="24"/>
                <w:highlight w:val="none"/>
              </w:rPr>
              <w:t>8h（覆盖一般工作时间，具体时间由企业标准给出）中文技术服务热线</w:t>
            </w:r>
          </w:p>
        </w:tc>
      </w:tr>
      <w:tr w14:paraId="39C58423">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0AAB7F72">
            <w:pPr>
              <w:widowControl/>
              <w:adjustRightInd/>
              <w:jc w:val="center"/>
              <w:rPr>
                <w:rFonts w:ascii="宋体" w:hAnsi="宋体" w:cs="宋体"/>
                <w:kern w:val="0"/>
                <w:sz w:val="24"/>
                <w:highlight w:val="none"/>
              </w:rPr>
            </w:pPr>
            <w:r>
              <w:rPr>
                <w:rFonts w:ascii="宋体" w:hAnsi="宋体" w:cs="宋体"/>
                <w:kern w:val="0"/>
                <w:sz w:val="24"/>
                <w:highlight w:val="none"/>
              </w:rPr>
              <w:t>133</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72E3C092">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64D202EE">
            <w:pPr>
              <w:widowControl/>
              <w:adjustRightInd/>
              <w:jc w:val="left"/>
              <w:rPr>
                <w:rFonts w:ascii="宋体" w:hAnsi="宋体" w:cs="宋体"/>
                <w:kern w:val="0"/>
                <w:sz w:val="24"/>
                <w:highlight w:val="none"/>
              </w:rPr>
            </w:pPr>
            <w:r>
              <w:rPr>
                <w:rFonts w:hint="eastAsia" w:ascii="宋体" w:hAnsi="宋体" w:cs="宋体"/>
                <w:kern w:val="0"/>
                <w:sz w:val="24"/>
                <w:highlight w:val="none"/>
              </w:rPr>
              <w:t>▲技术服务标准</w:t>
            </w:r>
          </w:p>
        </w:tc>
        <w:tc>
          <w:tcPr>
            <w:tcW w:w="3959" w:type="dxa"/>
            <w:tcBorders>
              <w:top w:val="nil"/>
              <w:left w:val="nil"/>
              <w:bottom w:val="single" w:color="auto" w:sz="4" w:space="0"/>
              <w:right w:val="single" w:color="auto" w:sz="4" w:space="0"/>
            </w:tcBorders>
            <w:shd w:val="clear" w:color="000000" w:fill="FFFFFF"/>
            <w:vAlign w:val="center"/>
          </w:tcPr>
          <w:p w14:paraId="24C05B6F">
            <w:pPr>
              <w:widowControl/>
              <w:adjustRightInd/>
              <w:jc w:val="left"/>
              <w:rPr>
                <w:rFonts w:ascii="宋体" w:hAnsi="宋体" w:cs="宋体"/>
                <w:kern w:val="0"/>
                <w:sz w:val="24"/>
                <w:highlight w:val="none"/>
              </w:rPr>
            </w:pPr>
            <w:r>
              <w:rPr>
                <w:rFonts w:hint="eastAsia" w:ascii="宋体" w:hAnsi="宋体" w:cs="宋体"/>
                <w:kern w:val="0"/>
                <w:sz w:val="24"/>
                <w:highlight w:val="none"/>
              </w:rPr>
              <w:t>操作系统厂商提供工作日每日不少于</w:t>
            </w:r>
            <w:r>
              <w:rPr>
                <w:rFonts w:ascii="宋体" w:hAnsi="宋体" w:cs="宋体"/>
                <w:kern w:val="0"/>
                <w:sz w:val="24"/>
                <w:highlight w:val="none"/>
              </w:rPr>
              <w:t>8h技术支持服务</w:t>
            </w:r>
          </w:p>
        </w:tc>
      </w:tr>
      <w:tr w14:paraId="3CED5331">
        <w:tblPrEx>
          <w:tblCellMar>
            <w:top w:w="0" w:type="dxa"/>
            <w:left w:w="108" w:type="dxa"/>
            <w:bottom w:w="0" w:type="dxa"/>
            <w:right w:w="108" w:type="dxa"/>
          </w:tblCellMar>
        </w:tblPrEx>
        <w:trPr>
          <w:trHeight w:val="936"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537D1A26">
            <w:pPr>
              <w:widowControl/>
              <w:adjustRightInd/>
              <w:jc w:val="center"/>
              <w:rPr>
                <w:rFonts w:ascii="宋体" w:hAnsi="宋体" w:cs="宋体"/>
                <w:kern w:val="0"/>
                <w:sz w:val="24"/>
                <w:highlight w:val="none"/>
              </w:rPr>
            </w:pPr>
            <w:r>
              <w:rPr>
                <w:rFonts w:ascii="宋体" w:hAnsi="宋体" w:cs="宋体"/>
                <w:kern w:val="0"/>
                <w:sz w:val="24"/>
                <w:highlight w:val="none"/>
              </w:rPr>
              <w:t>134</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57C1055F">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542092EA">
            <w:pPr>
              <w:widowControl/>
              <w:adjustRightInd/>
              <w:jc w:val="left"/>
              <w:rPr>
                <w:rFonts w:ascii="宋体" w:hAnsi="宋体" w:cs="宋体"/>
                <w:kern w:val="0"/>
                <w:sz w:val="24"/>
                <w:highlight w:val="none"/>
              </w:rPr>
            </w:pPr>
            <w:r>
              <w:rPr>
                <w:rFonts w:hint="eastAsia" w:ascii="宋体" w:hAnsi="宋体" w:cs="宋体"/>
                <w:kern w:val="0"/>
                <w:sz w:val="24"/>
                <w:highlight w:val="none"/>
              </w:rPr>
              <w:t>▲技术服务时效</w:t>
            </w:r>
          </w:p>
        </w:tc>
        <w:tc>
          <w:tcPr>
            <w:tcW w:w="3959" w:type="dxa"/>
            <w:tcBorders>
              <w:top w:val="nil"/>
              <w:left w:val="nil"/>
              <w:bottom w:val="single" w:color="auto" w:sz="4" w:space="0"/>
              <w:right w:val="single" w:color="auto" w:sz="4" w:space="0"/>
            </w:tcBorders>
            <w:shd w:val="clear" w:color="000000" w:fill="FFFFFF"/>
            <w:vAlign w:val="center"/>
          </w:tcPr>
          <w:p w14:paraId="0563392C">
            <w:pPr>
              <w:widowControl/>
              <w:adjustRightInd/>
              <w:jc w:val="left"/>
              <w:rPr>
                <w:rFonts w:ascii="宋体" w:hAnsi="宋体" w:cs="宋体"/>
                <w:kern w:val="0"/>
                <w:sz w:val="24"/>
                <w:highlight w:val="none"/>
              </w:rPr>
            </w:pPr>
            <w:r>
              <w:rPr>
                <w:rFonts w:hint="eastAsia" w:ascii="宋体" w:hAnsi="宋体" w:cs="宋体"/>
                <w:kern w:val="0"/>
                <w:sz w:val="24"/>
                <w:highlight w:val="none"/>
              </w:rPr>
              <w:t>操作系统厂商满足同城</w:t>
            </w:r>
            <w:r>
              <w:rPr>
                <w:rFonts w:ascii="宋体" w:hAnsi="宋体" w:cs="宋体"/>
                <w:kern w:val="0"/>
                <w:sz w:val="24"/>
                <w:highlight w:val="none"/>
              </w:rPr>
              <w:t>4h、异地12h响要求，两个工作日解决问题，对于未能解决的问题和故障提供可行的升级方案</w:t>
            </w:r>
          </w:p>
        </w:tc>
      </w:tr>
      <w:tr w14:paraId="6FECD874">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240C8436">
            <w:pPr>
              <w:widowControl/>
              <w:adjustRightInd/>
              <w:jc w:val="center"/>
              <w:rPr>
                <w:rFonts w:ascii="宋体" w:hAnsi="宋体" w:cs="宋体"/>
                <w:kern w:val="0"/>
                <w:sz w:val="24"/>
                <w:highlight w:val="none"/>
              </w:rPr>
            </w:pPr>
            <w:r>
              <w:rPr>
                <w:rFonts w:ascii="宋体" w:hAnsi="宋体" w:cs="宋体"/>
                <w:kern w:val="0"/>
                <w:sz w:val="24"/>
                <w:highlight w:val="none"/>
              </w:rPr>
              <w:t>135</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47D7E102">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522A07FC">
            <w:pPr>
              <w:widowControl/>
              <w:adjustRightInd/>
              <w:jc w:val="left"/>
              <w:rPr>
                <w:rFonts w:ascii="宋体" w:hAnsi="宋体" w:cs="宋体"/>
                <w:kern w:val="0"/>
                <w:sz w:val="24"/>
                <w:highlight w:val="none"/>
              </w:rPr>
            </w:pPr>
            <w:r>
              <w:rPr>
                <w:rFonts w:hint="eastAsia" w:ascii="宋体" w:hAnsi="宋体" w:cs="宋体"/>
                <w:kern w:val="0"/>
                <w:sz w:val="24"/>
                <w:highlight w:val="none"/>
              </w:rPr>
              <w:t>▲技术服务保障</w:t>
            </w:r>
          </w:p>
        </w:tc>
        <w:tc>
          <w:tcPr>
            <w:tcW w:w="3959" w:type="dxa"/>
            <w:tcBorders>
              <w:top w:val="nil"/>
              <w:left w:val="nil"/>
              <w:bottom w:val="single" w:color="auto" w:sz="4" w:space="0"/>
              <w:right w:val="single" w:color="auto" w:sz="4" w:space="0"/>
            </w:tcBorders>
            <w:shd w:val="clear" w:color="000000" w:fill="FFFFFF"/>
            <w:vAlign w:val="center"/>
          </w:tcPr>
          <w:p w14:paraId="1F68B17C">
            <w:pPr>
              <w:widowControl/>
              <w:adjustRightInd/>
              <w:jc w:val="left"/>
              <w:rPr>
                <w:rFonts w:ascii="宋体" w:hAnsi="宋体" w:cs="宋体"/>
                <w:kern w:val="0"/>
                <w:sz w:val="24"/>
                <w:highlight w:val="none"/>
              </w:rPr>
            </w:pPr>
            <w:r>
              <w:rPr>
                <w:rFonts w:hint="eastAsia" w:ascii="宋体" w:hAnsi="宋体" w:cs="宋体"/>
                <w:kern w:val="0"/>
                <w:sz w:val="24"/>
                <w:highlight w:val="none"/>
              </w:rPr>
              <w:t>发生非人为因素故障，在七日内由操作系统厂商原厂人员对产品进行补充或更换</w:t>
            </w:r>
          </w:p>
        </w:tc>
      </w:tr>
      <w:tr w14:paraId="51DD1A0C">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41992A75">
            <w:pPr>
              <w:widowControl/>
              <w:adjustRightInd/>
              <w:jc w:val="center"/>
              <w:rPr>
                <w:rFonts w:ascii="宋体" w:hAnsi="宋体" w:cs="宋体"/>
                <w:kern w:val="0"/>
                <w:sz w:val="24"/>
                <w:highlight w:val="none"/>
              </w:rPr>
            </w:pPr>
            <w:r>
              <w:rPr>
                <w:rFonts w:ascii="宋体" w:hAnsi="宋体" w:cs="宋体"/>
                <w:kern w:val="0"/>
                <w:sz w:val="24"/>
                <w:highlight w:val="none"/>
              </w:rPr>
              <w:t>136</w:t>
            </w:r>
          </w:p>
        </w:tc>
        <w:tc>
          <w:tcPr>
            <w:tcW w:w="1306" w:type="dxa"/>
            <w:vMerge w:val="restart"/>
            <w:tcBorders>
              <w:top w:val="nil"/>
              <w:left w:val="single" w:color="auto" w:sz="4" w:space="0"/>
              <w:bottom w:val="single" w:color="000000" w:sz="4" w:space="0"/>
              <w:right w:val="single" w:color="auto" w:sz="4" w:space="0"/>
            </w:tcBorders>
            <w:shd w:val="clear" w:color="000000" w:fill="FFFFFF"/>
            <w:vAlign w:val="center"/>
          </w:tcPr>
          <w:p w14:paraId="55875E14">
            <w:pPr>
              <w:widowControl/>
              <w:adjustRightInd/>
              <w:jc w:val="left"/>
              <w:rPr>
                <w:rFonts w:ascii="宋体" w:hAnsi="宋体" w:cs="宋体"/>
                <w:kern w:val="0"/>
                <w:sz w:val="24"/>
                <w:highlight w:val="none"/>
              </w:rPr>
            </w:pPr>
            <w:r>
              <w:rPr>
                <w:rFonts w:hint="eastAsia" w:ascii="宋体" w:hAnsi="宋体" w:cs="宋体"/>
                <w:kern w:val="0"/>
                <w:sz w:val="24"/>
                <w:highlight w:val="none"/>
              </w:rPr>
              <w:t>▲现场交付与安装调试</w:t>
            </w:r>
          </w:p>
        </w:tc>
        <w:tc>
          <w:tcPr>
            <w:tcW w:w="3150" w:type="dxa"/>
            <w:tcBorders>
              <w:top w:val="nil"/>
              <w:left w:val="nil"/>
              <w:bottom w:val="single" w:color="auto" w:sz="4" w:space="0"/>
              <w:right w:val="single" w:color="auto" w:sz="4" w:space="0"/>
            </w:tcBorders>
            <w:shd w:val="clear" w:color="000000" w:fill="FFFFFF"/>
            <w:vAlign w:val="center"/>
          </w:tcPr>
          <w:p w14:paraId="4C58D96E">
            <w:pPr>
              <w:widowControl/>
              <w:adjustRightInd/>
              <w:jc w:val="left"/>
              <w:rPr>
                <w:rFonts w:ascii="宋体" w:hAnsi="宋体" w:cs="宋体"/>
                <w:kern w:val="0"/>
                <w:sz w:val="24"/>
                <w:highlight w:val="none"/>
              </w:rPr>
            </w:pPr>
            <w:r>
              <w:rPr>
                <w:rFonts w:hint="eastAsia" w:ascii="宋体" w:hAnsi="宋体" w:cs="宋体"/>
                <w:kern w:val="0"/>
                <w:sz w:val="24"/>
                <w:highlight w:val="none"/>
              </w:rPr>
              <w:t>▲现场安装调试</w:t>
            </w:r>
          </w:p>
        </w:tc>
        <w:tc>
          <w:tcPr>
            <w:tcW w:w="3959" w:type="dxa"/>
            <w:tcBorders>
              <w:top w:val="nil"/>
              <w:left w:val="nil"/>
              <w:bottom w:val="single" w:color="auto" w:sz="4" w:space="0"/>
              <w:right w:val="single" w:color="auto" w:sz="4" w:space="0"/>
            </w:tcBorders>
            <w:shd w:val="clear" w:color="000000" w:fill="FFFFFF"/>
            <w:vAlign w:val="center"/>
          </w:tcPr>
          <w:p w14:paraId="5B4C5086">
            <w:pPr>
              <w:widowControl/>
              <w:adjustRightInd/>
              <w:jc w:val="left"/>
              <w:rPr>
                <w:rFonts w:ascii="宋体" w:hAnsi="宋体" w:cs="宋体"/>
                <w:kern w:val="0"/>
                <w:sz w:val="24"/>
                <w:highlight w:val="none"/>
              </w:rPr>
            </w:pPr>
            <w:r>
              <w:rPr>
                <w:rFonts w:hint="eastAsia" w:ascii="宋体" w:hAnsi="宋体" w:cs="宋体"/>
                <w:kern w:val="0"/>
                <w:sz w:val="24"/>
                <w:highlight w:val="none"/>
              </w:rPr>
              <w:t>操作系统厂商提供产品安装与现场调试，并提供安装与调试所需的工具和设备</w:t>
            </w:r>
          </w:p>
        </w:tc>
      </w:tr>
      <w:tr w14:paraId="39DFB7FB">
        <w:tblPrEx>
          <w:tblCellMar>
            <w:top w:w="0" w:type="dxa"/>
            <w:left w:w="108" w:type="dxa"/>
            <w:bottom w:w="0" w:type="dxa"/>
            <w:right w:w="108" w:type="dxa"/>
          </w:tblCellMar>
        </w:tblPrEx>
        <w:trPr>
          <w:trHeight w:val="936"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2235EF9B">
            <w:pPr>
              <w:widowControl/>
              <w:adjustRightInd/>
              <w:jc w:val="center"/>
              <w:rPr>
                <w:rFonts w:ascii="宋体" w:hAnsi="宋体" w:cs="宋体"/>
                <w:kern w:val="0"/>
                <w:sz w:val="24"/>
                <w:highlight w:val="none"/>
              </w:rPr>
            </w:pPr>
            <w:r>
              <w:rPr>
                <w:rFonts w:ascii="宋体" w:hAnsi="宋体" w:cs="宋体"/>
                <w:kern w:val="0"/>
                <w:sz w:val="24"/>
                <w:highlight w:val="none"/>
              </w:rPr>
              <w:t>137</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3188D3CD">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26ABE494">
            <w:pPr>
              <w:widowControl/>
              <w:adjustRightInd/>
              <w:jc w:val="left"/>
              <w:rPr>
                <w:rFonts w:ascii="宋体" w:hAnsi="宋体" w:cs="宋体"/>
                <w:kern w:val="0"/>
                <w:sz w:val="24"/>
                <w:highlight w:val="none"/>
              </w:rPr>
            </w:pPr>
            <w:r>
              <w:rPr>
                <w:rFonts w:hint="eastAsia" w:ascii="宋体" w:hAnsi="宋体" w:cs="宋体"/>
                <w:kern w:val="0"/>
                <w:sz w:val="24"/>
                <w:highlight w:val="none"/>
              </w:rPr>
              <w:t>▲配套资料</w:t>
            </w:r>
          </w:p>
        </w:tc>
        <w:tc>
          <w:tcPr>
            <w:tcW w:w="3959" w:type="dxa"/>
            <w:tcBorders>
              <w:top w:val="nil"/>
              <w:left w:val="nil"/>
              <w:bottom w:val="single" w:color="auto" w:sz="4" w:space="0"/>
              <w:right w:val="single" w:color="auto" w:sz="4" w:space="0"/>
            </w:tcBorders>
            <w:shd w:val="clear" w:color="000000" w:fill="FFFFFF"/>
            <w:vAlign w:val="center"/>
          </w:tcPr>
          <w:p w14:paraId="0BD384A7">
            <w:pPr>
              <w:widowControl/>
              <w:adjustRightInd/>
              <w:jc w:val="left"/>
              <w:rPr>
                <w:rFonts w:ascii="宋体" w:hAnsi="宋体" w:cs="宋体"/>
                <w:kern w:val="0"/>
                <w:sz w:val="24"/>
                <w:highlight w:val="none"/>
              </w:rPr>
            </w:pPr>
            <w:r>
              <w:rPr>
                <w:rFonts w:hint="eastAsia" w:ascii="宋体" w:hAnsi="宋体" w:cs="宋体"/>
                <w:kern w:val="0"/>
                <w:sz w:val="24"/>
                <w:highlight w:val="none"/>
              </w:rPr>
              <w:t>交付产品时操作系统厂商提供配套的技术资料，包括但不限于系统说明文件、用户手册（用户安装、操作、维护、故障排除）等</w:t>
            </w:r>
          </w:p>
        </w:tc>
      </w:tr>
      <w:tr w14:paraId="5C8E14DF">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1A6350E4">
            <w:pPr>
              <w:widowControl/>
              <w:adjustRightInd/>
              <w:jc w:val="center"/>
              <w:rPr>
                <w:rFonts w:ascii="宋体" w:hAnsi="宋体" w:cs="宋体"/>
                <w:kern w:val="0"/>
                <w:sz w:val="24"/>
                <w:highlight w:val="none"/>
              </w:rPr>
            </w:pPr>
            <w:r>
              <w:rPr>
                <w:rFonts w:ascii="宋体" w:hAnsi="宋体" w:cs="宋体"/>
                <w:kern w:val="0"/>
                <w:sz w:val="24"/>
                <w:highlight w:val="none"/>
              </w:rPr>
              <w:t>138</w:t>
            </w:r>
          </w:p>
        </w:tc>
        <w:tc>
          <w:tcPr>
            <w:tcW w:w="1306" w:type="dxa"/>
            <w:tcBorders>
              <w:top w:val="nil"/>
              <w:left w:val="nil"/>
              <w:bottom w:val="single" w:color="auto" w:sz="4" w:space="0"/>
              <w:right w:val="single" w:color="auto" w:sz="4" w:space="0"/>
            </w:tcBorders>
            <w:shd w:val="clear" w:color="000000" w:fill="FFFFFF"/>
            <w:vAlign w:val="center"/>
          </w:tcPr>
          <w:p w14:paraId="4F5ADF61">
            <w:pPr>
              <w:widowControl/>
              <w:adjustRightInd/>
              <w:jc w:val="left"/>
              <w:rPr>
                <w:rFonts w:ascii="宋体" w:hAnsi="宋体" w:cs="宋体"/>
                <w:kern w:val="0"/>
                <w:sz w:val="24"/>
                <w:highlight w:val="none"/>
              </w:rPr>
            </w:pPr>
            <w:r>
              <w:rPr>
                <w:rFonts w:hint="eastAsia" w:ascii="宋体" w:hAnsi="宋体" w:cs="宋体"/>
                <w:kern w:val="0"/>
                <w:sz w:val="24"/>
                <w:highlight w:val="none"/>
              </w:rPr>
              <w:t>▲系统更换</w:t>
            </w:r>
          </w:p>
        </w:tc>
        <w:tc>
          <w:tcPr>
            <w:tcW w:w="3150" w:type="dxa"/>
            <w:tcBorders>
              <w:top w:val="nil"/>
              <w:left w:val="nil"/>
              <w:bottom w:val="single" w:color="auto" w:sz="4" w:space="0"/>
              <w:right w:val="single" w:color="auto" w:sz="4" w:space="0"/>
            </w:tcBorders>
            <w:shd w:val="clear" w:color="000000" w:fill="FFFFFF"/>
            <w:vAlign w:val="center"/>
          </w:tcPr>
          <w:p w14:paraId="063C6A5A">
            <w:pPr>
              <w:widowControl/>
              <w:adjustRightInd/>
              <w:jc w:val="left"/>
              <w:rPr>
                <w:rFonts w:ascii="宋体" w:hAnsi="宋体" w:cs="宋体"/>
                <w:kern w:val="0"/>
                <w:sz w:val="24"/>
                <w:highlight w:val="none"/>
              </w:rPr>
            </w:pPr>
            <w:r>
              <w:rPr>
                <w:rFonts w:hint="eastAsia" w:ascii="宋体" w:hAnsi="宋体" w:cs="宋体"/>
                <w:kern w:val="0"/>
                <w:sz w:val="24"/>
                <w:highlight w:val="none"/>
              </w:rPr>
              <w:t>▲系统更换</w:t>
            </w:r>
          </w:p>
        </w:tc>
        <w:tc>
          <w:tcPr>
            <w:tcW w:w="3959" w:type="dxa"/>
            <w:tcBorders>
              <w:top w:val="nil"/>
              <w:left w:val="nil"/>
              <w:bottom w:val="single" w:color="auto" w:sz="4" w:space="0"/>
              <w:right w:val="single" w:color="auto" w:sz="4" w:space="0"/>
            </w:tcBorders>
            <w:shd w:val="clear" w:color="000000" w:fill="FFFFFF"/>
            <w:vAlign w:val="center"/>
          </w:tcPr>
          <w:p w14:paraId="44979092">
            <w:pPr>
              <w:widowControl/>
              <w:adjustRightInd/>
              <w:jc w:val="left"/>
              <w:rPr>
                <w:rFonts w:ascii="宋体" w:hAnsi="宋体" w:cs="宋体"/>
                <w:kern w:val="0"/>
                <w:sz w:val="24"/>
                <w:highlight w:val="none"/>
              </w:rPr>
            </w:pPr>
            <w:r>
              <w:rPr>
                <w:rFonts w:hint="eastAsia" w:ascii="宋体" w:hAnsi="宋体" w:cs="宋体"/>
                <w:kern w:val="0"/>
                <w:sz w:val="24"/>
                <w:highlight w:val="none"/>
              </w:rPr>
              <w:t>服务期内，操作系统厂商支持版本更换（注：更换后不延长服务期）</w:t>
            </w:r>
          </w:p>
        </w:tc>
      </w:tr>
      <w:tr w14:paraId="0E741883">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45A92478">
            <w:pPr>
              <w:widowControl/>
              <w:adjustRightInd/>
              <w:jc w:val="center"/>
              <w:rPr>
                <w:rFonts w:ascii="宋体" w:hAnsi="宋体" w:cs="宋体"/>
                <w:kern w:val="0"/>
                <w:sz w:val="24"/>
                <w:highlight w:val="none"/>
              </w:rPr>
            </w:pPr>
            <w:r>
              <w:rPr>
                <w:rFonts w:ascii="宋体" w:hAnsi="宋体" w:cs="宋体"/>
                <w:kern w:val="0"/>
                <w:sz w:val="24"/>
                <w:highlight w:val="none"/>
              </w:rPr>
              <w:t>139</w:t>
            </w:r>
          </w:p>
        </w:tc>
        <w:tc>
          <w:tcPr>
            <w:tcW w:w="1306" w:type="dxa"/>
            <w:tcBorders>
              <w:top w:val="nil"/>
              <w:left w:val="nil"/>
              <w:bottom w:val="single" w:color="auto" w:sz="4" w:space="0"/>
              <w:right w:val="single" w:color="auto" w:sz="4" w:space="0"/>
            </w:tcBorders>
            <w:shd w:val="clear" w:color="000000" w:fill="FFFFFF"/>
            <w:vAlign w:val="center"/>
          </w:tcPr>
          <w:p w14:paraId="1E4502B6">
            <w:pPr>
              <w:widowControl/>
              <w:adjustRightInd/>
              <w:jc w:val="left"/>
              <w:rPr>
                <w:rFonts w:ascii="宋体" w:hAnsi="宋体" w:cs="宋体"/>
                <w:kern w:val="0"/>
                <w:sz w:val="24"/>
                <w:highlight w:val="none"/>
              </w:rPr>
            </w:pPr>
            <w:r>
              <w:rPr>
                <w:rFonts w:hint="eastAsia" w:ascii="宋体" w:hAnsi="宋体" w:cs="宋体"/>
                <w:kern w:val="0"/>
                <w:sz w:val="24"/>
                <w:highlight w:val="none"/>
              </w:rPr>
              <w:t>▲厂商能力要求</w:t>
            </w:r>
          </w:p>
        </w:tc>
        <w:tc>
          <w:tcPr>
            <w:tcW w:w="3150" w:type="dxa"/>
            <w:tcBorders>
              <w:top w:val="nil"/>
              <w:left w:val="nil"/>
              <w:bottom w:val="single" w:color="auto" w:sz="4" w:space="0"/>
              <w:right w:val="single" w:color="auto" w:sz="4" w:space="0"/>
            </w:tcBorders>
            <w:shd w:val="clear" w:color="000000" w:fill="FFFFFF"/>
            <w:vAlign w:val="center"/>
          </w:tcPr>
          <w:p w14:paraId="692AB250">
            <w:pPr>
              <w:widowControl/>
              <w:adjustRightInd/>
              <w:jc w:val="left"/>
              <w:rPr>
                <w:rFonts w:ascii="宋体" w:hAnsi="宋体" w:cs="宋体"/>
                <w:kern w:val="0"/>
                <w:sz w:val="24"/>
                <w:highlight w:val="none"/>
              </w:rPr>
            </w:pPr>
            <w:r>
              <w:rPr>
                <w:rFonts w:hint="eastAsia" w:ascii="宋体" w:hAnsi="宋体" w:cs="宋体"/>
                <w:kern w:val="0"/>
                <w:sz w:val="24"/>
                <w:highlight w:val="none"/>
              </w:rPr>
              <w:t>▲服务团队</w:t>
            </w:r>
          </w:p>
        </w:tc>
        <w:tc>
          <w:tcPr>
            <w:tcW w:w="3959" w:type="dxa"/>
            <w:tcBorders>
              <w:top w:val="nil"/>
              <w:left w:val="nil"/>
              <w:bottom w:val="single" w:color="auto" w:sz="4" w:space="0"/>
              <w:right w:val="single" w:color="auto" w:sz="4" w:space="0"/>
            </w:tcBorders>
            <w:shd w:val="clear" w:color="000000" w:fill="FFFFFF"/>
            <w:vAlign w:val="center"/>
          </w:tcPr>
          <w:p w14:paraId="47D10325">
            <w:pPr>
              <w:widowControl/>
              <w:adjustRightInd/>
              <w:jc w:val="left"/>
              <w:rPr>
                <w:rFonts w:ascii="宋体" w:hAnsi="宋体" w:cs="宋体"/>
                <w:kern w:val="0"/>
                <w:sz w:val="24"/>
                <w:highlight w:val="none"/>
              </w:rPr>
            </w:pPr>
            <w:r>
              <w:rPr>
                <w:rFonts w:hint="eastAsia" w:ascii="宋体" w:hAnsi="宋体" w:cs="宋体"/>
                <w:kern w:val="0"/>
                <w:sz w:val="24"/>
                <w:highlight w:val="none"/>
              </w:rPr>
              <w:t>操作系统厂商建立全国技术服务体系和服务团队，为客户提供专业的原厂中文服务</w:t>
            </w:r>
          </w:p>
        </w:tc>
      </w:tr>
      <w:tr w14:paraId="738A008C">
        <w:tblPrEx>
          <w:tblCellMar>
            <w:top w:w="0" w:type="dxa"/>
            <w:left w:w="108" w:type="dxa"/>
            <w:bottom w:w="0" w:type="dxa"/>
            <w:right w:w="108" w:type="dxa"/>
          </w:tblCellMar>
        </w:tblPrEx>
        <w:trPr>
          <w:trHeight w:val="936"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448951CD">
            <w:pPr>
              <w:widowControl/>
              <w:adjustRightInd/>
              <w:jc w:val="center"/>
              <w:rPr>
                <w:rFonts w:ascii="宋体" w:hAnsi="宋体" w:cs="宋体"/>
                <w:kern w:val="0"/>
                <w:sz w:val="24"/>
                <w:highlight w:val="none"/>
              </w:rPr>
            </w:pPr>
            <w:r>
              <w:rPr>
                <w:rFonts w:ascii="宋体" w:hAnsi="宋体" w:cs="宋体"/>
                <w:kern w:val="0"/>
                <w:sz w:val="24"/>
                <w:highlight w:val="none"/>
              </w:rPr>
              <w:t>140</w:t>
            </w:r>
          </w:p>
        </w:tc>
        <w:tc>
          <w:tcPr>
            <w:tcW w:w="1306" w:type="dxa"/>
            <w:tcBorders>
              <w:top w:val="nil"/>
              <w:left w:val="nil"/>
              <w:bottom w:val="single" w:color="auto" w:sz="4" w:space="0"/>
              <w:right w:val="single" w:color="auto" w:sz="4" w:space="0"/>
            </w:tcBorders>
            <w:shd w:val="clear" w:color="000000" w:fill="FFFFFF"/>
            <w:vAlign w:val="center"/>
          </w:tcPr>
          <w:p w14:paraId="3D01A195">
            <w:pPr>
              <w:widowControl/>
              <w:adjustRightInd/>
              <w:jc w:val="left"/>
              <w:rPr>
                <w:rFonts w:ascii="宋体" w:hAnsi="宋体" w:cs="宋体"/>
                <w:kern w:val="0"/>
                <w:sz w:val="24"/>
                <w:highlight w:val="none"/>
              </w:rPr>
            </w:pPr>
            <w:r>
              <w:rPr>
                <w:rFonts w:hint="eastAsia" w:ascii="宋体" w:hAnsi="宋体" w:cs="宋体"/>
                <w:kern w:val="0"/>
                <w:sz w:val="24"/>
                <w:highlight w:val="none"/>
              </w:rPr>
              <w:t>▲数据安全保障</w:t>
            </w:r>
          </w:p>
        </w:tc>
        <w:tc>
          <w:tcPr>
            <w:tcW w:w="3150" w:type="dxa"/>
            <w:tcBorders>
              <w:top w:val="nil"/>
              <w:left w:val="nil"/>
              <w:bottom w:val="single" w:color="auto" w:sz="4" w:space="0"/>
              <w:right w:val="single" w:color="auto" w:sz="4" w:space="0"/>
            </w:tcBorders>
            <w:shd w:val="clear" w:color="000000" w:fill="FFFFFF"/>
            <w:vAlign w:val="center"/>
          </w:tcPr>
          <w:p w14:paraId="70812163">
            <w:pPr>
              <w:widowControl/>
              <w:adjustRightInd/>
              <w:jc w:val="left"/>
              <w:rPr>
                <w:rFonts w:ascii="宋体" w:hAnsi="宋体" w:cs="宋体"/>
                <w:kern w:val="0"/>
                <w:sz w:val="24"/>
                <w:highlight w:val="none"/>
              </w:rPr>
            </w:pPr>
            <w:r>
              <w:rPr>
                <w:rFonts w:hint="eastAsia" w:ascii="宋体" w:hAnsi="宋体" w:cs="宋体"/>
                <w:kern w:val="0"/>
                <w:sz w:val="24"/>
                <w:highlight w:val="none"/>
              </w:rPr>
              <w:t>▲数据收集安全保障</w:t>
            </w:r>
          </w:p>
        </w:tc>
        <w:tc>
          <w:tcPr>
            <w:tcW w:w="3959" w:type="dxa"/>
            <w:tcBorders>
              <w:top w:val="nil"/>
              <w:left w:val="nil"/>
              <w:bottom w:val="single" w:color="auto" w:sz="4" w:space="0"/>
              <w:right w:val="single" w:color="auto" w:sz="4" w:space="0"/>
            </w:tcBorders>
            <w:shd w:val="clear" w:color="000000" w:fill="FFFFFF"/>
            <w:vAlign w:val="center"/>
          </w:tcPr>
          <w:p w14:paraId="21AC44AD">
            <w:pPr>
              <w:widowControl/>
              <w:adjustRightInd/>
              <w:jc w:val="left"/>
              <w:rPr>
                <w:rFonts w:ascii="宋体" w:hAnsi="宋体" w:cs="宋体"/>
                <w:kern w:val="0"/>
                <w:sz w:val="24"/>
                <w:highlight w:val="none"/>
              </w:rPr>
            </w:pPr>
            <w:r>
              <w:rPr>
                <w:rFonts w:hint="eastAsia" w:ascii="宋体" w:hAnsi="宋体" w:cs="宋体"/>
                <w:kern w:val="0"/>
                <w:sz w:val="24"/>
                <w:highlight w:val="none"/>
              </w:rPr>
              <w:t>除用户授权采集的信息外不采集其他数据，相关信息采集无安全风险，相关数据存储在大陆境内</w:t>
            </w:r>
          </w:p>
        </w:tc>
      </w:tr>
      <w:tr w14:paraId="4ECF7EC0">
        <w:tblPrEx>
          <w:tblCellMar>
            <w:top w:w="0" w:type="dxa"/>
            <w:left w:w="108" w:type="dxa"/>
            <w:bottom w:w="0" w:type="dxa"/>
            <w:right w:w="108" w:type="dxa"/>
          </w:tblCellMar>
        </w:tblPrEx>
        <w:trPr>
          <w:trHeight w:val="936"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79927BE2">
            <w:pPr>
              <w:widowControl/>
              <w:adjustRightInd/>
              <w:jc w:val="center"/>
              <w:rPr>
                <w:rFonts w:ascii="宋体" w:hAnsi="宋体" w:cs="宋体"/>
                <w:kern w:val="0"/>
                <w:sz w:val="24"/>
                <w:highlight w:val="none"/>
              </w:rPr>
            </w:pPr>
            <w:r>
              <w:rPr>
                <w:rFonts w:ascii="宋体" w:hAnsi="宋体" w:cs="宋体"/>
                <w:kern w:val="0"/>
                <w:sz w:val="24"/>
                <w:highlight w:val="none"/>
              </w:rPr>
              <w:t>141</w:t>
            </w:r>
          </w:p>
        </w:tc>
        <w:tc>
          <w:tcPr>
            <w:tcW w:w="1306" w:type="dxa"/>
            <w:tcBorders>
              <w:top w:val="nil"/>
              <w:left w:val="nil"/>
              <w:bottom w:val="single" w:color="auto" w:sz="4" w:space="0"/>
              <w:right w:val="single" w:color="auto" w:sz="4" w:space="0"/>
            </w:tcBorders>
            <w:shd w:val="clear" w:color="000000" w:fill="FFFFFF"/>
            <w:vAlign w:val="center"/>
          </w:tcPr>
          <w:p w14:paraId="2F8FDDAC">
            <w:pPr>
              <w:widowControl/>
              <w:adjustRightInd/>
              <w:jc w:val="left"/>
              <w:rPr>
                <w:rFonts w:ascii="宋体" w:hAnsi="宋体" w:cs="宋体"/>
                <w:kern w:val="0"/>
                <w:sz w:val="24"/>
                <w:highlight w:val="none"/>
              </w:rPr>
            </w:pPr>
            <w:r>
              <w:rPr>
                <w:rFonts w:hint="eastAsia" w:ascii="宋体" w:hAnsi="宋体" w:cs="宋体"/>
                <w:kern w:val="0"/>
                <w:sz w:val="24"/>
                <w:highlight w:val="none"/>
              </w:rPr>
              <w:t>▲数据安全保障</w:t>
            </w:r>
          </w:p>
        </w:tc>
        <w:tc>
          <w:tcPr>
            <w:tcW w:w="3150" w:type="dxa"/>
            <w:tcBorders>
              <w:top w:val="nil"/>
              <w:left w:val="nil"/>
              <w:bottom w:val="single" w:color="auto" w:sz="4" w:space="0"/>
              <w:right w:val="single" w:color="auto" w:sz="4" w:space="0"/>
            </w:tcBorders>
            <w:shd w:val="clear" w:color="000000" w:fill="FFFFFF"/>
            <w:vAlign w:val="center"/>
          </w:tcPr>
          <w:p w14:paraId="5A839DA6">
            <w:pPr>
              <w:widowControl/>
              <w:adjustRightInd/>
              <w:jc w:val="left"/>
              <w:rPr>
                <w:rFonts w:ascii="宋体" w:hAnsi="宋体" w:cs="宋体"/>
                <w:kern w:val="0"/>
                <w:sz w:val="24"/>
                <w:highlight w:val="none"/>
              </w:rPr>
            </w:pPr>
            <w:r>
              <w:rPr>
                <w:rFonts w:hint="eastAsia" w:ascii="宋体" w:hAnsi="宋体" w:cs="宋体"/>
                <w:kern w:val="0"/>
                <w:sz w:val="24"/>
                <w:highlight w:val="none"/>
              </w:rPr>
              <w:t>▲数据供给安全保障</w:t>
            </w:r>
          </w:p>
        </w:tc>
        <w:tc>
          <w:tcPr>
            <w:tcW w:w="3959" w:type="dxa"/>
            <w:tcBorders>
              <w:top w:val="nil"/>
              <w:left w:val="nil"/>
              <w:bottom w:val="single" w:color="auto" w:sz="4" w:space="0"/>
              <w:right w:val="single" w:color="auto" w:sz="4" w:space="0"/>
            </w:tcBorders>
            <w:shd w:val="clear" w:color="000000" w:fill="FFFFFF"/>
            <w:vAlign w:val="center"/>
          </w:tcPr>
          <w:p w14:paraId="091676A6">
            <w:pPr>
              <w:widowControl/>
              <w:adjustRightInd/>
              <w:jc w:val="left"/>
              <w:rPr>
                <w:rFonts w:ascii="宋体" w:hAnsi="宋体" w:cs="宋体"/>
                <w:kern w:val="0"/>
                <w:sz w:val="24"/>
                <w:highlight w:val="none"/>
              </w:rPr>
            </w:pPr>
            <w:r>
              <w:rPr>
                <w:rFonts w:hint="eastAsia" w:ascii="宋体" w:hAnsi="宋体" w:cs="宋体"/>
                <w:kern w:val="0"/>
                <w:sz w:val="24"/>
                <w:highlight w:val="none"/>
              </w:rPr>
              <w:t>涉及数据下载的线上服务物理服务器不出境，包括代码仓库、系统补丁、安全补丁、服务网站等</w:t>
            </w:r>
          </w:p>
        </w:tc>
      </w:tr>
      <w:tr w14:paraId="40D0C15F">
        <w:tblPrEx>
          <w:tblCellMar>
            <w:top w:w="0" w:type="dxa"/>
            <w:left w:w="108" w:type="dxa"/>
            <w:bottom w:w="0" w:type="dxa"/>
            <w:right w:w="108" w:type="dxa"/>
          </w:tblCellMar>
        </w:tblPrEx>
        <w:trPr>
          <w:trHeight w:val="1248"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14DF2200">
            <w:pPr>
              <w:widowControl/>
              <w:adjustRightInd/>
              <w:jc w:val="center"/>
              <w:rPr>
                <w:rFonts w:ascii="宋体" w:hAnsi="宋体" w:cs="宋体"/>
                <w:kern w:val="0"/>
                <w:sz w:val="24"/>
                <w:highlight w:val="none"/>
              </w:rPr>
            </w:pPr>
            <w:r>
              <w:rPr>
                <w:rFonts w:ascii="宋体" w:hAnsi="宋体" w:cs="宋体"/>
                <w:kern w:val="0"/>
                <w:sz w:val="24"/>
                <w:highlight w:val="none"/>
              </w:rPr>
              <w:t>142</w:t>
            </w:r>
          </w:p>
        </w:tc>
        <w:tc>
          <w:tcPr>
            <w:tcW w:w="1306" w:type="dxa"/>
            <w:tcBorders>
              <w:top w:val="nil"/>
              <w:left w:val="nil"/>
              <w:bottom w:val="single" w:color="auto" w:sz="4" w:space="0"/>
              <w:right w:val="single" w:color="auto" w:sz="4" w:space="0"/>
            </w:tcBorders>
            <w:shd w:val="clear" w:color="000000" w:fill="FFFFFF"/>
            <w:vAlign w:val="center"/>
          </w:tcPr>
          <w:p w14:paraId="2E43A419">
            <w:pPr>
              <w:widowControl/>
              <w:adjustRightInd/>
              <w:jc w:val="left"/>
              <w:rPr>
                <w:rFonts w:ascii="宋体" w:hAnsi="宋体" w:cs="宋体"/>
                <w:kern w:val="0"/>
                <w:sz w:val="24"/>
                <w:highlight w:val="none"/>
              </w:rPr>
            </w:pPr>
            <w:r>
              <w:rPr>
                <w:rFonts w:hint="eastAsia" w:ascii="宋体" w:hAnsi="宋体" w:cs="宋体"/>
                <w:kern w:val="0"/>
                <w:sz w:val="24"/>
                <w:highlight w:val="none"/>
              </w:rPr>
              <w:t>▲代码无风险</w:t>
            </w:r>
          </w:p>
        </w:tc>
        <w:tc>
          <w:tcPr>
            <w:tcW w:w="3150" w:type="dxa"/>
            <w:tcBorders>
              <w:top w:val="nil"/>
              <w:left w:val="nil"/>
              <w:bottom w:val="single" w:color="auto" w:sz="4" w:space="0"/>
              <w:right w:val="single" w:color="auto" w:sz="4" w:space="0"/>
            </w:tcBorders>
            <w:shd w:val="clear" w:color="000000" w:fill="FFFFFF"/>
            <w:vAlign w:val="center"/>
          </w:tcPr>
          <w:p w14:paraId="12E4D945">
            <w:pPr>
              <w:widowControl/>
              <w:adjustRightInd/>
              <w:jc w:val="left"/>
              <w:rPr>
                <w:rFonts w:ascii="宋体" w:hAnsi="宋体" w:cs="宋体"/>
                <w:kern w:val="0"/>
                <w:sz w:val="24"/>
                <w:highlight w:val="none"/>
              </w:rPr>
            </w:pPr>
            <w:r>
              <w:rPr>
                <w:rFonts w:hint="eastAsia" w:ascii="宋体" w:hAnsi="宋体" w:cs="宋体"/>
                <w:kern w:val="0"/>
                <w:sz w:val="24"/>
                <w:highlight w:val="none"/>
              </w:rPr>
              <w:t>▲代码无风险</w:t>
            </w:r>
          </w:p>
        </w:tc>
        <w:tc>
          <w:tcPr>
            <w:tcW w:w="3959" w:type="dxa"/>
            <w:tcBorders>
              <w:top w:val="nil"/>
              <w:left w:val="nil"/>
              <w:bottom w:val="single" w:color="auto" w:sz="4" w:space="0"/>
              <w:right w:val="single" w:color="auto" w:sz="4" w:space="0"/>
            </w:tcBorders>
            <w:shd w:val="clear" w:color="000000" w:fill="FFFFFF"/>
            <w:vAlign w:val="center"/>
          </w:tcPr>
          <w:p w14:paraId="4FEE3CEA">
            <w:pPr>
              <w:widowControl/>
              <w:adjustRightInd/>
              <w:jc w:val="left"/>
              <w:rPr>
                <w:rFonts w:ascii="宋体" w:hAnsi="宋体" w:cs="宋体"/>
                <w:kern w:val="0"/>
                <w:sz w:val="24"/>
                <w:highlight w:val="none"/>
              </w:rPr>
            </w:pPr>
            <w:r>
              <w:rPr>
                <w:rFonts w:hint="eastAsia" w:ascii="宋体" w:hAnsi="宋体" w:cs="宋体"/>
                <w:kern w:val="0"/>
                <w:sz w:val="24"/>
                <w:highlight w:val="none"/>
              </w:rPr>
              <w:t>操作系统厂商提供源代码，源代码可供第三方机构审查，开源许可合规，代码知识产权无风险，无恶意安全漏洞或后门，代码可追溯、可重构</w:t>
            </w:r>
          </w:p>
        </w:tc>
      </w:tr>
      <w:tr w14:paraId="5C517926">
        <w:tblPrEx>
          <w:tblCellMar>
            <w:top w:w="0" w:type="dxa"/>
            <w:left w:w="108" w:type="dxa"/>
            <w:bottom w:w="0" w:type="dxa"/>
            <w:right w:w="108" w:type="dxa"/>
          </w:tblCellMar>
        </w:tblPrEx>
        <w:trPr>
          <w:trHeight w:val="312"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169E6024">
            <w:pPr>
              <w:widowControl/>
              <w:adjustRightInd/>
              <w:jc w:val="center"/>
              <w:rPr>
                <w:rFonts w:ascii="宋体" w:hAnsi="宋体" w:cs="宋体"/>
                <w:kern w:val="0"/>
                <w:sz w:val="24"/>
                <w:highlight w:val="none"/>
              </w:rPr>
            </w:pPr>
            <w:r>
              <w:rPr>
                <w:rFonts w:ascii="宋体" w:hAnsi="宋体" w:cs="宋体"/>
                <w:kern w:val="0"/>
                <w:sz w:val="24"/>
                <w:highlight w:val="none"/>
              </w:rPr>
              <w:t>143</w:t>
            </w:r>
          </w:p>
        </w:tc>
        <w:tc>
          <w:tcPr>
            <w:tcW w:w="1306" w:type="dxa"/>
            <w:tcBorders>
              <w:top w:val="nil"/>
              <w:left w:val="nil"/>
              <w:bottom w:val="single" w:color="auto" w:sz="4" w:space="0"/>
              <w:right w:val="single" w:color="auto" w:sz="4" w:space="0"/>
            </w:tcBorders>
            <w:shd w:val="clear" w:color="000000" w:fill="FFFFFF"/>
            <w:vAlign w:val="center"/>
          </w:tcPr>
          <w:p w14:paraId="4C68A8EE">
            <w:pPr>
              <w:widowControl/>
              <w:adjustRightInd/>
              <w:jc w:val="left"/>
              <w:rPr>
                <w:rFonts w:ascii="宋体" w:hAnsi="宋体" w:cs="宋体"/>
                <w:kern w:val="0"/>
                <w:sz w:val="24"/>
                <w:highlight w:val="none"/>
              </w:rPr>
            </w:pPr>
            <w:r>
              <w:rPr>
                <w:rFonts w:hint="eastAsia" w:ascii="宋体" w:hAnsi="宋体" w:cs="宋体"/>
                <w:kern w:val="0"/>
                <w:sz w:val="24"/>
                <w:highlight w:val="none"/>
              </w:rPr>
              <w:t>▲基本要求</w:t>
            </w:r>
          </w:p>
        </w:tc>
        <w:tc>
          <w:tcPr>
            <w:tcW w:w="3150" w:type="dxa"/>
            <w:tcBorders>
              <w:top w:val="nil"/>
              <w:left w:val="nil"/>
              <w:bottom w:val="single" w:color="auto" w:sz="4" w:space="0"/>
              <w:right w:val="single" w:color="auto" w:sz="4" w:space="0"/>
            </w:tcBorders>
            <w:shd w:val="clear" w:color="000000" w:fill="FFFFFF"/>
            <w:vAlign w:val="center"/>
          </w:tcPr>
          <w:p w14:paraId="7A78D7E1">
            <w:pPr>
              <w:widowControl/>
              <w:adjustRightInd/>
              <w:jc w:val="left"/>
              <w:rPr>
                <w:rFonts w:ascii="宋体" w:hAnsi="宋体" w:cs="宋体"/>
                <w:kern w:val="0"/>
                <w:sz w:val="24"/>
                <w:highlight w:val="none"/>
              </w:rPr>
            </w:pPr>
            <w:r>
              <w:rPr>
                <w:rFonts w:hint="eastAsia" w:ascii="宋体" w:hAnsi="宋体" w:cs="宋体"/>
                <w:kern w:val="0"/>
                <w:sz w:val="24"/>
                <w:highlight w:val="none"/>
              </w:rPr>
              <w:t>▲基本要求</w:t>
            </w:r>
          </w:p>
        </w:tc>
        <w:tc>
          <w:tcPr>
            <w:tcW w:w="3959" w:type="dxa"/>
            <w:tcBorders>
              <w:top w:val="nil"/>
              <w:left w:val="nil"/>
              <w:bottom w:val="single" w:color="auto" w:sz="4" w:space="0"/>
              <w:right w:val="single" w:color="auto" w:sz="4" w:space="0"/>
            </w:tcBorders>
            <w:shd w:val="clear" w:color="000000" w:fill="FFFFFF"/>
            <w:vAlign w:val="center"/>
          </w:tcPr>
          <w:p w14:paraId="0CC3602E">
            <w:pPr>
              <w:widowControl/>
              <w:adjustRightInd/>
              <w:jc w:val="left"/>
              <w:rPr>
                <w:rFonts w:ascii="宋体" w:hAnsi="宋体" w:cs="宋体"/>
                <w:kern w:val="0"/>
                <w:sz w:val="24"/>
                <w:highlight w:val="none"/>
              </w:rPr>
            </w:pPr>
            <w:r>
              <w:rPr>
                <w:rFonts w:hint="eastAsia" w:ascii="宋体" w:hAnsi="宋体" w:cs="宋体"/>
                <w:kern w:val="0"/>
                <w:sz w:val="24"/>
                <w:highlight w:val="none"/>
              </w:rPr>
              <w:t>操作系统应当符合安全可靠测评要求</w:t>
            </w:r>
          </w:p>
        </w:tc>
      </w:tr>
      <w:tr w14:paraId="10E3151C">
        <w:tblPrEx>
          <w:tblCellMar>
            <w:top w:w="0" w:type="dxa"/>
            <w:left w:w="108" w:type="dxa"/>
            <w:bottom w:w="0" w:type="dxa"/>
            <w:right w:w="108" w:type="dxa"/>
          </w:tblCellMar>
        </w:tblPrEx>
        <w:trPr>
          <w:trHeight w:val="624"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76EDC8DE">
            <w:pPr>
              <w:widowControl/>
              <w:adjustRightInd/>
              <w:jc w:val="center"/>
              <w:rPr>
                <w:rFonts w:ascii="宋体" w:hAnsi="宋体" w:cs="宋体"/>
                <w:kern w:val="0"/>
                <w:sz w:val="24"/>
                <w:highlight w:val="none"/>
              </w:rPr>
            </w:pPr>
            <w:r>
              <w:rPr>
                <w:rFonts w:ascii="宋体" w:hAnsi="宋体" w:cs="宋体"/>
                <w:kern w:val="0"/>
                <w:sz w:val="24"/>
                <w:highlight w:val="none"/>
              </w:rPr>
              <w:t>144</w:t>
            </w:r>
          </w:p>
        </w:tc>
        <w:tc>
          <w:tcPr>
            <w:tcW w:w="1306" w:type="dxa"/>
            <w:vMerge w:val="restart"/>
            <w:tcBorders>
              <w:top w:val="nil"/>
              <w:left w:val="single" w:color="auto" w:sz="4" w:space="0"/>
              <w:bottom w:val="single" w:color="000000" w:sz="4" w:space="0"/>
              <w:right w:val="single" w:color="auto" w:sz="4" w:space="0"/>
            </w:tcBorders>
            <w:shd w:val="clear" w:color="000000" w:fill="FFFFFF"/>
            <w:vAlign w:val="center"/>
          </w:tcPr>
          <w:p w14:paraId="3A6354E6">
            <w:pPr>
              <w:widowControl/>
              <w:adjustRightInd/>
              <w:jc w:val="left"/>
              <w:rPr>
                <w:rFonts w:ascii="宋体" w:hAnsi="宋体" w:cs="宋体"/>
                <w:kern w:val="0"/>
                <w:sz w:val="24"/>
                <w:highlight w:val="none"/>
              </w:rPr>
            </w:pPr>
            <w:r>
              <w:rPr>
                <w:rFonts w:hint="eastAsia" w:ascii="宋体" w:hAnsi="宋体" w:cs="宋体"/>
                <w:kern w:val="0"/>
                <w:sz w:val="24"/>
                <w:highlight w:val="none"/>
              </w:rPr>
              <w:t>▲密码算法支持</w:t>
            </w:r>
          </w:p>
        </w:tc>
        <w:tc>
          <w:tcPr>
            <w:tcW w:w="3150" w:type="dxa"/>
            <w:tcBorders>
              <w:top w:val="nil"/>
              <w:left w:val="nil"/>
              <w:bottom w:val="single" w:color="auto" w:sz="4" w:space="0"/>
              <w:right w:val="single" w:color="auto" w:sz="4" w:space="0"/>
            </w:tcBorders>
            <w:shd w:val="clear" w:color="000000" w:fill="FFFFFF"/>
            <w:vAlign w:val="center"/>
          </w:tcPr>
          <w:p w14:paraId="792F7D66">
            <w:pPr>
              <w:widowControl/>
              <w:adjustRightInd/>
              <w:jc w:val="left"/>
              <w:rPr>
                <w:rFonts w:ascii="宋体" w:hAnsi="宋体" w:cs="宋体"/>
                <w:kern w:val="0"/>
                <w:sz w:val="24"/>
                <w:highlight w:val="none"/>
              </w:rPr>
            </w:pPr>
            <w:r>
              <w:rPr>
                <w:rFonts w:hint="eastAsia" w:ascii="宋体" w:hAnsi="宋体" w:cs="宋体"/>
                <w:kern w:val="0"/>
                <w:sz w:val="24"/>
                <w:highlight w:val="none"/>
              </w:rPr>
              <w:t>▲密码算法实现</w:t>
            </w:r>
          </w:p>
        </w:tc>
        <w:tc>
          <w:tcPr>
            <w:tcW w:w="3959" w:type="dxa"/>
            <w:tcBorders>
              <w:top w:val="nil"/>
              <w:left w:val="nil"/>
              <w:bottom w:val="single" w:color="auto" w:sz="4" w:space="0"/>
              <w:right w:val="single" w:color="auto" w:sz="4" w:space="0"/>
            </w:tcBorders>
            <w:shd w:val="clear" w:color="000000" w:fill="FFFFFF"/>
            <w:vAlign w:val="center"/>
          </w:tcPr>
          <w:p w14:paraId="5B8C6145">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w:t>
            </w:r>
            <w:r>
              <w:rPr>
                <w:rFonts w:ascii="宋体" w:hAnsi="宋体" w:cs="宋体"/>
                <w:kern w:val="0"/>
                <w:sz w:val="24"/>
                <w:highlight w:val="none"/>
              </w:rPr>
              <w:t>GM/T0002、GM/T0003和GM/T0004规定的密码算法运算</w:t>
            </w:r>
          </w:p>
        </w:tc>
      </w:tr>
      <w:tr w14:paraId="26F74A39">
        <w:tblPrEx>
          <w:tblCellMar>
            <w:top w:w="0" w:type="dxa"/>
            <w:left w:w="108" w:type="dxa"/>
            <w:bottom w:w="0" w:type="dxa"/>
            <w:right w:w="108" w:type="dxa"/>
          </w:tblCellMar>
        </w:tblPrEx>
        <w:trPr>
          <w:trHeight w:val="936"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447BEA65">
            <w:pPr>
              <w:widowControl/>
              <w:adjustRightInd/>
              <w:jc w:val="center"/>
              <w:rPr>
                <w:rFonts w:ascii="宋体" w:hAnsi="宋体" w:cs="宋体"/>
                <w:kern w:val="0"/>
                <w:sz w:val="24"/>
                <w:highlight w:val="none"/>
              </w:rPr>
            </w:pPr>
            <w:r>
              <w:rPr>
                <w:rFonts w:ascii="宋体" w:hAnsi="宋体" w:cs="宋体"/>
                <w:kern w:val="0"/>
                <w:sz w:val="24"/>
                <w:highlight w:val="none"/>
              </w:rPr>
              <w:t>145</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4383F043">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3BA2A24F">
            <w:pPr>
              <w:widowControl/>
              <w:adjustRightInd/>
              <w:jc w:val="left"/>
              <w:rPr>
                <w:rFonts w:ascii="宋体" w:hAnsi="宋体" w:cs="宋体"/>
                <w:kern w:val="0"/>
                <w:sz w:val="24"/>
                <w:highlight w:val="none"/>
              </w:rPr>
            </w:pPr>
            <w:r>
              <w:rPr>
                <w:rFonts w:hint="eastAsia" w:ascii="宋体" w:hAnsi="宋体" w:cs="宋体"/>
                <w:kern w:val="0"/>
                <w:sz w:val="24"/>
                <w:highlight w:val="none"/>
              </w:rPr>
              <w:t>▲随机数生成</w:t>
            </w:r>
          </w:p>
        </w:tc>
        <w:tc>
          <w:tcPr>
            <w:tcW w:w="3959" w:type="dxa"/>
            <w:tcBorders>
              <w:top w:val="nil"/>
              <w:left w:val="nil"/>
              <w:bottom w:val="single" w:color="auto" w:sz="4" w:space="0"/>
              <w:right w:val="single" w:color="auto" w:sz="4" w:space="0"/>
            </w:tcBorders>
            <w:shd w:val="clear" w:color="000000" w:fill="FFFFFF"/>
            <w:vAlign w:val="center"/>
          </w:tcPr>
          <w:p w14:paraId="228AEB4B">
            <w:pPr>
              <w:widowControl/>
              <w:adjustRightInd/>
              <w:jc w:val="left"/>
              <w:rPr>
                <w:rFonts w:ascii="宋体" w:hAnsi="宋体" w:cs="宋体"/>
                <w:kern w:val="0"/>
                <w:sz w:val="24"/>
                <w:highlight w:val="none"/>
              </w:rPr>
            </w:pPr>
            <w:r>
              <w:rPr>
                <w:rFonts w:hint="eastAsia" w:ascii="宋体" w:hAnsi="宋体" w:cs="宋体"/>
                <w:kern w:val="0"/>
                <w:sz w:val="24"/>
                <w:highlight w:val="none"/>
              </w:rPr>
              <w:t>操作系统随机数质量符合</w:t>
            </w:r>
            <w:r>
              <w:rPr>
                <w:rFonts w:ascii="宋体" w:hAnsi="宋体" w:cs="宋体"/>
                <w:kern w:val="0"/>
                <w:sz w:val="24"/>
                <w:highlight w:val="none"/>
              </w:rPr>
              <w:t>GM/T0005《随机性检测规范》或GB/T32915《信息安全技术二元序列随机性检测方法》</w:t>
            </w:r>
          </w:p>
        </w:tc>
      </w:tr>
      <w:tr w14:paraId="3F3B3C3B">
        <w:tblPrEx>
          <w:tblCellMar>
            <w:top w:w="0" w:type="dxa"/>
            <w:left w:w="108" w:type="dxa"/>
            <w:bottom w:w="0" w:type="dxa"/>
            <w:right w:w="108" w:type="dxa"/>
          </w:tblCellMar>
        </w:tblPrEx>
        <w:trPr>
          <w:trHeight w:val="312"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3082C23E">
            <w:pPr>
              <w:widowControl/>
              <w:adjustRightInd/>
              <w:jc w:val="center"/>
              <w:rPr>
                <w:rFonts w:ascii="宋体" w:hAnsi="宋体" w:cs="宋体"/>
                <w:kern w:val="0"/>
                <w:sz w:val="24"/>
                <w:highlight w:val="none"/>
              </w:rPr>
            </w:pPr>
            <w:r>
              <w:rPr>
                <w:rFonts w:ascii="宋体" w:hAnsi="宋体" w:cs="宋体"/>
                <w:kern w:val="0"/>
                <w:sz w:val="24"/>
                <w:highlight w:val="none"/>
              </w:rPr>
              <w:t>146</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6C2ED95A">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0B5DC05E">
            <w:pPr>
              <w:widowControl/>
              <w:adjustRightInd/>
              <w:jc w:val="left"/>
              <w:rPr>
                <w:rFonts w:ascii="宋体" w:hAnsi="宋体" w:cs="宋体"/>
                <w:kern w:val="0"/>
                <w:sz w:val="24"/>
                <w:highlight w:val="none"/>
              </w:rPr>
            </w:pPr>
            <w:r>
              <w:rPr>
                <w:rFonts w:hint="eastAsia" w:ascii="宋体" w:hAnsi="宋体" w:cs="宋体"/>
                <w:kern w:val="0"/>
                <w:sz w:val="24"/>
                <w:highlight w:val="none"/>
              </w:rPr>
              <w:t>▲内置数字证书</w:t>
            </w:r>
          </w:p>
        </w:tc>
        <w:tc>
          <w:tcPr>
            <w:tcW w:w="3959" w:type="dxa"/>
            <w:tcBorders>
              <w:top w:val="nil"/>
              <w:left w:val="nil"/>
              <w:bottom w:val="single" w:color="auto" w:sz="4" w:space="0"/>
              <w:right w:val="single" w:color="auto" w:sz="4" w:space="0"/>
            </w:tcBorders>
            <w:shd w:val="clear" w:color="000000" w:fill="FFFFFF"/>
            <w:vAlign w:val="center"/>
          </w:tcPr>
          <w:p w14:paraId="6E49E30C">
            <w:pPr>
              <w:widowControl/>
              <w:adjustRightInd/>
              <w:jc w:val="left"/>
              <w:rPr>
                <w:rFonts w:ascii="宋体" w:hAnsi="宋体" w:cs="宋体"/>
                <w:kern w:val="0"/>
                <w:sz w:val="24"/>
                <w:highlight w:val="none"/>
              </w:rPr>
            </w:pPr>
            <w:r>
              <w:rPr>
                <w:rFonts w:hint="eastAsia" w:ascii="宋体" w:hAnsi="宋体" w:cs="宋体"/>
                <w:kern w:val="0"/>
                <w:sz w:val="24"/>
                <w:highlight w:val="none"/>
              </w:rPr>
              <w:t>操作系统内置国家电子认证根</w:t>
            </w:r>
            <w:r>
              <w:rPr>
                <w:rFonts w:ascii="宋体" w:hAnsi="宋体" w:cs="宋体"/>
                <w:kern w:val="0"/>
                <w:sz w:val="24"/>
                <w:highlight w:val="none"/>
              </w:rPr>
              <w:t>CA的根证书</w:t>
            </w:r>
          </w:p>
        </w:tc>
      </w:tr>
      <w:tr w14:paraId="25986E8D">
        <w:tblPrEx>
          <w:tblCellMar>
            <w:top w:w="0" w:type="dxa"/>
            <w:left w:w="108" w:type="dxa"/>
            <w:bottom w:w="0" w:type="dxa"/>
            <w:right w:w="108" w:type="dxa"/>
          </w:tblCellMar>
        </w:tblPrEx>
        <w:trPr>
          <w:trHeight w:val="312"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3C9C35D2">
            <w:pPr>
              <w:widowControl/>
              <w:adjustRightInd/>
              <w:jc w:val="center"/>
              <w:rPr>
                <w:rFonts w:ascii="宋体" w:hAnsi="宋体" w:cs="宋体"/>
                <w:kern w:val="0"/>
                <w:sz w:val="24"/>
                <w:highlight w:val="none"/>
              </w:rPr>
            </w:pPr>
            <w:r>
              <w:rPr>
                <w:rFonts w:ascii="宋体" w:hAnsi="宋体" w:cs="宋体"/>
                <w:kern w:val="0"/>
                <w:sz w:val="24"/>
                <w:highlight w:val="none"/>
              </w:rPr>
              <w:t>147</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2CD122D2">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2237B4E1">
            <w:pPr>
              <w:widowControl/>
              <w:adjustRightInd/>
              <w:jc w:val="left"/>
              <w:rPr>
                <w:rFonts w:ascii="宋体" w:hAnsi="宋体" w:cs="宋体"/>
                <w:kern w:val="0"/>
                <w:sz w:val="24"/>
                <w:highlight w:val="none"/>
              </w:rPr>
            </w:pPr>
            <w:r>
              <w:rPr>
                <w:rFonts w:hint="eastAsia" w:ascii="宋体" w:hAnsi="宋体" w:cs="宋体"/>
                <w:kern w:val="0"/>
                <w:sz w:val="24"/>
                <w:highlight w:val="none"/>
              </w:rPr>
              <w:t>▲密码协议实现</w:t>
            </w:r>
          </w:p>
        </w:tc>
        <w:tc>
          <w:tcPr>
            <w:tcW w:w="3959" w:type="dxa"/>
            <w:tcBorders>
              <w:top w:val="nil"/>
              <w:left w:val="nil"/>
              <w:bottom w:val="single" w:color="auto" w:sz="4" w:space="0"/>
              <w:right w:val="single" w:color="auto" w:sz="4" w:space="0"/>
            </w:tcBorders>
            <w:shd w:val="clear" w:color="000000" w:fill="FFFFFF"/>
            <w:vAlign w:val="center"/>
          </w:tcPr>
          <w:p w14:paraId="3B2948E6">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操作系统支持符合</w:t>
            </w:r>
            <w:r>
              <w:rPr>
                <w:rFonts w:ascii="宋体" w:hAnsi="宋体" w:cs="宋体"/>
                <w:kern w:val="0"/>
                <w:sz w:val="24"/>
                <w:highlight w:val="none"/>
              </w:rPr>
              <w:t>GB/T38636—2020的TLCP</w:t>
            </w:r>
          </w:p>
        </w:tc>
      </w:tr>
      <w:tr w14:paraId="28C2C8FE">
        <w:tblPrEx>
          <w:tblCellMar>
            <w:top w:w="0" w:type="dxa"/>
            <w:left w:w="108" w:type="dxa"/>
            <w:bottom w:w="0" w:type="dxa"/>
            <w:right w:w="108" w:type="dxa"/>
          </w:tblCellMar>
        </w:tblPrEx>
        <w:trPr>
          <w:trHeight w:val="1872"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655639CD">
            <w:pPr>
              <w:widowControl/>
              <w:adjustRightInd/>
              <w:jc w:val="center"/>
              <w:rPr>
                <w:rFonts w:ascii="宋体" w:hAnsi="宋体" w:cs="宋体"/>
                <w:kern w:val="0"/>
                <w:sz w:val="24"/>
                <w:highlight w:val="none"/>
              </w:rPr>
            </w:pPr>
            <w:r>
              <w:rPr>
                <w:rFonts w:ascii="宋体" w:hAnsi="宋体" w:cs="宋体"/>
                <w:kern w:val="0"/>
                <w:sz w:val="24"/>
                <w:highlight w:val="none"/>
              </w:rPr>
              <w:t>148</w:t>
            </w:r>
          </w:p>
        </w:tc>
        <w:tc>
          <w:tcPr>
            <w:tcW w:w="1306" w:type="dxa"/>
            <w:vMerge w:val="restart"/>
            <w:tcBorders>
              <w:top w:val="nil"/>
              <w:left w:val="single" w:color="auto" w:sz="4" w:space="0"/>
              <w:bottom w:val="nil"/>
              <w:right w:val="single" w:color="auto" w:sz="4" w:space="0"/>
            </w:tcBorders>
            <w:shd w:val="clear" w:color="000000" w:fill="FFFFFF"/>
            <w:vAlign w:val="center"/>
          </w:tcPr>
          <w:p w14:paraId="09C9F977">
            <w:pPr>
              <w:widowControl/>
              <w:adjustRightInd/>
              <w:jc w:val="left"/>
              <w:rPr>
                <w:rFonts w:ascii="宋体" w:hAnsi="宋体" w:cs="宋体"/>
                <w:kern w:val="0"/>
                <w:sz w:val="24"/>
                <w:highlight w:val="none"/>
              </w:rPr>
            </w:pPr>
            <w:r>
              <w:rPr>
                <w:rFonts w:hint="eastAsia" w:ascii="宋体" w:hAnsi="宋体" w:cs="宋体"/>
                <w:kern w:val="0"/>
                <w:sz w:val="24"/>
                <w:highlight w:val="none"/>
              </w:rPr>
              <w:t>▲安全管理</w:t>
            </w:r>
          </w:p>
        </w:tc>
        <w:tc>
          <w:tcPr>
            <w:tcW w:w="3150" w:type="dxa"/>
            <w:tcBorders>
              <w:top w:val="nil"/>
              <w:left w:val="nil"/>
              <w:bottom w:val="single" w:color="auto" w:sz="4" w:space="0"/>
              <w:right w:val="single" w:color="auto" w:sz="4" w:space="0"/>
            </w:tcBorders>
            <w:shd w:val="clear" w:color="000000" w:fill="FFFFFF"/>
            <w:vAlign w:val="center"/>
          </w:tcPr>
          <w:p w14:paraId="1AF8E8D1">
            <w:pPr>
              <w:widowControl/>
              <w:adjustRightInd/>
              <w:jc w:val="left"/>
              <w:rPr>
                <w:rFonts w:ascii="宋体" w:hAnsi="宋体" w:cs="宋体"/>
                <w:kern w:val="0"/>
                <w:sz w:val="24"/>
                <w:highlight w:val="none"/>
              </w:rPr>
            </w:pPr>
            <w:r>
              <w:rPr>
                <w:rFonts w:hint="eastAsia" w:ascii="宋体" w:hAnsi="宋体" w:cs="宋体"/>
                <w:kern w:val="0"/>
                <w:sz w:val="24"/>
                <w:highlight w:val="none"/>
              </w:rPr>
              <w:t>▲防火墙</w:t>
            </w:r>
          </w:p>
        </w:tc>
        <w:tc>
          <w:tcPr>
            <w:tcW w:w="3959" w:type="dxa"/>
            <w:tcBorders>
              <w:top w:val="nil"/>
              <w:left w:val="nil"/>
              <w:bottom w:val="single" w:color="auto" w:sz="4" w:space="0"/>
              <w:right w:val="single" w:color="auto" w:sz="4" w:space="0"/>
            </w:tcBorders>
            <w:shd w:val="clear" w:color="000000" w:fill="FFFFFF"/>
            <w:vAlign w:val="center"/>
          </w:tcPr>
          <w:p w14:paraId="06A22FFE">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操作系统提供防火墙配置管理工具，支持基于协议、网络地址、端口的访问控制规则配置，规则修改后立即生效；</w:t>
            </w:r>
          </w:p>
          <w:p w14:paraId="7A48075E">
            <w:pPr>
              <w:widowControl/>
              <w:adjustRightInd/>
              <w:jc w:val="left"/>
              <w:rPr>
                <w:rFonts w:ascii="宋体" w:hAnsi="宋体" w:cs="宋体"/>
                <w:kern w:val="0"/>
                <w:sz w:val="24"/>
                <w:highlight w:val="none"/>
              </w:rPr>
            </w:pPr>
            <w:r>
              <w:rPr>
                <w:rFonts w:hint="eastAsia" w:ascii="宋体" w:hAnsi="宋体" w:cs="宋体"/>
                <w:kern w:val="0"/>
                <w:sz w:val="24"/>
                <w:highlight w:val="none"/>
              </w:rPr>
              <w:t>支持关闭指定服务和端口，包括但不限于关闭远程访问、共享访问等；</w:t>
            </w:r>
          </w:p>
          <w:p w14:paraId="133F4BFE">
            <w:pPr>
              <w:widowControl/>
              <w:adjustRightInd/>
              <w:jc w:val="left"/>
              <w:rPr>
                <w:rFonts w:ascii="宋体" w:hAnsi="宋体" w:cs="宋体"/>
                <w:kern w:val="0"/>
                <w:sz w:val="24"/>
                <w:highlight w:val="none"/>
              </w:rPr>
            </w:pPr>
            <w:r>
              <w:rPr>
                <w:rFonts w:hint="eastAsia" w:ascii="宋体" w:hAnsi="宋体" w:cs="宋体"/>
                <w:kern w:val="0"/>
                <w:sz w:val="24"/>
                <w:highlight w:val="none"/>
              </w:rPr>
              <w:t>支持防止</w:t>
            </w:r>
            <w:r>
              <w:rPr>
                <w:rFonts w:ascii="宋体" w:hAnsi="宋体" w:cs="宋体"/>
                <w:kern w:val="0"/>
                <w:sz w:val="24"/>
                <w:highlight w:val="none"/>
              </w:rPr>
              <w:t>ARP欺骗攻击</w:t>
            </w:r>
          </w:p>
        </w:tc>
      </w:tr>
      <w:tr w14:paraId="0F690FD8">
        <w:tblPrEx>
          <w:tblCellMar>
            <w:top w:w="0" w:type="dxa"/>
            <w:left w:w="108" w:type="dxa"/>
            <w:bottom w:w="0" w:type="dxa"/>
            <w:right w:w="108" w:type="dxa"/>
          </w:tblCellMar>
        </w:tblPrEx>
        <w:trPr>
          <w:trHeight w:val="312"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63A7DC09">
            <w:pPr>
              <w:widowControl/>
              <w:adjustRightInd/>
              <w:jc w:val="center"/>
              <w:rPr>
                <w:rFonts w:ascii="宋体" w:hAnsi="宋体" w:cs="宋体"/>
                <w:kern w:val="0"/>
                <w:sz w:val="24"/>
                <w:highlight w:val="none"/>
              </w:rPr>
            </w:pPr>
            <w:r>
              <w:rPr>
                <w:rFonts w:ascii="宋体" w:hAnsi="宋体" w:cs="宋体"/>
                <w:kern w:val="0"/>
                <w:sz w:val="24"/>
                <w:highlight w:val="none"/>
              </w:rPr>
              <w:t>149</w:t>
            </w:r>
          </w:p>
        </w:tc>
        <w:tc>
          <w:tcPr>
            <w:tcW w:w="1306" w:type="dxa"/>
            <w:vMerge w:val="continue"/>
            <w:tcBorders>
              <w:top w:val="nil"/>
              <w:left w:val="single" w:color="auto" w:sz="4" w:space="0"/>
              <w:bottom w:val="nil"/>
              <w:right w:val="single" w:color="auto" w:sz="4" w:space="0"/>
            </w:tcBorders>
            <w:shd w:val="clear" w:color="auto" w:fill="auto"/>
            <w:vAlign w:val="center"/>
          </w:tcPr>
          <w:p w14:paraId="365F7889">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793C2554">
            <w:pPr>
              <w:widowControl/>
              <w:adjustRightInd/>
              <w:jc w:val="left"/>
              <w:rPr>
                <w:rFonts w:ascii="宋体" w:hAnsi="宋体" w:cs="宋体"/>
                <w:kern w:val="0"/>
                <w:sz w:val="24"/>
                <w:highlight w:val="none"/>
              </w:rPr>
            </w:pPr>
            <w:r>
              <w:rPr>
                <w:rFonts w:hint="eastAsia" w:ascii="宋体" w:hAnsi="宋体" w:cs="宋体"/>
                <w:kern w:val="0"/>
                <w:sz w:val="24"/>
                <w:highlight w:val="none"/>
              </w:rPr>
              <w:t>▲安全框架</w:t>
            </w:r>
          </w:p>
        </w:tc>
        <w:tc>
          <w:tcPr>
            <w:tcW w:w="3959" w:type="dxa"/>
            <w:tcBorders>
              <w:top w:val="nil"/>
              <w:left w:val="nil"/>
              <w:bottom w:val="single" w:color="auto" w:sz="4" w:space="0"/>
              <w:right w:val="single" w:color="auto" w:sz="4" w:space="0"/>
            </w:tcBorders>
            <w:shd w:val="clear" w:color="000000" w:fill="FFFFFF"/>
            <w:vAlign w:val="center"/>
          </w:tcPr>
          <w:p w14:paraId="5D5324DF">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操作系统提供统一访问控制安全框架</w:t>
            </w:r>
          </w:p>
        </w:tc>
      </w:tr>
      <w:tr w14:paraId="60DD425A">
        <w:tblPrEx>
          <w:tblCellMar>
            <w:top w:w="0" w:type="dxa"/>
            <w:left w:w="108" w:type="dxa"/>
            <w:bottom w:w="0" w:type="dxa"/>
            <w:right w:w="108" w:type="dxa"/>
          </w:tblCellMar>
        </w:tblPrEx>
        <w:trPr>
          <w:trHeight w:val="2496"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63401588">
            <w:pPr>
              <w:widowControl/>
              <w:adjustRightInd/>
              <w:jc w:val="center"/>
              <w:rPr>
                <w:rFonts w:ascii="宋体" w:hAnsi="宋体" w:cs="宋体"/>
                <w:kern w:val="0"/>
                <w:sz w:val="24"/>
                <w:highlight w:val="none"/>
              </w:rPr>
            </w:pPr>
            <w:r>
              <w:rPr>
                <w:rFonts w:ascii="宋体" w:hAnsi="宋体" w:cs="宋体"/>
                <w:kern w:val="0"/>
                <w:sz w:val="24"/>
                <w:highlight w:val="none"/>
              </w:rPr>
              <w:t>150</w:t>
            </w:r>
          </w:p>
        </w:tc>
        <w:tc>
          <w:tcPr>
            <w:tcW w:w="1306" w:type="dxa"/>
            <w:tcBorders>
              <w:top w:val="single" w:color="auto" w:sz="4" w:space="0"/>
              <w:left w:val="nil"/>
              <w:bottom w:val="single" w:color="auto" w:sz="4" w:space="0"/>
              <w:right w:val="single" w:color="auto" w:sz="4" w:space="0"/>
            </w:tcBorders>
            <w:shd w:val="clear" w:color="000000" w:fill="FFFFFF"/>
            <w:vAlign w:val="center"/>
          </w:tcPr>
          <w:p w14:paraId="75C2834E">
            <w:pPr>
              <w:widowControl/>
              <w:adjustRightInd/>
              <w:jc w:val="left"/>
              <w:rPr>
                <w:rFonts w:ascii="宋体" w:hAnsi="宋体" w:cs="宋体"/>
                <w:kern w:val="0"/>
                <w:sz w:val="24"/>
                <w:highlight w:val="none"/>
              </w:rPr>
            </w:pPr>
            <w:r>
              <w:rPr>
                <w:rFonts w:hint="eastAsia" w:ascii="宋体" w:hAnsi="宋体" w:cs="宋体"/>
                <w:kern w:val="0"/>
                <w:sz w:val="24"/>
                <w:highlight w:val="none"/>
              </w:rPr>
              <w:t>▲身份鉴别</w:t>
            </w:r>
          </w:p>
        </w:tc>
        <w:tc>
          <w:tcPr>
            <w:tcW w:w="3150" w:type="dxa"/>
            <w:tcBorders>
              <w:top w:val="nil"/>
              <w:left w:val="nil"/>
              <w:bottom w:val="single" w:color="auto" w:sz="4" w:space="0"/>
              <w:right w:val="single" w:color="auto" w:sz="4" w:space="0"/>
            </w:tcBorders>
            <w:shd w:val="clear" w:color="000000" w:fill="FFFFFF"/>
            <w:vAlign w:val="center"/>
          </w:tcPr>
          <w:p w14:paraId="7FDAD0AA">
            <w:pPr>
              <w:widowControl/>
              <w:adjustRightInd/>
              <w:jc w:val="left"/>
              <w:rPr>
                <w:rFonts w:ascii="宋体" w:hAnsi="宋体" w:cs="宋体"/>
                <w:kern w:val="0"/>
                <w:sz w:val="24"/>
                <w:highlight w:val="none"/>
              </w:rPr>
            </w:pPr>
            <w:r>
              <w:rPr>
                <w:rFonts w:hint="eastAsia" w:ascii="宋体" w:hAnsi="宋体" w:cs="宋体"/>
                <w:kern w:val="0"/>
                <w:sz w:val="24"/>
                <w:highlight w:val="none"/>
              </w:rPr>
              <w:t>▲身份鉴别服务</w:t>
            </w:r>
          </w:p>
        </w:tc>
        <w:tc>
          <w:tcPr>
            <w:tcW w:w="3959" w:type="dxa"/>
            <w:tcBorders>
              <w:top w:val="nil"/>
              <w:left w:val="nil"/>
              <w:bottom w:val="single" w:color="auto" w:sz="4" w:space="0"/>
              <w:right w:val="single" w:color="auto" w:sz="4" w:space="0"/>
            </w:tcBorders>
            <w:shd w:val="clear" w:color="000000" w:fill="FFFFFF"/>
            <w:vAlign w:val="center"/>
          </w:tcPr>
          <w:p w14:paraId="1825C66B">
            <w:pPr>
              <w:widowControl/>
              <w:adjustRightInd/>
              <w:jc w:val="left"/>
              <w:rPr>
                <w:rFonts w:ascii="宋体" w:hAnsi="宋体" w:cs="宋体"/>
                <w:kern w:val="0"/>
                <w:sz w:val="24"/>
                <w:highlight w:val="none"/>
              </w:rPr>
            </w:pPr>
            <w:r>
              <w:rPr>
                <w:rFonts w:hint="eastAsia" w:ascii="宋体" w:hAnsi="宋体" w:cs="宋体"/>
                <w:kern w:val="0"/>
                <w:sz w:val="24"/>
                <w:highlight w:val="none"/>
              </w:rPr>
              <w:t>用户标识使用帐户名和帐户</w:t>
            </w:r>
            <w:r>
              <w:rPr>
                <w:rFonts w:ascii="宋体" w:hAnsi="宋体" w:cs="宋体"/>
                <w:kern w:val="0"/>
                <w:sz w:val="24"/>
                <w:highlight w:val="none"/>
              </w:rPr>
              <w:t>ID，在操作系统的整个生存周期内用户标识具有唯一性；</w:t>
            </w:r>
          </w:p>
          <w:p w14:paraId="497DB12C">
            <w:pPr>
              <w:widowControl/>
              <w:adjustRightInd/>
              <w:jc w:val="left"/>
              <w:rPr>
                <w:rFonts w:ascii="宋体" w:hAnsi="宋体" w:cs="宋体"/>
                <w:kern w:val="0"/>
                <w:sz w:val="24"/>
                <w:highlight w:val="none"/>
              </w:rPr>
            </w:pPr>
            <w:r>
              <w:rPr>
                <w:rFonts w:hint="eastAsia" w:ascii="宋体" w:hAnsi="宋体" w:cs="宋体"/>
                <w:kern w:val="0"/>
                <w:sz w:val="24"/>
                <w:highlight w:val="none"/>
              </w:rPr>
              <w:t>支持用户口令复杂度校验及强口令管理；</w:t>
            </w:r>
          </w:p>
          <w:p w14:paraId="6D64C5BE">
            <w:pPr>
              <w:widowControl/>
              <w:adjustRightInd/>
              <w:jc w:val="left"/>
              <w:rPr>
                <w:rFonts w:ascii="宋体" w:hAnsi="宋体" w:cs="宋体"/>
                <w:kern w:val="0"/>
                <w:sz w:val="24"/>
                <w:highlight w:val="none"/>
              </w:rPr>
            </w:pPr>
            <w:r>
              <w:rPr>
                <w:rFonts w:hint="eastAsia" w:ascii="宋体" w:hAnsi="宋体" w:cs="宋体"/>
                <w:kern w:val="0"/>
                <w:sz w:val="24"/>
                <w:highlight w:val="none"/>
              </w:rPr>
              <w:t>支持用户口令有效期配置；支持口令鉴别失败控制；</w:t>
            </w:r>
          </w:p>
          <w:p w14:paraId="175A0945">
            <w:pPr>
              <w:widowControl/>
              <w:adjustRightInd/>
              <w:jc w:val="left"/>
              <w:rPr>
                <w:rFonts w:ascii="宋体" w:hAnsi="宋体" w:cs="宋体"/>
                <w:kern w:val="0"/>
                <w:sz w:val="24"/>
                <w:highlight w:val="none"/>
              </w:rPr>
            </w:pPr>
            <w:r>
              <w:rPr>
                <w:rFonts w:hint="eastAsia" w:ascii="宋体" w:hAnsi="宋体" w:cs="宋体"/>
                <w:kern w:val="0"/>
                <w:sz w:val="24"/>
                <w:highlight w:val="none"/>
              </w:rPr>
              <w:t>支持口令加密算法配置，用户口令进行加密后以不可逆的密文形式保存；支持禁止根帐户（</w:t>
            </w:r>
            <w:r>
              <w:rPr>
                <w:rFonts w:ascii="宋体" w:hAnsi="宋体" w:cs="宋体"/>
                <w:kern w:val="0"/>
                <w:sz w:val="24"/>
                <w:highlight w:val="none"/>
              </w:rPr>
              <w:t>root）远程登录设置</w:t>
            </w:r>
          </w:p>
        </w:tc>
      </w:tr>
      <w:tr w14:paraId="0458C855">
        <w:tblPrEx>
          <w:tblCellMar>
            <w:top w:w="0" w:type="dxa"/>
            <w:left w:w="108" w:type="dxa"/>
            <w:bottom w:w="0" w:type="dxa"/>
            <w:right w:w="108" w:type="dxa"/>
          </w:tblCellMar>
        </w:tblPrEx>
        <w:trPr>
          <w:trHeight w:val="2808"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3FFD0D28">
            <w:pPr>
              <w:widowControl/>
              <w:adjustRightInd/>
              <w:jc w:val="center"/>
              <w:rPr>
                <w:rFonts w:ascii="宋体" w:hAnsi="宋体" w:cs="宋体"/>
                <w:kern w:val="0"/>
                <w:sz w:val="24"/>
                <w:highlight w:val="none"/>
              </w:rPr>
            </w:pPr>
            <w:r>
              <w:rPr>
                <w:rFonts w:ascii="宋体" w:hAnsi="宋体" w:cs="宋体"/>
                <w:kern w:val="0"/>
                <w:sz w:val="24"/>
                <w:highlight w:val="none"/>
              </w:rPr>
              <w:t>151</w:t>
            </w:r>
          </w:p>
        </w:tc>
        <w:tc>
          <w:tcPr>
            <w:tcW w:w="1306" w:type="dxa"/>
            <w:vMerge w:val="restart"/>
            <w:tcBorders>
              <w:top w:val="nil"/>
              <w:left w:val="single" w:color="auto" w:sz="4" w:space="0"/>
              <w:bottom w:val="single" w:color="000000" w:sz="4" w:space="0"/>
              <w:right w:val="single" w:color="auto" w:sz="4" w:space="0"/>
            </w:tcBorders>
            <w:shd w:val="clear" w:color="000000" w:fill="FFFFFF"/>
            <w:vAlign w:val="center"/>
          </w:tcPr>
          <w:p w14:paraId="2AB8B771">
            <w:pPr>
              <w:widowControl/>
              <w:adjustRightInd/>
              <w:jc w:val="left"/>
              <w:rPr>
                <w:rFonts w:ascii="宋体" w:hAnsi="宋体" w:cs="宋体"/>
                <w:kern w:val="0"/>
                <w:sz w:val="24"/>
                <w:highlight w:val="none"/>
              </w:rPr>
            </w:pPr>
            <w:r>
              <w:rPr>
                <w:rFonts w:hint="eastAsia" w:ascii="宋体" w:hAnsi="宋体" w:cs="宋体"/>
                <w:kern w:val="0"/>
                <w:sz w:val="24"/>
                <w:highlight w:val="none"/>
              </w:rPr>
              <w:t>▲访问控制</w:t>
            </w:r>
          </w:p>
        </w:tc>
        <w:tc>
          <w:tcPr>
            <w:tcW w:w="3150" w:type="dxa"/>
            <w:tcBorders>
              <w:top w:val="nil"/>
              <w:left w:val="nil"/>
              <w:bottom w:val="single" w:color="auto" w:sz="4" w:space="0"/>
              <w:right w:val="single" w:color="auto" w:sz="4" w:space="0"/>
            </w:tcBorders>
            <w:shd w:val="clear" w:color="000000" w:fill="FFFFFF"/>
            <w:vAlign w:val="center"/>
          </w:tcPr>
          <w:p w14:paraId="76096B36">
            <w:pPr>
              <w:widowControl/>
              <w:adjustRightInd/>
              <w:jc w:val="left"/>
              <w:rPr>
                <w:rFonts w:ascii="宋体" w:hAnsi="宋体" w:cs="宋体"/>
                <w:kern w:val="0"/>
                <w:sz w:val="24"/>
                <w:highlight w:val="none"/>
              </w:rPr>
            </w:pPr>
            <w:r>
              <w:rPr>
                <w:rFonts w:hint="eastAsia" w:ascii="宋体" w:hAnsi="宋体" w:cs="宋体"/>
                <w:kern w:val="0"/>
                <w:sz w:val="24"/>
                <w:highlight w:val="none"/>
              </w:rPr>
              <w:t>▲自主访问控制</w:t>
            </w:r>
          </w:p>
        </w:tc>
        <w:tc>
          <w:tcPr>
            <w:tcW w:w="3959" w:type="dxa"/>
            <w:tcBorders>
              <w:top w:val="nil"/>
              <w:left w:val="nil"/>
              <w:bottom w:val="single" w:color="auto" w:sz="4" w:space="0"/>
              <w:right w:val="single" w:color="auto" w:sz="4" w:space="0"/>
            </w:tcBorders>
            <w:shd w:val="clear" w:color="000000" w:fill="FFFFFF"/>
            <w:vAlign w:val="center"/>
          </w:tcPr>
          <w:p w14:paraId="4C5660CF">
            <w:pPr>
              <w:widowControl/>
              <w:adjustRightInd/>
              <w:jc w:val="left"/>
              <w:rPr>
                <w:rFonts w:ascii="宋体" w:hAnsi="宋体" w:cs="宋体"/>
                <w:kern w:val="0"/>
                <w:sz w:val="24"/>
                <w:highlight w:val="none"/>
              </w:rPr>
            </w:pPr>
            <w:r>
              <w:rPr>
                <w:rFonts w:hint="eastAsia" w:ascii="宋体" w:hAnsi="宋体" w:cs="宋体"/>
                <w:kern w:val="0"/>
                <w:sz w:val="24"/>
                <w:highlight w:val="none"/>
              </w:rPr>
              <w:t>允许客体拥有者以普通帐户决定并控制对客体的访问，并阻止非授权用户对客体的访问；普通用户缺省拥有新建、读写和删除私有目录下文件的权限；支持细粒度的自主访问控制，将访问控制的粒度控制在单个用户，对系统中的每一个客体，实现由客体拥有者以指定用户方式确定其对该客体的访问权限，而其他同组用户或非同组的用户和用户组对该客体的访问权则由客体拥有者授予</w:t>
            </w:r>
          </w:p>
        </w:tc>
      </w:tr>
      <w:tr w14:paraId="5BA53655">
        <w:tblPrEx>
          <w:tblCellMar>
            <w:top w:w="0" w:type="dxa"/>
            <w:left w:w="108" w:type="dxa"/>
            <w:bottom w:w="0" w:type="dxa"/>
            <w:right w:w="108" w:type="dxa"/>
          </w:tblCellMar>
        </w:tblPrEx>
        <w:trPr>
          <w:trHeight w:val="936"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2D1C9066">
            <w:pPr>
              <w:widowControl/>
              <w:adjustRightInd/>
              <w:jc w:val="center"/>
              <w:rPr>
                <w:rFonts w:ascii="宋体" w:hAnsi="宋体" w:cs="宋体"/>
                <w:kern w:val="0"/>
                <w:sz w:val="24"/>
                <w:highlight w:val="none"/>
              </w:rPr>
            </w:pPr>
            <w:r>
              <w:rPr>
                <w:rFonts w:ascii="宋体" w:hAnsi="宋体" w:cs="宋体"/>
                <w:kern w:val="0"/>
                <w:sz w:val="24"/>
                <w:highlight w:val="none"/>
              </w:rPr>
              <w:t>152</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3F804D2A">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4492B5BC">
            <w:pPr>
              <w:widowControl/>
              <w:adjustRightInd/>
              <w:jc w:val="left"/>
              <w:rPr>
                <w:rFonts w:ascii="宋体" w:hAnsi="宋体" w:cs="宋体"/>
                <w:kern w:val="0"/>
                <w:sz w:val="24"/>
                <w:highlight w:val="none"/>
              </w:rPr>
            </w:pPr>
            <w:r>
              <w:rPr>
                <w:rFonts w:hint="eastAsia" w:ascii="宋体" w:hAnsi="宋体" w:cs="宋体"/>
                <w:kern w:val="0"/>
                <w:sz w:val="24"/>
                <w:highlight w:val="none"/>
              </w:rPr>
              <w:t>▲强制访问控制</w:t>
            </w:r>
          </w:p>
        </w:tc>
        <w:tc>
          <w:tcPr>
            <w:tcW w:w="3959" w:type="dxa"/>
            <w:tcBorders>
              <w:top w:val="nil"/>
              <w:left w:val="nil"/>
              <w:bottom w:val="single" w:color="auto" w:sz="4" w:space="0"/>
              <w:right w:val="single" w:color="auto" w:sz="4" w:space="0"/>
            </w:tcBorders>
            <w:shd w:val="clear" w:color="000000" w:fill="FFFFFF"/>
            <w:vAlign w:val="center"/>
          </w:tcPr>
          <w:p w14:paraId="24BE4151">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操作系统支持对应用程序的访问控制与资源限制，包括对文件、网络等客体的访问控制；支持应用安装控制、应用执行控制</w:t>
            </w:r>
          </w:p>
        </w:tc>
      </w:tr>
      <w:tr w14:paraId="3EC93991">
        <w:tblPrEx>
          <w:tblCellMar>
            <w:top w:w="0" w:type="dxa"/>
            <w:left w:w="108" w:type="dxa"/>
            <w:bottom w:w="0" w:type="dxa"/>
            <w:right w:w="108" w:type="dxa"/>
          </w:tblCellMar>
        </w:tblPrEx>
        <w:trPr>
          <w:trHeight w:val="1560"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401EBA7F">
            <w:pPr>
              <w:widowControl/>
              <w:adjustRightInd/>
              <w:jc w:val="center"/>
              <w:rPr>
                <w:rFonts w:ascii="宋体" w:hAnsi="宋体" w:cs="宋体"/>
                <w:kern w:val="0"/>
                <w:sz w:val="24"/>
                <w:highlight w:val="none"/>
              </w:rPr>
            </w:pPr>
            <w:r>
              <w:rPr>
                <w:rFonts w:ascii="宋体" w:hAnsi="宋体" w:cs="宋体"/>
                <w:kern w:val="0"/>
                <w:sz w:val="24"/>
                <w:highlight w:val="none"/>
              </w:rPr>
              <w:t>153</w:t>
            </w:r>
          </w:p>
        </w:tc>
        <w:tc>
          <w:tcPr>
            <w:tcW w:w="1306" w:type="dxa"/>
            <w:vMerge w:val="continue"/>
            <w:tcBorders>
              <w:top w:val="nil"/>
              <w:left w:val="single" w:color="auto" w:sz="4" w:space="0"/>
              <w:bottom w:val="single" w:color="000000" w:sz="4" w:space="0"/>
              <w:right w:val="single" w:color="auto" w:sz="4" w:space="0"/>
            </w:tcBorders>
            <w:shd w:val="clear" w:color="auto" w:fill="auto"/>
            <w:vAlign w:val="center"/>
          </w:tcPr>
          <w:p w14:paraId="7A5157FA">
            <w:pPr>
              <w:widowControl/>
              <w:adjustRightInd/>
              <w:jc w:val="left"/>
              <w:rPr>
                <w:rFonts w:ascii="宋体" w:hAnsi="宋体" w:cs="宋体"/>
                <w:kern w:val="0"/>
                <w:sz w:val="24"/>
                <w:highlight w:val="none"/>
              </w:rPr>
            </w:pPr>
          </w:p>
        </w:tc>
        <w:tc>
          <w:tcPr>
            <w:tcW w:w="3150" w:type="dxa"/>
            <w:tcBorders>
              <w:top w:val="nil"/>
              <w:left w:val="nil"/>
              <w:bottom w:val="single" w:color="auto" w:sz="4" w:space="0"/>
              <w:right w:val="single" w:color="auto" w:sz="4" w:space="0"/>
            </w:tcBorders>
            <w:shd w:val="clear" w:color="000000" w:fill="FFFFFF"/>
            <w:vAlign w:val="center"/>
          </w:tcPr>
          <w:p w14:paraId="3CE2F3D8">
            <w:pPr>
              <w:widowControl/>
              <w:adjustRightInd/>
              <w:jc w:val="left"/>
              <w:rPr>
                <w:rFonts w:ascii="宋体" w:hAnsi="宋体" w:cs="宋体"/>
                <w:kern w:val="0"/>
                <w:sz w:val="24"/>
                <w:highlight w:val="none"/>
              </w:rPr>
            </w:pPr>
            <w:r>
              <w:rPr>
                <w:rFonts w:hint="eastAsia" w:ascii="宋体" w:hAnsi="宋体" w:cs="宋体"/>
                <w:kern w:val="0"/>
                <w:sz w:val="24"/>
                <w:highlight w:val="none"/>
              </w:rPr>
              <w:t>▲安全审计</w:t>
            </w:r>
          </w:p>
        </w:tc>
        <w:tc>
          <w:tcPr>
            <w:tcW w:w="3959" w:type="dxa"/>
            <w:tcBorders>
              <w:top w:val="nil"/>
              <w:left w:val="nil"/>
              <w:bottom w:val="single" w:color="auto" w:sz="4" w:space="0"/>
              <w:right w:val="single" w:color="auto" w:sz="4" w:space="0"/>
            </w:tcBorders>
            <w:shd w:val="clear" w:color="000000" w:fill="FFFFFF"/>
            <w:vAlign w:val="center"/>
          </w:tcPr>
          <w:p w14:paraId="58F01589">
            <w:pPr>
              <w:widowControl/>
              <w:adjustRightInd/>
              <w:jc w:val="left"/>
              <w:rPr>
                <w:rFonts w:ascii="宋体" w:hAnsi="宋体" w:cs="宋体"/>
                <w:kern w:val="0"/>
                <w:sz w:val="24"/>
                <w:highlight w:val="none"/>
              </w:rPr>
            </w:pPr>
            <w:r>
              <w:rPr>
                <w:rFonts w:hint="eastAsia" w:ascii="宋体" w:hAnsi="宋体" w:cs="宋体"/>
                <w:kern w:val="0"/>
                <w:sz w:val="24"/>
                <w:highlight w:val="none"/>
              </w:rPr>
              <w:t>操作系统能对身份鉴别的使用、自主访问控制、标记和强制访问控制策略的修改等生成审计日志；审计记录包括：事件类型、事件发生的日期、触发事件的用户、事件成功或失败等字段；支持审计日志查询和导出功能</w:t>
            </w:r>
          </w:p>
        </w:tc>
      </w:tr>
      <w:tr w14:paraId="51B55B60">
        <w:tblPrEx>
          <w:tblCellMar>
            <w:top w:w="0" w:type="dxa"/>
            <w:left w:w="108" w:type="dxa"/>
            <w:bottom w:w="0" w:type="dxa"/>
            <w:right w:w="108" w:type="dxa"/>
          </w:tblCellMar>
        </w:tblPrEx>
        <w:trPr>
          <w:trHeight w:val="2808" w:hRule="atLeast"/>
        </w:trPr>
        <w:tc>
          <w:tcPr>
            <w:tcW w:w="805" w:type="dxa"/>
            <w:tcBorders>
              <w:top w:val="nil"/>
              <w:left w:val="single" w:color="auto" w:sz="4" w:space="0"/>
              <w:bottom w:val="single" w:color="auto" w:sz="4" w:space="0"/>
              <w:right w:val="single" w:color="auto" w:sz="4" w:space="0"/>
            </w:tcBorders>
            <w:shd w:val="clear" w:color="000000" w:fill="FFFFFF"/>
            <w:vAlign w:val="center"/>
          </w:tcPr>
          <w:p w14:paraId="20B33D7F">
            <w:pPr>
              <w:widowControl/>
              <w:adjustRightInd/>
              <w:jc w:val="center"/>
              <w:rPr>
                <w:rFonts w:ascii="宋体" w:hAnsi="宋体" w:cs="宋体"/>
                <w:kern w:val="0"/>
                <w:sz w:val="24"/>
                <w:highlight w:val="none"/>
              </w:rPr>
            </w:pPr>
            <w:r>
              <w:rPr>
                <w:rFonts w:ascii="宋体" w:hAnsi="宋体" w:cs="宋体"/>
                <w:kern w:val="0"/>
                <w:sz w:val="24"/>
                <w:highlight w:val="none"/>
              </w:rPr>
              <w:t>154</w:t>
            </w:r>
          </w:p>
        </w:tc>
        <w:tc>
          <w:tcPr>
            <w:tcW w:w="1306" w:type="dxa"/>
            <w:tcBorders>
              <w:top w:val="nil"/>
              <w:left w:val="nil"/>
              <w:bottom w:val="single" w:color="auto" w:sz="4" w:space="0"/>
              <w:right w:val="single" w:color="auto" w:sz="4" w:space="0"/>
            </w:tcBorders>
            <w:shd w:val="clear" w:color="000000" w:fill="FFFFFF"/>
            <w:vAlign w:val="center"/>
          </w:tcPr>
          <w:p w14:paraId="1391E9EC">
            <w:pPr>
              <w:widowControl/>
              <w:adjustRightInd/>
              <w:jc w:val="left"/>
              <w:rPr>
                <w:rFonts w:ascii="宋体" w:hAnsi="宋体" w:cs="宋体"/>
                <w:kern w:val="0"/>
                <w:sz w:val="24"/>
                <w:highlight w:val="none"/>
              </w:rPr>
            </w:pPr>
            <w:r>
              <w:rPr>
                <w:rFonts w:hint="eastAsia" w:ascii="宋体" w:hAnsi="宋体" w:cs="宋体"/>
                <w:kern w:val="0"/>
                <w:sz w:val="24"/>
                <w:highlight w:val="none"/>
              </w:rPr>
              <w:t>▲漏洞管理</w:t>
            </w:r>
          </w:p>
        </w:tc>
        <w:tc>
          <w:tcPr>
            <w:tcW w:w="3150" w:type="dxa"/>
            <w:tcBorders>
              <w:top w:val="nil"/>
              <w:left w:val="nil"/>
              <w:bottom w:val="single" w:color="auto" w:sz="4" w:space="0"/>
              <w:right w:val="single" w:color="auto" w:sz="4" w:space="0"/>
            </w:tcBorders>
            <w:shd w:val="clear" w:color="000000" w:fill="FFFFFF"/>
            <w:vAlign w:val="center"/>
          </w:tcPr>
          <w:p w14:paraId="2035C982">
            <w:pPr>
              <w:widowControl/>
              <w:adjustRightInd/>
              <w:jc w:val="left"/>
              <w:rPr>
                <w:rFonts w:ascii="宋体" w:hAnsi="宋体" w:cs="宋体"/>
                <w:kern w:val="0"/>
                <w:sz w:val="24"/>
                <w:highlight w:val="none"/>
              </w:rPr>
            </w:pPr>
            <w:r>
              <w:rPr>
                <w:rFonts w:hint="eastAsia" w:ascii="宋体" w:hAnsi="宋体" w:cs="宋体"/>
                <w:kern w:val="0"/>
                <w:sz w:val="24"/>
                <w:highlight w:val="none"/>
              </w:rPr>
              <w:t>▲漏洞管理</w:t>
            </w:r>
          </w:p>
        </w:tc>
        <w:tc>
          <w:tcPr>
            <w:tcW w:w="3959" w:type="dxa"/>
            <w:tcBorders>
              <w:top w:val="nil"/>
              <w:left w:val="nil"/>
              <w:bottom w:val="single" w:color="auto" w:sz="4" w:space="0"/>
              <w:right w:val="single" w:color="auto" w:sz="4" w:space="0"/>
            </w:tcBorders>
            <w:shd w:val="clear" w:color="000000" w:fill="FFFFFF"/>
            <w:vAlign w:val="center"/>
          </w:tcPr>
          <w:p w14:paraId="3C5A2C4D">
            <w:pPr>
              <w:widowControl/>
              <w:adjustRightInd/>
              <w:jc w:val="left"/>
              <w:rPr>
                <w:rFonts w:ascii="宋体" w:hAnsi="宋体" w:cs="宋体"/>
                <w:kern w:val="0"/>
                <w:sz w:val="24"/>
                <w:highlight w:val="none"/>
              </w:rPr>
            </w:pPr>
            <w:r>
              <w:rPr>
                <w:rFonts w:hint="eastAsia" w:ascii="宋体" w:hAnsi="宋体" w:cs="宋体"/>
                <w:kern w:val="0"/>
                <w:sz w:val="24"/>
                <w:highlight w:val="none"/>
              </w:rPr>
              <w:t>操作系统支持漏洞编号，每个漏洞独立编号，可直接使用</w:t>
            </w:r>
            <w:r>
              <w:rPr>
                <w:rFonts w:ascii="宋体" w:hAnsi="宋体" w:cs="宋体"/>
                <w:kern w:val="0"/>
                <w:sz w:val="24"/>
                <w:highlight w:val="none"/>
              </w:rPr>
              <w:t>NVDB、CNVD或CVE编号；</w:t>
            </w:r>
          </w:p>
          <w:p w14:paraId="061A61C3">
            <w:pPr>
              <w:widowControl/>
              <w:adjustRightInd/>
              <w:jc w:val="left"/>
              <w:rPr>
                <w:rFonts w:ascii="宋体" w:hAnsi="宋体" w:cs="宋体"/>
                <w:kern w:val="0"/>
                <w:sz w:val="24"/>
                <w:highlight w:val="none"/>
              </w:rPr>
            </w:pPr>
            <w:r>
              <w:rPr>
                <w:rFonts w:hint="eastAsia" w:ascii="宋体" w:hAnsi="宋体" w:cs="宋体"/>
                <w:kern w:val="0"/>
                <w:sz w:val="24"/>
                <w:highlight w:val="none"/>
              </w:rPr>
              <w:t>漏洞提醒，发现或获悉漏洞信息时，通过系统推送、电子邮件或官方网站等方式通知用户；漏洞修复，对已发现的安全漏洞通过补丁等方式对系统漏洞进行修复；</w:t>
            </w:r>
          </w:p>
          <w:p w14:paraId="37E9A4D6">
            <w:pPr>
              <w:widowControl/>
              <w:adjustRightInd/>
              <w:jc w:val="left"/>
              <w:rPr>
                <w:rFonts w:ascii="宋体" w:hAnsi="宋体" w:cs="宋体"/>
                <w:kern w:val="0"/>
                <w:sz w:val="24"/>
                <w:highlight w:val="none"/>
              </w:rPr>
            </w:pPr>
            <w:r>
              <w:rPr>
                <w:rFonts w:hint="eastAsia" w:ascii="宋体" w:hAnsi="宋体" w:cs="宋体"/>
                <w:kern w:val="0"/>
                <w:sz w:val="24"/>
                <w:highlight w:val="none"/>
              </w:rPr>
              <w:t>漏洞列表，提供每个版本已修复的漏洞列表，提供命令或网页等方式方便用户查询漏洞及其修复情况</w:t>
            </w:r>
          </w:p>
        </w:tc>
      </w:tr>
    </w:tbl>
    <w:p w14:paraId="07ED459B">
      <w:pPr>
        <w:spacing w:line="360" w:lineRule="auto"/>
        <w:ind w:firstLine="480" w:firstLineChars="200"/>
        <w:rPr>
          <w:rFonts w:ascii="宋体" w:hAnsi="宋体" w:cs="宋体"/>
          <w:sz w:val="24"/>
          <w:highlight w:val="none"/>
        </w:rPr>
      </w:pPr>
    </w:p>
    <w:p w14:paraId="36208CAD">
      <w:pPr>
        <w:spacing w:line="360" w:lineRule="auto"/>
        <w:ind w:firstLine="480" w:firstLineChars="200"/>
        <w:rPr>
          <w:rFonts w:ascii="宋体" w:hAnsi="宋体" w:cs="宋体"/>
          <w:sz w:val="24"/>
          <w:highlight w:val="none"/>
        </w:rPr>
      </w:pPr>
      <w:r>
        <w:rPr>
          <w:rFonts w:hint="eastAsia" w:ascii="宋体" w:hAnsi="宋体" w:cs="宋体"/>
          <w:sz w:val="24"/>
          <w:highlight w:val="none"/>
        </w:rPr>
        <w:t>2.3视频业务安全改造</w:t>
      </w:r>
    </w:p>
    <w:p w14:paraId="67118D8D">
      <w:pPr>
        <w:spacing w:line="360" w:lineRule="auto"/>
        <w:ind w:firstLine="480" w:firstLineChars="200"/>
        <w:rPr>
          <w:rFonts w:ascii="宋体" w:hAnsi="宋体" w:cs="宋体"/>
          <w:sz w:val="24"/>
          <w:highlight w:val="none"/>
        </w:rPr>
      </w:pPr>
      <w:r>
        <w:rPr>
          <w:rFonts w:hint="eastAsia" w:ascii="宋体" w:hAnsi="宋体" w:cs="宋体"/>
          <w:sz w:val="24"/>
          <w:highlight w:val="none"/>
        </w:rPr>
        <w:t>提供视频业务安全改造服务，满足信创要求，包含软件改造和硬件租赁，投标人应保证在服务期内完成软件改造服务和硬件租赁服务上线。 具体内容如下：</w:t>
      </w:r>
    </w:p>
    <w:p w14:paraId="7226295F">
      <w:pPr>
        <w:spacing w:line="360" w:lineRule="auto"/>
        <w:ind w:firstLine="480" w:firstLineChars="200"/>
        <w:rPr>
          <w:rFonts w:ascii="宋体" w:hAnsi="宋体" w:cs="宋体"/>
          <w:sz w:val="24"/>
          <w:highlight w:val="none"/>
        </w:rPr>
      </w:pPr>
      <w:r>
        <w:rPr>
          <w:rFonts w:hint="eastAsia" w:ascii="宋体" w:hAnsi="宋体" w:cs="宋体"/>
          <w:sz w:val="24"/>
          <w:highlight w:val="none"/>
        </w:rPr>
        <w:t>（1）软件改造服务，视频专网视频平台国产化系统改造服务为视频监控客户端软件升级服务，主要对客户端进行国产化芯片、操作系统的适配升级。</w:t>
      </w:r>
    </w:p>
    <w:p w14:paraId="0B448B96">
      <w:pPr>
        <w:spacing w:line="360" w:lineRule="auto"/>
        <w:ind w:firstLine="480" w:firstLineChars="200"/>
        <w:rPr>
          <w:rFonts w:ascii="宋体" w:hAnsi="宋体" w:cs="宋体"/>
          <w:sz w:val="24"/>
          <w:highlight w:val="none"/>
        </w:rPr>
      </w:pPr>
      <w:r>
        <w:rPr>
          <w:rFonts w:hint="eastAsia" w:ascii="宋体" w:hAnsi="宋体" w:cs="宋体"/>
          <w:sz w:val="24"/>
          <w:highlight w:val="none"/>
        </w:rPr>
        <w:t>（2）硬件租赁服务，主要对视频专网视频平台与国产化PC端的交互信令、码流信令进行适配。租赁设备生产日期要求为2024年1月1日以后生产，项目服务期结束后设备处置权归</w:t>
      </w:r>
      <w:r>
        <w:rPr>
          <w:rFonts w:hint="eastAsia" w:ascii="宋体" w:hAnsi="宋体" w:cs="宋体"/>
          <w:sz w:val="24"/>
          <w:highlight w:val="none"/>
          <w:lang w:val="en-US" w:eastAsia="zh-CN"/>
        </w:rPr>
        <w:t>采购人</w:t>
      </w:r>
      <w:r>
        <w:rPr>
          <w:rFonts w:hint="eastAsia" w:ascii="宋体" w:hAnsi="宋体" w:cs="宋体"/>
          <w:sz w:val="24"/>
          <w:highlight w:val="none"/>
        </w:rPr>
        <w:t>所有；</w:t>
      </w:r>
    </w:p>
    <w:p w14:paraId="7371498A">
      <w:pPr>
        <w:spacing w:line="360" w:lineRule="auto"/>
        <w:ind w:firstLine="480" w:firstLineChars="200"/>
        <w:rPr>
          <w:rFonts w:ascii="宋体" w:hAnsi="宋体" w:cs="宋体"/>
          <w:sz w:val="24"/>
          <w:highlight w:val="none"/>
        </w:rPr>
      </w:pPr>
      <w:r>
        <w:rPr>
          <w:rFonts w:hint="eastAsia" w:ascii="宋体" w:hAnsi="宋体" w:cs="宋体"/>
          <w:sz w:val="24"/>
          <w:highlight w:val="none"/>
        </w:rPr>
        <w:t>具体服务器参数如下：</w:t>
      </w:r>
    </w:p>
    <w:tbl>
      <w:tblPr>
        <w:tblStyle w:val="6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235"/>
        <w:gridCol w:w="5469"/>
      </w:tblGrid>
      <w:tr w14:paraId="4D880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41A0AC02">
            <w:pPr>
              <w:jc w:val="center"/>
              <w:rPr>
                <w:rFonts w:ascii="宋体" w:hAnsi="宋体" w:cs="宋体"/>
                <w:sz w:val="24"/>
                <w:szCs w:val="20"/>
                <w:highlight w:val="none"/>
              </w:rPr>
            </w:pPr>
            <w:r>
              <w:rPr>
                <w:rFonts w:hint="eastAsia" w:ascii="宋体" w:hAnsi="宋体" w:cs="宋体"/>
                <w:sz w:val="24"/>
                <w:szCs w:val="20"/>
                <w:highlight w:val="none"/>
              </w:rPr>
              <w:t>序号</w:t>
            </w:r>
          </w:p>
        </w:tc>
        <w:tc>
          <w:tcPr>
            <w:tcW w:w="2235" w:type="dxa"/>
            <w:vAlign w:val="center"/>
          </w:tcPr>
          <w:p w14:paraId="673A4EF8">
            <w:pPr>
              <w:jc w:val="center"/>
              <w:rPr>
                <w:rFonts w:ascii="宋体" w:hAnsi="宋体" w:cs="宋体"/>
                <w:sz w:val="24"/>
                <w:szCs w:val="20"/>
                <w:highlight w:val="none"/>
              </w:rPr>
            </w:pPr>
            <w:r>
              <w:rPr>
                <w:rFonts w:hint="eastAsia" w:ascii="宋体" w:hAnsi="宋体" w:cs="宋体"/>
                <w:sz w:val="24"/>
                <w:szCs w:val="20"/>
                <w:highlight w:val="none"/>
              </w:rPr>
              <w:t>服务</w:t>
            </w:r>
          </w:p>
        </w:tc>
        <w:tc>
          <w:tcPr>
            <w:tcW w:w="5469" w:type="dxa"/>
            <w:vAlign w:val="center"/>
          </w:tcPr>
          <w:p w14:paraId="7FCBFDF3">
            <w:pPr>
              <w:jc w:val="center"/>
              <w:rPr>
                <w:rFonts w:ascii="宋体" w:hAnsi="宋体" w:cs="宋体"/>
                <w:sz w:val="24"/>
                <w:szCs w:val="20"/>
                <w:highlight w:val="none"/>
              </w:rPr>
            </w:pPr>
            <w:r>
              <w:rPr>
                <w:rFonts w:hint="eastAsia" w:ascii="宋体" w:hAnsi="宋体" w:cs="宋体"/>
                <w:sz w:val="24"/>
                <w:szCs w:val="20"/>
                <w:highlight w:val="none"/>
              </w:rPr>
              <w:t>参数</w:t>
            </w:r>
          </w:p>
        </w:tc>
      </w:tr>
      <w:tr w14:paraId="4D0F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19563558">
            <w:pPr>
              <w:rPr>
                <w:rFonts w:ascii="宋体" w:hAnsi="宋体" w:cs="宋体"/>
                <w:sz w:val="24"/>
                <w:szCs w:val="20"/>
                <w:highlight w:val="none"/>
              </w:rPr>
            </w:pPr>
            <w:r>
              <w:rPr>
                <w:rFonts w:ascii="宋体" w:hAnsi="宋体" w:cs="宋体"/>
                <w:sz w:val="24"/>
                <w:szCs w:val="20"/>
                <w:highlight w:val="none"/>
              </w:rPr>
              <w:t>1</w:t>
            </w:r>
          </w:p>
        </w:tc>
        <w:tc>
          <w:tcPr>
            <w:tcW w:w="2235" w:type="dxa"/>
            <w:vAlign w:val="center"/>
          </w:tcPr>
          <w:p w14:paraId="0C9A5419">
            <w:pPr>
              <w:jc w:val="left"/>
              <w:rPr>
                <w:rFonts w:ascii="宋体" w:hAnsi="宋体" w:cs="宋体"/>
                <w:sz w:val="24"/>
                <w:szCs w:val="20"/>
                <w:highlight w:val="none"/>
              </w:rPr>
            </w:pPr>
            <w:r>
              <w:rPr>
                <w:rFonts w:ascii="宋体" w:hAnsi="宋体" w:cs="宋体"/>
                <w:sz w:val="24"/>
                <w:szCs w:val="20"/>
                <w:highlight w:val="none"/>
              </w:rPr>
              <w:t>1台视频融合一体机</w:t>
            </w:r>
          </w:p>
        </w:tc>
        <w:tc>
          <w:tcPr>
            <w:tcW w:w="5469" w:type="dxa"/>
            <w:vAlign w:val="center"/>
          </w:tcPr>
          <w:p w14:paraId="678B97AC">
            <w:pPr>
              <w:rPr>
                <w:rFonts w:ascii="宋体" w:hAnsi="宋体" w:cs="宋体"/>
                <w:sz w:val="24"/>
                <w:highlight w:val="none"/>
              </w:rPr>
            </w:pPr>
            <w:r>
              <w:rPr>
                <w:rFonts w:ascii="宋体" w:hAnsi="宋体" w:cs="宋体"/>
                <w:sz w:val="24"/>
                <w:szCs w:val="20"/>
                <w:highlight w:val="none"/>
              </w:rPr>
              <w:t>1） 2U机架式</w:t>
            </w:r>
          </w:p>
          <w:p w14:paraId="5108A2E1">
            <w:pPr>
              <w:rPr>
                <w:rFonts w:ascii="宋体" w:hAnsi="宋体" w:cs="宋体"/>
                <w:sz w:val="24"/>
                <w:highlight w:val="none"/>
              </w:rPr>
            </w:pPr>
            <w:r>
              <w:rPr>
                <w:rFonts w:ascii="宋体" w:hAnsi="宋体" w:cs="宋体"/>
                <w:sz w:val="24"/>
                <w:szCs w:val="20"/>
                <w:highlight w:val="none"/>
              </w:rPr>
              <w:t>2） 处理器：≥16核CPU</w:t>
            </w:r>
          </w:p>
          <w:p w14:paraId="3582A27D">
            <w:pPr>
              <w:rPr>
                <w:rFonts w:ascii="宋体" w:hAnsi="宋体" w:cs="宋体"/>
                <w:sz w:val="24"/>
                <w:highlight w:val="none"/>
              </w:rPr>
            </w:pPr>
            <w:r>
              <w:rPr>
                <w:rFonts w:ascii="宋体" w:hAnsi="宋体" w:cs="宋体"/>
                <w:sz w:val="24"/>
                <w:szCs w:val="20"/>
                <w:highlight w:val="none"/>
              </w:rPr>
              <w:t>3） 内存：≥64G内存</w:t>
            </w:r>
          </w:p>
          <w:p w14:paraId="0C3B9912">
            <w:pPr>
              <w:rPr>
                <w:rFonts w:ascii="宋体" w:hAnsi="宋体" w:cs="宋体"/>
                <w:sz w:val="24"/>
                <w:highlight w:val="none"/>
              </w:rPr>
            </w:pPr>
            <w:r>
              <w:rPr>
                <w:rFonts w:ascii="宋体" w:hAnsi="宋体" w:cs="宋体"/>
                <w:sz w:val="24"/>
                <w:szCs w:val="20"/>
                <w:highlight w:val="none"/>
              </w:rPr>
              <w:t>4） 硬盘：≥2×2T LFFSATA硬盘</w:t>
            </w:r>
          </w:p>
          <w:p w14:paraId="6894C68B">
            <w:pPr>
              <w:rPr>
                <w:rFonts w:ascii="宋体" w:hAnsi="宋体" w:cs="宋体"/>
                <w:sz w:val="24"/>
                <w:highlight w:val="none"/>
              </w:rPr>
            </w:pPr>
            <w:r>
              <w:rPr>
                <w:rFonts w:hint="eastAsia" w:ascii="宋体" w:hAnsi="宋体" w:cs="宋体"/>
                <w:sz w:val="24"/>
                <w:highlight w:val="none"/>
              </w:rPr>
              <w:t>5</w:t>
            </w:r>
            <w:r>
              <w:rPr>
                <w:rFonts w:ascii="宋体" w:hAnsi="宋体" w:cs="宋体"/>
                <w:sz w:val="24"/>
                <w:szCs w:val="20"/>
                <w:highlight w:val="none"/>
              </w:rPr>
              <w:t xml:space="preserve">） </w:t>
            </w:r>
            <w:r>
              <w:rPr>
                <w:rFonts w:hint="eastAsia" w:ascii="宋体" w:hAnsi="宋体" w:cs="宋体"/>
                <w:sz w:val="24"/>
                <w:szCs w:val="20"/>
                <w:highlight w:val="none"/>
              </w:rPr>
              <w:t>接口</w:t>
            </w:r>
            <w:r>
              <w:rPr>
                <w:rFonts w:ascii="宋体" w:hAnsi="宋体" w:cs="宋体"/>
                <w:sz w:val="24"/>
                <w:szCs w:val="20"/>
                <w:highlight w:val="none"/>
              </w:rPr>
              <w:t xml:space="preserve">：≥2个VGA接口；4个USB </w:t>
            </w:r>
            <w:r>
              <w:rPr>
                <w:rFonts w:hint="eastAsia" w:ascii="宋体" w:hAnsi="宋体" w:cs="宋体"/>
                <w:sz w:val="24"/>
                <w:szCs w:val="20"/>
                <w:highlight w:val="none"/>
              </w:rPr>
              <w:t>接口；</w:t>
            </w:r>
            <w:r>
              <w:rPr>
                <w:rFonts w:ascii="宋体" w:hAnsi="宋体" w:cs="宋体"/>
                <w:sz w:val="24"/>
                <w:szCs w:val="20"/>
                <w:highlight w:val="none"/>
              </w:rPr>
              <w:t xml:space="preserve">1个RJ-45 </w:t>
            </w:r>
            <w:r>
              <w:rPr>
                <w:rFonts w:hint="eastAsia" w:ascii="宋体" w:hAnsi="宋体" w:cs="宋体"/>
                <w:sz w:val="24"/>
                <w:szCs w:val="20"/>
                <w:highlight w:val="none"/>
              </w:rPr>
              <w:t>管理接口</w:t>
            </w:r>
          </w:p>
          <w:p w14:paraId="01EB37D9">
            <w:pPr>
              <w:rPr>
                <w:rFonts w:ascii="宋体" w:hAnsi="宋体" w:cs="宋体"/>
                <w:sz w:val="24"/>
                <w:highlight w:val="none"/>
              </w:rPr>
            </w:pPr>
            <w:r>
              <w:rPr>
                <w:rFonts w:hint="eastAsia" w:ascii="宋体" w:hAnsi="宋体" w:cs="宋体"/>
                <w:sz w:val="24"/>
                <w:highlight w:val="none"/>
              </w:rPr>
              <w:t>6</w:t>
            </w:r>
            <w:r>
              <w:rPr>
                <w:rFonts w:ascii="宋体" w:hAnsi="宋体" w:cs="宋体"/>
                <w:sz w:val="24"/>
                <w:szCs w:val="20"/>
                <w:highlight w:val="none"/>
              </w:rPr>
              <w:t>） 电源：1+1冗余</w:t>
            </w:r>
            <w:r>
              <w:rPr>
                <w:rFonts w:hint="eastAsia" w:ascii="宋体" w:hAnsi="宋体" w:cs="宋体"/>
                <w:sz w:val="24"/>
                <w:szCs w:val="20"/>
                <w:highlight w:val="none"/>
              </w:rPr>
              <w:t>，双</w:t>
            </w:r>
            <w:r>
              <w:rPr>
                <w:rFonts w:hint="eastAsia" w:ascii="宋体" w:hAnsi="宋体" w:cs="宋体"/>
                <w:kern w:val="0"/>
                <w:sz w:val="24"/>
                <w:highlight w:val="none"/>
              </w:rPr>
              <w:t>≥</w:t>
            </w:r>
            <w:r>
              <w:rPr>
                <w:rFonts w:ascii="宋体" w:hAnsi="宋体" w:cs="宋体"/>
                <w:sz w:val="24"/>
                <w:szCs w:val="20"/>
                <w:highlight w:val="none"/>
              </w:rPr>
              <w:t>550 W电源</w:t>
            </w:r>
          </w:p>
          <w:p w14:paraId="1C628A17">
            <w:pPr>
              <w:rPr>
                <w:rFonts w:ascii="宋体" w:hAnsi="宋体" w:cs="宋体"/>
                <w:sz w:val="24"/>
                <w:szCs w:val="20"/>
                <w:highlight w:val="none"/>
              </w:rPr>
            </w:pPr>
            <w:r>
              <w:rPr>
                <w:rFonts w:hint="eastAsia" w:ascii="宋体" w:hAnsi="宋体" w:cs="宋体"/>
                <w:sz w:val="24"/>
                <w:highlight w:val="none"/>
              </w:rPr>
              <w:t>详细参数见“服务器一体机详细参数要求”</w:t>
            </w:r>
          </w:p>
        </w:tc>
      </w:tr>
      <w:tr w14:paraId="027CE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739E3007">
            <w:pPr>
              <w:rPr>
                <w:rFonts w:ascii="宋体" w:hAnsi="宋体" w:cs="宋体"/>
                <w:sz w:val="24"/>
                <w:szCs w:val="20"/>
                <w:highlight w:val="none"/>
              </w:rPr>
            </w:pPr>
            <w:r>
              <w:rPr>
                <w:rFonts w:ascii="宋体" w:hAnsi="宋体" w:cs="宋体"/>
                <w:sz w:val="24"/>
                <w:szCs w:val="20"/>
                <w:highlight w:val="none"/>
              </w:rPr>
              <w:t>2</w:t>
            </w:r>
          </w:p>
        </w:tc>
        <w:tc>
          <w:tcPr>
            <w:tcW w:w="2235" w:type="dxa"/>
            <w:vAlign w:val="center"/>
          </w:tcPr>
          <w:p w14:paraId="7535AD9C">
            <w:pPr>
              <w:jc w:val="left"/>
              <w:rPr>
                <w:rFonts w:ascii="宋体" w:hAnsi="宋体" w:cs="宋体"/>
                <w:sz w:val="24"/>
                <w:szCs w:val="20"/>
                <w:highlight w:val="none"/>
              </w:rPr>
            </w:pPr>
            <w:r>
              <w:rPr>
                <w:rFonts w:ascii="宋体" w:hAnsi="宋体" w:cs="宋体"/>
                <w:sz w:val="24"/>
                <w:szCs w:val="20"/>
                <w:highlight w:val="none"/>
              </w:rPr>
              <w:t>1台国产操作系统适配网关一体机</w:t>
            </w:r>
          </w:p>
        </w:tc>
        <w:tc>
          <w:tcPr>
            <w:tcW w:w="5469" w:type="dxa"/>
            <w:vAlign w:val="center"/>
          </w:tcPr>
          <w:p w14:paraId="4FDEC543">
            <w:pPr>
              <w:jc w:val="left"/>
              <w:rPr>
                <w:rFonts w:ascii="宋体" w:hAnsi="宋体" w:cs="宋体"/>
                <w:sz w:val="24"/>
                <w:highlight w:val="none"/>
              </w:rPr>
            </w:pPr>
            <w:r>
              <w:rPr>
                <w:rFonts w:ascii="宋体" w:hAnsi="宋体" w:cs="宋体"/>
                <w:sz w:val="24"/>
                <w:szCs w:val="20"/>
                <w:highlight w:val="none"/>
              </w:rPr>
              <w:t>1） 2U机架式</w:t>
            </w:r>
          </w:p>
          <w:p w14:paraId="2DC56895">
            <w:pPr>
              <w:jc w:val="left"/>
              <w:rPr>
                <w:rFonts w:ascii="宋体" w:hAnsi="宋体" w:cs="宋体"/>
                <w:sz w:val="24"/>
                <w:highlight w:val="none"/>
              </w:rPr>
            </w:pPr>
            <w:r>
              <w:rPr>
                <w:rFonts w:ascii="宋体" w:hAnsi="宋体" w:cs="宋体"/>
                <w:sz w:val="24"/>
                <w:szCs w:val="20"/>
                <w:highlight w:val="none"/>
              </w:rPr>
              <w:t>2） 处理器：≥16核CPU</w:t>
            </w:r>
          </w:p>
          <w:p w14:paraId="57D74D8B">
            <w:pPr>
              <w:jc w:val="left"/>
              <w:rPr>
                <w:rFonts w:ascii="宋体" w:hAnsi="宋体" w:cs="宋体"/>
                <w:sz w:val="24"/>
                <w:highlight w:val="none"/>
              </w:rPr>
            </w:pPr>
            <w:r>
              <w:rPr>
                <w:rFonts w:ascii="宋体" w:hAnsi="宋体" w:cs="宋体"/>
                <w:sz w:val="24"/>
                <w:szCs w:val="20"/>
                <w:highlight w:val="none"/>
              </w:rPr>
              <w:t>3） 内存：≥64G内存</w:t>
            </w:r>
          </w:p>
          <w:p w14:paraId="00ACA172">
            <w:pPr>
              <w:jc w:val="left"/>
              <w:rPr>
                <w:rFonts w:ascii="宋体" w:hAnsi="宋体" w:cs="宋体"/>
                <w:sz w:val="24"/>
                <w:highlight w:val="none"/>
              </w:rPr>
            </w:pPr>
            <w:r>
              <w:rPr>
                <w:rFonts w:ascii="宋体" w:hAnsi="宋体" w:cs="宋体"/>
                <w:sz w:val="24"/>
                <w:szCs w:val="20"/>
                <w:highlight w:val="none"/>
              </w:rPr>
              <w:t>4） 硬盘：≥2×2T LFFSATA硬盘</w:t>
            </w:r>
          </w:p>
          <w:p w14:paraId="740FC3A1">
            <w:pPr>
              <w:jc w:val="left"/>
              <w:rPr>
                <w:rFonts w:ascii="宋体" w:hAnsi="宋体" w:cs="宋体"/>
                <w:sz w:val="24"/>
                <w:highlight w:val="none"/>
              </w:rPr>
            </w:pPr>
            <w:r>
              <w:rPr>
                <w:rFonts w:hint="eastAsia" w:ascii="宋体" w:hAnsi="宋体" w:cs="宋体"/>
                <w:sz w:val="24"/>
                <w:highlight w:val="none"/>
              </w:rPr>
              <w:t>5</w:t>
            </w:r>
            <w:r>
              <w:rPr>
                <w:rFonts w:ascii="宋体" w:hAnsi="宋体" w:cs="宋体"/>
                <w:sz w:val="24"/>
                <w:szCs w:val="20"/>
                <w:highlight w:val="none"/>
              </w:rPr>
              <w:t xml:space="preserve">） </w:t>
            </w:r>
            <w:r>
              <w:rPr>
                <w:rFonts w:hint="eastAsia" w:ascii="宋体" w:hAnsi="宋体" w:cs="宋体"/>
                <w:sz w:val="24"/>
                <w:szCs w:val="20"/>
                <w:highlight w:val="none"/>
              </w:rPr>
              <w:t>接口</w:t>
            </w:r>
            <w:r>
              <w:rPr>
                <w:rFonts w:ascii="宋体" w:hAnsi="宋体" w:cs="宋体"/>
                <w:sz w:val="24"/>
                <w:szCs w:val="20"/>
                <w:highlight w:val="none"/>
              </w:rPr>
              <w:t xml:space="preserve">：≥2个VGA接口；4个USB </w:t>
            </w:r>
            <w:r>
              <w:rPr>
                <w:rFonts w:hint="eastAsia" w:ascii="宋体" w:hAnsi="宋体" w:cs="宋体"/>
                <w:sz w:val="24"/>
                <w:szCs w:val="20"/>
                <w:highlight w:val="none"/>
              </w:rPr>
              <w:t>接口；</w:t>
            </w:r>
            <w:r>
              <w:rPr>
                <w:rFonts w:ascii="宋体" w:hAnsi="宋体" w:cs="宋体"/>
                <w:sz w:val="24"/>
                <w:szCs w:val="20"/>
                <w:highlight w:val="none"/>
              </w:rPr>
              <w:t xml:space="preserve">1个RJ-45 </w:t>
            </w:r>
            <w:r>
              <w:rPr>
                <w:rFonts w:hint="eastAsia" w:ascii="宋体" w:hAnsi="宋体" w:cs="宋体"/>
                <w:sz w:val="24"/>
                <w:szCs w:val="20"/>
                <w:highlight w:val="none"/>
              </w:rPr>
              <w:t>管理接口</w:t>
            </w:r>
          </w:p>
          <w:p w14:paraId="522B82D4">
            <w:pPr>
              <w:jc w:val="left"/>
              <w:rPr>
                <w:rFonts w:ascii="宋体" w:hAnsi="宋体" w:cs="宋体"/>
                <w:sz w:val="24"/>
                <w:szCs w:val="20"/>
                <w:highlight w:val="none"/>
              </w:rPr>
            </w:pPr>
            <w:r>
              <w:rPr>
                <w:rFonts w:hint="eastAsia" w:ascii="宋体" w:hAnsi="宋体" w:cs="宋体"/>
                <w:sz w:val="24"/>
                <w:highlight w:val="none"/>
              </w:rPr>
              <w:t>6</w:t>
            </w:r>
            <w:r>
              <w:rPr>
                <w:rFonts w:ascii="宋体" w:hAnsi="宋体" w:cs="宋体"/>
                <w:sz w:val="24"/>
                <w:szCs w:val="20"/>
                <w:highlight w:val="none"/>
              </w:rPr>
              <w:t>） 电源：1+1冗余</w:t>
            </w:r>
            <w:r>
              <w:rPr>
                <w:rFonts w:hint="eastAsia" w:ascii="宋体" w:hAnsi="宋体" w:cs="宋体"/>
                <w:sz w:val="24"/>
                <w:szCs w:val="20"/>
                <w:highlight w:val="none"/>
              </w:rPr>
              <w:t>，双</w:t>
            </w:r>
            <w:r>
              <w:rPr>
                <w:rFonts w:hint="eastAsia" w:ascii="宋体" w:hAnsi="宋体" w:cs="宋体"/>
                <w:kern w:val="0"/>
                <w:sz w:val="24"/>
                <w:highlight w:val="none"/>
              </w:rPr>
              <w:t>≥</w:t>
            </w:r>
            <w:r>
              <w:rPr>
                <w:rFonts w:ascii="宋体" w:hAnsi="宋体" w:cs="宋体"/>
                <w:sz w:val="24"/>
                <w:szCs w:val="20"/>
                <w:highlight w:val="none"/>
              </w:rPr>
              <w:t>550 W电源</w:t>
            </w:r>
          </w:p>
          <w:p w14:paraId="749692D9">
            <w:pPr>
              <w:jc w:val="left"/>
              <w:rPr>
                <w:rFonts w:ascii="宋体" w:hAnsi="宋体" w:cs="宋体"/>
                <w:sz w:val="24"/>
                <w:szCs w:val="20"/>
                <w:highlight w:val="none"/>
              </w:rPr>
            </w:pPr>
            <w:r>
              <w:rPr>
                <w:rFonts w:hint="eastAsia" w:ascii="宋体" w:hAnsi="宋体" w:cs="宋体"/>
                <w:sz w:val="24"/>
                <w:highlight w:val="none"/>
              </w:rPr>
              <w:t>详细参数见“服务器一体机详细参数要求”</w:t>
            </w:r>
          </w:p>
        </w:tc>
      </w:tr>
    </w:tbl>
    <w:p w14:paraId="68589C55">
      <w:pPr>
        <w:spacing w:line="360" w:lineRule="auto"/>
        <w:ind w:firstLine="480" w:firstLineChars="200"/>
        <w:rPr>
          <w:rFonts w:ascii="宋体" w:hAnsi="宋体" w:cs="宋体"/>
          <w:kern w:val="0"/>
          <w:sz w:val="24"/>
          <w:highlight w:val="none"/>
        </w:rPr>
      </w:pPr>
    </w:p>
    <w:p w14:paraId="54EBEED4">
      <w:pPr>
        <w:spacing w:line="360" w:lineRule="auto"/>
        <w:ind w:firstLine="480" w:firstLineChars="200"/>
        <w:rPr>
          <w:rFonts w:ascii="宋体" w:hAnsi="宋体" w:cs="宋体"/>
          <w:sz w:val="24"/>
          <w:highlight w:val="none"/>
        </w:rPr>
      </w:pPr>
      <w:r>
        <w:rPr>
          <w:rFonts w:hint="eastAsia" w:ascii="宋体" w:hAnsi="宋体" w:cs="宋体"/>
          <w:sz w:val="24"/>
          <w:highlight w:val="none"/>
        </w:rPr>
        <w:t>服务器一体机详细参数如下：</w:t>
      </w:r>
    </w:p>
    <w:tbl>
      <w:tblPr>
        <w:tblStyle w:val="62"/>
        <w:tblW w:w="8860" w:type="dxa"/>
        <w:tblInd w:w="118" w:type="dxa"/>
        <w:tblLayout w:type="fixed"/>
        <w:tblCellMar>
          <w:top w:w="0" w:type="dxa"/>
          <w:left w:w="108" w:type="dxa"/>
          <w:bottom w:w="0" w:type="dxa"/>
          <w:right w:w="108" w:type="dxa"/>
        </w:tblCellMar>
      </w:tblPr>
      <w:tblGrid>
        <w:gridCol w:w="960"/>
        <w:gridCol w:w="1400"/>
        <w:gridCol w:w="1420"/>
        <w:gridCol w:w="5080"/>
      </w:tblGrid>
      <w:tr w14:paraId="0A3F762E">
        <w:tblPrEx>
          <w:tblCellMar>
            <w:top w:w="0" w:type="dxa"/>
            <w:left w:w="108" w:type="dxa"/>
            <w:bottom w:w="0" w:type="dxa"/>
            <w:right w:w="108" w:type="dxa"/>
          </w:tblCellMar>
        </w:tblPrEx>
        <w:trPr>
          <w:trHeight w:val="636" w:hRule="atLeast"/>
        </w:trPr>
        <w:tc>
          <w:tcPr>
            <w:tcW w:w="960" w:type="dxa"/>
            <w:tcBorders>
              <w:top w:val="single" w:color="auto" w:sz="8" w:space="0"/>
              <w:left w:val="single" w:color="auto" w:sz="8" w:space="0"/>
              <w:bottom w:val="single" w:color="auto" w:sz="8" w:space="0"/>
              <w:right w:val="single" w:color="auto" w:sz="8" w:space="0"/>
            </w:tcBorders>
            <w:shd w:val="clear" w:color="000000" w:fill="D9D9D9"/>
            <w:vAlign w:val="center"/>
          </w:tcPr>
          <w:p w14:paraId="6ED14A49">
            <w:pPr>
              <w:keepNext/>
              <w:keepLines/>
              <w:widowControl/>
              <w:adjustRightInd/>
              <w:spacing w:before="160" w:after="160" w:line="720" w:lineRule="exact"/>
              <w:jc w:val="center"/>
              <w:outlineLvl w:val="1"/>
              <w:rPr>
                <w:rFonts w:ascii="宋体" w:hAnsi="宋体" w:cs="宋体"/>
                <w:b/>
                <w:bCs/>
                <w:kern w:val="0"/>
                <w:sz w:val="24"/>
                <w:highlight w:val="none"/>
              </w:rPr>
            </w:pPr>
            <w:r>
              <w:rPr>
                <w:rFonts w:hint="eastAsia" w:ascii="宋体" w:hAnsi="宋体" w:cs="宋体"/>
                <w:b/>
                <w:bCs/>
                <w:kern w:val="0"/>
                <w:sz w:val="24"/>
                <w:highlight w:val="none"/>
              </w:rPr>
              <w:t>序号</w:t>
            </w:r>
          </w:p>
        </w:tc>
        <w:tc>
          <w:tcPr>
            <w:tcW w:w="1400" w:type="dxa"/>
            <w:tcBorders>
              <w:top w:val="single" w:color="auto" w:sz="8" w:space="0"/>
              <w:left w:val="nil"/>
              <w:bottom w:val="single" w:color="auto" w:sz="8" w:space="0"/>
              <w:right w:val="single" w:color="auto" w:sz="8" w:space="0"/>
            </w:tcBorders>
            <w:shd w:val="clear" w:color="000000" w:fill="D9D9D9"/>
            <w:vAlign w:val="center"/>
          </w:tcPr>
          <w:p w14:paraId="261CF342">
            <w:pPr>
              <w:keepNext/>
              <w:keepLines/>
              <w:widowControl/>
              <w:adjustRightInd/>
              <w:spacing w:before="160" w:after="160" w:line="720" w:lineRule="exact"/>
              <w:jc w:val="left"/>
              <w:outlineLvl w:val="1"/>
              <w:rPr>
                <w:rFonts w:ascii="宋体" w:hAnsi="宋体" w:cs="宋体"/>
                <w:b/>
                <w:bCs/>
                <w:kern w:val="0"/>
                <w:sz w:val="24"/>
                <w:highlight w:val="none"/>
              </w:rPr>
            </w:pPr>
            <w:r>
              <w:rPr>
                <w:rFonts w:hint="eastAsia" w:ascii="宋体" w:hAnsi="宋体" w:cs="宋体"/>
                <w:b/>
                <w:bCs/>
                <w:kern w:val="0"/>
                <w:sz w:val="24"/>
                <w:highlight w:val="none"/>
              </w:rPr>
              <w:t>一级性能参数指标</w:t>
            </w:r>
          </w:p>
        </w:tc>
        <w:tc>
          <w:tcPr>
            <w:tcW w:w="1420" w:type="dxa"/>
            <w:tcBorders>
              <w:top w:val="single" w:color="auto" w:sz="8" w:space="0"/>
              <w:left w:val="nil"/>
              <w:bottom w:val="single" w:color="auto" w:sz="8" w:space="0"/>
              <w:right w:val="single" w:color="auto" w:sz="8" w:space="0"/>
            </w:tcBorders>
            <w:shd w:val="clear" w:color="000000" w:fill="D9D9D9"/>
            <w:vAlign w:val="center"/>
          </w:tcPr>
          <w:p w14:paraId="37E2CF33">
            <w:pPr>
              <w:keepNext/>
              <w:keepLines/>
              <w:widowControl/>
              <w:adjustRightInd/>
              <w:spacing w:before="160" w:after="160" w:line="720" w:lineRule="exact"/>
              <w:jc w:val="left"/>
              <w:outlineLvl w:val="1"/>
              <w:rPr>
                <w:rFonts w:ascii="宋体" w:hAnsi="宋体" w:cs="宋体"/>
                <w:b/>
                <w:bCs/>
                <w:kern w:val="0"/>
                <w:sz w:val="24"/>
                <w:highlight w:val="none"/>
              </w:rPr>
            </w:pPr>
            <w:r>
              <w:rPr>
                <w:rFonts w:hint="eastAsia" w:ascii="宋体" w:hAnsi="宋体" w:cs="宋体"/>
                <w:b/>
                <w:bCs/>
                <w:kern w:val="0"/>
                <w:sz w:val="24"/>
                <w:highlight w:val="none"/>
              </w:rPr>
              <w:t>二级性能参数指标</w:t>
            </w:r>
          </w:p>
        </w:tc>
        <w:tc>
          <w:tcPr>
            <w:tcW w:w="5080" w:type="dxa"/>
            <w:tcBorders>
              <w:top w:val="single" w:color="auto" w:sz="8" w:space="0"/>
              <w:left w:val="nil"/>
              <w:bottom w:val="single" w:color="auto" w:sz="8" w:space="0"/>
              <w:right w:val="single" w:color="auto" w:sz="8" w:space="0"/>
            </w:tcBorders>
            <w:shd w:val="clear" w:color="000000" w:fill="D9D9D9"/>
            <w:vAlign w:val="center"/>
          </w:tcPr>
          <w:p w14:paraId="076E32C6">
            <w:pPr>
              <w:keepNext/>
              <w:keepLines/>
              <w:widowControl/>
              <w:adjustRightInd/>
              <w:spacing w:before="160" w:after="160" w:line="720" w:lineRule="exact"/>
              <w:jc w:val="center"/>
              <w:outlineLvl w:val="1"/>
              <w:rPr>
                <w:rFonts w:ascii="宋体" w:hAnsi="宋体" w:cs="宋体"/>
                <w:b/>
                <w:bCs/>
                <w:kern w:val="0"/>
                <w:sz w:val="24"/>
                <w:highlight w:val="none"/>
              </w:rPr>
            </w:pPr>
            <w:r>
              <w:rPr>
                <w:rFonts w:hint="eastAsia" w:ascii="宋体" w:hAnsi="宋体" w:cs="宋体"/>
                <w:b/>
                <w:bCs/>
                <w:kern w:val="0"/>
                <w:sz w:val="24"/>
                <w:highlight w:val="none"/>
              </w:rPr>
              <w:t>指标要求</w:t>
            </w:r>
          </w:p>
        </w:tc>
      </w:tr>
      <w:tr w14:paraId="106ACAE0">
        <w:tblPrEx>
          <w:tblCellMar>
            <w:top w:w="0" w:type="dxa"/>
            <w:left w:w="108" w:type="dxa"/>
            <w:bottom w:w="0" w:type="dxa"/>
            <w:right w:w="108" w:type="dxa"/>
          </w:tblCellMar>
        </w:tblPrEx>
        <w:trPr>
          <w:trHeight w:val="624" w:hRule="atLeast"/>
        </w:trPr>
        <w:tc>
          <w:tcPr>
            <w:tcW w:w="960" w:type="dxa"/>
            <w:vMerge w:val="restart"/>
            <w:tcBorders>
              <w:top w:val="nil"/>
              <w:left w:val="single" w:color="auto" w:sz="8" w:space="0"/>
              <w:bottom w:val="single" w:color="000000" w:sz="8" w:space="0"/>
              <w:right w:val="single" w:color="auto" w:sz="8" w:space="0"/>
            </w:tcBorders>
            <w:vAlign w:val="center"/>
          </w:tcPr>
          <w:p w14:paraId="44FB7FDB">
            <w:pPr>
              <w:widowControl/>
              <w:adjustRightInd/>
              <w:jc w:val="center"/>
              <w:rPr>
                <w:rFonts w:ascii="宋体" w:hAnsi="宋体" w:cs="宋体"/>
                <w:kern w:val="0"/>
                <w:sz w:val="24"/>
                <w:highlight w:val="none"/>
              </w:rPr>
            </w:pPr>
            <w:r>
              <w:rPr>
                <w:rFonts w:ascii="宋体" w:hAnsi="宋体" w:cs="宋体"/>
                <w:kern w:val="0"/>
                <w:sz w:val="24"/>
                <w:highlight w:val="none"/>
              </w:rPr>
              <w:t>1</w:t>
            </w:r>
          </w:p>
        </w:tc>
        <w:tc>
          <w:tcPr>
            <w:tcW w:w="1400" w:type="dxa"/>
            <w:vMerge w:val="restart"/>
            <w:tcBorders>
              <w:top w:val="nil"/>
              <w:left w:val="single" w:color="auto" w:sz="8" w:space="0"/>
              <w:bottom w:val="single" w:color="000000" w:sz="8" w:space="0"/>
              <w:right w:val="single" w:color="auto" w:sz="8" w:space="0"/>
            </w:tcBorders>
            <w:vAlign w:val="center"/>
          </w:tcPr>
          <w:p w14:paraId="3A1B493D">
            <w:pPr>
              <w:widowControl/>
              <w:adjustRightInd/>
              <w:jc w:val="center"/>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CPU规格</w:t>
            </w:r>
          </w:p>
        </w:tc>
        <w:tc>
          <w:tcPr>
            <w:tcW w:w="1420" w:type="dxa"/>
            <w:vMerge w:val="restart"/>
            <w:tcBorders>
              <w:top w:val="nil"/>
              <w:left w:val="single" w:color="auto" w:sz="8" w:space="0"/>
              <w:bottom w:val="single" w:color="000000" w:sz="8" w:space="0"/>
              <w:right w:val="single" w:color="auto" w:sz="8" w:space="0"/>
            </w:tcBorders>
            <w:vAlign w:val="center"/>
          </w:tcPr>
          <w:p w14:paraId="6D72A8A2">
            <w:pPr>
              <w:widowControl/>
              <w:adjustRightInd/>
              <w:jc w:val="center"/>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 xml:space="preserve">CPU </w:t>
            </w:r>
            <w:r>
              <w:rPr>
                <w:rFonts w:hint="eastAsia" w:ascii="宋体" w:hAnsi="宋体" w:cs="宋体"/>
                <w:kern w:val="0"/>
                <w:sz w:val="24"/>
                <w:highlight w:val="none"/>
              </w:rPr>
              <w:t>信息</w:t>
            </w:r>
          </w:p>
        </w:tc>
        <w:tc>
          <w:tcPr>
            <w:tcW w:w="5080" w:type="dxa"/>
            <w:tcBorders>
              <w:top w:val="single" w:color="auto" w:sz="8" w:space="0"/>
              <w:left w:val="single" w:color="auto" w:sz="8" w:space="0"/>
              <w:bottom w:val="single" w:color="auto" w:sz="8" w:space="0"/>
              <w:right w:val="single" w:color="auto" w:sz="8" w:space="0"/>
            </w:tcBorders>
            <w:vAlign w:val="center"/>
          </w:tcPr>
          <w:p w14:paraId="0D1468CE">
            <w:pPr>
              <w:widowControl/>
              <w:adjustRightInd/>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1）配置国产架构处理器，支持超线程技术和睿频技术；</w:t>
            </w:r>
          </w:p>
        </w:tc>
      </w:tr>
      <w:tr w14:paraId="206B41D9">
        <w:tblPrEx>
          <w:tblCellMar>
            <w:top w:w="0" w:type="dxa"/>
            <w:left w:w="108" w:type="dxa"/>
            <w:bottom w:w="0" w:type="dxa"/>
            <w:right w:w="108" w:type="dxa"/>
          </w:tblCellMar>
        </w:tblPrEx>
        <w:trPr>
          <w:trHeight w:val="1884" w:hRule="atLeast"/>
        </w:trPr>
        <w:tc>
          <w:tcPr>
            <w:tcW w:w="960" w:type="dxa"/>
            <w:vMerge w:val="continue"/>
            <w:tcBorders>
              <w:top w:val="nil"/>
              <w:left w:val="single" w:color="auto" w:sz="8" w:space="0"/>
              <w:bottom w:val="single" w:color="000000" w:sz="8" w:space="0"/>
              <w:right w:val="single" w:color="auto" w:sz="8" w:space="0"/>
            </w:tcBorders>
            <w:vAlign w:val="center"/>
          </w:tcPr>
          <w:p w14:paraId="577021DF">
            <w:pPr>
              <w:widowControl/>
              <w:adjustRightInd/>
              <w:jc w:val="left"/>
              <w:rPr>
                <w:rFonts w:ascii="宋体" w:hAnsi="宋体" w:cs="宋体"/>
                <w:kern w:val="0"/>
                <w:sz w:val="24"/>
                <w:highlight w:val="none"/>
              </w:rPr>
            </w:pPr>
          </w:p>
        </w:tc>
        <w:tc>
          <w:tcPr>
            <w:tcW w:w="1400" w:type="dxa"/>
            <w:vMerge w:val="continue"/>
            <w:tcBorders>
              <w:top w:val="nil"/>
              <w:left w:val="single" w:color="auto" w:sz="8" w:space="0"/>
              <w:bottom w:val="single" w:color="000000" w:sz="8" w:space="0"/>
              <w:right w:val="single" w:color="auto" w:sz="8" w:space="0"/>
            </w:tcBorders>
            <w:vAlign w:val="center"/>
          </w:tcPr>
          <w:p w14:paraId="133874E1">
            <w:pPr>
              <w:widowControl/>
              <w:adjustRightInd/>
              <w:jc w:val="left"/>
              <w:rPr>
                <w:rFonts w:ascii="宋体" w:hAnsi="宋体" w:cs="宋体"/>
                <w:kern w:val="0"/>
                <w:sz w:val="24"/>
                <w:highlight w:val="none"/>
              </w:rPr>
            </w:pPr>
          </w:p>
        </w:tc>
        <w:tc>
          <w:tcPr>
            <w:tcW w:w="1420" w:type="dxa"/>
            <w:vMerge w:val="continue"/>
            <w:tcBorders>
              <w:top w:val="nil"/>
              <w:left w:val="single" w:color="auto" w:sz="8" w:space="0"/>
              <w:bottom w:val="single" w:color="000000" w:sz="8" w:space="0"/>
              <w:right w:val="single" w:color="auto" w:sz="8" w:space="0"/>
            </w:tcBorders>
            <w:vAlign w:val="center"/>
          </w:tcPr>
          <w:p w14:paraId="0859CF92">
            <w:pPr>
              <w:widowControl/>
              <w:adjustRightInd/>
              <w:jc w:val="left"/>
              <w:rPr>
                <w:rFonts w:ascii="宋体" w:hAnsi="宋体" w:cs="宋体"/>
                <w:kern w:val="0"/>
                <w:sz w:val="24"/>
                <w:highlight w:val="none"/>
              </w:rPr>
            </w:pPr>
          </w:p>
        </w:tc>
        <w:tc>
          <w:tcPr>
            <w:tcW w:w="5080" w:type="dxa"/>
            <w:tcBorders>
              <w:top w:val="single" w:color="auto" w:sz="8" w:space="0"/>
              <w:left w:val="nil"/>
              <w:bottom w:val="single" w:color="auto" w:sz="8" w:space="0"/>
              <w:right w:val="single" w:color="auto" w:sz="8" w:space="0"/>
            </w:tcBorders>
            <w:vAlign w:val="center"/>
          </w:tcPr>
          <w:p w14:paraId="76FBACF2">
            <w:pPr>
              <w:widowControl/>
              <w:adjustRightInd/>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2）单颗CPU物理核心数≥16核、主频≥2.2GHz、末级缓存容量≥32MB、线程数≥32、热设计功耗≥180W、支持内存的最高速率≥</w:t>
            </w:r>
            <w:r>
              <w:rPr>
                <w:rFonts w:hint="eastAsia" w:ascii="宋体" w:hAnsi="宋体" w:cs="宋体"/>
                <w:kern w:val="0"/>
                <w:sz w:val="24"/>
                <w:highlight w:val="none"/>
              </w:rPr>
              <w:t>2933</w:t>
            </w:r>
            <w:r>
              <w:rPr>
                <w:rFonts w:ascii="宋体" w:hAnsi="宋体" w:cs="宋体"/>
                <w:kern w:val="0"/>
                <w:sz w:val="24"/>
                <w:highlight w:val="none"/>
              </w:rPr>
              <w:t>MHz、通道数≥4、位宽≥64位；</w:t>
            </w:r>
          </w:p>
          <w:p w14:paraId="62E37435">
            <w:pPr>
              <w:widowControl/>
              <w:adjustRightInd/>
              <w:rPr>
                <w:rFonts w:ascii="宋体" w:hAnsi="宋体" w:cs="宋体"/>
                <w:kern w:val="0"/>
                <w:sz w:val="24"/>
                <w:highlight w:val="none"/>
              </w:rPr>
            </w:pPr>
          </w:p>
          <w:p w14:paraId="225CF755">
            <w:pPr>
              <w:widowControl/>
              <w:adjustRightInd/>
              <w:rPr>
                <w:rFonts w:ascii="宋体" w:hAnsi="宋体" w:cs="宋体"/>
                <w:kern w:val="0"/>
                <w:sz w:val="24"/>
                <w:highlight w:val="none"/>
              </w:rPr>
            </w:pPr>
            <w:r>
              <w:rPr>
                <w:rFonts w:hint="eastAsia" w:ascii="宋体" w:hAnsi="宋体" w:cs="宋体"/>
                <w:kern w:val="0"/>
                <w:sz w:val="24"/>
                <w:highlight w:val="none"/>
              </w:rPr>
              <w:t>供应商应在投标时给出</w:t>
            </w:r>
            <w:r>
              <w:rPr>
                <w:rFonts w:ascii="宋体" w:hAnsi="宋体" w:cs="宋体"/>
                <w:kern w:val="0"/>
                <w:sz w:val="24"/>
                <w:highlight w:val="none"/>
              </w:rPr>
              <w:t>CPU型号；</w:t>
            </w:r>
          </w:p>
        </w:tc>
      </w:tr>
      <w:tr w14:paraId="3EC78A1D">
        <w:tblPrEx>
          <w:tblCellMar>
            <w:top w:w="0" w:type="dxa"/>
            <w:left w:w="108" w:type="dxa"/>
            <w:bottom w:w="0" w:type="dxa"/>
            <w:right w:w="108" w:type="dxa"/>
          </w:tblCellMar>
        </w:tblPrEx>
        <w:trPr>
          <w:trHeight w:val="1260" w:hRule="atLeast"/>
        </w:trPr>
        <w:tc>
          <w:tcPr>
            <w:tcW w:w="960" w:type="dxa"/>
            <w:tcBorders>
              <w:top w:val="nil"/>
              <w:left w:val="single" w:color="auto" w:sz="8" w:space="0"/>
              <w:bottom w:val="single" w:color="auto" w:sz="8" w:space="0"/>
              <w:right w:val="single" w:color="auto" w:sz="8" w:space="0"/>
            </w:tcBorders>
            <w:vAlign w:val="center"/>
          </w:tcPr>
          <w:p w14:paraId="4C4390A2">
            <w:pPr>
              <w:widowControl/>
              <w:adjustRightInd/>
              <w:jc w:val="center"/>
              <w:rPr>
                <w:rFonts w:ascii="宋体" w:hAnsi="宋体" w:cs="宋体"/>
                <w:kern w:val="0"/>
                <w:sz w:val="24"/>
                <w:highlight w:val="none"/>
              </w:rPr>
            </w:pPr>
            <w:r>
              <w:rPr>
                <w:rFonts w:ascii="宋体" w:hAnsi="宋体" w:cs="宋体"/>
                <w:kern w:val="0"/>
                <w:sz w:val="24"/>
                <w:highlight w:val="none"/>
              </w:rPr>
              <w:t>2</w:t>
            </w:r>
          </w:p>
        </w:tc>
        <w:tc>
          <w:tcPr>
            <w:tcW w:w="1400" w:type="dxa"/>
            <w:vMerge w:val="restart"/>
            <w:tcBorders>
              <w:top w:val="nil"/>
              <w:left w:val="single" w:color="auto" w:sz="8" w:space="0"/>
              <w:bottom w:val="single" w:color="000000" w:sz="8" w:space="0"/>
              <w:right w:val="single" w:color="auto" w:sz="8" w:space="0"/>
            </w:tcBorders>
            <w:vAlign w:val="center"/>
          </w:tcPr>
          <w:p w14:paraId="2899ADAC">
            <w:pPr>
              <w:widowControl/>
              <w:adjustRightInd/>
              <w:jc w:val="center"/>
              <w:rPr>
                <w:rFonts w:ascii="宋体" w:hAnsi="宋体" w:cs="宋体"/>
                <w:kern w:val="0"/>
                <w:sz w:val="24"/>
                <w:highlight w:val="none"/>
              </w:rPr>
            </w:pPr>
            <w:r>
              <w:rPr>
                <w:rFonts w:hint="eastAsia" w:ascii="宋体" w:hAnsi="宋体" w:cs="宋体"/>
                <w:kern w:val="0"/>
                <w:sz w:val="24"/>
                <w:highlight w:val="none"/>
              </w:rPr>
              <w:t>▲主板规格</w:t>
            </w:r>
          </w:p>
        </w:tc>
        <w:tc>
          <w:tcPr>
            <w:tcW w:w="1420" w:type="dxa"/>
            <w:tcBorders>
              <w:top w:val="nil"/>
              <w:left w:val="nil"/>
              <w:bottom w:val="single" w:color="auto" w:sz="8" w:space="0"/>
              <w:right w:val="single" w:color="auto" w:sz="8" w:space="0"/>
            </w:tcBorders>
            <w:vAlign w:val="center"/>
          </w:tcPr>
          <w:p w14:paraId="7B58FD95">
            <w:pPr>
              <w:widowControl/>
              <w:adjustRightInd/>
              <w:jc w:val="center"/>
              <w:rPr>
                <w:rFonts w:ascii="宋体" w:hAnsi="宋体" w:cs="宋体"/>
                <w:kern w:val="0"/>
                <w:sz w:val="24"/>
                <w:highlight w:val="none"/>
              </w:rPr>
            </w:pPr>
            <w:r>
              <w:rPr>
                <w:rFonts w:hint="eastAsia" w:ascii="宋体" w:hAnsi="宋体" w:cs="宋体"/>
                <w:kern w:val="0"/>
                <w:sz w:val="24"/>
                <w:highlight w:val="none"/>
              </w:rPr>
              <w:t>▲主板支持的</w:t>
            </w:r>
            <w:r>
              <w:rPr>
                <w:rFonts w:ascii="宋体" w:hAnsi="宋体" w:cs="宋体"/>
                <w:kern w:val="0"/>
                <w:sz w:val="24"/>
                <w:highlight w:val="none"/>
              </w:rPr>
              <w:t xml:space="preserve">CPU </w:t>
            </w:r>
            <w:r>
              <w:rPr>
                <w:rFonts w:hint="eastAsia" w:ascii="宋体" w:hAnsi="宋体" w:cs="宋体"/>
                <w:kern w:val="0"/>
                <w:sz w:val="24"/>
                <w:highlight w:val="none"/>
              </w:rPr>
              <w:t>和内存情况</w:t>
            </w:r>
          </w:p>
        </w:tc>
        <w:tc>
          <w:tcPr>
            <w:tcW w:w="5080" w:type="dxa"/>
            <w:tcBorders>
              <w:top w:val="nil"/>
              <w:left w:val="nil"/>
              <w:bottom w:val="single" w:color="auto" w:sz="8" w:space="0"/>
              <w:right w:val="single" w:color="auto" w:sz="8" w:space="0"/>
            </w:tcBorders>
            <w:vAlign w:val="center"/>
          </w:tcPr>
          <w:p w14:paraId="4BECF4D5">
            <w:pPr>
              <w:widowControl/>
              <w:adjustRightInd/>
              <w:rPr>
                <w:rFonts w:ascii="宋体" w:hAnsi="宋体" w:cs="宋体"/>
                <w:kern w:val="0"/>
                <w:sz w:val="24"/>
                <w:highlight w:val="none"/>
              </w:rPr>
            </w:pPr>
            <w:r>
              <w:rPr>
                <w:rFonts w:hint="eastAsia" w:ascii="宋体" w:hAnsi="宋体" w:cs="宋体"/>
                <w:kern w:val="0"/>
                <w:sz w:val="24"/>
                <w:highlight w:val="none"/>
              </w:rPr>
              <w:t>主板支持</w:t>
            </w:r>
            <w:r>
              <w:rPr>
                <w:rFonts w:ascii="宋体" w:hAnsi="宋体" w:cs="宋体"/>
                <w:kern w:val="0"/>
                <w:sz w:val="24"/>
                <w:highlight w:val="none"/>
              </w:rPr>
              <w:t xml:space="preserve">CPU </w:t>
            </w:r>
            <w:r>
              <w:rPr>
                <w:rFonts w:hint="eastAsia" w:ascii="宋体" w:hAnsi="宋体" w:cs="宋体"/>
                <w:kern w:val="0"/>
                <w:sz w:val="24"/>
                <w:highlight w:val="none"/>
              </w:rPr>
              <w:t>≥</w:t>
            </w:r>
            <w:r>
              <w:rPr>
                <w:rFonts w:ascii="宋体" w:hAnsi="宋体" w:cs="宋体"/>
                <w:kern w:val="0"/>
                <w:sz w:val="24"/>
                <w:highlight w:val="none"/>
              </w:rPr>
              <w:t>2颗，内存数量支持≥ 16个，</w:t>
            </w:r>
          </w:p>
          <w:p w14:paraId="0F086A53">
            <w:pPr>
              <w:widowControl/>
              <w:adjustRightInd/>
              <w:rPr>
                <w:rFonts w:ascii="宋体" w:hAnsi="宋体" w:cs="宋体"/>
                <w:kern w:val="0"/>
                <w:sz w:val="24"/>
                <w:highlight w:val="none"/>
              </w:rPr>
            </w:pPr>
            <w:r>
              <w:rPr>
                <w:rFonts w:hint="eastAsia" w:ascii="宋体" w:hAnsi="宋体" w:cs="宋体"/>
                <w:kern w:val="0"/>
                <w:sz w:val="24"/>
                <w:highlight w:val="none"/>
              </w:rPr>
              <w:t>供应商应在投标时给出主板支持的</w:t>
            </w:r>
            <w:r>
              <w:rPr>
                <w:rFonts w:ascii="宋体" w:hAnsi="宋体" w:cs="宋体"/>
                <w:kern w:val="0"/>
                <w:sz w:val="24"/>
                <w:highlight w:val="none"/>
              </w:rPr>
              <w:t>CPU型号；</w:t>
            </w:r>
          </w:p>
        </w:tc>
      </w:tr>
      <w:tr w14:paraId="139BBC5A">
        <w:tblPrEx>
          <w:tblCellMar>
            <w:top w:w="0" w:type="dxa"/>
            <w:left w:w="108" w:type="dxa"/>
            <w:bottom w:w="0" w:type="dxa"/>
            <w:right w:w="108" w:type="dxa"/>
          </w:tblCellMar>
        </w:tblPrEx>
        <w:trPr>
          <w:trHeight w:val="636" w:hRule="atLeast"/>
        </w:trPr>
        <w:tc>
          <w:tcPr>
            <w:tcW w:w="960" w:type="dxa"/>
            <w:tcBorders>
              <w:top w:val="nil"/>
              <w:left w:val="single" w:color="auto" w:sz="8" w:space="0"/>
              <w:bottom w:val="single" w:color="auto" w:sz="4" w:space="0"/>
              <w:right w:val="single" w:color="auto" w:sz="8" w:space="0"/>
            </w:tcBorders>
            <w:vAlign w:val="center"/>
          </w:tcPr>
          <w:p w14:paraId="2374AE2A">
            <w:pPr>
              <w:widowControl/>
              <w:adjustRightInd/>
              <w:jc w:val="center"/>
              <w:rPr>
                <w:rFonts w:ascii="宋体" w:hAnsi="宋体" w:cs="宋体"/>
                <w:kern w:val="0"/>
                <w:sz w:val="24"/>
                <w:highlight w:val="none"/>
              </w:rPr>
            </w:pPr>
            <w:r>
              <w:rPr>
                <w:rFonts w:ascii="宋体" w:hAnsi="宋体" w:cs="宋体"/>
                <w:kern w:val="0"/>
                <w:sz w:val="24"/>
                <w:highlight w:val="none"/>
              </w:rPr>
              <w:t>3</w:t>
            </w:r>
          </w:p>
        </w:tc>
        <w:tc>
          <w:tcPr>
            <w:tcW w:w="1400" w:type="dxa"/>
            <w:vMerge w:val="continue"/>
            <w:tcBorders>
              <w:top w:val="nil"/>
              <w:left w:val="single" w:color="auto" w:sz="8" w:space="0"/>
              <w:bottom w:val="single" w:color="auto" w:sz="4" w:space="0"/>
              <w:right w:val="single" w:color="auto" w:sz="8" w:space="0"/>
            </w:tcBorders>
            <w:vAlign w:val="center"/>
          </w:tcPr>
          <w:p w14:paraId="409E21EE">
            <w:pPr>
              <w:widowControl/>
              <w:adjustRightInd/>
              <w:jc w:val="left"/>
              <w:rPr>
                <w:rFonts w:ascii="宋体" w:hAnsi="宋体" w:cs="宋体"/>
                <w:kern w:val="0"/>
                <w:sz w:val="24"/>
                <w:highlight w:val="none"/>
              </w:rPr>
            </w:pPr>
          </w:p>
        </w:tc>
        <w:tc>
          <w:tcPr>
            <w:tcW w:w="1420" w:type="dxa"/>
            <w:tcBorders>
              <w:top w:val="nil"/>
              <w:left w:val="nil"/>
              <w:bottom w:val="single" w:color="auto" w:sz="4" w:space="0"/>
              <w:right w:val="single" w:color="auto" w:sz="8" w:space="0"/>
            </w:tcBorders>
            <w:vAlign w:val="center"/>
          </w:tcPr>
          <w:p w14:paraId="7F013B16">
            <w:pPr>
              <w:widowControl/>
              <w:adjustRightInd/>
              <w:jc w:val="center"/>
              <w:rPr>
                <w:rFonts w:ascii="宋体" w:hAnsi="宋体" w:cs="宋体"/>
                <w:kern w:val="0"/>
                <w:sz w:val="24"/>
                <w:highlight w:val="none"/>
              </w:rPr>
            </w:pPr>
            <w:r>
              <w:rPr>
                <w:rFonts w:hint="eastAsia" w:ascii="宋体" w:hAnsi="宋体" w:cs="宋体"/>
                <w:kern w:val="0"/>
                <w:sz w:val="24"/>
                <w:highlight w:val="none"/>
              </w:rPr>
              <w:t>▲主板内存槽数量</w:t>
            </w:r>
          </w:p>
        </w:tc>
        <w:tc>
          <w:tcPr>
            <w:tcW w:w="5080" w:type="dxa"/>
            <w:tcBorders>
              <w:top w:val="nil"/>
              <w:left w:val="nil"/>
              <w:bottom w:val="single" w:color="auto" w:sz="4" w:space="0"/>
              <w:right w:val="single" w:color="auto" w:sz="8" w:space="0"/>
            </w:tcBorders>
            <w:vAlign w:val="center"/>
          </w:tcPr>
          <w:p w14:paraId="0E38D0CA">
            <w:pPr>
              <w:widowControl/>
              <w:adjustRightInd/>
              <w:rPr>
                <w:rFonts w:ascii="宋体" w:hAnsi="宋体" w:cs="宋体"/>
                <w:kern w:val="0"/>
                <w:sz w:val="24"/>
                <w:highlight w:val="none"/>
              </w:rPr>
            </w:pPr>
            <w:r>
              <w:rPr>
                <w:rFonts w:hint="eastAsia" w:ascii="宋体" w:hAnsi="宋体" w:cs="宋体"/>
                <w:kern w:val="0"/>
                <w:sz w:val="24"/>
                <w:highlight w:val="none"/>
              </w:rPr>
              <w:t>主板内存槽数量≥</w:t>
            </w:r>
            <w:r>
              <w:rPr>
                <w:rFonts w:ascii="宋体" w:hAnsi="宋体" w:cs="宋体"/>
                <w:kern w:val="0"/>
                <w:sz w:val="24"/>
                <w:highlight w:val="none"/>
              </w:rPr>
              <w:t>16个</w:t>
            </w:r>
          </w:p>
        </w:tc>
      </w:tr>
      <w:tr w14:paraId="6727E1A0">
        <w:tblPrEx>
          <w:tblCellMar>
            <w:top w:w="0" w:type="dxa"/>
            <w:left w:w="108" w:type="dxa"/>
            <w:bottom w:w="0" w:type="dxa"/>
            <w:right w:w="108" w:type="dxa"/>
          </w:tblCellMar>
        </w:tblPrEx>
        <w:trPr>
          <w:trHeight w:val="624" w:hRule="atLeast"/>
        </w:trPr>
        <w:tc>
          <w:tcPr>
            <w:tcW w:w="960" w:type="dxa"/>
            <w:tcBorders>
              <w:top w:val="single" w:color="auto" w:sz="4" w:space="0"/>
              <w:left w:val="single" w:color="auto" w:sz="4" w:space="0"/>
              <w:bottom w:val="single" w:color="auto" w:sz="4" w:space="0"/>
              <w:right w:val="single" w:color="auto" w:sz="8" w:space="0"/>
            </w:tcBorders>
            <w:vAlign w:val="center"/>
          </w:tcPr>
          <w:p w14:paraId="2190627A">
            <w:pPr>
              <w:widowControl/>
              <w:adjustRightInd/>
              <w:jc w:val="center"/>
              <w:rPr>
                <w:rFonts w:ascii="宋体" w:hAnsi="宋体" w:cs="宋体"/>
                <w:kern w:val="0"/>
                <w:sz w:val="24"/>
                <w:highlight w:val="none"/>
              </w:rPr>
            </w:pPr>
            <w:r>
              <w:rPr>
                <w:rFonts w:ascii="宋体" w:hAnsi="宋体" w:cs="宋体"/>
                <w:kern w:val="0"/>
                <w:sz w:val="24"/>
                <w:highlight w:val="none"/>
              </w:rPr>
              <w:t>4</w:t>
            </w:r>
          </w:p>
        </w:tc>
        <w:tc>
          <w:tcPr>
            <w:tcW w:w="1400" w:type="dxa"/>
            <w:vMerge w:val="continue"/>
            <w:tcBorders>
              <w:top w:val="single" w:color="auto" w:sz="4" w:space="0"/>
              <w:left w:val="single" w:color="auto" w:sz="8" w:space="0"/>
              <w:bottom w:val="single" w:color="auto" w:sz="4" w:space="0"/>
              <w:right w:val="single" w:color="auto" w:sz="8" w:space="0"/>
            </w:tcBorders>
            <w:vAlign w:val="center"/>
          </w:tcPr>
          <w:p w14:paraId="1DBA73C2">
            <w:pPr>
              <w:widowControl/>
              <w:adjustRightInd/>
              <w:jc w:val="left"/>
              <w:rPr>
                <w:rFonts w:ascii="宋体" w:hAnsi="宋体" w:cs="宋体"/>
                <w:kern w:val="0"/>
                <w:sz w:val="24"/>
                <w:highlight w:val="none"/>
              </w:rPr>
            </w:pPr>
          </w:p>
        </w:tc>
        <w:tc>
          <w:tcPr>
            <w:tcW w:w="1420" w:type="dxa"/>
            <w:tcBorders>
              <w:top w:val="single" w:color="auto" w:sz="4" w:space="0"/>
              <w:left w:val="nil"/>
              <w:bottom w:val="single" w:color="auto" w:sz="4" w:space="0"/>
              <w:right w:val="single" w:color="auto" w:sz="8" w:space="0"/>
            </w:tcBorders>
            <w:vAlign w:val="center"/>
          </w:tcPr>
          <w:p w14:paraId="00158552">
            <w:pPr>
              <w:widowControl/>
              <w:adjustRightInd/>
              <w:jc w:val="center"/>
              <w:rPr>
                <w:rFonts w:ascii="宋体" w:hAnsi="宋体" w:cs="宋体"/>
                <w:kern w:val="0"/>
                <w:sz w:val="24"/>
                <w:highlight w:val="none"/>
              </w:rPr>
            </w:pPr>
            <w:r>
              <w:rPr>
                <w:rFonts w:hint="eastAsia" w:ascii="宋体" w:hAnsi="宋体" w:cs="宋体"/>
                <w:kern w:val="0"/>
                <w:sz w:val="24"/>
                <w:highlight w:val="none"/>
              </w:rPr>
              <w:t>▲主板存储接口</w:t>
            </w:r>
          </w:p>
        </w:tc>
        <w:tc>
          <w:tcPr>
            <w:tcW w:w="5080" w:type="dxa"/>
            <w:tcBorders>
              <w:top w:val="single" w:color="auto" w:sz="4" w:space="0"/>
              <w:left w:val="nil"/>
              <w:bottom w:val="single" w:color="auto" w:sz="4" w:space="0"/>
              <w:right w:val="single" w:color="auto" w:sz="4" w:space="0"/>
            </w:tcBorders>
            <w:vAlign w:val="center"/>
          </w:tcPr>
          <w:p w14:paraId="16C11DCC">
            <w:pPr>
              <w:widowControl/>
              <w:adjustRightInd/>
              <w:rPr>
                <w:rFonts w:ascii="宋体" w:hAnsi="宋体" w:cs="宋体"/>
                <w:kern w:val="0"/>
                <w:sz w:val="24"/>
                <w:highlight w:val="none"/>
              </w:rPr>
            </w:pPr>
            <w:r>
              <w:rPr>
                <w:rFonts w:hint="eastAsia" w:ascii="宋体" w:hAnsi="宋体" w:cs="宋体"/>
                <w:kern w:val="0"/>
                <w:sz w:val="24"/>
                <w:highlight w:val="none"/>
              </w:rPr>
              <w:t>主板支持</w:t>
            </w:r>
            <w:r>
              <w:rPr>
                <w:rFonts w:ascii="宋体" w:hAnsi="宋体" w:cs="宋体"/>
                <w:kern w:val="0"/>
                <w:sz w:val="24"/>
                <w:highlight w:val="none"/>
              </w:rPr>
              <w:t>SAS/SATA/NVMe SSD存储接口；</w:t>
            </w:r>
          </w:p>
        </w:tc>
      </w:tr>
      <w:tr w14:paraId="5D87A8B5">
        <w:tblPrEx>
          <w:tblCellMar>
            <w:top w:w="0" w:type="dxa"/>
            <w:left w:w="108" w:type="dxa"/>
            <w:bottom w:w="0" w:type="dxa"/>
            <w:right w:w="108" w:type="dxa"/>
          </w:tblCellMar>
        </w:tblPrEx>
        <w:trPr>
          <w:trHeight w:val="636" w:hRule="atLeast"/>
        </w:trPr>
        <w:tc>
          <w:tcPr>
            <w:tcW w:w="960" w:type="dxa"/>
            <w:tcBorders>
              <w:top w:val="single" w:color="auto" w:sz="4" w:space="0"/>
              <w:left w:val="single" w:color="auto" w:sz="8" w:space="0"/>
              <w:bottom w:val="single" w:color="auto" w:sz="8" w:space="0"/>
              <w:right w:val="single" w:color="auto" w:sz="8" w:space="0"/>
            </w:tcBorders>
            <w:vAlign w:val="center"/>
          </w:tcPr>
          <w:p w14:paraId="065AE662">
            <w:pPr>
              <w:widowControl/>
              <w:adjustRightInd/>
              <w:jc w:val="center"/>
              <w:rPr>
                <w:rFonts w:ascii="宋体" w:hAnsi="宋体" w:cs="宋体"/>
                <w:kern w:val="0"/>
                <w:sz w:val="24"/>
                <w:highlight w:val="none"/>
              </w:rPr>
            </w:pPr>
            <w:r>
              <w:rPr>
                <w:rFonts w:ascii="宋体" w:hAnsi="宋体" w:cs="宋体"/>
                <w:kern w:val="0"/>
                <w:sz w:val="24"/>
                <w:highlight w:val="none"/>
              </w:rPr>
              <w:t>5</w:t>
            </w:r>
          </w:p>
        </w:tc>
        <w:tc>
          <w:tcPr>
            <w:tcW w:w="1400" w:type="dxa"/>
            <w:vMerge w:val="continue"/>
            <w:tcBorders>
              <w:top w:val="single" w:color="auto" w:sz="4" w:space="0"/>
              <w:left w:val="single" w:color="auto" w:sz="8" w:space="0"/>
              <w:bottom w:val="single" w:color="000000" w:sz="8" w:space="0"/>
              <w:right w:val="single" w:color="auto" w:sz="8" w:space="0"/>
            </w:tcBorders>
            <w:vAlign w:val="center"/>
          </w:tcPr>
          <w:p w14:paraId="3F3E057C">
            <w:pPr>
              <w:widowControl/>
              <w:adjustRightInd/>
              <w:jc w:val="left"/>
              <w:rPr>
                <w:rFonts w:ascii="宋体" w:hAnsi="宋体" w:cs="宋体"/>
                <w:kern w:val="0"/>
                <w:sz w:val="24"/>
                <w:highlight w:val="none"/>
              </w:rPr>
            </w:pPr>
          </w:p>
        </w:tc>
        <w:tc>
          <w:tcPr>
            <w:tcW w:w="1420" w:type="dxa"/>
            <w:tcBorders>
              <w:top w:val="single" w:color="auto" w:sz="4" w:space="0"/>
              <w:left w:val="nil"/>
              <w:bottom w:val="single" w:color="auto" w:sz="8" w:space="0"/>
              <w:right w:val="single" w:color="auto" w:sz="8" w:space="0"/>
            </w:tcBorders>
            <w:vAlign w:val="center"/>
          </w:tcPr>
          <w:p w14:paraId="190050D0">
            <w:pPr>
              <w:widowControl/>
              <w:adjustRightInd/>
              <w:jc w:val="center"/>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 xml:space="preserve">PCIe </w:t>
            </w:r>
            <w:r>
              <w:rPr>
                <w:rFonts w:hint="eastAsia" w:ascii="宋体" w:hAnsi="宋体" w:cs="宋体"/>
                <w:kern w:val="0"/>
                <w:sz w:val="24"/>
                <w:highlight w:val="none"/>
              </w:rPr>
              <w:t>插槽接口</w:t>
            </w:r>
          </w:p>
        </w:tc>
        <w:tc>
          <w:tcPr>
            <w:tcW w:w="5080" w:type="dxa"/>
            <w:tcBorders>
              <w:top w:val="single" w:color="auto" w:sz="4" w:space="0"/>
              <w:left w:val="nil"/>
              <w:bottom w:val="single" w:color="auto" w:sz="8" w:space="0"/>
              <w:right w:val="single" w:color="auto" w:sz="8" w:space="0"/>
            </w:tcBorders>
            <w:vAlign w:val="center"/>
          </w:tcPr>
          <w:p w14:paraId="6DF2D3B6">
            <w:pPr>
              <w:widowControl/>
              <w:adjustRightInd/>
              <w:rPr>
                <w:rFonts w:ascii="宋体" w:hAnsi="宋体" w:cs="宋体"/>
                <w:kern w:val="0"/>
                <w:sz w:val="24"/>
                <w:highlight w:val="none"/>
              </w:rPr>
            </w:pPr>
            <w:r>
              <w:rPr>
                <w:rFonts w:hint="eastAsia" w:ascii="宋体" w:hAnsi="宋体" w:cs="宋体"/>
                <w:kern w:val="0"/>
                <w:sz w:val="24"/>
                <w:highlight w:val="none"/>
              </w:rPr>
              <w:t>符合 PCIe3.0 或以上的高速串行计</w:t>
            </w:r>
          </w:p>
          <w:p w14:paraId="4C85EE73">
            <w:pPr>
              <w:widowControl/>
              <w:adjustRightInd/>
              <w:rPr>
                <w:rFonts w:ascii="宋体" w:hAnsi="宋体" w:cs="宋体"/>
                <w:kern w:val="0"/>
                <w:sz w:val="24"/>
                <w:highlight w:val="none"/>
              </w:rPr>
            </w:pPr>
            <w:r>
              <w:rPr>
                <w:rFonts w:hint="eastAsia" w:ascii="宋体" w:hAnsi="宋体" w:cs="宋体"/>
                <w:kern w:val="0"/>
                <w:sz w:val="24"/>
                <w:highlight w:val="none"/>
              </w:rPr>
              <w:t>算机扩展总线标准，PCIe 的接口速</w:t>
            </w:r>
          </w:p>
          <w:p w14:paraId="6313155D">
            <w:pPr>
              <w:widowControl/>
              <w:adjustRightInd/>
              <w:rPr>
                <w:rFonts w:ascii="宋体" w:hAnsi="宋体" w:cs="宋体"/>
                <w:kern w:val="0"/>
                <w:sz w:val="24"/>
                <w:highlight w:val="none"/>
              </w:rPr>
            </w:pPr>
            <w:r>
              <w:rPr>
                <w:rFonts w:hint="eastAsia" w:ascii="宋体" w:hAnsi="宋体" w:cs="宋体"/>
                <w:kern w:val="0"/>
                <w:sz w:val="24"/>
                <w:highlight w:val="none"/>
              </w:rPr>
              <w:t>率与位宽需保证向下兼容</w:t>
            </w:r>
          </w:p>
        </w:tc>
      </w:tr>
      <w:tr w14:paraId="041E1C03">
        <w:tblPrEx>
          <w:tblCellMar>
            <w:top w:w="0" w:type="dxa"/>
            <w:left w:w="108" w:type="dxa"/>
            <w:bottom w:w="0" w:type="dxa"/>
            <w:right w:w="108" w:type="dxa"/>
          </w:tblCellMar>
        </w:tblPrEx>
        <w:trPr>
          <w:trHeight w:val="948" w:hRule="atLeast"/>
        </w:trPr>
        <w:tc>
          <w:tcPr>
            <w:tcW w:w="960" w:type="dxa"/>
            <w:tcBorders>
              <w:top w:val="nil"/>
              <w:left w:val="single" w:color="auto" w:sz="8" w:space="0"/>
              <w:bottom w:val="single" w:color="auto" w:sz="8" w:space="0"/>
              <w:right w:val="single" w:color="auto" w:sz="8" w:space="0"/>
            </w:tcBorders>
            <w:vAlign w:val="center"/>
          </w:tcPr>
          <w:p w14:paraId="35A394A5">
            <w:pPr>
              <w:widowControl/>
              <w:adjustRightInd/>
              <w:jc w:val="center"/>
              <w:rPr>
                <w:rFonts w:ascii="宋体" w:hAnsi="宋体" w:cs="宋体"/>
                <w:kern w:val="0"/>
                <w:sz w:val="24"/>
                <w:highlight w:val="none"/>
              </w:rPr>
            </w:pPr>
            <w:r>
              <w:rPr>
                <w:rFonts w:ascii="宋体" w:hAnsi="宋体" w:cs="宋体"/>
                <w:kern w:val="0"/>
                <w:sz w:val="24"/>
                <w:highlight w:val="none"/>
              </w:rPr>
              <w:t>6</w:t>
            </w:r>
          </w:p>
        </w:tc>
        <w:tc>
          <w:tcPr>
            <w:tcW w:w="1400" w:type="dxa"/>
            <w:vMerge w:val="continue"/>
            <w:tcBorders>
              <w:top w:val="nil"/>
              <w:left w:val="single" w:color="auto" w:sz="8" w:space="0"/>
              <w:bottom w:val="single" w:color="000000" w:sz="8" w:space="0"/>
              <w:right w:val="single" w:color="auto" w:sz="8" w:space="0"/>
            </w:tcBorders>
            <w:vAlign w:val="center"/>
          </w:tcPr>
          <w:p w14:paraId="715B04FF">
            <w:pPr>
              <w:widowControl/>
              <w:adjustRightInd/>
              <w:jc w:val="left"/>
              <w:rPr>
                <w:rFonts w:ascii="宋体" w:hAnsi="宋体" w:cs="宋体"/>
                <w:kern w:val="0"/>
                <w:sz w:val="24"/>
                <w:highlight w:val="none"/>
              </w:rPr>
            </w:pPr>
          </w:p>
        </w:tc>
        <w:tc>
          <w:tcPr>
            <w:tcW w:w="1420" w:type="dxa"/>
            <w:tcBorders>
              <w:top w:val="nil"/>
              <w:left w:val="nil"/>
              <w:bottom w:val="single" w:color="auto" w:sz="8" w:space="0"/>
              <w:right w:val="single" w:color="auto" w:sz="8" w:space="0"/>
            </w:tcBorders>
            <w:vAlign w:val="center"/>
          </w:tcPr>
          <w:p w14:paraId="68EE9575">
            <w:pPr>
              <w:widowControl/>
              <w:adjustRightInd/>
              <w:jc w:val="center"/>
              <w:rPr>
                <w:rFonts w:ascii="宋体" w:hAnsi="宋体" w:cs="宋体"/>
                <w:kern w:val="0"/>
                <w:sz w:val="24"/>
                <w:highlight w:val="none"/>
              </w:rPr>
            </w:pPr>
            <w:r>
              <w:rPr>
                <w:rFonts w:hint="eastAsia" w:ascii="宋体" w:hAnsi="宋体" w:cs="宋体"/>
                <w:kern w:val="0"/>
                <w:sz w:val="24"/>
                <w:highlight w:val="none"/>
              </w:rPr>
              <w:t>▲主板</w:t>
            </w:r>
            <w:r>
              <w:rPr>
                <w:rFonts w:ascii="宋体" w:hAnsi="宋体" w:cs="宋体"/>
                <w:kern w:val="0"/>
                <w:sz w:val="24"/>
                <w:highlight w:val="none"/>
              </w:rPr>
              <w:t xml:space="preserve"> PCIe </w:t>
            </w:r>
            <w:r>
              <w:rPr>
                <w:rFonts w:hint="eastAsia" w:ascii="宋体" w:hAnsi="宋体" w:cs="宋体"/>
                <w:kern w:val="0"/>
                <w:sz w:val="24"/>
                <w:highlight w:val="none"/>
              </w:rPr>
              <w:t>插槽数量及规格</w:t>
            </w:r>
          </w:p>
        </w:tc>
        <w:tc>
          <w:tcPr>
            <w:tcW w:w="5080" w:type="dxa"/>
            <w:tcBorders>
              <w:top w:val="nil"/>
              <w:left w:val="nil"/>
              <w:bottom w:val="single" w:color="auto" w:sz="8" w:space="0"/>
              <w:right w:val="single" w:color="auto" w:sz="8" w:space="0"/>
            </w:tcBorders>
            <w:vAlign w:val="center"/>
          </w:tcPr>
          <w:p w14:paraId="731A83A8">
            <w:pPr>
              <w:widowControl/>
              <w:adjustRightInd/>
              <w:rPr>
                <w:rFonts w:ascii="宋体" w:hAnsi="宋体" w:cs="宋体"/>
                <w:kern w:val="0"/>
                <w:sz w:val="24"/>
                <w:highlight w:val="none"/>
              </w:rPr>
            </w:pPr>
            <w:r>
              <w:rPr>
                <w:rFonts w:hint="eastAsia" w:ascii="宋体" w:hAnsi="宋体" w:cs="宋体"/>
                <w:kern w:val="0"/>
                <w:sz w:val="24"/>
                <w:highlight w:val="none"/>
              </w:rPr>
              <w:t>PCIe插槽≥5，可通过扩展卡进行插</w:t>
            </w:r>
          </w:p>
          <w:p w14:paraId="08E2023B">
            <w:pPr>
              <w:widowControl/>
              <w:adjustRightInd/>
              <w:rPr>
                <w:rFonts w:ascii="宋体" w:hAnsi="宋体" w:cs="宋体"/>
                <w:kern w:val="0"/>
                <w:sz w:val="24"/>
                <w:highlight w:val="none"/>
              </w:rPr>
            </w:pPr>
            <w:r>
              <w:rPr>
                <w:rFonts w:hint="eastAsia" w:ascii="宋体" w:hAnsi="宋体" w:cs="宋体"/>
                <w:kern w:val="0"/>
                <w:sz w:val="24"/>
                <w:highlight w:val="none"/>
              </w:rPr>
              <w:t>槽扩展；</w:t>
            </w:r>
          </w:p>
        </w:tc>
      </w:tr>
      <w:tr w14:paraId="38DBCC98">
        <w:tblPrEx>
          <w:tblCellMar>
            <w:top w:w="0" w:type="dxa"/>
            <w:left w:w="108" w:type="dxa"/>
            <w:bottom w:w="0" w:type="dxa"/>
            <w:right w:w="108" w:type="dxa"/>
          </w:tblCellMar>
        </w:tblPrEx>
        <w:trPr>
          <w:trHeight w:val="324" w:hRule="atLeast"/>
        </w:trPr>
        <w:tc>
          <w:tcPr>
            <w:tcW w:w="960" w:type="dxa"/>
            <w:tcBorders>
              <w:top w:val="nil"/>
              <w:left w:val="single" w:color="auto" w:sz="8" w:space="0"/>
              <w:bottom w:val="single" w:color="auto" w:sz="8" w:space="0"/>
              <w:right w:val="single" w:color="auto" w:sz="8" w:space="0"/>
            </w:tcBorders>
            <w:vAlign w:val="center"/>
          </w:tcPr>
          <w:p w14:paraId="5F311868">
            <w:pPr>
              <w:widowControl/>
              <w:adjustRightInd/>
              <w:jc w:val="center"/>
              <w:rPr>
                <w:rFonts w:ascii="宋体" w:hAnsi="宋体" w:cs="宋体"/>
                <w:kern w:val="0"/>
                <w:sz w:val="24"/>
                <w:highlight w:val="none"/>
              </w:rPr>
            </w:pPr>
            <w:r>
              <w:rPr>
                <w:rFonts w:ascii="宋体" w:hAnsi="宋体" w:cs="宋体"/>
                <w:kern w:val="0"/>
                <w:sz w:val="24"/>
                <w:highlight w:val="none"/>
              </w:rPr>
              <w:t>7</w:t>
            </w:r>
          </w:p>
        </w:tc>
        <w:tc>
          <w:tcPr>
            <w:tcW w:w="1400" w:type="dxa"/>
            <w:vMerge w:val="restart"/>
            <w:tcBorders>
              <w:top w:val="nil"/>
              <w:left w:val="single" w:color="auto" w:sz="8" w:space="0"/>
              <w:bottom w:val="single" w:color="000000" w:sz="8" w:space="0"/>
              <w:right w:val="single" w:color="auto" w:sz="8" w:space="0"/>
            </w:tcBorders>
            <w:vAlign w:val="center"/>
          </w:tcPr>
          <w:p w14:paraId="44272BE7">
            <w:pPr>
              <w:widowControl/>
              <w:adjustRightInd/>
              <w:jc w:val="center"/>
              <w:rPr>
                <w:rFonts w:ascii="宋体" w:hAnsi="宋体" w:cs="宋体"/>
                <w:kern w:val="0"/>
                <w:sz w:val="24"/>
                <w:highlight w:val="none"/>
              </w:rPr>
            </w:pPr>
            <w:r>
              <w:rPr>
                <w:rFonts w:hint="eastAsia" w:ascii="宋体" w:hAnsi="宋体" w:cs="宋体"/>
                <w:kern w:val="0"/>
                <w:sz w:val="24"/>
                <w:highlight w:val="none"/>
              </w:rPr>
              <w:t>▲内存规格</w:t>
            </w:r>
          </w:p>
        </w:tc>
        <w:tc>
          <w:tcPr>
            <w:tcW w:w="1420" w:type="dxa"/>
            <w:tcBorders>
              <w:top w:val="nil"/>
              <w:left w:val="nil"/>
              <w:bottom w:val="single" w:color="auto" w:sz="8" w:space="0"/>
              <w:right w:val="single" w:color="auto" w:sz="8" w:space="0"/>
            </w:tcBorders>
            <w:vAlign w:val="center"/>
          </w:tcPr>
          <w:p w14:paraId="10943C0B">
            <w:pPr>
              <w:widowControl/>
              <w:adjustRightInd/>
              <w:jc w:val="center"/>
              <w:rPr>
                <w:rFonts w:ascii="宋体" w:hAnsi="宋体" w:cs="宋体"/>
                <w:kern w:val="0"/>
                <w:sz w:val="24"/>
                <w:highlight w:val="none"/>
              </w:rPr>
            </w:pPr>
            <w:r>
              <w:rPr>
                <w:rFonts w:hint="eastAsia" w:ascii="宋体" w:hAnsi="宋体" w:cs="宋体"/>
                <w:kern w:val="0"/>
                <w:sz w:val="24"/>
                <w:highlight w:val="none"/>
              </w:rPr>
              <w:t>▲内存数量</w:t>
            </w:r>
          </w:p>
        </w:tc>
        <w:tc>
          <w:tcPr>
            <w:tcW w:w="5080" w:type="dxa"/>
            <w:tcBorders>
              <w:top w:val="nil"/>
              <w:left w:val="nil"/>
              <w:bottom w:val="single" w:color="auto" w:sz="8" w:space="0"/>
              <w:right w:val="single" w:color="auto" w:sz="8" w:space="0"/>
            </w:tcBorders>
            <w:vAlign w:val="center"/>
          </w:tcPr>
          <w:p w14:paraId="3BD57D28">
            <w:pPr>
              <w:widowControl/>
              <w:adjustRightInd/>
              <w:rPr>
                <w:rFonts w:ascii="宋体" w:hAnsi="宋体" w:cs="宋体"/>
                <w:kern w:val="0"/>
                <w:sz w:val="24"/>
                <w:highlight w:val="none"/>
              </w:rPr>
            </w:pPr>
            <w:r>
              <w:rPr>
                <w:rFonts w:hint="eastAsia" w:ascii="宋体" w:hAnsi="宋体" w:cs="宋体"/>
                <w:kern w:val="0"/>
                <w:sz w:val="24"/>
                <w:highlight w:val="none"/>
              </w:rPr>
              <w:t>内存数量≥</w:t>
            </w:r>
            <w:r>
              <w:rPr>
                <w:rFonts w:ascii="宋体" w:hAnsi="宋体" w:cs="宋体"/>
                <w:kern w:val="0"/>
                <w:sz w:val="24"/>
                <w:highlight w:val="none"/>
              </w:rPr>
              <w:t>4</w:t>
            </w:r>
          </w:p>
        </w:tc>
      </w:tr>
      <w:tr w14:paraId="00E37AA4">
        <w:tblPrEx>
          <w:tblCellMar>
            <w:top w:w="0" w:type="dxa"/>
            <w:left w:w="108" w:type="dxa"/>
            <w:bottom w:w="0" w:type="dxa"/>
            <w:right w:w="108" w:type="dxa"/>
          </w:tblCellMar>
        </w:tblPrEx>
        <w:trPr>
          <w:trHeight w:val="324" w:hRule="atLeast"/>
        </w:trPr>
        <w:tc>
          <w:tcPr>
            <w:tcW w:w="960" w:type="dxa"/>
            <w:tcBorders>
              <w:top w:val="nil"/>
              <w:left w:val="single" w:color="auto" w:sz="8" w:space="0"/>
              <w:bottom w:val="single" w:color="auto" w:sz="8" w:space="0"/>
              <w:right w:val="single" w:color="auto" w:sz="8" w:space="0"/>
            </w:tcBorders>
            <w:vAlign w:val="center"/>
          </w:tcPr>
          <w:p w14:paraId="267F5441">
            <w:pPr>
              <w:widowControl/>
              <w:adjustRightInd/>
              <w:jc w:val="center"/>
              <w:rPr>
                <w:rFonts w:ascii="宋体" w:hAnsi="宋体" w:cs="宋体"/>
                <w:kern w:val="0"/>
                <w:sz w:val="24"/>
                <w:highlight w:val="none"/>
              </w:rPr>
            </w:pPr>
            <w:r>
              <w:rPr>
                <w:rFonts w:ascii="宋体" w:hAnsi="宋体" w:cs="宋体"/>
                <w:kern w:val="0"/>
                <w:sz w:val="24"/>
                <w:highlight w:val="none"/>
              </w:rPr>
              <w:t>8</w:t>
            </w:r>
          </w:p>
        </w:tc>
        <w:tc>
          <w:tcPr>
            <w:tcW w:w="1400" w:type="dxa"/>
            <w:vMerge w:val="continue"/>
            <w:tcBorders>
              <w:top w:val="nil"/>
              <w:left w:val="single" w:color="auto" w:sz="8" w:space="0"/>
              <w:bottom w:val="single" w:color="000000" w:sz="8" w:space="0"/>
              <w:right w:val="single" w:color="auto" w:sz="8" w:space="0"/>
            </w:tcBorders>
            <w:vAlign w:val="center"/>
          </w:tcPr>
          <w:p w14:paraId="7F41FA66">
            <w:pPr>
              <w:widowControl/>
              <w:adjustRightInd/>
              <w:jc w:val="left"/>
              <w:rPr>
                <w:rFonts w:ascii="宋体" w:hAnsi="宋体" w:cs="宋体"/>
                <w:kern w:val="0"/>
                <w:sz w:val="24"/>
                <w:highlight w:val="none"/>
              </w:rPr>
            </w:pPr>
          </w:p>
        </w:tc>
        <w:tc>
          <w:tcPr>
            <w:tcW w:w="1420" w:type="dxa"/>
            <w:tcBorders>
              <w:top w:val="nil"/>
              <w:left w:val="nil"/>
              <w:bottom w:val="single" w:color="auto" w:sz="8" w:space="0"/>
              <w:right w:val="single" w:color="auto" w:sz="8" w:space="0"/>
            </w:tcBorders>
            <w:vAlign w:val="center"/>
          </w:tcPr>
          <w:p w14:paraId="0EF3AADA">
            <w:pPr>
              <w:widowControl/>
              <w:adjustRightInd/>
              <w:jc w:val="center"/>
              <w:rPr>
                <w:rFonts w:ascii="宋体" w:hAnsi="宋体" w:cs="宋体"/>
                <w:kern w:val="0"/>
                <w:sz w:val="24"/>
                <w:highlight w:val="none"/>
              </w:rPr>
            </w:pPr>
            <w:r>
              <w:rPr>
                <w:rFonts w:hint="eastAsia" w:ascii="宋体" w:hAnsi="宋体" w:cs="宋体"/>
                <w:kern w:val="0"/>
                <w:sz w:val="24"/>
                <w:highlight w:val="none"/>
              </w:rPr>
              <w:t>▲内存规格</w:t>
            </w:r>
          </w:p>
        </w:tc>
        <w:tc>
          <w:tcPr>
            <w:tcW w:w="5080" w:type="dxa"/>
            <w:tcBorders>
              <w:top w:val="nil"/>
              <w:left w:val="nil"/>
              <w:bottom w:val="single" w:color="auto" w:sz="8" w:space="0"/>
              <w:right w:val="single" w:color="auto" w:sz="8" w:space="0"/>
            </w:tcBorders>
            <w:vAlign w:val="center"/>
          </w:tcPr>
          <w:p w14:paraId="427A33D8">
            <w:pPr>
              <w:widowControl/>
              <w:adjustRightInd/>
              <w:rPr>
                <w:rFonts w:ascii="宋体" w:hAnsi="宋体" w:cs="宋体"/>
                <w:kern w:val="0"/>
                <w:sz w:val="24"/>
                <w:highlight w:val="none"/>
              </w:rPr>
            </w:pPr>
            <w:r>
              <w:rPr>
                <w:rFonts w:hint="eastAsia" w:ascii="宋体" w:hAnsi="宋体" w:cs="宋体"/>
                <w:kern w:val="0"/>
                <w:sz w:val="24"/>
                <w:highlight w:val="none"/>
              </w:rPr>
              <w:t>实配≥</w:t>
            </w:r>
            <w:r>
              <w:rPr>
                <w:rFonts w:ascii="宋体" w:hAnsi="宋体" w:cs="宋体"/>
                <w:kern w:val="0"/>
                <w:sz w:val="24"/>
                <w:highlight w:val="none"/>
              </w:rPr>
              <w:t>16GB DDR4*4</w:t>
            </w:r>
          </w:p>
        </w:tc>
      </w:tr>
      <w:tr w14:paraId="40439D04">
        <w:tblPrEx>
          <w:tblCellMar>
            <w:top w:w="0" w:type="dxa"/>
            <w:left w:w="108" w:type="dxa"/>
            <w:bottom w:w="0" w:type="dxa"/>
            <w:right w:w="108" w:type="dxa"/>
          </w:tblCellMar>
        </w:tblPrEx>
        <w:trPr>
          <w:trHeight w:val="324" w:hRule="atLeast"/>
        </w:trPr>
        <w:tc>
          <w:tcPr>
            <w:tcW w:w="960" w:type="dxa"/>
            <w:tcBorders>
              <w:top w:val="nil"/>
              <w:left w:val="single" w:color="auto" w:sz="8" w:space="0"/>
              <w:bottom w:val="single" w:color="auto" w:sz="8" w:space="0"/>
              <w:right w:val="single" w:color="auto" w:sz="8" w:space="0"/>
            </w:tcBorders>
            <w:vAlign w:val="center"/>
          </w:tcPr>
          <w:p w14:paraId="0B876102">
            <w:pPr>
              <w:widowControl/>
              <w:adjustRightInd/>
              <w:jc w:val="center"/>
              <w:rPr>
                <w:rFonts w:ascii="宋体" w:hAnsi="宋体" w:cs="宋体"/>
                <w:kern w:val="0"/>
                <w:sz w:val="24"/>
                <w:highlight w:val="none"/>
              </w:rPr>
            </w:pPr>
            <w:r>
              <w:rPr>
                <w:rFonts w:ascii="宋体" w:hAnsi="宋体" w:cs="宋体"/>
                <w:kern w:val="0"/>
                <w:sz w:val="24"/>
                <w:highlight w:val="none"/>
              </w:rPr>
              <w:t>9</w:t>
            </w:r>
          </w:p>
        </w:tc>
        <w:tc>
          <w:tcPr>
            <w:tcW w:w="1400" w:type="dxa"/>
            <w:vMerge w:val="continue"/>
            <w:tcBorders>
              <w:top w:val="nil"/>
              <w:left w:val="single" w:color="auto" w:sz="8" w:space="0"/>
              <w:bottom w:val="single" w:color="000000" w:sz="8" w:space="0"/>
              <w:right w:val="single" w:color="auto" w:sz="8" w:space="0"/>
            </w:tcBorders>
            <w:vAlign w:val="center"/>
          </w:tcPr>
          <w:p w14:paraId="42B5BB4F">
            <w:pPr>
              <w:widowControl/>
              <w:adjustRightInd/>
              <w:jc w:val="left"/>
              <w:rPr>
                <w:rFonts w:ascii="宋体" w:hAnsi="宋体" w:cs="宋体"/>
                <w:kern w:val="0"/>
                <w:sz w:val="24"/>
                <w:highlight w:val="none"/>
              </w:rPr>
            </w:pPr>
          </w:p>
        </w:tc>
        <w:tc>
          <w:tcPr>
            <w:tcW w:w="1420" w:type="dxa"/>
            <w:tcBorders>
              <w:top w:val="nil"/>
              <w:left w:val="nil"/>
              <w:bottom w:val="single" w:color="auto" w:sz="8" w:space="0"/>
              <w:right w:val="single" w:color="auto" w:sz="8" w:space="0"/>
            </w:tcBorders>
            <w:vAlign w:val="center"/>
          </w:tcPr>
          <w:p w14:paraId="243401AD">
            <w:pPr>
              <w:widowControl/>
              <w:adjustRightInd/>
              <w:jc w:val="center"/>
              <w:rPr>
                <w:rFonts w:ascii="宋体" w:hAnsi="宋体" w:cs="宋体"/>
                <w:kern w:val="0"/>
                <w:sz w:val="24"/>
                <w:highlight w:val="none"/>
              </w:rPr>
            </w:pPr>
            <w:r>
              <w:rPr>
                <w:rFonts w:hint="eastAsia" w:ascii="宋体" w:hAnsi="宋体" w:cs="宋体"/>
                <w:kern w:val="0"/>
                <w:sz w:val="24"/>
                <w:highlight w:val="none"/>
              </w:rPr>
              <w:t>▲内存通道</w:t>
            </w:r>
          </w:p>
        </w:tc>
        <w:tc>
          <w:tcPr>
            <w:tcW w:w="5080" w:type="dxa"/>
            <w:tcBorders>
              <w:top w:val="nil"/>
              <w:left w:val="nil"/>
              <w:bottom w:val="single" w:color="auto" w:sz="8" w:space="0"/>
              <w:right w:val="single" w:color="auto" w:sz="8" w:space="0"/>
            </w:tcBorders>
            <w:vAlign w:val="center"/>
          </w:tcPr>
          <w:p w14:paraId="147857A9">
            <w:pPr>
              <w:widowControl/>
              <w:adjustRightInd/>
              <w:rPr>
                <w:rFonts w:ascii="宋体" w:hAnsi="宋体" w:cs="宋体"/>
                <w:kern w:val="0"/>
                <w:sz w:val="24"/>
                <w:highlight w:val="none"/>
              </w:rPr>
            </w:pPr>
            <w:r>
              <w:rPr>
                <w:rFonts w:hint="eastAsia" w:ascii="宋体" w:hAnsi="宋体" w:cs="宋体"/>
                <w:kern w:val="0"/>
                <w:sz w:val="24"/>
                <w:highlight w:val="none"/>
              </w:rPr>
              <w:t>支持≥</w:t>
            </w:r>
            <w:r>
              <w:rPr>
                <w:rFonts w:ascii="宋体" w:hAnsi="宋体" w:cs="宋体"/>
                <w:kern w:val="0"/>
                <w:sz w:val="24"/>
                <w:highlight w:val="none"/>
              </w:rPr>
              <w:t>4个内存接口通道</w:t>
            </w:r>
          </w:p>
        </w:tc>
      </w:tr>
      <w:tr w14:paraId="587091ED">
        <w:tblPrEx>
          <w:tblCellMar>
            <w:top w:w="0" w:type="dxa"/>
            <w:left w:w="108" w:type="dxa"/>
            <w:bottom w:w="0" w:type="dxa"/>
            <w:right w:w="108" w:type="dxa"/>
          </w:tblCellMar>
        </w:tblPrEx>
        <w:trPr>
          <w:trHeight w:val="636" w:hRule="atLeast"/>
        </w:trPr>
        <w:tc>
          <w:tcPr>
            <w:tcW w:w="960" w:type="dxa"/>
            <w:tcBorders>
              <w:top w:val="nil"/>
              <w:left w:val="single" w:color="auto" w:sz="8" w:space="0"/>
              <w:bottom w:val="single" w:color="auto" w:sz="8" w:space="0"/>
              <w:right w:val="single" w:color="auto" w:sz="8" w:space="0"/>
            </w:tcBorders>
            <w:vAlign w:val="center"/>
          </w:tcPr>
          <w:p w14:paraId="13943F86">
            <w:pPr>
              <w:widowControl/>
              <w:adjustRightInd/>
              <w:jc w:val="center"/>
              <w:rPr>
                <w:rFonts w:ascii="宋体" w:hAnsi="宋体" w:cs="宋体"/>
                <w:kern w:val="0"/>
                <w:sz w:val="24"/>
                <w:highlight w:val="none"/>
              </w:rPr>
            </w:pPr>
            <w:r>
              <w:rPr>
                <w:rFonts w:ascii="宋体" w:hAnsi="宋体" w:cs="宋体"/>
                <w:kern w:val="0"/>
                <w:sz w:val="24"/>
                <w:highlight w:val="none"/>
              </w:rPr>
              <w:t>10</w:t>
            </w:r>
          </w:p>
        </w:tc>
        <w:tc>
          <w:tcPr>
            <w:tcW w:w="1400" w:type="dxa"/>
            <w:vMerge w:val="restart"/>
            <w:tcBorders>
              <w:top w:val="nil"/>
              <w:left w:val="single" w:color="auto" w:sz="8" w:space="0"/>
              <w:bottom w:val="nil"/>
              <w:right w:val="single" w:color="auto" w:sz="8" w:space="0"/>
            </w:tcBorders>
            <w:vAlign w:val="center"/>
          </w:tcPr>
          <w:p w14:paraId="7F879350">
            <w:pPr>
              <w:widowControl/>
              <w:adjustRightInd/>
              <w:jc w:val="center"/>
              <w:rPr>
                <w:rFonts w:ascii="宋体" w:hAnsi="宋体" w:cs="宋体"/>
                <w:kern w:val="0"/>
                <w:sz w:val="24"/>
                <w:highlight w:val="none"/>
              </w:rPr>
            </w:pPr>
            <w:r>
              <w:rPr>
                <w:rFonts w:hint="eastAsia" w:ascii="宋体" w:hAnsi="宋体" w:cs="宋体"/>
                <w:kern w:val="0"/>
                <w:sz w:val="24"/>
                <w:highlight w:val="none"/>
              </w:rPr>
              <w:t>▲存储规格</w:t>
            </w:r>
          </w:p>
        </w:tc>
        <w:tc>
          <w:tcPr>
            <w:tcW w:w="1420" w:type="dxa"/>
            <w:tcBorders>
              <w:top w:val="nil"/>
              <w:left w:val="nil"/>
              <w:bottom w:val="single" w:color="auto" w:sz="8" w:space="0"/>
              <w:right w:val="single" w:color="auto" w:sz="8" w:space="0"/>
            </w:tcBorders>
            <w:vAlign w:val="center"/>
          </w:tcPr>
          <w:p w14:paraId="5D7FA10A">
            <w:pPr>
              <w:widowControl/>
              <w:adjustRightInd/>
              <w:jc w:val="center"/>
              <w:rPr>
                <w:rFonts w:ascii="宋体" w:hAnsi="宋体" w:cs="宋体"/>
                <w:kern w:val="0"/>
                <w:sz w:val="24"/>
                <w:highlight w:val="none"/>
              </w:rPr>
            </w:pPr>
            <w:r>
              <w:rPr>
                <w:rFonts w:hint="eastAsia" w:ascii="宋体" w:hAnsi="宋体" w:cs="宋体"/>
                <w:kern w:val="0"/>
                <w:sz w:val="24"/>
                <w:highlight w:val="none"/>
              </w:rPr>
              <w:t>▲硬磁盘实配容量</w:t>
            </w:r>
          </w:p>
        </w:tc>
        <w:tc>
          <w:tcPr>
            <w:tcW w:w="5080" w:type="dxa"/>
            <w:tcBorders>
              <w:top w:val="nil"/>
              <w:left w:val="nil"/>
              <w:bottom w:val="single" w:color="auto" w:sz="8" w:space="0"/>
              <w:right w:val="single" w:color="auto" w:sz="8" w:space="0"/>
            </w:tcBorders>
            <w:vAlign w:val="center"/>
          </w:tcPr>
          <w:p w14:paraId="7EBF3088">
            <w:pPr>
              <w:widowControl/>
              <w:adjustRightInd/>
              <w:rPr>
                <w:rFonts w:ascii="宋体" w:hAnsi="宋体" w:cs="宋体"/>
                <w:kern w:val="0"/>
                <w:sz w:val="24"/>
                <w:highlight w:val="none"/>
              </w:rPr>
            </w:pPr>
            <w:r>
              <w:rPr>
                <w:rFonts w:hint="eastAsia" w:ascii="宋体" w:hAnsi="宋体" w:cs="宋体"/>
                <w:kern w:val="0"/>
                <w:sz w:val="24"/>
                <w:highlight w:val="none"/>
              </w:rPr>
              <w:t>实配≥</w:t>
            </w:r>
            <w:r>
              <w:rPr>
                <w:rFonts w:ascii="宋体" w:hAnsi="宋体" w:cs="宋体"/>
                <w:kern w:val="0"/>
                <w:sz w:val="24"/>
                <w:highlight w:val="none"/>
              </w:rPr>
              <w:t>4T</w:t>
            </w:r>
          </w:p>
        </w:tc>
      </w:tr>
      <w:tr w14:paraId="2B083D01">
        <w:tblPrEx>
          <w:tblCellMar>
            <w:top w:w="0" w:type="dxa"/>
            <w:left w:w="108" w:type="dxa"/>
            <w:bottom w:w="0" w:type="dxa"/>
            <w:right w:w="108" w:type="dxa"/>
          </w:tblCellMar>
        </w:tblPrEx>
        <w:trPr>
          <w:trHeight w:val="636" w:hRule="atLeast"/>
        </w:trPr>
        <w:tc>
          <w:tcPr>
            <w:tcW w:w="960" w:type="dxa"/>
            <w:tcBorders>
              <w:top w:val="nil"/>
              <w:left w:val="single" w:color="auto" w:sz="8" w:space="0"/>
              <w:bottom w:val="single" w:color="auto" w:sz="8" w:space="0"/>
              <w:right w:val="single" w:color="auto" w:sz="8" w:space="0"/>
            </w:tcBorders>
            <w:vAlign w:val="center"/>
          </w:tcPr>
          <w:p w14:paraId="1C40324F">
            <w:pPr>
              <w:widowControl/>
              <w:adjustRightInd/>
              <w:jc w:val="center"/>
              <w:rPr>
                <w:rFonts w:ascii="宋体" w:hAnsi="宋体" w:cs="宋体"/>
                <w:kern w:val="0"/>
                <w:sz w:val="24"/>
                <w:highlight w:val="none"/>
              </w:rPr>
            </w:pPr>
            <w:r>
              <w:rPr>
                <w:rFonts w:ascii="宋体" w:hAnsi="宋体" w:cs="宋体"/>
                <w:kern w:val="0"/>
                <w:sz w:val="24"/>
                <w:highlight w:val="none"/>
              </w:rPr>
              <w:t>11</w:t>
            </w:r>
          </w:p>
        </w:tc>
        <w:tc>
          <w:tcPr>
            <w:tcW w:w="1400" w:type="dxa"/>
            <w:vMerge w:val="continue"/>
            <w:tcBorders>
              <w:top w:val="nil"/>
              <w:left w:val="single" w:color="auto" w:sz="8" w:space="0"/>
              <w:bottom w:val="single" w:color="auto" w:sz="8" w:space="0"/>
              <w:right w:val="single" w:color="auto" w:sz="8" w:space="0"/>
            </w:tcBorders>
            <w:vAlign w:val="center"/>
          </w:tcPr>
          <w:p w14:paraId="48254DC6">
            <w:pPr>
              <w:widowControl/>
              <w:adjustRightInd/>
              <w:jc w:val="left"/>
              <w:rPr>
                <w:rFonts w:ascii="宋体" w:hAnsi="宋体" w:cs="宋体"/>
                <w:kern w:val="0"/>
                <w:sz w:val="24"/>
                <w:highlight w:val="none"/>
              </w:rPr>
            </w:pPr>
          </w:p>
        </w:tc>
        <w:tc>
          <w:tcPr>
            <w:tcW w:w="1420" w:type="dxa"/>
            <w:tcBorders>
              <w:top w:val="nil"/>
              <w:left w:val="nil"/>
              <w:bottom w:val="single" w:color="auto" w:sz="8" w:space="0"/>
              <w:right w:val="single" w:color="auto" w:sz="8" w:space="0"/>
            </w:tcBorders>
            <w:vAlign w:val="center"/>
          </w:tcPr>
          <w:p w14:paraId="0F7D5933">
            <w:pPr>
              <w:widowControl/>
              <w:adjustRightInd/>
              <w:jc w:val="center"/>
              <w:rPr>
                <w:rFonts w:ascii="宋体" w:hAnsi="宋体" w:cs="宋体"/>
                <w:kern w:val="0"/>
                <w:sz w:val="24"/>
                <w:highlight w:val="none"/>
              </w:rPr>
            </w:pPr>
            <w:r>
              <w:rPr>
                <w:rFonts w:hint="eastAsia" w:ascii="宋体" w:hAnsi="宋体" w:cs="宋体"/>
                <w:kern w:val="0"/>
                <w:sz w:val="24"/>
                <w:highlight w:val="none"/>
              </w:rPr>
              <w:t>▲硬盘实配数量</w:t>
            </w:r>
          </w:p>
        </w:tc>
        <w:tc>
          <w:tcPr>
            <w:tcW w:w="5080" w:type="dxa"/>
            <w:tcBorders>
              <w:top w:val="nil"/>
              <w:left w:val="nil"/>
              <w:bottom w:val="single" w:color="auto" w:sz="8" w:space="0"/>
              <w:right w:val="single" w:color="auto" w:sz="8" w:space="0"/>
            </w:tcBorders>
            <w:vAlign w:val="center"/>
          </w:tcPr>
          <w:p w14:paraId="0E301376">
            <w:pPr>
              <w:widowControl/>
              <w:adjustRightInd/>
              <w:rPr>
                <w:rFonts w:ascii="宋体" w:hAnsi="宋体" w:cs="宋体"/>
                <w:kern w:val="0"/>
                <w:sz w:val="24"/>
                <w:highlight w:val="none"/>
              </w:rPr>
            </w:pPr>
            <w:r>
              <w:rPr>
                <w:rFonts w:hint="eastAsia" w:ascii="宋体" w:hAnsi="宋体" w:cs="宋体"/>
                <w:kern w:val="0"/>
                <w:sz w:val="24"/>
                <w:highlight w:val="none"/>
              </w:rPr>
              <w:t>实配≥</w:t>
            </w:r>
            <w:r>
              <w:rPr>
                <w:rFonts w:ascii="宋体" w:hAnsi="宋体" w:cs="宋体"/>
                <w:kern w:val="0"/>
                <w:sz w:val="24"/>
                <w:highlight w:val="none"/>
              </w:rPr>
              <w:t>2块；</w:t>
            </w:r>
          </w:p>
        </w:tc>
      </w:tr>
      <w:tr w14:paraId="46D26F01">
        <w:tblPrEx>
          <w:tblCellMar>
            <w:top w:w="0" w:type="dxa"/>
            <w:left w:w="108" w:type="dxa"/>
            <w:bottom w:w="0" w:type="dxa"/>
            <w:right w:w="108" w:type="dxa"/>
          </w:tblCellMar>
        </w:tblPrEx>
        <w:trPr>
          <w:trHeight w:val="624" w:hRule="atLeast"/>
        </w:trPr>
        <w:tc>
          <w:tcPr>
            <w:tcW w:w="960" w:type="dxa"/>
            <w:tcBorders>
              <w:top w:val="single" w:color="auto" w:sz="8" w:space="0"/>
              <w:left w:val="single" w:color="auto" w:sz="8" w:space="0"/>
              <w:bottom w:val="single" w:color="auto" w:sz="8" w:space="0"/>
              <w:right w:val="single" w:color="auto" w:sz="8" w:space="0"/>
            </w:tcBorders>
            <w:vAlign w:val="center"/>
          </w:tcPr>
          <w:p w14:paraId="7880A80C">
            <w:pPr>
              <w:widowControl/>
              <w:adjustRightInd/>
              <w:jc w:val="center"/>
              <w:rPr>
                <w:rFonts w:ascii="宋体" w:hAnsi="宋体" w:cs="宋体"/>
                <w:kern w:val="0"/>
                <w:sz w:val="24"/>
                <w:highlight w:val="none"/>
              </w:rPr>
            </w:pPr>
            <w:r>
              <w:rPr>
                <w:rFonts w:ascii="宋体" w:hAnsi="宋体" w:cs="宋体"/>
                <w:kern w:val="0"/>
                <w:sz w:val="24"/>
                <w:highlight w:val="none"/>
              </w:rPr>
              <w:t>12</w:t>
            </w:r>
          </w:p>
        </w:tc>
        <w:tc>
          <w:tcPr>
            <w:tcW w:w="1400" w:type="dxa"/>
            <w:vMerge w:val="continue"/>
            <w:tcBorders>
              <w:top w:val="single" w:color="auto" w:sz="8" w:space="0"/>
              <w:left w:val="single" w:color="auto" w:sz="8" w:space="0"/>
              <w:bottom w:val="single" w:color="auto" w:sz="8" w:space="0"/>
              <w:right w:val="single" w:color="auto" w:sz="8" w:space="0"/>
            </w:tcBorders>
            <w:vAlign w:val="center"/>
          </w:tcPr>
          <w:p w14:paraId="5EDED695">
            <w:pPr>
              <w:widowControl/>
              <w:adjustRightInd/>
              <w:jc w:val="left"/>
              <w:rPr>
                <w:rFonts w:ascii="宋体" w:hAnsi="宋体" w:cs="宋体"/>
                <w:kern w:val="0"/>
                <w:sz w:val="24"/>
                <w:highlight w:val="none"/>
              </w:rPr>
            </w:pPr>
          </w:p>
        </w:tc>
        <w:tc>
          <w:tcPr>
            <w:tcW w:w="1420" w:type="dxa"/>
            <w:tcBorders>
              <w:top w:val="single" w:color="auto" w:sz="8" w:space="0"/>
              <w:left w:val="single" w:color="auto" w:sz="8" w:space="0"/>
              <w:bottom w:val="single" w:color="auto" w:sz="8" w:space="0"/>
              <w:right w:val="single" w:color="auto" w:sz="8" w:space="0"/>
            </w:tcBorders>
            <w:vAlign w:val="center"/>
          </w:tcPr>
          <w:p w14:paraId="612400A8">
            <w:pPr>
              <w:widowControl/>
              <w:adjustRightInd/>
              <w:jc w:val="center"/>
              <w:rPr>
                <w:rFonts w:ascii="宋体" w:hAnsi="宋体" w:cs="宋体"/>
                <w:kern w:val="0"/>
                <w:sz w:val="24"/>
                <w:highlight w:val="none"/>
              </w:rPr>
            </w:pPr>
            <w:r>
              <w:rPr>
                <w:rFonts w:hint="eastAsia" w:ascii="宋体" w:hAnsi="宋体" w:cs="宋体"/>
                <w:kern w:val="0"/>
                <w:sz w:val="24"/>
                <w:highlight w:val="none"/>
              </w:rPr>
              <w:t>▲硬盘插槽数量及规格</w:t>
            </w:r>
          </w:p>
        </w:tc>
        <w:tc>
          <w:tcPr>
            <w:tcW w:w="5080" w:type="dxa"/>
            <w:tcBorders>
              <w:top w:val="single" w:color="auto" w:sz="8" w:space="0"/>
              <w:left w:val="single" w:color="auto" w:sz="8" w:space="0"/>
              <w:bottom w:val="single" w:color="auto" w:sz="8" w:space="0"/>
              <w:right w:val="single" w:color="auto" w:sz="8" w:space="0"/>
            </w:tcBorders>
            <w:vAlign w:val="center"/>
          </w:tcPr>
          <w:p w14:paraId="05FD88B5">
            <w:pPr>
              <w:widowControl/>
              <w:adjustRightInd/>
              <w:rPr>
                <w:rFonts w:ascii="宋体" w:hAnsi="宋体" w:cs="宋体"/>
                <w:kern w:val="0"/>
                <w:sz w:val="24"/>
                <w:highlight w:val="none"/>
              </w:rPr>
            </w:pPr>
            <w:r>
              <w:rPr>
                <w:rFonts w:hint="eastAsia" w:ascii="宋体" w:hAnsi="宋体" w:cs="宋体"/>
                <w:kern w:val="0"/>
                <w:sz w:val="24"/>
                <w:highlight w:val="none"/>
              </w:rPr>
              <w:t>支持≥</w:t>
            </w:r>
            <w:r>
              <w:rPr>
                <w:rFonts w:ascii="宋体" w:hAnsi="宋体" w:cs="宋体"/>
                <w:kern w:val="0"/>
                <w:sz w:val="24"/>
                <w:highlight w:val="none"/>
              </w:rPr>
              <w:t>12个热插拔3.5硬盘或2.5硬盘</w:t>
            </w:r>
          </w:p>
        </w:tc>
      </w:tr>
      <w:tr w14:paraId="1EE7B7B4">
        <w:tblPrEx>
          <w:tblCellMar>
            <w:top w:w="0" w:type="dxa"/>
            <w:left w:w="108" w:type="dxa"/>
            <w:bottom w:w="0" w:type="dxa"/>
            <w:right w:w="108" w:type="dxa"/>
          </w:tblCellMar>
        </w:tblPrEx>
        <w:trPr>
          <w:trHeight w:val="636" w:hRule="atLeast"/>
        </w:trPr>
        <w:tc>
          <w:tcPr>
            <w:tcW w:w="960" w:type="dxa"/>
            <w:tcBorders>
              <w:top w:val="single" w:color="auto" w:sz="8" w:space="0"/>
              <w:left w:val="single" w:color="auto" w:sz="8" w:space="0"/>
              <w:bottom w:val="single" w:color="auto" w:sz="8" w:space="0"/>
              <w:right w:val="single" w:color="auto" w:sz="8" w:space="0"/>
            </w:tcBorders>
            <w:vAlign w:val="center"/>
          </w:tcPr>
          <w:p w14:paraId="28EFAF61">
            <w:pPr>
              <w:widowControl/>
              <w:adjustRightInd/>
              <w:jc w:val="center"/>
              <w:rPr>
                <w:rFonts w:ascii="宋体" w:hAnsi="宋体" w:cs="宋体"/>
                <w:kern w:val="0"/>
                <w:sz w:val="24"/>
                <w:highlight w:val="none"/>
              </w:rPr>
            </w:pPr>
            <w:r>
              <w:rPr>
                <w:rFonts w:ascii="宋体" w:hAnsi="宋体" w:cs="宋体"/>
                <w:kern w:val="0"/>
                <w:sz w:val="24"/>
                <w:highlight w:val="none"/>
              </w:rPr>
              <w:t>13</w:t>
            </w:r>
          </w:p>
        </w:tc>
        <w:tc>
          <w:tcPr>
            <w:tcW w:w="1400" w:type="dxa"/>
            <w:tcBorders>
              <w:top w:val="single" w:color="auto" w:sz="8" w:space="0"/>
              <w:left w:val="single" w:color="auto" w:sz="8" w:space="0"/>
              <w:bottom w:val="single" w:color="auto" w:sz="8" w:space="0"/>
              <w:right w:val="single" w:color="auto" w:sz="8" w:space="0"/>
            </w:tcBorders>
            <w:vAlign w:val="center"/>
          </w:tcPr>
          <w:p w14:paraId="2A6F48D4">
            <w:pPr>
              <w:widowControl/>
              <w:adjustRightInd/>
              <w:jc w:val="center"/>
              <w:rPr>
                <w:rFonts w:ascii="宋体" w:hAnsi="宋体" w:cs="宋体"/>
                <w:kern w:val="0"/>
                <w:sz w:val="24"/>
                <w:highlight w:val="none"/>
              </w:rPr>
            </w:pPr>
            <w:r>
              <w:rPr>
                <w:rFonts w:hint="eastAsia" w:ascii="宋体" w:hAnsi="宋体" w:cs="宋体"/>
                <w:kern w:val="0"/>
                <w:sz w:val="24"/>
                <w:highlight w:val="none"/>
              </w:rPr>
              <w:t>▲网络规格</w:t>
            </w:r>
          </w:p>
        </w:tc>
        <w:tc>
          <w:tcPr>
            <w:tcW w:w="1420" w:type="dxa"/>
            <w:tcBorders>
              <w:top w:val="single" w:color="auto" w:sz="8" w:space="0"/>
              <w:left w:val="single" w:color="auto" w:sz="8" w:space="0"/>
              <w:bottom w:val="single" w:color="auto" w:sz="8" w:space="0"/>
              <w:right w:val="single" w:color="auto" w:sz="8" w:space="0"/>
            </w:tcBorders>
            <w:vAlign w:val="center"/>
          </w:tcPr>
          <w:p w14:paraId="41D7ACF4">
            <w:pPr>
              <w:widowControl/>
              <w:adjustRightInd/>
              <w:jc w:val="center"/>
              <w:rPr>
                <w:rFonts w:ascii="宋体" w:hAnsi="宋体" w:cs="宋体"/>
                <w:kern w:val="0"/>
                <w:sz w:val="24"/>
                <w:highlight w:val="none"/>
              </w:rPr>
            </w:pPr>
            <w:r>
              <w:rPr>
                <w:rFonts w:hint="eastAsia" w:ascii="宋体" w:hAnsi="宋体" w:cs="宋体"/>
                <w:kern w:val="0"/>
                <w:sz w:val="24"/>
                <w:highlight w:val="none"/>
              </w:rPr>
              <w:t>▲网口速率和数量</w:t>
            </w:r>
          </w:p>
        </w:tc>
        <w:tc>
          <w:tcPr>
            <w:tcW w:w="5080" w:type="dxa"/>
            <w:tcBorders>
              <w:top w:val="single" w:color="auto" w:sz="8" w:space="0"/>
              <w:left w:val="single" w:color="auto" w:sz="8" w:space="0"/>
              <w:bottom w:val="single" w:color="auto" w:sz="8" w:space="0"/>
              <w:right w:val="single" w:color="auto" w:sz="8" w:space="0"/>
            </w:tcBorders>
            <w:vAlign w:val="center"/>
          </w:tcPr>
          <w:p w14:paraId="23C90C4C">
            <w:pPr>
              <w:widowControl/>
              <w:adjustRightInd/>
              <w:jc w:val="left"/>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8个千兆网口RJ45</w:t>
            </w:r>
          </w:p>
        </w:tc>
      </w:tr>
      <w:tr w14:paraId="2681B422">
        <w:tblPrEx>
          <w:tblCellMar>
            <w:top w:w="0" w:type="dxa"/>
            <w:left w:w="108" w:type="dxa"/>
            <w:bottom w:w="0" w:type="dxa"/>
            <w:right w:w="108" w:type="dxa"/>
          </w:tblCellMar>
        </w:tblPrEx>
        <w:trPr>
          <w:trHeight w:val="324" w:hRule="atLeast"/>
        </w:trPr>
        <w:tc>
          <w:tcPr>
            <w:tcW w:w="960" w:type="dxa"/>
            <w:tcBorders>
              <w:top w:val="single" w:color="auto" w:sz="8" w:space="0"/>
              <w:left w:val="single" w:color="auto" w:sz="8" w:space="0"/>
              <w:bottom w:val="single" w:color="auto" w:sz="8" w:space="0"/>
              <w:right w:val="single" w:color="auto" w:sz="8" w:space="0"/>
            </w:tcBorders>
            <w:vAlign w:val="center"/>
          </w:tcPr>
          <w:p w14:paraId="000881A6">
            <w:pPr>
              <w:widowControl/>
              <w:adjustRightInd/>
              <w:jc w:val="center"/>
              <w:rPr>
                <w:rFonts w:ascii="宋体" w:hAnsi="宋体" w:cs="宋体"/>
                <w:kern w:val="0"/>
                <w:sz w:val="24"/>
                <w:highlight w:val="none"/>
              </w:rPr>
            </w:pPr>
            <w:r>
              <w:rPr>
                <w:rFonts w:ascii="宋体" w:hAnsi="宋体" w:cs="宋体"/>
                <w:kern w:val="0"/>
                <w:sz w:val="24"/>
                <w:highlight w:val="none"/>
              </w:rPr>
              <w:t>14</w:t>
            </w:r>
          </w:p>
        </w:tc>
        <w:tc>
          <w:tcPr>
            <w:tcW w:w="1400" w:type="dxa"/>
            <w:vMerge w:val="restart"/>
            <w:tcBorders>
              <w:top w:val="single" w:color="auto" w:sz="8" w:space="0"/>
              <w:left w:val="single" w:color="auto" w:sz="8" w:space="0"/>
              <w:bottom w:val="single" w:color="000000" w:sz="8" w:space="0"/>
              <w:right w:val="single" w:color="auto" w:sz="8" w:space="0"/>
            </w:tcBorders>
            <w:vAlign w:val="center"/>
          </w:tcPr>
          <w:p w14:paraId="51F88534">
            <w:pPr>
              <w:widowControl/>
              <w:adjustRightInd/>
              <w:jc w:val="center"/>
              <w:rPr>
                <w:rFonts w:ascii="宋体" w:hAnsi="宋体" w:cs="宋体"/>
                <w:kern w:val="0"/>
                <w:sz w:val="24"/>
                <w:highlight w:val="none"/>
              </w:rPr>
            </w:pPr>
            <w:r>
              <w:rPr>
                <w:rFonts w:hint="eastAsia" w:ascii="宋体" w:hAnsi="宋体" w:cs="宋体"/>
                <w:kern w:val="0"/>
                <w:sz w:val="24"/>
                <w:highlight w:val="none"/>
              </w:rPr>
              <w:t>▲外部接口规格</w:t>
            </w:r>
          </w:p>
        </w:tc>
        <w:tc>
          <w:tcPr>
            <w:tcW w:w="1420" w:type="dxa"/>
            <w:tcBorders>
              <w:top w:val="single" w:color="auto" w:sz="8" w:space="0"/>
              <w:left w:val="nil"/>
              <w:bottom w:val="single" w:color="auto" w:sz="8" w:space="0"/>
              <w:right w:val="single" w:color="auto" w:sz="8" w:space="0"/>
            </w:tcBorders>
            <w:vAlign w:val="center"/>
          </w:tcPr>
          <w:p w14:paraId="5E702A6C">
            <w:pPr>
              <w:widowControl/>
              <w:adjustRightInd/>
              <w:jc w:val="center"/>
              <w:rPr>
                <w:rFonts w:ascii="宋体" w:hAnsi="宋体" w:cs="宋体"/>
                <w:kern w:val="0"/>
                <w:sz w:val="24"/>
                <w:highlight w:val="none"/>
              </w:rPr>
            </w:pPr>
            <w:r>
              <w:rPr>
                <w:rFonts w:hint="eastAsia" w:ascii="宋体" w:hAnsi="宋体" w:cs="宋体"/>
                <w:kern w:val="0"/>
                <w:sz w:val="24"/>
                <w:highlight w:val="none"/>
              </w:rPr>
              <w:t>▲显示接口</w:t>
            </w:r>
          </w:p>
        </w:tc>
        <w:tc>
          <w:tcPr>
            <w:tcW w:w="5080" w:type="dxa"/>
            <w:tcBorders>
              <w:top w:val="single" w:color="auto" w:sz="8" w:space="0"/>
              <w:left w:val="nil"/>
              <w:bottom w:val="single" w:color="auto" w:sz="8" w:space="0"/>
              <w:right w:val="single" w:color="auto" w:sz="8" w:space="0"/>
            </w:tcBorders>
            <w:vAlign w:val="center"/>
          </w:tcPr>
          <w:p w14:paraId="62BDF588">
            <w:pPr>
              <w:widowControl/>
              <w:adjustRightInd/>
              <w:jc w:val="left"/>
              <w:rPr>
                <w:rFonts w:ascii="宋体" w:hAnsi="宋体" w:cs="宋体"/>
                <w:kern w:val="0"/>
                <w:sz w:val="24"/>
                <w:highlight w:val="none"/>
              </w:rPr>
            </w:pPr>
            <w:r>
              <w:rPr>
                <w:rFonts w:hint="eastAsia" w:ascii="宋体" w:hAnsi="宋体" w:cs="宋体"/>
                <w:kern w:val="0"/>
                <w:sz w:val="24"/>
                <w:highlight w:val="none"/>
              </w:rPr>
              <w:t>配置≥</w:t>
            </w:r>
            <w:r>
              <w:rPr>
                <w:rFonts w:ascii="宋体" w:hAnsi="宋体" w:cs="宋体"/>
                <w:kern w:val="0"/>
                <w:sz w:val="24"/>
                <w:highlight w:val="none"/>
              </w:rPr>
              <w:t>2</w:t>
            </w:r>
            <w:r>
              <w:rPr>
                <w:rFonts w:hint="eastAsia" w:ascii="宋体" w:hAnsi="宋体" w:cs="宋体"/>
                <w:kern w:val="0"/>
                <w:sz w:val="24"/>
                <w:highlight w:val="none"/>
              </w:rPr>
              <w:t>个</w:t>
            </w:r>
            <w:r>
              <w:rPr>
                <w:rFonts w:ascii="宋体" w:hAnsi="宋体" w:cs="宋体"/>
                <w:kern w:val="0"/>
                <w:sz w:val="24"/>
                <w:highlight w:val="none"/>
              </w:rPr>
              <w:t>VGA接口</w:t>
            </w:r>
          </w:p>
        </w:tc>
      </w:tr>
      <w:tr w14:paraId="5D86117A">
        <w:tblPrEx>
          <w:tblCellMar>
            <w:top w:w="0" w:type="dxa"/>
            <w:left w:w="108" w:type="dxa"/>
            <w:bottom w:w="0" w:type="dxa"/>
            <w:right w:w="108" w:type="dxa"/>
          </w:tblCellMar>
        </w:tblPrEx>
        <w:trPr>
          <w:trHeight w:val="324" w:hRule="atLeast"/>
        </w:trPr>
        <w:tc>
          <w:tcPr>
            <w:tcW w:w="960" w:type="dxa"/>
            <w:tcBorders>
              <w:top w:val="nil"/>
              <w:left w:val="single" w:color="auto" w:sz="8" w:space="0"/>
              <w:bottom w:val="single" w:color="auto" w:sz="8" w:space="0"/>
              <w:right w:val="single" w:color="auto" w:sz="8" w:space="0"/>
            </w:tcBorders>
            <w:vAlign w:val="center"/>
          </w:tcPr>
          <w:p w14:paraId="06E87314">
            <w:pPr>
              <w:widowControl/>
              <w:adjustRightInd/>
              <w:jc w:val="center"/>
              <w:rPr>
                <w:rFonts w:ascii="宋体" w:hAnsi="宋体" w:cs="宋体"/>
                <w:kern w:val="0"/>
                <w:sz w:val="24"/>
                <w:highlight w:val="none"/>
              </w:rPr>
            </w:pPr>
            <w:r>
              <w:rPr>
                <w:rFonts w:ascii="宋体" w:hAnsi="宋体" w:cs="宋体"/>
                <w:kern w:val="0"/>
                <w:sz w:val="24"/>
                <w:highlight w:val="none"/>
              </w:rPr>
              <w:t>15</w:t>
            </w:r>
          </w:p>
        </w:tc>
        <w:tc>
          <w:tcPr>
            <w:tcW w:w="1400" w:type="dxa"/>
            <w:vMerge w:val="continue"/>
            <w:tcBorders>
              <w:top w:val="nil"/>
              <w:left w:val="single" w:color="auto" w:sz="8" w:space="0"/>
              <w:bottom w:val="single" w:color="000000" w:sz="8" w:space="0"/>
              <w:right w:val="single" w:color="auto" w:sz="8" w:space="0"/>
            </w:tcBorders>
            <w:vAlign w:val="center"/>
          </w:tcPr>
          <w:p w14:paraId="2022B7EC">
            <w:pPr>
              <w:widowControl/>
              <w:adjustRightInd/>
              <w:jc w:val="left"/>
              <w:rPr>
                <w:rFonts w:ascii="宋体" w:hAnsi="宋体" w:cs="宋体"/>
                <w:kern w:val="0"/>
                <w:sz w:val="24"/>
                <w:highlight w:val="none"/>
              </w:rPr>
            </w:pPr>
          </w:p>
        </w:tc>
        <w:tc>
          <w:tcPr>
            <w:tcW w:w="1420" w:type="dxa"/>
            <w:tcBorders>
              <w:top w:val="nil"/>
              <w:left w:val="nil"/>
              <w:bottom w:val="single" w:color="auto" w:sz="8" w:space="0"/>
              <w:right w:val="single" w:color="auto" w:sz="8" w:space="0"/>
            </w:tcBorders>
            <w:vAlign w:val="center"/>
          </w:tcPr>
          <w:p w14:paraId="689AD3A5">
            <w:pPr>
              <w:widowControl/>
              <w:adjustRightInd/>
              <w:jc w:val="center"/>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 xml:space="preserve">USB </w:t>
            </w:r>
            <w:r>
              <w:rPr>
                <w:rFonts w:hint="eastAsia" w:ascii="宋体" w:hAnsi="宋体" w:cs="宋体"/>
                <w:kern w:val="0"/>
                <w:sz w:val="24"/>
                <w:highlight w:val="none"/>
              </w:rPr>
              <w:t>接口</w:t>
            </w:r>
          </w:p>
        </w:tc>
        <w:tc>
          <w:tcPr>
            <w:tcW w:w="5080" w:type="dxa"/>
            <w:tcBorders>
              <w:top w:val="nil"/>
              <w:left w:val="nil"/>
              <w:bottom w:val="single" w:color="auto" w:sz="8" w:space="0"/>
              <w:right w:val="single" w:color="auto" w:sz="8" w:space="0"/>
            </w:tcBorders>
            <w:vAlign w:val="center"/>
          </w:tcPr>
          <w:p w14:paraId="11EB5297">
            <w:pPr>
              <w:widowControl/>
              <w:adjustRightInd/>
              <w:rPr>
                <w:rFonts w:ascii="宋体" w:hAnsi="宋体" w:cs="宋体"/>
                <w:kern w:val="0"/>
                <w:sz w:val="24"/>
                <w:highlight w:val="none"/>
              </w:rPr>
            </w:pPr>
            <w:r>
              <w:rPr>
                <w:rFonts w:hint="eastAsia" w:ascii="宋体" w:hAnsi="宋体" w:cs="宋体"/>
                <w:kern w:val="0"/>
                <w:sz w:val="24"/>
                <w:highlight w:val="none"/>
              </w:rPr>
              <w:t>配置≥</w:t>
            </w:r>
            <w:r>
              <w:rPr>
                <w:rFonts w:ascii="宋体" w:hAnsi="宋体" w:cs="宋体"/>
                <w:kern w:val="0"/>
                <w:sz w:val="24"/>
                <w:highlight w:val="none"/>
              </w:rPr>
              <w:t>4个USB3.0接口</w:t>
            </w:r>
          </w:p>
        </w:tc>
      </w:tr>
      <w:tr w14:paraId="3AFA9AF7">
        <w:tblPrEx>
          <w:tblCellMar>
            <w:top w:w="0" w:type="dxa"/>
            <w:left w:w="108" w:type="dxa"/>
            <w:bottom w:w="0" w:type="dxa"/>
            <w:right w:w="108" w:type="dxa"/>
          </w:tblCellMar>
        </w:tblPrEx>
        <w:trPr>
          <w:trHeight w:val="636" w:hRule="atLeast"/>
        </w:trPr>
        <w:tc>
          <w:tcPr>
            <w:tcW w:w="960" w:type="dxa"/>
            <w:tcBorders>
              <w:top w:val="nil"/>
              <w:left w:val="single" w:color="auto" w:sz="8" w:space="0"/>
              <w:bottom w:val="single" w:color="auto" w:sz="8" w:space="0"/>
              <w:right w:val="single" w:color="auto" w:sz="8" w:space="0"/>
            </w:tcBorders>
            <w:vAlign w:val="center"/>
          </w:tcPr>
          <w:p w14:paraId="54A6AFC1">
            <w:pPr>
              <w:widowControl/>
              <w:adjustRightInd/>
              <w:jc w:val="center"/>
              <w:rPr>
                <w:rFonts w:ascii="宋体" w:hAnsi="宋体" w:cs="宋体"/>
                <w:kern w:val="0"/>
                <w:sz w:val="24"/>
                <w:highlight w:val="none"/>
              </w:rPr>
            </w:pPr>
            <w:r>
              <w:rPr>
                <w:rFonts w:ascii="宋体" w:hAnsi="宋体" w:cs="宋体"/>
                <w:kern w:val="0"/>
                <w:sz w:val="24"/>
                <w:highlight w:val="none"/>
              </w:rPr>
              <w:t>16</w:t>
            </w:r>
          </w:p>
        </w:tc>
        <w:tc>
          <w:tcPr>
            <w:tcW w:w="1400" w:type="dxa"/>
            <w:vMerge w:val="restart"/>
            <w:tcBorders>
              <w:top w:val="nil"/>
              <w:left w:val="single" w:color="auto" w:sz="8" w:space="0"/>
              <w:bottom w:val="single" w:color="000000" w:sz="8" w:space="0"/>
              <w:right w:val="single" w:color="auto" w:sz="8" w:space="0"/>
            </w:tcBorders>
            <w:vAlign w:val="center"/>
          </w:tcPr>
          <w:p w14:paraId="67D2AF0C">
            <w:pPr>
              <w:widowControl/>
              <w:adjustRightInd/>
              <w:jc w:val="center"/>
              <w:rPr>
                <w:rFonts w:ascii="宋体" w:hAnsi="宋体" w:cs="宋体"/>
                <w:kern w:val="0"/>
                <w:sz w:val="24"/>
                <w:highlight w:val="none"/>
              </w:rPr>
            </w:pPr>
            <w:r>
              <w:rPr>
                <w:rFonts w:hint="eastAsia" w:ascii="宋体" w:hAnsi="宋体" w:cs="宋体"/>
                <w:kern w:val="0"/>
                <w:sz w:val="24"/>
                <w:highlight w:val="none"/>
              </w:rPr>
              <w:t>▲电源规格</w:t>
            </w:r>
          </w:p>
        </w:tc>
        <w:tc>
          <w:tcPr>
            <w:tcW w:w="1420" w:type="dxa"/>
            <w:tcBorders>
              <w:top w:val="nil"/>
              <w:left w:val="nil"/>
              <w:bottom w:val="single" w:color="auto" w:sz="8" w:space="0"/>
              <w:right w:val="single" w:color="auto" w:sz="8" w:space="0"/>
            </w:tcBorders>
            <w:vAlign w:val="center"/>
          </w:tcPr>
          <w:p w14:paraId="592229B9">
            <w:pPr>
              <w:widowControl/>
              <w:adjustRightInd/>
              <w:jc w:val="center"/>
              <w:rPr>
                <w:rFonts w:ascii="宋体" w:hAnsi="宋体" w:cs="宋体"/>
                <w:kern w:val="0"/>
                <w:sz w:val="24"/>
                <w:highlight w:val="none"/>
              </w:rPr>
            </w:pPr>
            <w:r>
              <w:rPr>
                <w:rFonts w:hint="eastAsia" w:ascii="宋体" w:hAnsi="宋体" w:cs="宋体"/>
                <w:kern w:val="0"/>
                <w:sz w:val="24"/>
                <w:highlight w:val="none"/>
              </w:rPr>
              <w:t>▲电源模块数量</w:t>
            </w:r>
          </w:p>
        </w:tc>
        <w:tc>
          <w:tcPr>
            <w:tcW w:w="5080" w:type="dxa"/>
            <w:tcBorders>
              <w:top w:val="nil"/>
              <w:left w:val="nil"/>
              <w:bottom w:val="single" w:color="auto" w:sz="8" w:space="0"/>
              <w:right w:val="single" w:color="auto" w:sz="8" w:space="0"/>
            </w:tcBorders>
            <w:vAlign w:val="center"/>
          </w:tcPr>
          <w:p w14:paraId="6D405371">
            <w:pPr>
              <w:widowControl/>
              <w:adjustRightInd/>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2</w:t>
            </w:r>
          </w:p>
        </w:tc>
      </w:tr>
      <w:tr w14:paraId="6AB0B2DC">
        <w:tblPrEx>
          <w:tblCellMar>
            <w:top w:w="0" w:type="dxa"/>
            <w:left w:w="108" w:type="dxa"/>
            <w:bottom w:w="0" w:type="dxa"/>
            <w:right w:w="108" w:type="dxa"/>
          </w:tblCellMar>
        </w:tblPrEx>
        <w:trPr>
          <w:trHeight w:val="636" w:hRule="atLeast"/>
        </w:trPr>
        <w:tc>
          <w:tcPr>
            <w:tcW w:w="960" w:type="dxa"/>
            <w:tcBorders>
              <w:top w:val="nil"/>
              <w:left w:val="single" w:color="auto" w:sz="8" w:space="0"/>
              <w:bottom w:val="single" w:color="auto" w:sz="8" w:space="0"/>
              <w:right w:val="single" w:color="auto" w:sz="8" w:space="0"/>
            </w:tcBorders>
            <w:vAlign w:val="center"/>
          </w:tcPr>
          <w:p w14:paraId="43A8BC50">
            <w:pPr>
              <w:widowControl/>
              <w:adjustRightInd/>
              <w:jc w:val="center"/>
              <w:rPr>
                <w:rFonts w:ascii="宋体" w:hAnsi="宋体" w:cs="宋体"/>
                <w:kern w:val="0"/>
                <w:sz w:val="24"/>
                <w:highlight w:val="none"/>
              </w:rPr>
            </w:pPr>
            <w:r>
              <w:rPr>
                <w:rFonts w:ascii="宋体" w:hAnsi="宋体" w:cs="宋体"/>
                <w:kern w:val="0"/>
                <w:sz w:val="24"/>
                <w:highlight w:val="none"/>
              </w:rPr>
              <w:t>17</w:t>
            </w:r>
          </w:p>
        </w:tc>
        <w:tc>
          <w:tcPr>
            <w:tcW w:w="1400" w:type="dxa"/>
            <w:vMerge w:val="continue"/>
            <w:tcBorders>
              <w:top w:val="nil"/>
              <w:left w:val="single" w:color="auto" w:sz="8" w:space="0"/>
              <w:bottom w:val="single" w:color="000000" w:sz="8" w:space="0"/>
              <w:right w:val="single" w:color="auto" w:sz="8" w:space="0"/>
            </w:tcBorders>
            <w:vAlign w:val="center"/>
          </w:tcPr>
          <w:p w14:paraId="6BB42B2C">
            <w:pPr>
              <w:widowControl/>
              <w:adjustRightInd/>
              <w:jc w:val="left"/>
              <w:rPr>
                <w:rFonts w:ascii="宋体" w:hAnsi="宋体" w:cs="宋体"/>
                <w:kern w:val="0"/>
                <w:sz w:val="24"/>
                <w:highlight w:val="none"/>
              </w:rPr>
            </w:pPr>
          </w:p>
        </w:tc>
        <w:tc>
          <w:tcPr>
            <w:tcW w:w="1420" w:type="dxa"/>
            <w:tcBorders>
              <w:top w:val="nil"/>
              <w:left w:val="nil"/>
              <w:bottom w:val="single" w:color="auto" w:sz="8" w:space="0"/>
              <w:right w:val="single" w:color="auto" w:sz="8" w:space="0"/>
            </w:tcBorders>
            <w:vAlign w:val="center"/>
          </w:tcPr>
          <w:p w14:paraId="3E8318C1">
            <w:pPr>
              <w:widowControl/>
              <w:adjustRightInd/>
              <w:jc w:val="center"/>
              <w:rPr>
                <w:rFonts w:ascii="宋体" w:hAnsi="宋体" w:cs="宋体"/>
                <w:kern w:val="0"/>
                <w:sz w:val="24"/>
                <w:highlight w:val="none"/>
              </w:rPr>
            </w:pPr>
            <w:r>
              <w:rPr>
                <w:rFonts w:hint="eastAsia" w:ascii="宋体" w:hAnsi="宋体" w:cs="宋体"/>
                <w:kern w:val="0"/>
                <w:sz w:val="24"/>
                <w:highlight w:val="none"/>
              </w:rPr>
              <w:t>▲电源功率</w:t>
            </w:r>
          </w:p>
        </w:tc>
        <w:tc>
          <w:tcPr>
            <w:tcW w:w="5080" w:type="dxa"/>
            <w:tcBorders>
              <w:top w:val="nil"/>
              <w:left w:val="nil"/>
              <w:bottom w:val="single" w:color="auto" w:sz="8" w:space="0"/>
              <w:right w:val="single" w:color="auto" w:sz="8" w:space="0"/>
            </w:tcBorders>
            <w:vAlign w:val="center"/>
          </w:tcPr>
          <w:p w14:paraId="73ED7A0A">
            <w:pPr>
              <w:widowControl/>
              <w:adjustRightInd/>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 xml:space="preserve">550W，电源模块功率应有一定冗余， </w:t>
            </w:r>
            <w:r>
              <w:rPr>
                <w:rFonts w:hint="eastAsia" w:ascii="宋体" w:hAnsi="宋体" w:cs="宋体"/>
                <w:kern w:val="0"/>
                <w:sz w:val="24"/>
                <w:highlight w:val="none"/>
              </w:rPr>
              <w:t>满足处理器满载时的需求</w:t>
            </w:r>
          </w:p>
        </w:tc>
      </w:tr>
      <w:tr w14:paraId="59E5934A">
        <w:tblPrEx>
          <w:tblCellMar>
            <w:top w:w="0" w:type="dxa"/>
            <w:left w:w="108" w:type="dxa"/>
            <w:bottom w:w="0" w:type="dxa"/>
            <w:right w:w="108" w:type="dxa"/>
          </w:tblCellMar>
        </w:tblPrEx>
        <w:trPr>
          <w:trHeight w:val="1248" w:hRule="atLeast"/>
        </w:trPr>
        <w:tc>
          <w:tcPr>
            <w:tcW w:w="960" w:type="dxa"/>
            <w:vMerge w:val="restart"/>
            <w:tcBorders>
              <w:top w:val="nil"/>
              <w:left w:val="single" w:color="auto" w:sz="8" w:space="0"/>
              <w:bottom w:val="single" w:color="000000" w:sz="8" w:space="0"/>
              <w:right w:val="single" w:color="auto" w:sz="8" w:space="0"/>
            </w:tcBorders>
            <w:vAlign w:val="center"/>
          </w:tcPr>
          <w:p w14:paraId="79BC0022">
            <w:pPr>
              <w:widowControl/>
              <w:adjustRightInd/>
              <w:jc w:val="center"/>
              <w:rPr>
                <w:rFonts w:ascii="宋体" w:hAnsi="宋体" w:cs="宋体"/>
                <w:kern w:val="0"/>
                <w:sz w:val="24"/>
                <w:highlight w:val="none"/>
              </w:rPr>
            </w:pPr>
            <w:r>
              <w:rPr>
                <w:rFonts w:ascii="宋体" w:hAnsi="宋体" w:cs="宋体"/>
                <w:kern w:val="0"/>
                <w:sz w:val="24"/>
                <w:highlight w:val="none"/>
              </w:rPr>
              <w:t>18</w:t>
            </w:r>
          </w:p>
        </w:tc>
        <w:tc>
          <w:tcPr>
            <w:tcW w:w="1400" w:type="dxa"/>
            <w:vMerge w:val="restart"/>
            <w:tcBorders>
              <w:top w:val="nil"/>
              <w:left w:val="single" w:color="auto" w:sz="8" w:space="0"/>
              <w:bottom w:val="single" w:color="000000" w:sz="8" w:space="0"/>
              <w:right w:val="single" w:color="auto" w:sz="8" w:space="0"/>
            </w:tcBorders>
            <w:vAlign w:val="center"/>
          </w:tcPr>
          <w:p w14:paraId="2D787C40">
            <w:pPr>
              <w:widowControl/>
              <w:adjustRightInd/>
              <w:jc w:val="center"/>
              <w:rPr>
                <w:rFonts w:ascii="宋体" w:hAnsi="宋体" w:cs="宋体"/>
                <w:kern w:val="0"/>
                <w:sz w:val="24"/>
                <w:highlight w:val="none"/>
              </w:rPr>
            </w:pPr>
            <w:r>
              <w:rPr>
                <w:rFonts w:hint="eastAsia" w:ascii="宋体" w:hAnsi="宋体" w:cs="宋体"/>
                <w:kern w:val="0"/>
                <w:sz w:val="24"/>
                <w:highlight w:val="none"/>
              </w:rPr>
              <w:t>▲整机规格</w:t>
            </w:r>
          </w:p>
        </w:tc>
        <w:tc>
          <w:tcPr>
            <w:tcW w:w="1420" w:type="dxa"/>
            <w:vMerge w:val="restart"/>
            <w:tcBorders>
              <w:top w:val="nil"/>
              <w:left w:val="single" w:color="auto" w:sz="8" w:space="0"/>
              <w:bottom w:val="single" w:color="000000" w:sz="8" w:space="0"/>
              <w:right w:val="single" w:color="auto" w:sz="8" w:space="0"/>
            </w:tcBorders>
            <w:vAlign w:val="center"/>
          </w:tcPr>
          <w:p w14:paraId="30D4FFB9">
            <w:pPr>
              <w:widowControl/>
              <w:adjustRightInd/>
              <w:jc w:val="center"/>
              <w:rPr>
                <w:rFonts w:ascii="宋体" w:hAnsi="宋体" w:cs="宋体"/>
                <w:kern w:val="0"/>
                <w:sz w:val="24"/>
                <w:highlight w:val="none"/>
              </w:rPr>
            </w:pPr>
            <w:r>
              <w:rPr>
                <w:rFonts w:hint="eastAsia" w:ascii="宋体" w:hAnsi="宋体" w:cs="宋体"/>
                <w:kern w:val="0"/>
                <w:sz w:val="24"/>
                <w:highlight w:val="none"/>
              </w:rPr>
              <w:t>▲外观和结构</w:t>
            </w:r>
          </w:p>
        </w:tc>
        <w:tc>
          <w:tcPr>
            <w:tcW w:w="5080" w:type="dxa"/>
            <w:tcBorders>
              <w:top w:val="single" w:color="auto" w:sz="8" w:space="0"/>
              <w:left w:val="single" w:color="auto" w:sz="8" w:space="0"/>
              <w:bottom w:val="single" w:color="auto" w:sz="8" w:space="0"/>
              <w:right w:val="single" w:color="auto" w:sz="8" w:space="0"/>
            </w:tcBorders>
            <w:vAlign w:val="center"/>
          </w:tcPr>
          <w:p w14:paraId="467109DD">
            <w:pPr>
              <w:widowControl/>
              <w:adjustRightInd/>
              <w:rPr>
                <w:rFonts w:ascii="宋体" w:hAnsi="宋体" w:cs="宋体"/>
                <w:kern w:val="0"/>
                <w:sz w:val="24"/>
                <w:highlight w:val="none"/>
              </w:rPr>
            </w:pPr>
            <w:r>
              <w:rPr>
                <w:rFonts w:ascii="宋体" w:hAnsi="宋体" w:cs="宋体"/>
                <w:kern w:val="0"/>
                <w:sz w:val="24"/>
                <w:highlight w:val="none"/>
              </w:rPr>
              <w:t>a)服务器的零部件应紧固无松动，可插拔部件应可靠连接，开关、按钮和其它控制部件应灵活可靠，布局应方便使用；</w:t>
            </w:r>
          </w:p>
        </w:tc>
      </w:tr>
      <w:tr w14:paraId="41D65C81">
        <w:tblPrEx>
          <w:tblCellMar>
            <w:top w:w="0" w:type="dxa"/>
            <w:left w:w="108" w:type="dxa"/>
            <w:bottom w:w="0" w:type="dxa"/>
            <w:right w:w="108" w:type="dxa"/>
          </w:tblCellMar>
        </w:tblPrEx>
        <w:trPr>
          <w:trHeight w:val="1248" w:hRule="atLeast"/>
        </w:trPr>
        <w:tc>
          <w:tcPr>
            <w:tcW w:w="960" w:type="dxa"/>
            <w:vMerge w:val="continue"/>
            <w:tcBorders>
              <w:top w:val="nil"/>
              <w:left w:val="single" w:color="auto" w:sz="8" w:space="0"/>
              <w:bottom w:val="single" w:color="000000" w:sz="8" w:space="0"/>
              <w:right w:val="single" w:color="auto" w:sz="8" w:space="0"/>
            </w:tcBorders>
            <w:vAlign w:val="center"/>
          </w:tcPr>
          <w:p w14:paraId="30127B4A">
            <w:pPr>
              <w:widowControl/>
              <w:adjustRightInd/>
              <w:jc w:val="left"/>
              <w:rPr>
                <w:rFonts w:ascii="宋体" w:hAnsi="宋体" w:cs="宋体"/>
                <w:kern w:val="0"/>
                <w:sz w:val="24"/>
                <w:highlight w:val="none"/>
              </w:rPr>
            </w:pPr>
          </w:p>
        </w:tc>
        <w:tc>
          <w:tcPr>
            <w:tcW w:w="1400" w:type="dxa"/>
            <w:vMerge w:val="continue"/>
            <w:tcBorders>
              <w:top w:val="nil"/>
              <w:left w:val="single" w:color="auto" w:sz="8" w:space="0"/>
              <w:bottom w:val="single" w:color="000000" w:sz="8" w:space="0"/>
              <w:right w:val="single" w:color="auto" w:sz="8" w:space="0"/>
            </w:tcBorders>
            <w:vAlign w:val="center"/>
          </w:tcPr>
          <w:p w14:paraId="61CE51F4">
            <w:pPr>
              <w:widowControl/>
              <w:adjustRightInd/>
              <w:jc w:val="left"/>
              <w:rPr>
                <w:rFonts w:ascii="宋体" w:hAnsi="宋体" w:cs="宋体"/>
                <w:kern w:val="0"/>
                <w:sz w:val="24"/>
                <w:highlight w:val="none"/>
              </w:rPr>
            </w:pPr>
          </w:p>
        </w:tc>
        <w:tc>
          <w:tcPr>
            <w:tcW w:w="1420" w:type="dxa"/>
            <w:vMerge w:val="continue"/>
            <w:tcBorders>
              <w:top w:val="nil"/>
              <w:left w:val="single" w:color="auto" w:sz="8" w:space="0"/>
              <w:bottom w:val="single" w:color="000000" w:sz="8" w:space="0"/>
              <w:right w:val="single" w:color="auto" w:sz="8" w:space="0"/>
            </w:tcBorders>
            <w:vAlign w:val="center"/>
          </w:tcPr>
          <w:p w14:paraId="3D3CDDCF">
            <w:pPr>
              <w:widowControl/>
              <w:adjustRightInd/>
              <w:jc w:val="left"/>
              <w:rPr>
                <w:rFonts w:ascii="宋体" w:hAnsi="宋体" w:cs="宋体"/>
                <w:kern w:val="0"/>
                <w:sz w:val="24"/>
                <w:highlight w:val="none"/>
              </w:rPr>
            </w:pPr>
          </w:p>
        </w:tc>
        <w:tc>
          <w:tcPr>
            <w:tcW w:w="5080" w:type="dxa"/>
            <w:tcBorders>
              <w:top w:val="single" w:color="auto" w:sz="8" w:space="0"/>
              <w:left w:val="single" w:color="auto" w:sz="8" w:space="0"/>
              <w:bottom w:val="single" w:color="auto" w:sz="8" w:space="0"/>
              <w:right w:val="single" w:color="auto" w:sz="8" w:space="0"/>
            </w:tcBorders>
            <w:vAlign w:val="center"/>
          </w:tcPr>
          <w:p w14:paraId="0729C98B">
            <w:pPr>
              <w:widowControl/>
              <w:adjustRightInd/>
              <w:rPr>
                <w:rFonts w:ascii="宋体" w:hAns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产品表面不应有明显的凹痕、划伤、裂缝、变形和污染等。表面涂层均匀，不应起泡、龟裂、脱落和磨损，金属零部件无锈蚀及其它机械损伤；</w:t>
            </w:r>
          </w:p>
        </w:tc>
      </w:tr>
      <w:tr w14:paraId="20ABD94A">
        <w:tblPrEx>
          <w:tblCellMar>
            <w:top w:w="0" w:type="dxa"/>
            <w:left w:w="108" w:type="dxa"/>
            <w:bottom w:w="0" w:type="dxa"/>
            <w:right w:w="108" w:type="dxa"/>
          </w:tblCellMar>
        </w:tblPrEx>
        <w:trPr>
          <w:trHeight w:val="624" w:hRule="atLeast"/>
        </w:trPr>
        <w:tc>
          <w:tcPr>
            <w:tcW w:w="960" w:type="dxa"/>
            <w:vMerge w:val="continue"/>
            <w:tcBorders>
              <w:top w:val="nil"/>
              <w:left w:val="single" w:color="auto" w:sz="8" w:space="0"/>
              <w:bottom w:val="single" w:color="000000" w:sz="8" w:space="0"/>
              <w:right w:val="single" w:color="auto" w:sz="8" w:space="0"/>
            </w:tcBorders>
            <w:vAlign w:val="center"/>
          </w:tcPr>
          <w:p w14:paraId="60965769">
            <w:pPr>
              <w:widowControl/>
              <w:adjustRightInd/>
              <w:jc w:val="left"/>
              <w:rPr>
                <w:rFonts w:ascii="宋体" w:hAnsi="宋体" w:cs="宋体"/>
                <w:kern w:val="0"/>
                <w:sz w:val="24"/>
                <w:highlight w:val="none"/>
              </w:rPr>
            </w:pPr>
          </w:p>
        </w:tc>
        <w:tc>
          <w:tcPr>
            <w:tcW w:w="1400" w:type="dxa"/>
            <w:vMerge w:val="continue"/>
            <w:tcBorders>
              <w:top w:val="nil"/>
              <w:left w:val="single" w:color="auto" w:sz="8" w:space="0"/>
              <w:bottom w:val="single" w:color="000000" w:sz="8" w:space="0"/>
              <w:right w:val="single" w:color="auto" w:sz="8" w:space="0"/>
            </w:tcBorders>
            <w:vAlign w:val="center"/>
          </w:tcPr>
          <w:p w14:paraId="2AD60CE3">
            <w:pPr>
              <w:widowControl/>
              <w:adjustRightInd/>
              <w:jc w:val="left"/>
              <w:rPr>
                <w:rFonts w:ascii="宋体" w:hAnsi="宋体" w:cs="宋体"/>
                <w:kern w:val="0"/>
                <w:sz w:val="24"/>
                <w:highlight w:val="none"/>
              </w:rPr>
            </w:pPr>
          </w:p>
        </w:tc>
        <w:tc>
          <w:tcPr>
            <w:tcW w:w="1420" w:type="dxa"/>
            <w:vMerge w:val="continue"/>
            <w:tcBorders>
              <w:top w:val="nil"/>
              <w:left w:val="single" w:color="auto" w:sz="8" w:space="0"/>
              <w:bottom w:val="single" w:color="000000" w:sz="8" w:space="0"/>
              <w:right w:val="single" w:color="auto" w:sz="8" w:space="0"/>
            </w:tcBorders>
            <w:vAlign w:val="center"/>
          </w:tcPr>
          <w:p w14:paraId="13A44208">
            <w:pPr>
              <w:widowControl/>
              <w:adjustRightInd/>
              <w:jc w:val="left"/>
              <w:rPr>
                <w:rFonts w:ascii="宋体" w:hAnsi="宋体" w:cs="宋体"/>
                <w:kern w:val="0"/>
                <w:sz w:val="24"/>
                <w:highlight w:val="none"/>
              </w:rPr>
            </w:pPr>
          </w:p>
        </w:tc>
        <w:tc>
          <w:tcPr>
            <w:tcW w:w="5080" w:type="dxa"/>
            <w:tcBorders>
              <w:top w:val="single" w:color="auto" w:sz="8" w:space="0"/>
              <w:left w:val="single" w:color="auto" w:sz="8" w:space="0"/>
              <w:bottom w:val="single" w:color="auto" w:sz="8" w:space="0"/>
              <w:right w:val="single" w:color="auto" w:sz="8" w:space="0"/>
            </w:tcBorders>
            <w:vAlign w:val="center"/>
          </w:tcPr>
          <w:p w14:paraId="135BBEB9">
            <w:pPr>
              <w:widowControl/>
              <w:adjustRightInd/>
              <w:rPr>
                <w:rFonts w:ascii="宋体" w:hAnsi="宋体" w:cs="宋体"/>
                <w:kern w:val="0"/>
                <w:sz w:val="24"/>
                <w:highlight w:val="none"/>
              </w:rPr>
            </w:pPr>
            <w:r>
              <w:rPr>
                <w:rFonts w:ascii="宋体" w:hAnsi="宋体" w:cs="宋体"/>
                <w:kern w:val="0"/>
                <w:sz w:val="24"/>
                <w:highlight w:val="none"/>
              </w:rPr>
              <w:t xml:space="preserve">c) </w:t>
            </w:r>
            <w:r>
              <w:rPr>
                <w:rFonts w:hint="eastAsia" w:ascii="宋体" w:hAnsi="宋体" w:cs="宋体"/>
                <w:kern w:val="0"/>
                <w:sz w:val="24"/>
                <w:highlight w:val="none"/>
              </w:rPr>
              <w:t>产品表面说明功能的文字、符号和标志应清晰、端正且牢固；</w:t>
            </w:r>
          </w:p>
        </w:tc>
      </w:tr>
      <w:tr w14:paraId="734E4B8E">
        <w:tblPrEx>
          <w:tblCellMar>
            <w:top w:w="0" w:type="dxa"/>
            <w:left w:w="108" w:type="dxa"/>
            <w:bottom w:w="0" w:type="dxa"/>
            <w:right w:w="108" w:type="dxa"/>
          </w:tblCellMar>
        </w:tblPrEx>
        <w:trPr>
          <w:trHeight w:val="936" w:hRule="atLeast"/>
        </w:trPr>
        <w:tc>
          <w:tcPr>
            <w:tcW w:w="960" w:type="dxa"/>
            <w:vMerge w:val="continue"/>
            <w:tcBorders>
              <w:top w:val="nil"/>
              <w:left w:val="single" w:color="auto" w:sz="8" w:space="0"/>
              <w:bottom w:val="single" w:color="000000" w:sz="8" w:space="0"/>
              <w:right w:val="single" w:color="auto" w:sz="8" w:space="0"/>
            </w:tcBorders>
            <w:vAlign w:val="center"/>
          </w:tcPr>
          <w:p w14:paraId="28AA5220">
            <w:pPr>
              <w:widowControl/>
              <w:adjustRightInd/>
              <w:jc w:val="left"/>
              <w:rPr>
                <w:rFonts w:ascii="宋体" w:hAnsi="宋体" w:cs="宋体"/>
                <w:kern w:val="0"/>
                <w:sz w:val="24"/>
                <w:highlight w:val="none"/>
              </w:rPr>
            </w:pPr>
          </w:p>
        </w:tc>
        <w:tc>
          <w:tcPr>
            <w:tcW w:w="1400" w:type="dxa"/>
            <w:vMerge w:val="continue"/>
            <w:tcBorders>
              <w:top w:val="nil"/>
              <w:left w:val="single" w:color="auto" w:sz="8" w:space="0"/>
              <w:bottom w:val="single" w:color="000000" w:sz="8" w:space="0"/>
              <w:right w:val="single" w:color="auto" w:sz="8" w:space="0"/>
            </w:tcBorders>
            <w:vAlign w:val="center"/>
          </w:tcPr>
          <w:p w14:paraId="086112F4">
            <w:pPr>
              <w:widowControl/>
              <w:adjustRightInd/>
              <w:jc w:val="left"/>
              <w:rPr>
                <w:rFonts w:ascii="宋体" w:hAnsi="宋体" w:cs="宋体"/>
                <w:kern w:val="0"/>
                <w:sz w:val="24"/>
                <w:highlight w:val="none"/>
              </w:rPr>
            </w:pPr>
          </w:p>
        </w:tc>
        <w:tc>
          <w:tcPr>
            <w:tcW w:w="1420" w:type="dxa"/>
            <w:vMerge w:val="continue"/>
            <w:tcBorders>
              <w:top w:val="nil"/>
              <w:left w:val="single" w:color="auto" w:sz="8" w:space="0"/>
              <w:bottom w:val="single" w:color="000000" w:sz="8" w:space="0"/>
              <w:right w:val="single" w:color="auto" w:sz="8" w:space="0"/>
            </w:tcBorders>
            <w:vAlign w:val="center"/>
          </w:tcPr>
          <w:p w14:paraId="5B3852B3">
            <w:pPr>
              <w:widowControl/>
              <w:adjustRightInd/>
              <w:jc w:val="left"/>
              <w:rPr>
                <w:rFonts w:ascii="宋体" w:hAnsi="宋体" w:cs="宋体"/>
                <w:kern w:val="0"/>
                <w:sz w:val="24"/>
                <w:highlight w:val="none"/>
              </w:rPr>
            </w:pPr>
          </w:p>
        </w:tc>
        <w:tc>
          <w:tcPr>
            <w:tcW w:w="5080" w:type="dxa"/>
            <w:tcBorders>
              <w:top w:val="single" w:color="auto" w:sz="8" w:space="0"/>
              <w:left w:val="single" w:color="auto" w:sz="8" w:space="0"/>
              <w:bottom w:val="single" w:color="auto" w:sz="8" w:space="0"/>
              <w:right w:val="single" w:color="auto" w:sz="8" w:space="0"/>
            </w:tcBorders>
            <w:vAlign w:val="center"/>
          </w:tcPr>
          <w:p w14:paraId="24FD6708">
            <w:pPr>
              <w:widowControl/>
              <w:adjustRightInd/>
              <w:rPr>
                <w:rFonts w:ascii="宋体" w:hAnsi="宋体" w:cs="宋体"/>
                <w:kern w:val="0"/>
                <w:sz w:val="24"/>
                <w:highlight w:val="none"/>
              </w:rPr>
            </w:pPr>
            <w:r>
              <w:rPr>
                <w:rFonts w:ascii="宋体" w:hAnsi="宋体" w:cs="宋体"/>
                <w:kern w:val="0"/>
                <w:sz w:val="24"/>
                <w:highlight w:val="none"/>
              </w:rPr>
              <w:t xml:space="preserve">d) </w:t>
            </w:r>
            <w:r>
              <w:rPr>
                <w:rFonts w:hint="eastAsia" w:ascii="宋体" w:hAnsi="宋体" w:cs="宋体"/>
                <w:kern w:val="0"/>
                <w:sz w:val="24"/>
                <w:highlight w:val="none"/>
              </w:rPr>
              <w:t>应在服务器的显著位置提供运行状态的指示功能，并在随机文件中明确具体含义；</w:t>
            </w:r>
          </w:p>
        </w:tc>
      </w:tr>
      <w:tr w14:paraId="765C9640">
        <w:tblPrEx>
          <w:tblCellMar>
            <w:top w:w="0" w:type="dxa"/>
            <w:left w:w="108" w:type="dxa"/>
            <w:bottom w:w="0" w:type="dxa"/>
            <w:right w:w="108" w:type="dxa"/>
          </w:tblCellMar>
        </w:tblPrEx>
        <w:trPr>
          <w:trHeight w:val="1560" w:hRule="atLeast"/>
        </w:trPr>
        <w:tc>
          <w:tcPr>
            <w:tcW w:w="960" w:type="dxa"/>
            <w:vMerge w:val="continue"/>
            <w:tcBorders>
              <w:top w:val="nil"/>
              <w:left w:val="single" w:color="auto" w:sz="8" w:space="0"/>
              <w:bottom w:val="single" w:color="000000" w:sz="8" w:space="0"/>
              <w:right w:val="single" w:color="auto" w:sz="8" w:space="0"/>
            </w:tcBorders>
            <w:vAlign w:val="center"/>
          </w:tcPr>
          <w:p w14:paraId="2BB02233">
            <w:pPr>
              <w:widowControl/>
              <w:adjustRightInd/>
              <w:jc w:val="left"/>
              <w:rPr>
                <w:rFonts w:ascii="宋体" w:hAnsi="宋体" w:cs="宋体"/>
                <w:kern w:val="0"/>
                <w:sz w:val="24"/>
                <w:highlight w:val="none"/>
              </w:rPr>
            </w:pPr>
          </w:p>
        </w:tc>
        <w:tc>
          <w:tcPr>
            <w:tcW w:w="1400" w:type="dxa"/>
            <w:vMerge w:val="continue"/>
            <w:tcBorders>
              <w:top w:val="nil"/>
              <w:left w:val="single" w:color="auto" w:sz="8" w:space="0"/>
              <w:bottom w:val="single" w:color="000000" w:sz="8" w:space="0"/>
              <w:right w:val="single" w:color="auto" w:sz="8" w:space="0"/>
            </w:tcBorders>
            <w:vAlign w:val="center"/>
          </w:tcPr>
          <w:p w14:paraId="076B35B4">
            <w:pPr>
              <w:widowControl/>
              <w:adjustRightInd/>
              <w:jc w:val="left"/>
              <w:rPr>
                <w:rFonts w:ascii="宋体" w:hAnsi="宋体" w:cs="宋体"/>
                <w:kern w:val="0"/>
                <w:sz w:val="24"/>
                <w:highlight w:val="none"/>
              </w:rPr>
            </w:pPr>
          </w:p>
        </w:tc>
        <w:tc>
          <w:tcPr>
            <w:tcW w:w="1420" w:type="dxa"/>
            <w:vMerge w:val="continue"/>
            <w:tcBorders>
              <w:top w:val="nil"/>
              <w:left w:val="single" w:color="auto" w:sz="8" w:space="0"/>
              <w:bottom w:val="single" w:color="000000" w:sz="8" w:space="0"/>
              <w:right w:val="single" w:color="auto" w:sz="8" w:space="0"/>
            </w:tcBorders>
            <w:vAlign w:val="center"/>
          </w:tcPr>
          <w:p w14:paraId="7800A5FA">
            <w:pPr>
              <w:widowControl/>
              <w:adjustRightInd/>
              <w:jc w:val="left"/>
              <w:rPr>
                <w:rFonts w:ascii="宋体" w:hAnsi="宋体" w:cs="宋体"/>
                <w:kern w:val="0"/>
                <w:sz w:val="24"/>
                <w:highlight w:val="none"/>
              </w:rPr>
            </w:pPr>
          </w:p>
        </w:tc>
        <w:tc>
          <w:tcPr>
            <w:tcW w:w="5080" w:type="dxa"/>
            <w:tcBorders>
              <w:top w:val="single" w:color="auto" w:sz="8" w:space="0"/>
              <w:left w:val="single" w:color="auto" w:sz="8" w:space="0"/>
              <w:bottom w:val="single" w:color="auto" w:sz="8" w:space="0"/>
              <w:right w:val="single" w:color="auto" w:sz="8" w:space="0"/>
            </w:tcBorders>
            <w:vAlign w:val="center"/>
          </w:tcPr>
          <w:p w14:paraId="0B863EC7">
            <w:pPr>
              <w:widowControl/>
              <w:adjustRightInd/>
              <w:rPr>
                <w:rFonts w:ascii="宋体" w:hAnsi="宋体" w:cs="宋体"/>
                <w:kern w:val="0"/>
                <w:sz w:val="24"/>
                <w:highlight w:val="none"/>
              </w:rPr>
            </w:pPr>
            <w:r>
              <w:rPr>
                <w:rFonts w:ascii="宋体" w:hAnsi="宋体" w:cs="宋体"/>
                <w:kern w:val="0"/>
                <w:sz w:val="24"/>
                <w:highlight w:val="none"/>
              </w:rPr>
              <w:t xml:space="preserve">e) </w:t>
            </w:r>
            <w:r>
              <w:rPr>
                <w:rFonts w:hint="eastAsia" w:ascii="宋体" w:hAnsi="宋体" w:cs="宋体"/>
                <w:kern w:val="0"/>
                <w:sz w:val="24"/>
                <w:highlight w:val="none"/>
              </w:rPr>
              <w:t>机架、机箱的尺寸应符合通用机柜的安装要求，插入总线插座的电路板接口外形尺寸应符合有关总线标准的规定，将机箱固定在机柜上，机箱底面最大下垂变形不得干涉相邻机体；</w:t>
            </w:r>
          </w:p>
        </w:tc>
      </w:tr>
      <w:tr w14:paraId="53F7E460">
        <w:tblPrEx>
          <w:tblCellMar>
            <w:top w:w="0" w:type="dxa"/>
            <w:left w:w="108" w:type="dxa"/>
            <w:bottom w:w="0" w:type="dxa"/>
            <w:right w:w="108" w:type="dxa"/>
          </w:tblCellMar>
        </w:tblPrEx>
        <w:trPr>
          <w:trHeight w:val="624" w:hRule="atLeast"/>
        </w:trPr>
        <w:tc>
          <w:tcPr>
            <w:tcW w:w="960" w:type="dxa"/>
            <w:vMerge w:val="continue"/>
            <w:tcBorders>
              <w:top w:val="nil"/>
              <w:left w:val="single" w:color="auto" w:sz="8" w:space="0"/>
              <w:bottom w:val="single" w:color="000000" w:sz="8" w:space="0"/>
              <w:right w:val="single" w:color="auto" w:sz="8" w:space="0"/>
            </w:tcBorders>
            <w:vAlign w:val="center"/>
          </w:tcPr>
          <w:p w14:paraId="7AEF2758">
            <w:pPr>
              <w:widowControl/>
              <w:adjustRightInd/>
              <w:jc w:val="left"/>
              <w:rPr>
                <w:rFonts w:ascii="宋体" w:hAnsi="宋体" w:cs="宋体"/>
                <w:kern w:val="0"/>
                <w:sz w:val="24"/>
                <w:highlight w:val="none"/>
              </w:rPr>
            </w:pPr>
          </w:p>
        </w:tc>
        <w:tc>
          <w:tcPr>
            <w:tcW w:w="1400" w:type="dxa"/>
            <w:vMerge w:val="continue"/>
            <w:tcBorders>
              <w:top w:val="nil"/>
              <w:left w:val="single" w:color="auto" w:sz="8" w:space="0"/>
              <w:bottom w:val="single" w:color="000000" w:sz="8" w:space="0"/>
              <w:right w:val="single" w:color="auto" w:sz="8" w:space="0"/>
            </w:tcBorders>
            <w:vAlign w:val="center"/>
          </w:tcPr>
          <w:p w14:paraId="6EDF8F53">
            <w:pPr>
              <w:widowControl/>
              <w:adjustRightInd/>
              <w:jc w:val="left"/>
              <w:rPr>
                <w:rFonts w:ascii="宋体" w:hAnsi="宋体" w:cs="宋体"/>
                <w:kern w:val="0"/>
                <w:sz w:val="24"/>
                <w:highlight w:val="none"/>
              </w:rPr>
            </w:pPr>
          </w:p>
        </w:tc>
        <w:tc>
          <w:tcPr>
            <w:tcW w:w="1420" w:type="dxa"/>
            <w:vMerge w:val="continue"/>
            <w:tcBorders>
              <w:top w:val="nil"/>
              <w:left w:val="single" w:color="auto" w:sz="8" w:space="0"/>
              <w:bottom w:val="single" w:color="000000" w:sz="8" w:space="0"/>
              <w:right w:val="single" w:color="auto" w:sz="8" w:space="0"/>
            </w:tcBorders>
            <w:vAlign w:val="center"/>
          </w:tcPr>
          <w:p w14:paraId="44875CF5">
            <w:pPr>
              <w:widowControl/>
              <w:adjustRightInd/>
              <w:jc w:val="left"/>
              <w:rPr>
                <w:rFonts w:ascii="宋体" w:hAnsi="宋体" w:cs="宋体"/>
                <w:kern w:val="0"/>
                <w:sz w:val="24"/>
                <w:highlight w:val="none"/>
              </w:rPr>
            </w:pPr>
          </w:p>
        </w:tc>
        <w:tc>
          <w:tcPr>
            <w:tcW w:w="5080" w:type="dxa"/>
            <w:tcBorders>
              <w:top w:val="single" w:color="auto" w:sz="8" w:space="0"/>
              <w:left w:val="single" w:color="auto" w:sz="8" w:space="0"/>
              <w:bottom w:val="single" w:color="auto" w:sz="8" w:space="0"/>
              <w:right w:val="single" w:color="auto" w:sz="8" w:space="0"/>
            </w:tcBorders>
            <w:vAlign w:val="center"/>
          </w:tcPr>
          <w:p w14:paraId="2A56EADD">
            <w:pPr>
              <w:widowControl/>
              <w:adjustRightInd/>
              <w:rPr>
                <w:rFonts w:ascii="宋体" w:hAnsi="宋体" w:cs="宋体"/>
                <w:kern w:val="0"/>
                <w:sz w:val="24"/>
                <w:highlight w:val="none"/>
              </w:rPr>
            </w:pPr>
            <w:r>
              <w:rPr>
                <w:rFonts w:ascii="宋体" w:hAnsi="宋体" w:cs="宋体"/>
                <w:kern w:val="0"/>
                <w:sz w:val="24"/>
                <w:highlight w:val="none"/>
              </w:rPr>
              <w:t xml:space="preserve">f) </w:t>
            </w:r>
            <w:r>
              <w:rPr>
                <w:rFonts w:hint="eastAsia" w:ascii="宋体" w:hAnsi="宋体" w:cs="宋体"/>
                <w:kern w:val="0"/>
                <w:sz w:val="24"/>
                <w:highlight w:val="none"/>
              </w:rPr>
              <w:t>高密度服务器应给出</w:t>
            </w:r>
            <w:r>
              <w:rPr>
                <w:rFonts w:ascii="宋体" w:hAnsi="宋体" w:cs="宋体"/>
                <w:kern w:val="0"/>
                <w:sz w:val="24"/>
                <w:highlight w:val="none"/>
              </w:rPr>
              <w:t xml:space="preserve"> CPU </w:t>
            </w:r>
            <w:r>
              <w:rPr>
                <w:rFonts w:hint="eastAsia" w:ascii="宋体" w:hAnsi="宋体" w:cs="宋体"/>
                <w:kern w:val="0"/>
                <w:sz w:val="24"/>
                <w:highlight w:val="none"/>
              </w:rPr>
              <w:t>个数与机柜高度；</w:t>
            </w:r>
          </w:p>
        </w:tc>
      </w:tr>
      <w:tr w14:paraId="412747A1">
        <w:tblPrEx>
          <w:tblCellMar>
            <w:top w:w="0" w:type="dxa"/>
            <w:left w:w="108" w:type="dxa"/>
            <w:bottom w:w="0" w:type="dxa"/>
            <w:right w:w="108" w:type="dxa"/>
          </w:tblCellMar>
        </w:tblPrEx>
        <w:trPr>
          <w:trHeight w:val="636" w:hRule="atLeast"/>
        </w:trPr>
        <w:tc>
          <w:tcPr>
            <w:tcW w:w="960" w:type="dxa"/>
            <w:vMerge w:val="continue"/>
            <w:tcBorders>
              <w:top w:val="nil"/>
              <w:left w:val="single" w:color="auto" w:sz="8" w:space="0"/>
              <w:bottom w:val="single" w:color="000000" w:sz="8" w:space="0"/>
              <w:right w:val="single" w:color="auto" w:sz="8" w:space="0"/>
            </w:tcBorders>
            <w:vAlign w:val="center"/>
          </w:tcPr>
          <w:p w14:paraId="4D1AB4F6">
            <w:pPr>
              <w:widowControl/>
              <w:adjustRightInd/>
              <w:jc w:val="left"/>
              <w:rPr>
                <w:rFonts w:ascii="宋体" w:hAnsi="宋体" w:cs="宋体"/>
                <w:kern w:val="0"/>
                <w:sz w:val="24"/>
                <w:highlight w:val="none"/>
              </w:rPr>
            </w:pPr>
          </w:p>
        </w:tc>
        <w:tc>
          <w:tcPr>
            <w:tcW w:w="1400" w:type="dxa"/>
            <w:vMerge w:val="continue"/>
            <w:tcBorders>
              <w:top w:val="nil"/>
              <w:left w:val="single" w:color="auto" w:sz="8" w:space="0"/>
              <w:bottom w:val="single" w:color="000000" w:sz="8" w:space="0"/>
              <w:right w:val="single" w:color="auto" w:sz="8" w:space="0"/>
            </w:tcBorders>
            <w:vAlign w:val="center"/>
          </w:tcPr>
          <w:p w14:paraId="309EDB50">
            <w:pPr>
              <w:widowControl/>
              <w:adjustRightInd/>
              <w:jc w:val="left"/>
              <w:rPr>
                <w:rFonts w:ascii="宋体" w:hAnsi="宋体" w:cs="宋体"/>
                <w:kern w:val="0"/>
                <w:sz w:val="24"/>
                <w:highlight w:val="none"/>
              </w:rPr>
            </w:pPr>
          </w:p>
        </w:tc>
        <w:tc>
          <w:tcPr>
            <w:tcW w:w="1420" w:type="dxa"/>
            <w:vMerge w:val="continue"/>
            <w:tcBorders>
              <w:top w:val="nil"/>
              <w:left w:val="single" w:color="auto" w:sz="8" w:space="0"/>
              <w:bottom w:val="single" w:color="000000" w:sz="8" w:space="0"/>
              <w:right w:val="single" w:color="auto" w:sz="8" w:space="0"/>
            </w:tcBorders>
            <w:vAlign w:val="center"/>
          </w:tcPr>
          <w:p w14:paraId="256CEBBD">
            <w:pPr>
              <w:widowControl/>
              <w:adjustRightInd/>
              <w:jc w:val="left"/>
              <w:rPr>
                <w:rFonts w:ascii="宋体" w:hAnsi="宋体" w:cs="宋体"/>
                <w:kern w:val="0"/>
                <w:sz w:val="24"/>
                <w:highlight w:val="none"/>
              </w:rPr>
            </w:pPr>
          </w:p>
        </w:tc>
        <w:tc>
          <w:tcPr>
            <w:tcW w:w="5080" w:type="dxa"/>
            <w:tcBorders>
              <w:top w:val="single" w:color="auto" w:sz="8" w:space="0"/>
              <w:left w:val="single" w:color="auto" w:sz="8" w:space="0"/>
              <w:bottom w:val="single" w:color="auto" w:sz="8" w:space="0"/>
              <w:right w:val="single" w:color="auto" w:sz="8" w:space="0"/>
            </w:tcBorders>
            <w:vAlign w:val="center"/>
          </w:tcPr>
          <w:p w14:paraId="574DF42A">
            <w:pPr>
              <w:widowControl/>
              <w:adjustRightInd/>
              <w:rPr>
                <w:rFonts w:ascii="宋体" w:hAnsi="宋体" w:cs="宋体"/>
                <w:kern w:val="0"/>
                <w:sz w:val="24"/>
                <w:highlight w:val="none"/>
              </w:rPr>
            </w:pPr>
            <w:r>
              <w:rPr>
                <w:rFonts w:ascii="宋体" w:hAnsi="宋体" w:cs="宋体"/>
                <w:kern w:val="0"/>
                <w:sz w:val="24"/>
                <w:highlight w:val="none"/>
              </w:rPr>
              <w:t xml:space="preserve">g) </w:t>
            </w:r>
            <w:r>
              <w:rPr>
                <w:rFonts w:hint="eastAsia" w:ascii="宋体" w:hAnsi="宋体" w:cs="宋体"/>
                <w:kern w:val="0"/>
                <w:sz w:val="24"/>
                <w:highlight w:val="none"/>
              </w:rPr>
              <w:t>服务器尺寸具体要求在随机文件中明确</w:t>
            </w:r>
          </w:p>
        </w:tc>
      </w:tr>
      <w:tr w14:paraId="5BC5C1E4">
        <w:tblPrEx>
          <w:tblCellMar>
            <w:top w:w="0" w:type="dxa"/>
            <w:left w:w="108" w:type="dxa"/>
            <w:bottom w:w="0" w:type="dxa"/>
            <w:right w:w="108" w:type="dxa"/>
          </w:tblCellMar>
        </w:tblPrEx>
        <w:trPr>
          <w:trHeight w:val="636" w:hRule="atLeast"/>
        </w:trPr>
        <w:tc>
          <w:tcPr>
            <w:tcW w:w="960" w:type="dxa"/>
            <w:tcBorders>
              <w:top w:val="nil"/>
              <w:left w:val="single" w:color="auto" w:sz="8" w:space="0"/>
              <w:bottom w:val="single" w:color="auto" w:sz="8" w:space="0"/>
              <w:right w:val="single" w:color="auto" w:sz="8" w:space="0"/>
            </w:tcBorders>
            <w:vAlign w:val="center"/>
          </w:tcPr>
          <w:p w14:paraId="7B3E2EF8">
            <w:pPr>
              <w:widowControl/>
              <w:adjustRightInd/>
              <w:jc w:val="center"/>
              <w:rPr>
                <w:rFonts w:ascii="宋体" w:hAnsi="宋体" w:cs="宋体"/>
                <w:kern w:val="0"/>
                <w:sz w:val="24"/>
                <w:highlight w:val="none"/>
              </w:rPr>
            </w:pPr>
            <w:r>
              <w:rPr>
                <w:rFonts w:ascii="宋体" w:hAnsi="宋体" w:cs="宋体"/>
                <w:kern w:val="0"/>
                <w:sz w:val="24"/>
                <w:highlight w:val="none"/>
              </w:rPr>
              <w:t>19</w:t>
            </w:r>
          </w:p>
        </w:tc>
        <w:tc>
          <w:tcPr>
            <w:tcW w:w="1400" w:type="dxa"/>
            <w:vMerge w:val="continue"/>
            <w:tcBorders>
              <w:top w:val="nil"/>
              <w:left w:val="single" w:color="auto" w:sz="8" w:space="0"/>
              <w:bottom w:val="single" w:color="000000" w:sz="8" w:space="0"/>
              <w:right w:val="single" w:color="auto" w:sz="8" w:space="0"/>
            </w:tcBorders>
            <w:vAlign w:val="center"/>
          </w:tcPr>
          <w:p w14:paraId="63B318E4">
            <w:pPr>
              <w:widowControl/>
              <w:adjustRightInd/>
              <w:jc w:val="left"/>
              <w:rPr>
                <w:rFonts w:ascii="宋体" w:hAnsi="宋体" w:cs="宋体"/>
                <w:kern w:val="0"/>
                <w:sz w:val="24"/>
                <w:highlight w:val="none"/>
              </w:rPr>
            </w:pPr>
          </w:p>
        </w:tc>
        <w:tc>
          <w:tcPr>
            <w:tcW w:w="1420" w:type="dxa"/>
            <w:tcBorders>
              <w:top w:val="nil"/>
              <w:left w:val="nil"/>
              <w:bottom w:val="single" w:color="auto" w:sz="8" w:space="0"/>
              <w:right w:val="single" w:color="auto" w:sz="8" w:space="0"/>
            </w:tcBorders>
            <w:vAlign w:val="center"/>
          </w:tcPr>
          <w:p w14:paraId="5CFA21E9">
            <w:pPr>
              <w:widowControl/>
              <w:adjustRightInd/>
              <w:jc w:val="center"/>
              <w:rPr>
                <w:rFonts w:ascii="宋体" w:hAnsi="宋体" w:cs="宋体"/>
                <w:kern w:val="0"/>
                <w:sz w:val="24"/>
                <w:highlight w:val="none"/>
              </w:rPr>
            </w:pPr>
            <w:r>
              <w:rPr>
                <w:rFonts w:hint="eastAsia" w:ascii="宋体" w:hAnsi="宋体" w:cs="宋体"/>
                <w:kern w:val="0"/>
                <w:sz w:val="24"/>
                <w:highlight w:val="none"/>
              </w:rPr>
              <w:t>▲尺寸（高×宽×深）</w:t>
            </w:r>
          </w:p>
        </w:tc>
        <w:tc>
          <w:tcPr>
            <w:tcW w:w="5080" w:type="dxa"/>
            <w:tcBorders>
              <w:top w:val="single" w:color="auto" w:sz="8" w:space="0"/>
              <w:left w:val="nil"/>
              <w:bottom w:val="single" w:color="auto" w:sz="8" w:space="0"/>
              <w:right w:val="single" w:color="auto" w:sz="8" w:space="0"/>
            </w:tcBorders>
            <w:vAlign w:val="center"/>
          </w:tcPr>
          <w:p w14:paraId="30CFC5E5">
            <w:pPr>
              <w:widowControl/>
              <w:adjustRightInd/>
              <w:rPr>
                <w:rFonts w:ascii="宋体" w:hAnsi="宋体" w:cs="宋体"/>
                <w:kern w:val="0"/>
                <w:sz w:val="24"/>
                <w:highlight w:val="none"/>
              </w:rPr>
            </w:pPr>
            <w:r>
              <w:rPr>
                <w:rFonts w:hint="eastAsia" w:ascii="宋体" w:hAnsi="宋体" w:cs="宋体"/>
                <w:kern w:val="0"/>
                <w:sz w:val="24"/>
                <w:highlight w:val="none"/>
              </w:rPr>
              <w:t>供应商应在投标时给出产品尺寸；</w:t>
            </w:r>
          </w:p>
        </w:tc>
      </w:tr>
      <w:tr w14:paraId="14E68FFC">
        <w:tblPrEx>
          <w:tblCellMar>
            <w:top w:w="0" w:type="dxa"/>
            <w:left w:w="108" w:type="dxa"/>
            <w:bottom w:w="0" w:type="dxa"/>
            <w:right w:w="108" w:type="dxa"/>
          </w:tblCellMar>
        </w:tblPrEx>
        <w:trPr>
          <w:trHeight w:val="1572" w:hRule="atLeast"/>
        </w:trPr>
        <w:tc>
          <w:tcPr>
            <w:tcW w:w="960" w:type="dxa"/>
            <w:tcBorders>
              <w:top w:val="nil"/>
              <w:left w:val="single" w:color="auto" w:sz="8" w:space="0"/>
              <w:bottom w:val="single" w:color="auto" w:sz="8" w:space="0"/>
              <w:right w:val="single" w:color="auto" w:sz="8" w:space="0"/>
            </w:tcBorders>
            <w:vAlign w:val="center"/>
          </w:tcPr>
          <w:p w14:paraId="2837E67E">
            <w:pPr>
              <w:widowControl/>
              <w:adjustRightInd/>
              <w:jc w:val="center"/>
              <w:rPr>
                <w:rFonts w:ascii="宋体" w:hAnsi="宋体" w:cs="宋体"/>
                <w:kern w:val="0"/>
                <w:sz w:val="24"/>
                <w:highlight w:val="none"/>
              </w:rPr>
            </w:pPr>
            <w:r>
              <w:rPr>
                <w:rFonts w:ascii="宋体" w:hAnsi="宋体" w:cs="宋体"/>
                <w:kern w:val="0"/>
                <w:sz w:val="24"/>
                <w:highlight w:val="none"/>
              </w:rPr>
              <w:t>20</w:t>
            </w:r>
          </w:p>
        </w:tc>
        <w:tc>
          <w:tcPr>
            <w:tcW w:w="1400" w:type="dxa"/>
            <w:vMerge w:val="continue"/>
            <w:tcBorders>
              <w:top w:val="nil"/>
              <w:left w:val="single" w:color="auto" w:sz="8" w:space="0"/>
              <w:bottom w:val="single" w:color="000000" w:sz="8" w:space="0"/>
              <w:right w:val="single" w:color="auto" w:sz="8" w:space="0"/>
            </w:tcBorders>
            <w:vAlign w:val="center"/>
          </w:tcPr>
          <w:p w14:paraId="49BD9D09">
            <w:pPr>
              <w:widowControl/>
              <w:adjustRightInd/>
              <w:jc w:val="left"/>
              <w:rPr>
                <w:rFonts w:ascii="宋体" w:hAnsi="宋体" w:cs="宋体"/>
                <w:kern w:val="0"/>
                <w:sz w:val="24"/>
                <w:highlight w:val="none"/>
              </w:rPr>
            </w:pPr>
          </w:p>
        </w:tc>
        <w:tc>
          <w:tcPr>
            <w:tcW w:w="1420" w:type="dxa"/>
            <w:tcBorders>
              <w:top w:val="nil"/>
              <w:left w:val="nil"/>
              <w:bottom w:val="single" w:color="auto" w:sz="8" w:space="0"/>
              <w:right w:val="single" w:color="auto" w:sz="8" w:space="0"/>
            </w:tcBorders>
            <w:vAlign w:val="center"/>
          </w:tcPr>
          <w:p w14:paraId="0E8B926B">
            <w:pPr>
              <w:widowControl/>
              <w:adjustRightInd/>
              <w:jc w:val="center"/>
              <w:rPr>
                <w:rFonts w:ascii="宋体" w:hAnsi="宋体" w:cs="宋体"/>
                <w:kern w:val="0"/>
                <w:sz w:val="24"/>
                <w:highlight w:val="none"/>
              </w:rPr>
            </w:pPr>
            <w:r>
              <w:rPr>
                <w:rFonts w:hint="eastAsia" w:ascii="宋体" w:hAnsi="宋体" w:cs="宋体"/>
                <w:kern w:val="0"/>
                <w:sz w:val="24"/>
                <w:highlight w:val="none"/>
              </w:rPr>
              <w:t>▲环境适应性</w:t>
            </w:r>
          </w:p>
        </w:tc>
        <w:tc>
          <w:tcPr>
            <w:tcW w:w="5080" w:type="dxa"/>
            <w:tcBorders>
              <w:top w:val="nil"/>
              <w:left w:val="nil"/>
              <w:bottom w:val="single" w:color="auto" w:sz="8" w:space="0"/>
              <w:right w:val="single" w:color="auto" w:sz="8" w:space="0"/>
            </w:tcBorders>
            <w:vAlign w:val="center"/>
          </w:tcPr>
          <w:p w14:paraId="4AD69E89">
            <w:pPr>
              <w:widowControl/>
              <w:adjustRightInd/>
              <w:rPr>
                <w:rFonts w:ascii="宋体" w:hAnsi="宋体" w:cs="宋体"/>
                <w:kern w:val="0"/>
                <w:sz w:val="24"/>
                <w:highlight w:val="none"/>
              </w:rPr>
            </w:pPr>
            <w:r>
              <w:rPr>
                <w:rFonts w:hint="eastAsia" w:ascii="宋体" w:hAnsi="宋体" w:cs="宋体"/>
                <w:kern w:val="0"/>
                <w:sz w:val="24"/>
                <w:highlight w:val="none"/>
              </w:rPr>
              <w:t>气候环境适应性应符合</w:t>
            </w:r>
            <w:r>
              <w:rPr>
                <w:rFonts w:ascii="宋体" w:hAnsi="宋体" w:cs="宋体"/>
                <w:kern w:val="0"/>
                <w:sz w:val="24"/>
                <w:highlight w:val="none"/>
              </w:rPr>
              <w:t xml:space="preserve"> GB/T9813.3 </w:t>
            </w:r>
            <w:r>
              <w:rPr>
                <w:rFonts w:hint="eastAsia" w:ascii="宋体" w:hAnsi="宋体" w:cs="宋体"/>
                <w:kern w:val="0"/>
                <w:sz w:val="24"/>
                <w:highlight w:val="none"/>
              </w:rPr>
              <w:t>的有关规定，工作温度</w:t>
            </w:r>
            <w:r>
              <w:rPr>
                <w:rFonts w:ascii="宋体" w:hAnsi="宋体" w:cs="宋体"/>
                <w:kern w:val="0"/>
                <w:sz w:val="24"/>
                <w:highlight w:val="none"/>
              </w:rPr>
              <w:t xml:space="preserve"> 10～35℃，贮存运输温度-40～55℃；工作相对湿度 35%～80%，贮存运输相对湿度 20％～93%（40℃）；大气压86～106kPa</w:t>
            </w:r>
          </w:p>
        </w:tc>
      </w:tr>
      <w:tr w14:paraId="5FA92605">
        <w:tblPrEx>
          <w:tblCellMar>
            <w:top w:w="0" w:type="dxa"/>
            <w:left w:w="108" w:type="dxa"/>
            <w:bottom w:w="0" w:type="dxa"/>
            <w:right w:w="108" w:type="dxa"/>
          </w:tblCellMar>
        </w:tblPrEx>
        <w:trPr>
          <w:trHeight w:val="636" w:hRule="atLeast"/>
        </w:trPr>
        <w:tc>
          <w:tcPr>
            <w:tcW w:w="960" w:type="dxa"/>
            <w:tcBorders>
              <w:top w:val="nil"/>
              <w:left w:val="single" w:color="auto" w:sz="8" w:space="0"/>
              <w:bottom w:val="single" w:color="auto" w:sz="8" w:space="0"/>
              <w:right w:val="single" w:color="auto" w:sz="8" w:space="0"/>
            </w:tcBorders>
            <w:vAlign w:val="center"/>
          </w:tcPr>
          <w:p w14:paraId="014ACECA">
            <w:pPr>
              <w:widowControl/>
              <w:adjustRightInd/>
              <w:jc w:val="center"/>
              <w:rPr>
                <w:rFonts w:ascii="宋体" w:hAnsi="宋体" w:cs="宋体"/>
                <w:kern w:val="0"/>
                <w:sz w:val="24"/>
                <w:highlight w:val="none"/>
              </w:rPr>
            </w:pPr>
            <w:r>
              <w:rPr>
                <w:rFonts w:ascii="宋体" w:hAnsi="宋体" w:cs="宋体"/>
                <w:kern w:val="0"/>
                <w:sz w:val="24"/>
                <w:highlight w:val="none"/>
              </w:rPr>
              <w:t>21</w:t>
            </w:r>
          </w:p>
        </w:tc>
        <w:tc>
          <w:tcPr>
            <w:tcW w:w="1400" w:type="dxa"/>
            <w:vMerge w:val="continue"/>
            <w:tcBorders>
              <w:top w:val="nil"/>
              <w:left w:val="single" w:color="auto" w:sz="8" w:space="0"/>
              <w:bottom w:val="single" w:color="000000" w:sz="8" w:space="0"/>
              <w:right w:val="single" w:color="auto" w:sz="8" w:space="0"/>
            </w:tcBorders>
            <w:vAlign w:val="center"/>
          </w:tcPr>
          <w:p w14:paraId="1B5BD655">
            <w:pPr>
              <w:widowControl/>
              <w:adjustRightInd/>
              <w:jc w:val="left"/>
              <w:rPr>
                <w:rFonts w:ascii="宋体" w:hAnsi="宋体" w:cs="宋体"/>
                <w:kern w:val="0"/>
                <w:sz w:val="24"/>
                <w:highlight w:val="none"/>
              </w:rPr>
            </w:pPr>
          </w:p>
        </w:tc>
        <w:tc>
          <w:tcPr>
            <w:tcW w:w="1420" w:type="dxa"/>
            <w:tcBorders>
              <w:top w:val="nil"/>
              <w:left w:val="nil"/>
              <w:bottom w:val="single" w:color="auto" w:sz="8" w:space="0"/>
              <w:right w:val="single" w:color="auto" w:sz="8" w:space="0"/>
            </w:tcBorders>
            <w:vAlign w:val="center"/>
          </w:tcPr>
          <w:p w14:paraId="2CA6A722">
            <w:pPr>
              <w:widowControl/>
              <w:adjustRightInd/>
              <w:jc w:val="center"/>
              <w:rPr>
                <w:rFonts w:ascii="宋体" w:hAnsi="宋体" w:cs="宋体"/>
                <w:kern w:val="0"/>
                <w:sz w:val="24"/>
                <w:highlight w:val="none"/>
              </w:rPr>
            </w:pPr>
            <w:r>
              <w:rPr>
                <w:rFonts w:hint="eastAsia" w:ascii="宋体" w:hAnsi="宋体" w:cs="宋体"/>
                <w:kern w:val="0"/>
                <w:sz w:val="24"/>
                <w:highlight w:val="none"/>
              </w:rPr>
              <w:t>▲机械环境适应性</w:t>
            </w:r>
          </w:p>
        </w:tc>
        <w:tc>
          <w:tcPr>
            <w:tcW w:w="5080" w:type="dxa"/>
            <w:tcBorders>
              <w:top w:val="nil"/>
              <w:left w:val="nil"/>
              <w:bottom w:val="single" w:color="auto" w:sz="8" w:space="0"/>
              <w:right w:val="single" w:color="auto" w:sz="8" w:space="0"/>
            </w:tcBorders>
            <w:vAlign w:val="center"/>
          </w:tcPr>
          <w:p w14:paraId="768A668D">
            <w:pPr>
              <w:widowControl/>
              <w:adjustRightInd/>
              <w:rPr>
                <w:rFonts w:ascii="宋体" w:hAnsi="宋体" w:cs="宋体"/>
                <w:kern w:val="0"/>
                <w:sz w:val="24"/>
                <w:highlight w:val="none"/>
              </w:rPr>
            </w:pPr>
            <w:r>
              <w:rPr>
                <w:rFonts w:hint="eastAsia" w:ascii="宋体" w:hAnsi="宋体" w:cs="宋体"/>
                <w:kern w:val="0"/>
                <w:sz w:val="24"/>
                <w:highlight w:val="none"/>
              </w:rPr>
              <w:t>机械环境适应性应符合</w:t>
            </w:r>
            <w:r>
              <w:rPr>
                <w:rFonts w:ascii="宋体" w:hAnsi="宋体" w:cs="宋体"/>
                <w:kern w:val="0"/>
                <w:sz w:val="24"/>
                <w:highlight w:val="none"/>
              </w:rPr>
              <w:t xml:space="preserve"> GB/T9813.3 </w:t>
            </w:r>
            <w:r>
              <w:rPr>
                <w:rFonts w:hint="eastAsia" w:ascii="宋体" w:hAnsi="宋体" w:cs="宋体"/>
                <w:kern w:val="0"/>
                <w:sz w:val="24"/>
                <w:highlight w:val="none"/>
              </w:rPr>
              <w:t>的有关规定</w:t>
            </w:r>
          </w:p>
        </w:tc>
      </w:tr>
      <w:tr w14:paraId="453F97A6">
        <w:tblPrEx>
          <w:tblCellMar>
            <w:top w:w="0" w:type="dxa"/>
            <w:left w:w="108" w:type="dxa"/>
            <w:bottom w:w="0" w:type="dxa"/>
            <w:right w:w="108" w:type="dxa"/>
          </w:tblCellMar>
        </w:tblPrEx>
        <w:trPr>
          <w:trHeight w:val="948" w:hRule="atLeast"/>
        </w:trPr>
        <w:tc>
          <w:tcPr>
            <w:tcW w:w="960" w:type="dxa"/>
            <w:tcBorders>
              <w:top w:val="nil"/>
              <w:left w:val="single" w:color="auto" w:sz="8" w:space="0"/>
              <w:bottom w:val="single" w:color="auto" w:sz="8" w:space="0"/>
              <w:right w:val="single" w:color="auto" w:sz="8" w:space="0"/>
            </w:tcBorders>
            <w:vAlign w:val="center"/>
          </w:tcPr>
          <w:p w14:paraId="33300F70">
            <w:pPr>
              <w:widowControl/>
              <w:adjustRightInd/>
              <w:jc w:val="center"/>
              <w:rPr>
                <w:rFonts w:ascii="宋体" w:hAnsi="宋体" w:cs="宋体"/>
                <w:kern w:val="0"/>
                <w:sz w:val="24"/>
                <w:highlight w:val="none"/>
              </w:rPr>
            </w:pPr>
            <w:r>
              <w:rPr>
                <w:rFonts w:ascii="宋体" w:hAnsi="宋体" w:cs="宋体"/>
                <w:kern w:val="0"/>
                <w:sz w:val="24"/>
                <w:highlight w:val="none"/>
              </w:rPr>
              <w:t>22</w:t>
            </w:r>
          </w:p>
        </w:tc>
        <w:tc>
          <w:tcPr>
            <w:tcW w:w="1400" w:type="dxa"/>
            <w:vMerge w:val="continue"/>
            <w:tcBorders>
              <w:top w:val="nil"/>
              <w:left w:val="single" w:color="auto" w:sz="8" w:space="0"/>
              <w:bottom w:val="single" w:color="000000" w:sz="8" w:space="0"/>
              <w:right w:val="single" w:color="auto" w:sz="8" w:space="0"/>
            </w:tcBorders>
            <w:vAlign w:val="center"/>
          </w:tcPr>
          <w:p w14:paraId="023DCE54">
            <w:pPr>
              <w:widowControl/>
              <w:adjustRightInd/>
              <w:jc w:val="left"/>
              <w:rPr>
                <w:rFonts w:ascii="宋体" w:hAnsi="宋体" w:cs="宋体"/>
                <w:kern w:val="0"/>
                <w:sz w:val="24"/>
                <w:highlight w:val="none"/>
              </w:rPr>
            </w:pPr>
          </w:p>
        </w:tc>
        <w:tc>
          <w:tcPr>
            <w:tcW w:w="1420" w:type="dxa"/>
            <w:tcBorders>
              <w:top w:val="nil"/>
              <w:left w:val="nil"/>
              <w:bottom w:val="single" w:color="auto" w:sz="8" w:space="0"/>
              <w:right w:val="single" w:color="auto" w:sz="8" w:space="0"/>
            </w:tcBorders>
            <w:vAlign w:val="center"/>
          </w:tcPr>
          <w:p w14:paraId="4B66CF9B">
            <w:pPr>
              <w:widowControl/>
              <w:adjustRightInd/>
              <w:jc w:val="center"/>
              <w:rPr>
                <w:rFonts w:ascii="宋体" w:hAnsi="宋体" w:cs="宋体"/>
                <w:kern w:val="0"/>
                <w:sz w:val="24"/>
                <w:highlight w:val="none"/>
              </w:rPr>
            </w:pPr>
            <w:r>
              <w:rPr>
                <w:rFonts w:hint="eastAsia" w:ascii="宋体" w:hAnsi="宋体" w:cs="宋体"/>
                <w:kern w:val="0"/>
                <w:sz w:val="24"/>
                <w:highlight w:val="none"/>
              </w:rPr>
              <w:t>▲噪声</w:t>
            </w:r>
          </w:p>
        </w:tc>
        <w:tc>
          <w:tcPr>
            <w:tcW w:w="5080" w:type="dxa"/>
            <w:tcBorders>
              <w:top w:val="nil"/>
              <w:left w:val="nil"/>
              <w:bottom w:val="single" w:color="auto" w:sz="8" w:space="0"/>
              <w:right w:val="single" w:color="auto" w:sz="8" w:space="0"/>
            </w:tcBorders>
            <w:vAlign w:val="center"/>
          </w:tcPr>
          <w:p w14:paraId="6FB8E859">
            <w:pPr>
              <w:widowControl/>
              <w:adjustRightInd/>
              <w:rPr>
                <w:rFonts w:ascii="宋体" w:hAnsi="宋体" w:cs="宋体"/>
                <w:kern w:val="0"/>
                <w:sz w:val="24"/>
                <w:highlight w:val="none"/>
              </w:rPr>
            </w:pPr>
            <w:r>
              <w:rPr>
                <w:rFonts w:hint="eastAsia" w:ascii="宋体" w:hAnsi="宋体" w:cs="宋体"/>
                <w:kern w:val="0"/>
                <w:sz w:val="24"/>
                <w:highlight w:val="none"/>
              </w:rPr>
              <w:t>符合</w:t>
            </w:r>
            <w:r>
              <w:rPr>
                <w:rFonts w:ascii="宋体" w:hAnsi="宋体" w:cs="宋体"/>
                <w:kern w:val="0"/>
                <w:sz w:val="24"/>
                <w:highlight w:val="none"/>
              </w:rPr>
              <w:t xml:space="preserve"> GB/T 9813.3 </w:t>
            </w:r>
            <w:r>
              <w:rPr>
                <w:rFonts w:hint="eastAsia" w:ascii="宋体" w:hAnsi="宋体" w:cs="宋体"/>
                <w:kern w:val="0"/>
                <w:sz w:val="24"/>
                <w:highlight w:val="none"/>
              </w:rPr>
              <w:t>的有关规定，在产品说明中给出具体测试值塔式服务器噪声在空闲状态下不大于</w:t>
            </w:r>
            <w:r>
              <w:rPr>
                <w:rFonts w:ascii="宋体" w:hAnsi="宋体" w:cs="宋体"/>
                <w:kern w:val="0"/>
                <w:sz w:val="24"/>
                <w:highlight w:val="none"/>
              </w:rPr>
              <w:t xml:space="preserve"> 50dB</w:t>
            </w:r>
          </w:p>
        </w:tc>
      </w:tr>
      <w:tr w14:paraId="3A0477A8">
        <w:tblPrEx>
          <w:tblCellMar>
            <w:top w:w="0" w:type="dxa"/>
            <w:left w:w="108" w:type="dxa"/>
            <w:bottom w:w="0" w:type="dxa"/>
            <w:right w:w="108" w:type="dxa"/>
          </w:tblCellMar>
        </w:tblPrEx>
        <w:trPr>
          <w:trHeight w:val="636" w:hRule="atLeast"/>
        </w:trPr>
        <w:tc>
          <w:tcPr>
            <w:tcW w:w="960" w:type="dxa"/>
            <w:tcBorders>
              <w:top w:val="nil"/>
              <w:left w:val="single" w:color="auto" w:sz="8" w:space="0"/>
              <w:bottom w:val="single" w:color="auto" w:sz="8" w:space="0"/>
              <w:right w:val="single" w:color="auto" w:sz="8" w:space="0"/>
            </w:tcBorders>
            <w:vAlign w:val="center"/>
          </w:tcPr>
          <w:p w14:paraId="23BD826E">
            <w:pPr>
              <w:widowControl/>
              <w:adjustRightInd/>
              <w:jc w:val="center"/>
              <w:rPr>
                <w:rFonts w:ascii="宋体" w:hAnsi="宋体" w:cs="宋体"/>
                <w:kern w:val="0"/>
                <w:sz w:val="24"/>
                <w:highlight w:val="none"/>
              </w:rPr>
            </w:pPr>
            <w:r>
              <w:rPr>
                <w:rFonts w:ascii="宋体" w:hAnsi="宋体" w:cs="宋体"/>
                <w:kern w:val="0"/>
                <w:sz w:val="24"/>
                <w:highlight w:val="none"/>
              </w:rPr>
              <w:t>23</w:t>
            </w:r>
          </w:p>
        </w:tc>
        <w:tc>
          <w:tcPr>
            <w:tcW w:w="1400" w:type="dxa"/>
            <w:tcBorders>
              <w:top w:val="nil"/>
              <w:left w:val="nil"/>
              <w:bottom w:val="single" w:color="auto" w:sz="8" w:space="0"/>
              <w:right w:val="single" w:color="auto" w:sz="8" w:space="0"/>
            </w:tcBorders>
            <w:vAlign w:val="center"/>
          </w:tcPr>
          <w:p w14:paraId="37FF1CC4">
            <w:pPr>
              <w:widowControl/>
              <w:adjustRightInd/>
              <w:jc w:val="center"/>
              <w:rPr>
                <w:rFonts w:ascii="宋体" w:hAnsi="宋体" w:cs="宋体"/>
                <w:kern w:val="0"/>
                <w:sz w:val="24"/>
                <w:highlight w:val="none"/>
              </w:rPr>
            </w:pPr>
            <w:r>
              <w:rPr>
                <w:rFonts w:hint="eastAsia" w:ascii="宋体" w:hAnsi="宋体" w:cs="宋体"/>
                <w:kern w:val="0"/>
                <w:sz w:val="24"/>
                <w:highlight w:val="none"/>
              </w:rPr>
              <w:t>机柜规格</w:t>
            </w:r>
          </w:p>
        </w:tc>
        <w:tc>
          <w:tcPr>
            <w:tcW w:w="1420" w:type="dxa"/>
            <w:tcBorders>
              <w:top w:val="nil"/>
              <w:left w:val="nil"/>
              <w:bottom w:val="single" w:color="auto" w:sz="8" w:space="0"/>
              <w:right w:val="single" w:color="auto" w:sz="8" w:space="0"/>
            </w:tcBorders>
            <w:vAlign w:val="center"/>
          </w:tcPr>
          <w:p w14:paraId="6FF81742">
            <w:pPr>
              <w:widowControl/>
              <w:adjustRightInd/>
              <w:jc w:val="center"/>
              <w:rPr>
                <w:rFonts w:ascii="宋体" w:hAnsi="宋体" w:cs="宋体"/>
                <w:kern w:val="0"/>
                <w:sz w:val="24"/>
                <w:highlight w:val="none"/>
              </w:rPr>
            </w:pPr>
            <w:r>
              <w:rPr>
                <w:rFonts w:hint="eastAsia" w:ascii="宋体" w:hAnsi="宋体" w:cs="宋体"/>
                <w:kern w:val="0"/>
                <w:sz w:val="24"/>
                <w:highlight w:val="none"/>
              </w:rPr>
              <w:t>▲机柜尺寸</w:t>
            </w:r>
          </w:p>
        </w:tc>
        <w:tc>
          <w:tcPr>
            <w:tcW w:w="5080" w:type="dxa"/>
            <w:tcBorders>
              <w:top w:val="nil"/>
              <w:left w:val="nil"/>
              <w:bottom w:val="single" w:color="auto" w:sz="8" w:space="0"/>
              <w:right w:val="single" w:color="auto" w:sz="8" w:space="0"/>
            </w:tcBorders>
            <w:vAlign w:val="center"/>
          </w:tcPr>
          <w:p w14:paraId="42760A3E">
            <w:pPr>
              <w:widowControl/>
              <w:adjustRightInd/>
              <w:rPr>
                <w:rFonts w:ascii="宋体" w:hAnsi="宋体" w:cs="宋体"/>
                <w:kern w:val="0"/>
                <w:sz w:val="24"/>
                <w:highlight w:val="none"/>
              </w:rPr>
            </w:pPr>
            <w:r>
              <w:rPr>
                <w:rFonts w:hint="eastAsia" w:ascii="宋体" w:hAnsi="宋体" w:cs="宋体"/>
                <w:kern w:val="0"/>
                <w:sz w:val="24"/>
                <w:highlight w:val="none"/>
              </w:rPr>
              <w:t>供应商在投标时给出长度、高度和深度；</w:t>
            </w:r>
          </w:p>
        </w:tc>
      </w:tr>
      <w:tr w14:paraId="17C839DB">
        <w:tblPrEx>
          <w:tblCellMar>
            <w:top w:w="0" w:type="dxa"/>
            <w:left w:w="108" w:type="dxa"/>
            <w:bottom w:w="0" w:type="dxa"/>
            <w:right w:w="108" w:type="dxa"/>
          </w:tblCellMar>
        </w:tblPrEx>
        <w:trPr>
          <w:trHeight w:val="636" w:hRule="atLeast"/>
        </w:trPr>
        <w:tc>
          <w:tcPr>
            <w:tcW w:w="960" w:type="dxa"/>
            <w:tcBorders>
              <w:top w:val="nil"/>
              <w:left w:val="single" w:color="auto" w:sz="8" w:space="0"/>
              <w:bottom w:val="single" w:color="auto" w:sz="8" w:space="0"/>
              <w:right w:val="single" w:color="auto" w:sz="8" w:space="0"/>
            </w:tcBorders>
            <w:vAlign w:val="center"/>
          </w:tcPr>
          <w:p w14:paraId="0C08331D">
            <w:pPr>
              <w:widowControl/>
              <w:adjustRightInd/>
              <w:jc w:val="center"/>
              <w:rPr>
                <w:rFonts w:ascii="宋体" w:hAnsi="宋体" w:cs="宋体"/>
                <w:kern w:val="0"/>
                <w:sz w:val="24"/>
                <w:highlight w:val="none"/>
              </w:rPr>
            </w:pPr>
            <w:r>
              <w:rPr>
                <w:rFonts w:ascii="宋体" w:hAnsi="宋体" w:cs="宋体"/>
                <w:kern w:val="0"/>
                <w:sz w:val="24"/>
                <w:highlight w:val="none"/>
              </w:rPr>
              <w:t>24</w:t>
            </w:r>
          </w:p>
        </w:tc>
        <w:tc>
          <w:tcPr>
            <w:tcW w:w="1400" w:type="dxa"/>
            <w:tcBorders>
              <w:top w:val="nil"/>
              <w:left w:val="nil"/>
              <w:bottom w:val="single" w:color="auto" w:sz="8" w:space="0"/>
              <w:right w:val="single" w:color="auto" w:sz="8" w:space="0"/>
            </w:tcBorders>
            <w:vAlign w:val="center"/>
          </w:tcPr>
          <w:p w14:paraId="3AFB2241">
            <w:pPr>
              <w:widowControl/>
              <w:adjustRightInd/>
              <w:jc w:val="center"/>
              <w:rPr>
                <w:rFonts w:ascii="宋体" w:hAnsi="宋体" w:cs="宋体"/>
                <w:kern w:val="0"/>
                <w:sz w:val="24"/>
                <w:highlight w:val="none"/>
              </w:rPr>
            </w:pPr>
            <w:r>
              <w:rPr>
                <w:rFonts w:hint="eastAsia" w:ascii="宋体" w:hAnsi="宋体" w:cs="宋体"/>
                <w:kern w:val="0"/>
                <w:sz w:val="24"/>
                <w:highlight w:val="none"/>
              </w:rPr>
              <w:t>▲主板</w:t>
            </w:r>
          </w:p>
        </w:tc>
        <w:tc>
          <w:tcPr>
            <w:tcW w:w="1420" w:type="dxa"/>
            <w:tcBorders>
              <w:top w:val="nil"/>
              <w:left w:val="nil"/>
              <w:bottom w:val="single" w:color="auto" w:sz="8" w:space="0"/>
              <w:right w:val="single" w:color="auto" w:sz="8" w:space="0"/>
            </w:tcBorders>
            <w:vAlign w:val="center"/>
          </w:tcPr>
          <w:p w14:paraId="686B06C0">
            <w:pPr>
              <w:widowControl/>
              <w:adjustRightInd/>
              <w:jc w:val="center"/>
              <w:rPr>
                <w:rFonts w:ascii="宋体" w:hAnsi="宋体" w:cs="宋体"/>
                <w:kern w:val="0"/>
                <w:sz w:val="24"/>
                <w:highlight w:val="none"/>
              </w:rPr>
            </w:pPr>
            <w:r>
              <w:rPr>
                <w:rFonts w:hint="eastAsia" w:ascii="宋体" w:hAnsi="宋体" w:cs="宋体"/>
                <w:kern w:val="0"/>
                <w:sz w:val="24"/>
                <w:highlight w:val="none"/>
              </w:rPr>
              <w:t>▲主板外部接口种类</w:t>
            </w:r>
          </w:p>
        </w:tc>
        <w:tc>
          <w:tcPr>
            <w:tcW w:w="5080" w:type="dxa"/>
            <w:tcBorders>
              <w:top w:val="nil"/>
              <w:left w:val="nil"/>
              <w:bottom w:val="single" w:color="auto" w:sz="8" w:space="0"/>
              <w:right w:val="single" w:color="auto" w:sz="8" w:space="0"/>
            </w:tcBorders>
            <w:vAlign w:val="center"/>
          </w:tcPr>
          <w:p w14:paraId="156E9240">
            <w:pPr>
              <w:widowControl/>
              <w:adjustRightInd/>
              <w:rPr>
                <w:rFonts w:ascii="宋体" w:hAnsi="宋体" w:cs="宋体"/>
                <w:kern w:val="0"/>
                <w:sz w:val="24"/>
                <w:highlight w:val="none"/>
              </w:rPr>
            </w:pPr>
            <w:r>
              <w:rPr>
                <w:rFonts w:hint="eastAsia" w:ascii="宋体" w:hAnsi="宋体" w:cs="宋体"/>
                <w:kern w:val="0"/>
                <w:sz w:val="24"/>
                <w:highlight w:val="none"/>
              </w:rPr>
              <w:t>支持</w:t>
            </w:r>
            <w:r>
              <w:rPr>
                <w:rFonts w:ascii="宋体" w:hAnsi="宋体" w:cs="宋体"/>
                <w:kern w:val="0"/>
                <w:sz w:val="24"/>
                <w:highlight w:val="none"/>
              </w:rPr>
              <w:t xml:space="preserve"> USB、显示、管理等接口</w:t>
            </w:r>
          </w:p>
        </w:tc>
      </w:tr>
      <w:tr w14:paraId="0F12B76F">
        <w:tblPrEx>
          <w:tblCellMar>
            <w:top w:w="0" w:type="dxa"/>
            <w:left w:w="108" w:type="dxa"/>
            <w:bottom w:w="0" w:type="dxa"/>
            <w:right w:w="108" w:type="dxa"/>
          </w:tblCellMar>
        </w:tblPrEx>
        <w:trPr>
          <w:trHeight w:val="636" w:hRule="atLeast"/>
        </w:trPr>
        <w:tc>
          <w:tcPr>
            <w:tcW w:w="960" w:type="dxa"/>
            <w:tcBorders>
              <w:top w:val="nil"/>
              <w:left w:val="single" w:color="auto" w:sz="8" w:space="0"/>
              <w:bottom w:val="single" w:color="auto" w:sz="8" w:space="0"/>
              <w:right w:val="single" w:color="auto" w:sz="8" w:space="0"/>
            </w:tcBorders>
            <w:vAlign w:val="center"/>
          </w:tcPr>
          <w:p w14:paraId="758E42E3">
            <w:pPr>
              <w:widowControl/>
              <w:adjustRightInd/>
              <w:jc w:val="center"/>
              <w:rPr>
                <w:rFonts w:ascii="宋体" w:hAnsi="宋体" w:cs="宋体"/>
                <w:kern w:val="0"/>
                <w:sz w:val="24"/>
                <w:highlight w:val="none"/>
              </w:rPr>
            </w:pPr>
            <w:r>
              <w:rPr>
                <w:rFonts w:ascii="宋体" w:hAnsi="宋体" w:cs="宋体"/>
                <w:kern w:val="0"/>
                <w:sz w:val="24"/>
                <w:highlight w:val="none"/>
              </w:rPr>
              <w:t>25</w:t>
            </w:r>
          </w:p>
        </w:tc>
        <w:tc>
          <w:tcPr>
            <w:tcW w:w="1400" w:type="dxa"/>
            <w:tcBorders>
              <w:top w:val="nil"/>
              <w:left w:val="nil"/>
              <w:bottom w:val="single" w:color="auto" w:sz="8" w:space="0"/>
              <w:right w:val="single" w:color="auto" w:sz="8" w:space="0"/>
            </w:tcBorders>
            <w:vAlign w:val="center"/>
          </w:tcPr>
          <w:p w14:paraId="7B0C821C">
            <w:pPr>
              <w:widowControl/>
              <w:adjustRightInd/>
              <w:jc w:val="center"/>
              <w:rPr>
                <w:rFonts w:ascii="宋体" w:hAnsi="宋体" w:cs="宋体"/>
                <w:kern w:val="0"/>
                <w:sz w:val="24"/>
                <w:highlight w:val="none"/>
              </w:rPr>
            </w:pPr>
            <w:r>
              <w:rPr>
                <w:rFonts w:hint="eastAsia" w:ascii="宋体" w:hAnsi="宋体" w:cs="宋体"/>
                <w:kern w:val="0"/>
                <w:sz w:val="24"/>
                <w:highlight w:val="none"/>
              </w:rPr>
              <w:t>▲网络功能</w:t>
            </w:r>
          </w:p>
        </w:tc>
        <w:tc>
          <w:tcPr>
            <w:tcW w:w="1420" w:type="dxa"/>
            <w:tcBorders>
              <w:top w:val="nil"/>
              <w:left w:val="nil"/>
              <w:bottom w:val="single" w:color="auto" w:sz="8" w:space="0"/>
              <w:right w:val="single" w:color="auto" w:sz="8" w:space="0"/>
            </w:tcBorders>
            <w:vAlign w:val="center"/>
          </w:tcPr>
          <w:p w14:paraId="5A3E0AA3">
            <w:pPr>
              <w:widowControl/>
              <w:adjustRightInd/>
              <w:jc w:val="center"/>
              <w:rPr>
                <w:rFonts w:ascii="宋体" w:hAnsi="宋体" w:cs="宋体"/>
                <w:kern w:val="0"/>
                <w:sz w:val="24"/>
                <w:highlight w:val="none"/>
              </w:rPr>
            </w:pPr>
            <w:r>
              <w:rPr>
                <w:rFonts w:hint="eastAsia" w:ascii="宋体" w:hAnsi="宋体" w:cs="宋体"/>
                <w:kern w:val="0"/>
                <w:sz w:val="24"/>
                <w:highlight w:val="none"/>
              </w:rPr>
              <w:t>▲网络功能</w:t>
            </w:r>
          </w:p>
        </w:tc>
        <w:tc>
          <w:tcPr>
            <w:tcW w:w="5080" w:type="dxa"/>
            <w:tcBorders>
              <w:top w:val="nil"/>
              <w:left w:val="nil"/>
              <w:bottom w:val="single" w:color="auto" w:sz="8" w:space="0"/>
              <w:right w:val="single" w:color="auto" w:sz="8" w:space="0"/>
            </w:tcBorders>
            <w:vAlign w:val="center"/>
          </w:tcPr>
          <w:p w14:paraId="5CAFAF4B">
            <w:pPr>
              <w:widowControl/>
              <w:adjustRightInd/>
              <w:rPr>
                <w:rFonts w:ascii="宋体" w:hAnsi="宋体" w:cs="宋体"/>
                <w:kern w:val="0"/>
                <w:sz w:val="24"/>
                <w:highlight w:val="none"/>
              </w:rPr>
            </w:pPr>
            <w:r>
              <w:rPr>
                <w:rFonts w:hint="eastAsia" w:ascii="宋体" w:hAnsi="宋体" w:cs="宋体"/>
                <w:kern w:val="0"/>
                <w:sz w:val="24"/>
                <w:highlight w:val="none"/>
              </w:rPr>
              <w:t>支持网络连接、网络访问、数据交换和网络管控功能</w:t>
            </w:r>
          </w:p>
        </w:tc>
      </w:tr>
      <w:tr w14:paraId="00381F41">
        <w:tblPrEx>
          <w:tblCellMar>
            <w:top w:w="0" w:type="dxa"/>
            <w:left w:w="108" w:type="dxa"/>
            <w:bottom w:w="0" w:type="dxa"/>
            <w:right w:w="108" w:type="dxa"/>
          </w:tblCellMar>
        </w:tblPrEx>
        <w:trPr>
          <w:trHeight w:val="1884" w:hRule="atLeast"/>
        </w:trPr>
        <w:tc>
          <w:tcPr>
            <w:tcW w:w="960" w:type="dxa"/>
            <w:tcBorders>
              <w:top w:val="nil"/>
              <w:left w:val="single" w:color="auto" w:sz="8" w:space="0"/>
              <w:bottom w:val="single" w:color="auto" w:sz="8" w:space="0"/>
              <w:right w:val="single" w:color="auto" w:sz="8" w:space="0"/>
            </w:tcBorders>
            <w:vAlign w:val="center"/>
          </w:tcPr>
          <w:p w14:paraId="366ECC86">
            <w:pPr>
              <w:widowControl/>
              <w:adjustRightInd/>
              <w:jc w:val="center"/>
              <w:rPr>
                <w:rFonts w:ascii="宋体" w:hAnsi="宋体" w:cs="宋体"/>
                <w:kern w:val="0"/>
                <w:sz w:val="24"/>
                <w:highlight w:val="none"/>
              </w:rPr>
            </w:pPr>
            <w:r>
              <w:rPr>
                <w:rFonts w:ascii="宋体" w:hAnsi="宋体" w:cs="宋体"/>
                <w:kern w:val="0"/>
                <w:sz w:val="24"/>
                <w:highlight w:val="none"/>
              </w:rPr>
              <w:t>26</w:t>
            </w:r>
          </w:p>
        </w:tc>
        <w:tc>
          <w:tcPr>
            <w:tcW w:w="1400" w:type="dxa"/>
            <w:vMerge w:val="restart"/>
            <w:tcBorders>
              <w:top w:val="nil"/>
              <w:left w:val="single" w:color="auto" w:sz="8" w:space="0"/>
              <w:bottom w:val="single" w:color="000000" w:sz="8" w:space="0"/>
              <w:right w:val="single" w:color="auto" w:sz="8" w:space="0"/>
            </w:tcBorders>
            <w:vAlign w:val="center"/>
          </w:tcPr>
          <w:p w14:paraId="5EFE9EC7">
            <w:pPr>
              <w:widowControl/>
              <w:adjustRightInd/>
              <w:jc w:val="center"/>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CPU功能</w:t>
            </w:r>
          </w:p>
        </w:tc>
        <w:tc>
          <w:tcPr>
            <w:tcW w:w="1420" w:type="dxa"/>
            <w:tcBorders>
              <w:top w:val="nil"/>
              <w:left w:val="nil"/>
              <w:bottom w:val="single" w:color="auto" w:sz="8" w:space="0"/>
              <w:right w:val="single" w:color="auto" w:sz="8" w:space="0"/>
            </w:tcBorders>
            <w:vAlign w:val="center"/>
          </w:tcPr>
          <w:p w14:paraId="0A5C3D64">
            <w:pPr>
              <w:widowControl/>
              <w:adjustRightInd/>
              <w:jc w:val="center"/>
              <w:rPr>
                <w:rFonts w:ascii="宋体" w:hAnsi="宋体" w:cs="宋体"/>
                <w:kern w:val="0"/>
                <w:sz w:val="24"/>
                <w:highlight w:val="none"/>
              </w:rPr>
            </w:pPr>
            <w:r>
              <w:rPr>
                <w:rFonts w:hint="eastAsia" w:ascii="宋体" w:hAnsi="宋体" w:cs="宋体"/>
                <w:kern w:val="0"/>
                <w:sz w:val="24"/>
                <w:highlight w:val="none"/>
              </w:rPr>
              <w:t>▲计算处理</w:t>
            </w:r>
          </w:p>
        </w:tc>
        <w:tc>
          <w:tcPr>
            <w:tcW w:w="5080" w:type="dxa"/>
            <w:tcBorders>
              <w:top w:val="nil"/>
              <w:left w:val="nil"/>
              <w:bottom w:val="single" w:color="auto" w:sz="8" w:space="0"/>
              <w:right w:val="single" w:color="auto" w:sz="8" w:space="0"/>
            </w:tcBorders>
            <w:vAlign w:val="center"/>
          </w:tcPr>
          <w:p w14:paraId="7176AD76">
            <w:pPr>
              <w:widowControl/>
              <w:adjustRightInd/>
              <w:rPr>
                <w:rFonts w:ascii="宋体" w:hAnsi="宋体" w:cs="宋体"/>
                <w:kern w:val="0"/>
                <w:sz w:val="24"/>
                <w:highlight w:val="none"/>
              </w:rPr>
            </w:pPr>
            <w:r>
              <w:rPr>
                <w:rFonts w:hint="eastAsia" w:ascii="宋体" w:hAnsi="宋体" w:cs="宋体"/>
                <w:kern w:val="0"/>
                <w:sz w:val="24"/>
                <w:highlight w:val="none"/>
              </w:rPr>
              <w:t>支持通用计算及虚拟化功能。处理器需集成整型计算单元、浮点计算单元、内存控制器、</w:t>
            </w:r>
            <w:r>
              <w:rPr>
                <w:rFonts w:ascii="宋体" w:hAnsi="宋体" w:cs="宋体"/>
                <w:kern w:val="0"/>
                <w:sz w:val="24"/>
                <w:highlight w:val="none"/>
              </w:rPr>
              <w:t xml:space="preserve">I/O </w:t>
            </w:r>
            <w:r>
              <w:rPr>
                <w:rFonts w:hint="eastAsia" w:ascii="宋体" w:hAnsi="宋体" w:cs="宋体"/>
                <w:kern w:val="0"/>
                <w:sz w:val="24"/>
                <w:highlight w:val="none"/>
              </w:rPr>
              <w:t>模块等，处理器与存储部件、网络部件、</w:t>
            </w:r>
            <w:r>
              <w:rPr>
                <w:rFonts w:ascii="宋体" w:hAnsi="宋体" w:cs="宋体"/>
                <w:kern w:val="0"/>
                <w:sz w:val="24"/>
                <w:highlight w:val="none"/>
              </w:rPr>
              <w:t>I/O部件等组成计算系统，提供数据处理、网络接入等计算相关功能</w:t>
            </w:r>
          </w:p>
        </w:tc>
      </w:tr>
      <w:tr w14:paraId="6F05B876">
        <w:tblPrEx>
          <w:tblCellMar>
            <w:top w:w="0" w:type="dxa"/>
            <w:left w:w="108" w:type="dxa"/>
            <w:bottom w:w="0" w:type="dxa"/>
            <w:right w:w="108" w:type="dxa"/>
          </w:tblCellMar>
        </w:tblPrEx>
        <w:trPr>
          <w:trHeight w:val="948" w:hRule="atLeast"/>
        </w:trPr>
        <w:tc>
          <w:tcPr>
            <w:tcW w:w="960" w:type="dxa"/>
            <w:tcBorders>
              <w:top w:val="nil"/>
              <w:left w:val="single" w:color="auto" w:sz="8" w:space="0"/>
              <w:bottom w:val="single" w:color="auto" w:sz="8" w:space="0"/>
              <w:right w:val="single" w:color="auto" w:sz="8" w:space="0"/>
            </w:tcBorders>
            <w:vAlign w:val="center"/>
          </w:tcPr>
          <w:p w14:paraId="2C4777C0">
            <w:pPr>
              <w:widowControl/>
              <w:adjustRightInd/>
              <w:jc w:val="center"/>
              <w:rPr>
                <w:rFonts w:ascii="宋体" w:hAnsi="宋体" w:cs="宋体"/>
                <w:kern w:val="0"/>
                <w:sz w:val="24"/>
                <w:highlight w:val="none"/>
              </w:rPr>
            </w:pPr>
            <w:r>
              <w:rPr>
                <w:rFonts w:ascii="宋体" w:hAnsi="宋体" w:cs="宋体"/>
                <w:kern w:val="0"/>
                <w:sz w:val="24"/>
                <w:highlight w:val="none"/>
              </w:rPr>
              <w:t>27</w:t>
            </w:r>
          </w:p>
        </w:tc>
        <w:tc>
          <w:tcPr>
            <w:tcW w:w="1400" w:type="dxa"/>
            <w:vMerge w:val="continue"/>
            <w:tcBorders>
              <w:top w:val="nil"/>
              <w:left w:val="single" w:color="auto" w:sz="8" w:space="0"/>
              <w:bottom w:val="single" w:color="000000" w:sz="8" w:space="0"/>
              <w:right w:val="single" w:color="auto" w:sz="8" w:space="0"/>
            </w:tcBorders>
            <w:vAlign w:val="center"/>
          </w:tcPr>
          <w:p w14:paraId="7BEBE1AB">
            <w:pPr>
              <w:widowControl/>
              <w:adjustRightInd/>
              <w:jc w:val="left"/>
              <w:rPr>
                <w:rFonts w:ascii="宋体" w:hAnsi="宋体" w:cs="宋体"/>
                <w:kern w:val="0"/>
                <w:sz w:val="24"/>
                <w:highlight w:val="none"/>
              </w:rPr>
            </w:pPr>
          </w:p>
        </w:tc>
        <w:tc>
          <w:tcPr>
            <w:tcW w:w="1420" w:type="dxa"/>
            <w:tcBorders>
              <w:top w:val="nil"/>
              <w:left w:val="nil"/>
              <w:bottom w:val="single" w:color="auto" w:sz="8" w:space="0"/>
              <w:right w:val="single" w:color="auto" w:sz="8" w:space="0"/>
            </w:tcBorders>
            <w:vAlign w:val="center"/>
          </w:tcPr>
          <w:p w14:paraId="70BE7470">
            <w:pPr>
              <w:widowControl/>
              <w:adjustRightInd/>
              <w:jc w:val="center"/>
              <w:rPr>
                <w:rFonts w:ascii="宋体" w:hAnsi="宋体" w:cs="宋体"/>
                <w:kern w:val="0"/>
                <w:sz w:val="24"/>
                <w:highlight w:val="none"/>
              </w:rPr>
            </w:pPr>
            <w:r>
              <w:rPr>
                <w:rFonts w:hint="eastAsia" w:ascii="宋体" w:hAnsi="宋体" w:cs="宋体"/>
                <w:kern w:val="0"/>
                <w:sz w:val="24"/>
                <w:highlight w:val="none"/>
              </w:rPr>
              <w:t>▲密码算法实现</w:t>
            </w:r>
          </w:p>
        </w:tc>
        <w:tc>
          <w:tcPr>
            <w:tcW w:w="5080" w:type="dxa"/>
            <w:tcBorders>
              <w:top w:val="nil"/>
              <w:left w:val="nil"/>
              <w:bottom w:val="single" w:color="auto" w:sz="8" w:space="0"/>
              <w:right w:val="single" w:color="auto" w:sz="8" w:space="0"/>
            </w:tcBorders>
            <w:vAlign w:val="center"/>
          </w:tcPr>
          <w:p w14:paraId="0F90BBEC">
            <w:pPr>
              <w:widowControl/>
              <w:adjustRightInd/>
              <w:rPr>
                <w:rFonts w:ascii="宋体" w:hAnsi="宋体" w:cs="宋体"/>
                <w:kern w:val="0"/>
                <w:sz w:val="24"/>
                <w:highlight w:val="none"/>
              </w:rPr>
            </w:pPr>
            <w:r>
              <w:rPr>
                <w:rFonts w:ascii="宋体" w:hAnsi="宋体" w:cs="宋体"/>
                <w:kern w:val="0"/>
                <w:sz w:val="24"/>
                <w:highlight w:val="none"/>
              </w:rPr>
              <w:t xml:space="preserve">CPU </w:t>
            </w:r>
            <w:r>
              <w:rPr>
                <w:rFonts w:hint="eastAsia" w:ascii="宋体" w:hAnsi="宋体" w:cs="宋体"/>
                <w:kern w:val="0"/>
                <w:sz w:val="24"/>
                <w:highlight w:val="none"/>
              </w:rPr>
              <w:t>芯片应符合</w:t>
            </w:r>
            <w:r>
              <w:rPr>
                <w:rFonts w:ascii="宋体" w:hAnsi="宋体" w:cs="宋体"/>
                <w:kern w:val="0"/>
                <w:sz w:val="24"/>
                <w:highlight w:val="none"/>
              </w:rPr>
              <w:t xml:space="preserve"> GM/T 0008 </w:t>
            </w:r>
            <w:r>
              <w:rPr>
                <w:rFonts w:hint="eastAsia" w:ascii="宋体" w:hAnsi="宋体" w:cs="宋体"/>
                <w:kern w:val="0"/>
                <w:sz w:val="24"/>
                <w:highlight w:val="none"/>
              </w:rPr>
              <w:t>的相关规定，或芯片密码模块应符合</w:t>
            </w:r>
            <w:r>
              <w:rPr>
                <w:rFonts w:ascii="宋体" w:hAnsi="宋体" w:cs="宋体"/>
                <w:kern w:val="0"/>
                <w:sz w:val="24"/>
                <w:highlight w:val="none"/>
              </w:rPr>
              <w:t xml:space="preserve"> GB/T37092 </w:t>
            </w:r>
            <w:r>
              <w:rPr>
                <w:rFonts w:hint="eastAsia" w:ascii="宋体" w:hAnsi="宋体" w:cs="宋体"/>
                <w:kern w:val="0"/>
                <w:sz w:val="24"/>
                <w:highlight w:val="none"/>
              </w:rPr>
              <w:t>或</w:t>
            </w:r>
            <w:r>
              <w:rPr>
                <w:rFonts w:ascii="宋体" w:hAnsi="宋体" w:cs="宋体"/>
                <w:kern w:val="0"/>
                <w:sz w:val="24"/>
                <w:highlight w:val="none"/>
              </w:rPr>
              <w:t xml:space="preserve"> GM/T 0028 </w:t>
            </w:r>
            <w:r>
              <w:rPr>
                <w:rFonts w:hint="eastAsia" w:ascii="宋体" w:hAnsi="宋体" w:cs="宋体"/>
                <w:kern w:val="0"/>
                <w:sz w:val="24"/>
                <w:highlight w:val="none"/>
              </w:rPr>
              <w:t>的相关规定</w:t>
            </w:r>
          </w:p>
        </w:tc>
      </w:tr>
      <w:tr w14:paraId="079CA633">
        <w:tblPrEx>
          <w:tblCellMar>
            <w:top w:w="0" w:type="dxa"/>
            <w:left w:w="108" w:type="dxa"/>
            <w:bottom w:w="0" w:type="dxa"/>
            <w:right w:w="108" w:type="dxa"/>
          </w:tblCellMar>
        </w:tblPrEx>
        <w:trPr>
          <w:trHeight w:val="636" w:hRule="atLeast"/>
        </w:trPr>
        <w:tc>
          <w:tcPr>
            <w:tcW w:w="960" w:type="dxa"/>
            <w:tcBorders>
              <w:top w:val="nil"/>
              <w:left w:val="single" w:color="auto" w:sz="8" w:space="0"/>
              <w:bottom w:val="single" w:color="auto" w:sz="8" w:space="0"/>
              <w:right w:val="single" w:color="auto" w:sz="8" w:space="0"/>
            </w:tcBorders>
            <w:vAlign w:val="center"/>
          </w:tcPr>
          <w:p w14:paraId="7BD425FD">
            <w:pPr>
              <w:widowControl/>
              <w:adjustRightInd/>
              <w:jc w:val="center"/>
              <w:rPr>
                <w:rFonts w:ascii="宋体" w:hAnsi="宋体" w:cs="宋体"/>
                <w:kern w:val="0"/>
                <w:sz w:val="24"/>
                <w:highlight w:val="none"/>
              </w:rPr>
            </w:pPr>
            <w:r>
              <w:rPr>
                <w:rFonts w:ascii="宋体" w:hAnsi="宋体" w:cs="宋体"/>
                <w:kern w:val="0"/>
                <w:sz w:val="24"/>
                <w:highlight w:val="none"/>
              </w:rPr>
              <w:t>28</w:t>
            </w:r>
          </w:p>
        </w:tc>
        <w:tc>
          <w:tcPr>
            <w:tcW w:w="1400" w:type="dxa"/>
            <w:vMerge w:val="restart"/>
            <w:tcBorders>
              <w:top w:val="nil"/>
              <w:left w:val="single" w:color="auto" w:sz="8" w:space="0"/>
              <w:bottom w:val="single" w:color="000000" w:sz="8" w:space="0"/>
              <w:right w:val="single" w:color="auto" w:sz="8" w:space="0"/>
            </w:tcBorders>
            <w:vAlign w:val="center"/>
          </w:tcPr>
          <w:p w14:paraId="66CB4943">
            <w:pPr>
              <w:widowControl/>
              <w:adjustRightInd/>
              <w:jc w:val="center"/>
              <w:rPr>
                <w:rFonts w:ascii="宋体" w:hAnsi="宋体" w:cs="宋体"/>
                <w:kern w:val="0"/>
                <w:sz w:val="24"/>
                <w:highlight w:val="none"/>
              </w:rPr>
            </w:pPr>
            <w:r>
              <w:rPr>
                <w:rFonts w:hint="eastAsia" w:ascii="宋体" w:hAnsi="宋体" w:cs="宋体"/>
                <w:kern w:val="0"/>
                <w:sz w:val="24"/>
                <w:highlight w:val="none"/>
              </w:rPr>
              <w:t>▲电源功能</w:t>
            </w:r>
          </w:p>
        </w:tc>
        <w:tc>
          <w:tcPr>
            <w:tcW w:w="1420" w:type="dxa"/>
            <w:tcBorders>
              <w:top w:val="nil"/>
              <w:left w:val="nil"/>
              <w:bottom w:val="single" w:color="auto" w:sz="8" w:space="0"/>
              <w:right w:val="single" w:color="auto" w:sz="8" w:space="0"/>
            </w:tcBorders>
            <w:vAlign w:val="center"/>
          </w:tcPr>
          <w:p w14:paraId="2EDF0481">
            <w:pPr>
              <w:widowControl/>
              <w:adjustRightInd/>
              <w:jc w:val="center"/>
              <w:rPr>
                <w:rFonts w:ascii="宋体" w:hAnsi="宋体" w:cs="宋体"/>
                <w:kern w:val="0"/>
                <w:sz w:val="24"/>
                <w:highlight w:val="none"/>
              </w:rPr>
            </w:pPr>
            <w:r>
              <w:rPr>
                <w:rFonts w:hint="eastAsia" w:ascii="宋体" w:hAnsi="宋体" w:cs="宋体"/>
                <w:kern w:val="0"/>
                <w:sz w:val="24"/>
                <w:highlight w:val="none"/>
              </w:rPr>
              <w:t>▲电源热插拔</w:t>
            </w:r>
          </w:p>
        </w:tc>
        <w:tc>
          <w:tcPr>
            <w:tcW w:w="5080" w:type="dxa"/>
            <w:tcBorders>
              <w:top w:val="nil"/>
              <w:left w:val="nil"/>
              <w:bottom w:val="single" w:color="auto" w:sz="8" w:space="0"/>
              <w:right w:val="single" w:color="auto" w:sz="8" w:space="0"/>
            </w:tcBorders>
            <w:vAlign w:val="center"/>
          </w:tcPr>
          <w:p w14:paraId="5F80E6DE">
            <w:pPr>
              <w:widowControl/>
              <w:adjustRightInd/>
              <w:rPr>
                <w:rFonts w:ascii="宋体" w:hAnsi="宋体" w:cs="宋体"/>
                <w:kern w:val="0"/>
                <w:sz w:val="24"/>
                <w:highlight w:val="none"/>
              </w:rPr>
            </w:pPr>
            <w:r>
              <w:rPr>
                <w:rFonts w:hint="eastAsia" w:ascii="宋体" w:hAnsi="宋体" w:cs="宋体"/>
                <w:kern w:val="0"/>
                <w:sz w:val="24"/>
                <w:highlight w:val="none"/>
              </w:rPr>
              <w:t>整机电源模块应具备热插拔功能</w:t>
            </w:r>
          </w:p>
        </w:tc>
      </w:tr>
      <w:tr w14:paraId="75EA6BF4">
        <w:tblPrEx>
          <w:tblCellMar>
            <w:top w:w="0" w:type="dxa"/>
            <w:left w:w="108" w:type="dxa"/>
            <w:bottom w:w="0" w:type="dxa"/>
            <w:right w:w="108" w:type="dxa"/>
          </w:tblCellMar>
        </w:tblPrEx>
        <w:trPr>
          <w:trHeight w:val="636" w:hRule="atLeast"/>
        </w:trPr>
        <w:tc>
          <w:tcPr>
            <w:tcW w:w="960" w:type="dxa"/>
            <w:tcBorders>
              <w:top w:val="nil"/>
              <w:left w:val="single" w:color="auto" w:sz="8" w:space="0"/>
              <w:bottom w:val="single" w:color="auto" w:sz="8" w:space="0"/>
              <w:right w:val="single" w:color="auto" w:sz="8" w:space="0"/>
            </w:tcBorders>
            <w:vAlign w:val="center"/>
          </w:tcPr>
          <w:p w14:paraId="1ADB25FE">
            <w:pPr>
              <w:widowControl/>
              <w:adjustRightInd/>
              <w:jc w:val="center"/>
              <w:rPr>
                <w:rFonts w:ascii="宋体" w:hAnsi="宋体" w:cs="宋体"/>
                <w:kern w:val="0"/>
                <w:sz w:val="24"/>
                <w:highlight w:val="none"/>
              </w:rPr>
            </w:pPr>
            <w:r>
              <w:rPr>
                <w:rFonts w:ascii="宋体" w:hAnsi="宋体" w:cs="宋体"/>
                <w:kern w:val="0"/>
                <w:sz w:val="24"/>
                <w:highlight w:val="none"/>
              </w:rPr>
              <w:t>29</w:t>
            </w:r>
          </w:p>
        </w:tc>
        <w:tc>
          <w:tcPr>
            <w:tcW w:w="1400" w:type="dxa"/>
            <w:vMerge w:val="continue"/>
            <w:tcBorders>
              <w:top w:val="nil"/>
              <w:left w:val="single" w:color="auto" w:sz="8" w:space="0"/>
              <w:bottom w:val="single" w:color="000000" w:sz="8" w:space="0"/>
              <w:right w:val="single" w:color="auto" w:sz="8" w:space="0"/>
            </w:tcBorders>
            <w:vAlign w:val="center"/>
          </w:tcPr>
          <w:p w14:paraId="29DD13CC">
            <w:pPr>
              <w:widowControl/>
              <w:adjustRightInd/>
              <w:jc w:val="left"/>
              <w:rPr>
                <w:rFonts w:ascii="宋体" w:hAnsi="宋体" w:cs="宋体"/>
                <w:kern w:val="0"/>
                <w:sz w:val="24"/>
                <w:highlight w:val="none"/>
              </w:rPr>
            </w:pPr>
          </w:p>
        </w:tc>
        <w:tc>
          <w:tcPr>
            <w:tcW w:w="1420" w:type="dxa"/>
            <w:tcBorders>
              <w:top w:val="nil"/>
              <w:left w:val="nil"/>
              <w:bottom w:val="single" w:color="auto" w:sz="8" w:space="0"/>
              <w:right w:val="single" w:color="auto" w:sz="8" w:space="0"/>
            </w:tcBorders>
            <w:vAlign w:val="center"/>
          </w:tcPr>
          <w:p w14:paraId="692EAE2A">
            <w:pPr>
              <w:widowControl/>
              <w:adjustRightInd/>
              <w:jc w:val="center"/>
              <w:rPr>
                <w:rFonts w:ascii="宋体" w:hAnsi="宋体" w:cs="宋体"/>
                <w:kern w:val="0"/>
                <w:sz w:val="24"/>
                <w:highlight w:val="none"/>
              </w:rPr>
            </w:pPr>
            <w:r>
              <w:rPr>
                <w:rFonts w:hint="eastAsia" w:ascii="宋体" w:hAnsi="宋体" w:cs="宋体"/>
                <w:kern w:val="0"/>
                <w:sz w:val="24"/>
                <w:highlight w:val="none"/>
              </w:rPr>
              <w:t>▲电源过流保护</w:t>
            </w:r>
          </w:p>
        </w:tc>
        <w:tc>
          <w:tcPr>
            <w:tcW w:w="5080" w:type="dxa"/>
            <w:tcBorders>
              <w:top w:val="nil"/>
              <w:left w:val="nil"/>
              <w:bottom w:val="single" w:color="auto" w:sz="8" w:space="0"/>
              <w:right w:val="single" w:color="auto" w:sz="8" w:space="0"/>
            </w:tcBorders>
            <w:vAlign w:val="center"/>
          </w:tcPr>
          <w:p w14:paraId="23338590">
            <w:pPr>
              <w:widowControl/>
              <w:adjustRightInd/>
              <w:rPr>
                <w:rFonts w:ascii="宋体" w:hAnsi="宋体" w:cs="宋体"/>
                <w:kern w:val="0"/>
                <w:sz w:val="24"/>
                <w:highlight w:val="none"/>
              </w:rPr>
            </w:pPr>
            <w:r>
              <w:rPr>
                <w:rFonts w:hint="eastAsia" w:ascii="宋体" w:hAnsi="宋体" w:cs="宋体"/>
                <w:kern w:val="0"/>
                <w:sz w:val="24"/>
                <w:highlight w:val="none"/>
              </w:rPr>
              <w:t>支持过流及短路保护的功能</w:t>
            </w:r>
          </w:p>
        </w:tc>
      </w:tr>
      <w:tr w14:paraId="10A35E31">
        <w:tblPrEx>
          <w:tblCellMar>
            <w:top w:w="0" w:type="dxa"/>
            <w:left w:w="108" w:type="dxa"/>
            <w:bottom w:w="0" w:type="dxa"/>
            <w:right w:w="108" w:type="dxa"/>
          </w:tblCellMar>
        </w:tblPrEx>
        <w:trPr>
          <w:trHeight w:val="324" w:hRule="atLeast"/>
        </w:trPr>
        <w:tc>
          <w:tcPr>
            <w:tcW w:w="960" w:type="dxa"/>
            <w:tcBorders>
              <w:top w:val="nil"/>
              <w:left w:val="single" w:color="auto" w:sz="8" w:space="0"/>
              <w:bottom w:val="single" w:color="auto" w:sz="8" w:space="0"/>
              <w:right w:val="single" w:color="auto" w:sz="8" w:space="0"/>
            </w:tcBorders>
            <w:vAlign w:val="center"/>
          </w:tcPr>
          <w:p w14:paraId="1825C955">
            <w:pPr>
              <w:widowControl/>
              <w:adjustRightInd/>
              <w:jc w:val="center"/>
              <w:rPr>
                <w:rFonts w:ascii="宋体" w:hAnsi="宋体" w:cs="宋体"/>
                <w:kern w:val="0"/>
                <w:sz w:val="24"/>
                <w:highlight w:val="none"/>
              </w:rPr>
            </w:pPr>
            <w:r>
              <w:rPr>
                <w:rFonts w:ascii="宋体" w:hAnsi="宋体" w:cs="宋体"/>
                <w:kern w:val="0"/>
                <w:sz w:val="24"/>
                <w:highlight w:val="none"/>
              </w:rPr>
              <w:t>30</w:t>
            </w:r>
          </w:p>
        </w:tc>
        <w:tc>
          <w:tcPr>
            <w:tcW w:w="1400" w:type="dxa"/>
            <w:tcBorders>
              <w:top w:val="nil"/>
              <w:left w:val="nil"/>
              <w:bottom w:val="single" w:color="auto" w:sz="8" w:space="0"/>
              <w:right w:val="single" w:color="auto" w:sz="8" w:space="0"/>
            </w:tcBorders>
            <w:vAlign w:val="center"/>
          </w:tcPr>
          <w:p w14:paraId="6BB49E92">
            <w:pPr>
              <w:widowControl/>
              <w:adjustRightInd/>
              <w:jc w:val="center"/>
              <w:rPr>
                <w:rFonts w:ascii="宋体" w:hAnsi="宋体" w:cs="宋体"/>
                <w:kern w:val="0"/>
                <w:sz w:val="24"/>
                <w:highlight w:val="none"/>
              </w:rPr>
            </w:pPr>
            <w:r>
              <w:rPr>
                <w:rFonts w:hint="eastAsia" w:ascii="宋体" w:hAnsi="宋体" w:cs="宋体"/>
                <w:kern w:val="0"/>
                <w:sz w:val="24"/>
                <w:highlight w:val="none"/>
              </w:rPr>
              <w:t>▲整机功能</w:t>
            </w:r>
          </w:p>
        </w:tc>
        <w:tc>
          <w:tcPr>
            <w:tcW w:w="1420" w:type="dxa"/>
            <w:tcBorders>
              <w:top w:val="nil"/>
              <w:left w:val="nil"/>
              <w:bottom w:val="single" w:color="auto" w:sz="8" w:space="0"/>
              <w:right w:val="single" w:color="auto" w:sz="8" w:space="0"/>
            </w:tcBorders>
            <w:vAlign w:val="center"/>
          </w:tcPr>
          <w:p w14:paraId="48753401">
            <w:pPr>
              <w:widowControl/>
              <w:adjustRightInd/>
              <w:jc w:val="center"/>
              <w:rPr>
                <w:rFonts w:ascii="宋体" w:hAnsi="宋体" w:cs="宋体"/>
                <w:kern w:val="0"/>
                <w:sz w:val="24"/>
                <w:highlight w:val="none"/>
              </w:rPr>
            </w:pPr>
            <w:r>
              <w:rPr>
                <w:rFonts w:hint="eastAsia" w:ascii="宋体" w:hAnsi="宋体" w:cs="宋体"/>
                <w:kern w:val="0"/>
                <w:sz w:val="24"/>
                <w:highlight w:val="none"/>
              </w:rPr>
              <w:t>▲散热方式</w:t>
            </w:r>
          </w:p>
        </w:tc>
        <w:tc>
          <w:tcPr>
            <w:tcW w:w="5080" w:type="dxa"/>
            <w:tcBorders>
              <w:top w:val="nil"/>
              <w:left w:val="nil"/>
              <w:bottom w:val="single" w:color="auto" w:sz="8" w:space="0"/>
              <w:right w:val="single" w:color="auto" w:sz="8" w:space="0"/>
            </w:tcBorders>
            <w:vAlign w:val="center"/>
          </w:tcPr>
          <w:p w14:paraId="4A1C94AA">
            <w:pPr>
              <w:widowControl/>
              <w:adjustRightInd/>
              <w:rPr>
                <w:rFonts w:ascii="宋体" w:hAnsi="宋体" w:cs="宋体"/>
                <w:kern w:val="0"/>
                <w:sz w:val="24"/>
                <w:highlight w:val="none"/>
              </w:rPr>
            </w:pPr>
            <w:r>
              <w:rPr>
                <w:rFonts w:hint="eastAsia" w:ascii="宋体" w:hAnsi="宋体" w:cs="宋体"/>
                <w:kern w:val="0"/>
                <w:sz w:val="24"/>
                <w:highlight w:val="none"/>
              </w:rPr>
              <w:t>支持风冷或液冷等散热方式</w:t>
            </w:r>
          </w:p>
        </w:tc>
      </w:tr>
      <w:tr w14:paraId="707F9288">
        <w:tblPrEx>
          <w:tblCellMar>
            <w:top w:w="0" w:type="dxa"/>
            <w:left w:w="108" w:type="dxa"/>
            <w:bottom w:w="0" w:type="dxa"/>
            <w:right w:w="108" w:type="dxa"/>
          </w:tblCellMar>
        </w:tblPrEx>
        <w:trPr>
          <w:trHeight w:val="636" w:hRule="atLeast"/>
        </w:trPr>
        <w:tc>
          <w:tcPr>
            <w:tcW w:w="960" w:type="dxa"/>
            <w:tcBorders>
              <w:top w:val="nil"/>
              <w:left w:val="single" w:color="auto" w:sz="8" w:space="0"/>
              <w:bottom w:val="single" w:color="auto" w:sz="8" w:space="0"/>
              <w:right w:val="single" w:color="auto" w:sz="8" w:space="0"/>
            </w:tcBorders>
            <w:vAlign w:val="center"/>
          </w:tcPr>
          <w:p w14:paraId="52D005F2">
            <w:pPr>
              <w:widowControl/>
              <w:adjustRightInd/>
              <w:jc w:val="center"/>
              <w:rPr>
                <w:rFonts w:ascii="宋体" w:hAnsi="宋体" w:cs="宋体"/>
                <w:kern w:val="0"/>
                <w:sz w:val="24"/>
                <w:highlight w:val="none"/>
              </w:rPr>
            </w:pPr>
            <w:r>
              <w:rPr>
                <w:rFonts w:ascii="宋体" w:hAnsi="宋体" w:cs="宋体"/>
                <w:kern w:val="0"/>
                <w:sz w:val="24"/>
                <w:highlight w:val="none"/>
              </w:rPr>
              <w:t>31</w:t>
            </w:r>
          </w:p>
        </w:tc>
        <w:tc>
          <w:tcPr>
            <w:tcW w:w="1400" w:type="dxa"/>
            <w:vMerge w:val="restart"/>
            <w:tcBorders>
              <w:top w:val="nil"/>
              <w:left w:val="single" w:color="auto" w:sz="8" w:space="0"/>
              <w:bottom w:val="single" w:color="000000" w:sz="8" w:space="0"/>
              <w:right w:val="single" w:color="auto" w:sz="8" w:space="0"/>
            </w:tcBorders>
            <w:vAlign w:val="center"/>
          </w:tcPr>
          <w:p w14:paraId="0307D844">
            <w:pPr>
              <w:widowControl/>
              <w:adjustRightInd/>
              <w:jc w:val="center"/>
              <w:rPr>
                <w:rFonts w:ascii="宋体" w:hAnsi="宋体" w:cs="宋体"/>
                <w:kern w:val="0"/>
                <w:sz w:val="24"/>
                <w:highlight w:val="none"/>
              </w:rPr>
            </w:pPr>
            <w:r>
              <w:rPr>
                <w:rFonts w:hint="eastAsia" w:ascii="宋体" w:hAnsi="宋体" w:cs="宋体"/>
                <w:kern w:val="0"/>
                <w:sz w:val="24"/>
                <w:highlight w:val="none"/>
              </w:rPr>
              <w:t>▲管理系统功能</w:t>
            </w:r>
          </w:p>
        </w:tc>
        <w:tc>
          <w:tcPr>
            <w:tcW w:w="1420" w:type="dxa"/>
            <w:tcBorders>
              <w:top w:val="nil"/>
              <w:left w:val="nil"/>
              <w:bottom w:val="single" w:color="auto" w:sz="8" w:space="0"/>
              <w:right w:val="single" w:color="auto" w:sz="8" w:space="0"/>
            </w:tcBorders>
            <w:vAlign w:val="center"/>
          </w:tcPr>
          <w:p w14:paraId="0583B80B">
            <w:pPr>
              <w:widowControl/>
              <w:adjustRightInd/>
              <w:jc w:val="center"/>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 xml:space="preserve">BMC </w:t>
            </w:r>
            <w:r>
              <w:rPr>
                <w:rFonts w:hint="eastAsia" w:ascii="宋体" w:hAnsi="宋体" w:cs="宋体"/>
                <w:kern w:val="0"/>
                <w:sz w:val="24"/>
                <w:highlight w:val="none"/>
              </w:rPr>
              <w:t>固件基础功能</w:t>
            </w:r>
          </w:p>
        </w:tc>
        <w:tc>
          <w:tcPr>
            <w:tcW w:w="5080" w:type="dxa"/>
            <w:tcBorders>
              <w:top w:val="nil"/>
              <w:left w:val="nil"/>
              <w:bottom w:val="single" w:color="auto" w:sz="8" w:space="0"/>
              <w:right w:val="single" w:color="auto" w:sz="8" w:space="0"/>
            </w:tcBorders>
            <w:vAlign w:val="center"/>
          </w:tcPr>
          <w:p w14:paraId="5EF03BB9">
            <w:pPr>
              <w:widowControl/>
              <w:adjustRightInd/>
              <w:rPr>
                <w:rFonts w:ascii="宋体" w:hAnsi="宋体" w:cs="宋体"/>
                <w:kern w:val="0"/>
                <w:sz w:val="24"/>
                <w:highlight w:val="none"/>
              </w:rPr>
            </w:pPr>
            <w:r>
              <w:rPr>
                <w:rFonts w:hint="eastAsia" w:ascii="宋体" w:hAnsi="宋体" w:cs="宋体"/>
                <w:kern w:val="0"/>
                <w:sz w:val="24"/>
                <w:highlight w:val="none"/>
              </w:rPr>
              <w:t>1) 支持 DHCP 设置网络功能；</w:t>
            </w:r>
          </w:p>
          <w:p w14:paraId="17FC058D">
            <w:pPr>
              <w:widowControl/>
              <w:adjustRightInd/>
              <w:rPr>
                <w:rFonts w:ascii="宋体" w:hAnsi="宋体" w:cs="宋体"/>
                <w:kern w:val="0"/>
                <w:sz w:val="24"/>
                <w:highlight w:val="none"/>
              </w:rPr>
            </w:pPr>
            <w:r>
              <w:rPr>
                <w:rFonts w:hint="eastAsia" w:ascii="宋体" w:hAnsi="宋体" w:cs="宋体"/>
                <w:kern w:val="0"/>
                <w:sz w:val="24"/>
                <w:highlight w:val="none"/>
              </w:rPr>
              <w:t>2)支持静态 IP 设置网络功能；</w:t>
            </w:r>
          </w:p>
          <w:p w14:paraId="0B141DA9">
            <w:pPr>
              <w:widowControl/>
              <w:adjustRightInd/>
              <w:rPr>
                <w:rFonts w:ascii="宋体" w:hAnsi="宋体" w:cs="宋体"/>
                <w:kern w:val="0"/>
                <w:sz w:val="24"/>
                <w:highlight w:val="none"/>
              </w:rPr>
            </w:pPr>
            <w:r>
              <w:rPr>
                <w:rFonts w:hint="eastAsia" w:ascii="宋体" w:hAnsi="宋体" w:cs="宋体"/>
                <w:kern w:val="0"/>
                <w:sz w:val="24"/>
                <w:highlight w:val="none"/>
              </w:rPr>
              <w:t>3)支持设备日志记录，包括但不限于登录日志、操作日志和报警日志等功能；</w:t>
            </w:r>
          </w:p>
          <w:p w14:paraId="110C78DA">
            <w:pPr>
              <w:widowControl/>
              <w:adjustRightInd/>
              <w:rPr>
                <w:rFonts w:ascii="宋体" w:hAnsi="宋体" w:cs="宋体"/>
                <w:kern w:val="0"/>
                <w:sz w:val="24"/>
                <w:highlight w:val="none"/>
              </w:rPr>
            </w:pPr>
            <w:r>
              <w:rPr>
                <w:rFonts w:hint="eastAsia" w:ascii="宋体" w:hAnsi="宋体" w:cs="宋体"/>
                <w:kern w:val="0"/>
                <w:sz w:val="24"/>
                <w:highlight w:val="none"/>
              </w:rPr>
              <w:t>4)支持日志信息导出和记录删除功能；</w:t>
            </w:r>
          </w:p>
          <w:p w14:paraId="0F6D99E3">
            <w:pPr>
              <w:widowControl/>
              <w:adjustRightInd/>
              <w:rPr>
                <w:rFonts w:ascii="宋体" w:hAnsi="宋体" w:cs="宋体"/>
                <w:kern w:val="0"/>
                <w:sz w:val="24"/>
                <w:highlight w:val="none"/>
              </w:rPr>
            </w:pPr>
            <w:r>
              <w:rPr>
                <w:rFonts w:hint="eastAsia" w:ascii="宋体" w:hAnsi="宋体" w:cs="宋体"/>
                <w:kern w:val="0"/>
                <w:sz w:val="24"/>
                <w:highlight w:val="none"/>
              </w:rPr>
              <w:t>5)支持通过管理接口向外输出准确的报警信息功能；</w:t>
            </w:r>
          </w:p>
          <w:p w14:paraId="5D9A9ED4">
            <w:pPr>
              <w:widowControl/>
              <w:adjustRightInd/>
              <w:rPr>
                <w:rFonts w:ascii="宋体" w:hAnsi="宋体" w:cs="宋体"/>
                <w:kern w:val="0"/>
                <w:sz w:val="24"/>
                <w:highlight w:val="none"/>
              </w:rPr>
            </w:pPr>
            <w:r>
              <w:rPr>
                <w:rFonts w:hint="eastAsia" w:ascii="宋体" w:hAnsi="宋体" w:cs="宋体"/>
                <w:kern w:val="0"/>
                <w:sz w:val="24"/>
                <w:highlight w:val="none"/>
              </w:rPr>
              <w:t>6)设备的 BMC 管理软件应能够按报警的严重程度进行区分；</w:t>
            </w:r>
          </w:p>
          <w:p w14:paraId="78D2B176">
            <w:pPr>
              <w:widowControl/>
              <w:adjustRightInd/>
              <w:rPr>
                <w:rFonts w:ascii="宋体" w:hAnsi="宋体" w:cs="宋体"/>
                <w:kern w:val="0"/>
                <w:sz w:val="24"/>
                <w:highlight w:val="none"/>
              </w:rPr>
            </w:pPr>
            <w:r>
              <w:rPr>
                <w:rFonts w:hint="eastAsia" w:ascii="宋体" w:hAnsi="宋体" w:cs="宋体"/>
                <w:kern w:val="0"/>
                <w:sz w:val="24"/>
                <w:highlight w:val="none"/>
              </w:rPr>
              <w:t>7)支持 IPMI2.0、SNMP 或 Redfish等接口功能；</w:t>
            </w:r>
          </w:p>
          <w:p w14:paraId="23CA8D6F">
            <w:pPr>
              <w:widowControl/>
              <w:adjustRightInd/>
              <w:rPr>
                <w:rFonts w:ascii="宋体" w:hAnsi="宋体" w:cs="宋体"/>
                <w:kern w:val="0"/>
                <w:sz w:val="24"/>
                <w:highlight w:val="none"/>
              </w:rPr>
            </w:pPr>
            <w:r>
              <w:rPr>
                <w:rFonts w:hint="eastAsia" w:ascii="宋体" w:hAnsi="宋体" w:cs="宋体"/>
                <w:kern w:val="0"/>
                <w:sz w:val="24"/>
                <w:highlight w:val="none"/>
              </w:rPr>
              <w:t>8)支持键盘、鼠标和视频的重定向、文本控制台的重定向、远程虚拟媒体、高可靠的硬件监控和管理功能；</w:t>
            </w:r>
          </w:p>
          <w:p w14:paraId="37C10169">
            <w:pPr>
              <w:widowControl/>
              <w:adjustRightInd/>
              <w:rPr>
                <w:rFonts w:ascii="宋体" w:hAnsi="宋体" w:cs="宋体"/>
                <w:kern w:val="0"/>
                <w:sz w:val="24"/>
                <w:highlight w:val="none"/>
              </w:rPr>
            </w:pPr>
            <w:r>
              <w:rPr>
                <w:rFonts w:hint="eastAsia" w:ascii="宋体" w:hAnsi="宋体" w:cs="宋体"/>
                <w:kern w:val="0"/>
                <w:sz w:val="24"/>
                <w:highlight w:val="none"/>
              </w:rPr>
              <w:t>9)支持基于网络开启、关闭和重启设备的功能，并查询当前设备开机运行状态；</w:t>
            </w:r>
          </w:p>
          <w:p w14:paraId="73A4A89A">
            <w:pPr>
              <w:widowControl/>
              <w:adjustRightInd/>
              <w:rPr>
                <w:rFonts w:ascii="宋体" w:hAnsi="宋体" w:cs="宋体"/>
                <w:kern w:val="0"/>
                <w:sz w:val="24"/>
                <w:highlight w:val="none"/>
              </w:rPr>
            </w:pPr>
            <w:r>
              <w:rPr>
                <w:rFonts w:hint="eastAsia" w:ascii="宋体" w:hAnsi="宋体" w:cs="宋体"/>
                <w:kern w:val="0"/>
                <w:sz w:val="24"/>
                <w:highlight w:val="none"/>
              </w:rPr>
              <w:t>10)支持故障提示功能，并可通过接口读取服务器故障信息；</w:t>
            </w:r>
          </w:p>
          <w:p w14:paraId="5375921A">
            <w:pPr>
              <w:widowControl/>
              <w:adjustRightInd/>
              <w:rPr>
                <w:rFonts w:ascii="宋体" w:hAnsi="宋体" w:cs="宋体"/>
                <w:kern w:val="0"/>
                <w:sz w:val="24"/>
                <w:highlight w:val="none"/>
              </w:rPr>
            </w:pPr>
            <w:r>
              <w:rPr>
                <w:rFonts w:hint="eastAsia" w:ascii="宋体" w:hAnsi="宋体" w:cs="宋体"/>
                <w:kern w:val="0"/>
                <w:sz w:val="24"/>
                <w:highlight w:val="none"/>
              </w:rPr>
              <w:t>11)支持基于网络的固件更新功能，包括 BMC 和 BIOS 等；</w:t>
            </w:r>
          </w:p>
          <w:p w14:paraId="6A1BDF1C">
            <w:pPr>
              <w:widowControl/>
              <w:adjustRightInd/>
              <w:rPr>
                <w:rFonts w:ascii="宋体" w:hAnsi="宋体" w:cs="宋体"/>
                <w:kern w:val="0"/>
                <w:sz w:val="24"/>
                <w:highlight w:val="none"/>
              </w:rPr>
            </w:pPr>
            <w:r>
              <w:rPr>
                <w:rFonts w:hint="eastAsia" w:ascii="宋体" w:hAnsi="宋体" w:cs="宋体"/>
                <w:kern w:val="0"/>
                <w:sz w:val="24"/>
                <w:highlight w:val="none"/>
              </w:rPr>
              <w:t>12)支持基于网络安装操作系统的功能，并可通过网络控制台访问设备；</w:t>
            </w:r>
          </w:p>
          <w:p w14:paraId="24075B15">
            <w:pPr>
              <w:widowControl/>
              <w:adjustRightInd/>
              <w:rPr>
                <w:rFonts w:ascii="宋体" w:hAnsi="宋体" w:cs="宋体"/>
                <w:kern w:val="0"/>
                <w:sz w:val="24"/>
                <w:highlight w:val="none"/>
              </w:rPr>
            </w:pPr>
            <w:r>
              <w:rPr>
                <w:rFonts w:hint="eastAsia" w:ascii="宋体" w:hAnsi="宋体" w:cs="宋体"/>
                <w:kern w:val="0"/>
                <w:sz w:val="24"/>
                <w:highlight w:val="none"/>
              </w:rPr>
              <w:t>13)支持通过本地的硬盘或光驱等存储设备，基于网络完成设备的操作系统安装功能；</w:t>
            </w:r>
          </w:p>
          <w:p w14:paraId="3ED1E387">
            <w:pPr>
              <w:widowControl/>
              <w:adjustRightInd/>
              <w:rPr>
                <w:rFonts w:ascii="宋体" w:hAnsi="宋体" w:cs="宋体"/>
                <w:kern w:val="0"/>
                <w:sz w:val="24"/>
                <w:highlight w:val="none"/>
              </w:rPr>
            </w:pPr>
            <w:r>
              <w:rPr>
                <w:rFonts w:hint="eastAsia" w:ascii="宋体" w:hAnsi="宋体" w:cs="宋体"/>
                <w:kern w:val="0"/>
                <w:sz w:val="24"/>
                <w:highlight w:val="none"/>
              </w:rPr>
              <w:t>14)支持通过浏览器打开管理界面并登录功能；</w:t>
            </w:r>
          </w:p>
          <w:p w14:paraId="126C739A">
            <w:pPr>
              <w:widowControl/>
              <w:adjustRightInd/>
              <w:rPr>
                <w:rFonts w:ascii="宋体" w:hAnsi="宋体" w:cs="宋体"/>
                <w:kern w:val="0"/>
                <w:sz w:val="24"/>
                <w:highlight w:val="none"/>
              </w:rPr>
            </w:pPr>
            <w:r>
              <w:rPr>
                <w:rFonts w:hint="eastAsia" w:ascii="宋体" w:hAnsi="宋体" w:cs="宋体"/>
                <w:kern w:val="0"/>
                <w:sz w:val="24"/>
                <w:highlight w:val="none"/>
              </w:rPr>
              <w:t>15)支持设置口令策略功能；</w:t>
            </w:r>
          </w:p>
          <w:p w14:paraId="6A3BDAF5">
            <w:pPr>
              <w:widowControl/>
              <w:adjustRightInd/>
              <w:rPr>
                <w:rFonts w:ascii="宋体" w:hAnsi="宋体" w:cs="宋体"/>
                <w:kern w:val="0"/>
                <w:sz w:val="24"/>
                <w:highlight w:val="none"/>
              </w:rPr>
            </w:pPr>
            <w:r>
              <w:rPr>
                <w:rFonts w:hint="eastAsia" w:ascii="宋体" w:hAnsi="宋体" w:cs="宋体"/>
                <w:kern w:val="0"/>
                <w:sz w:val="24"/>
                <w:highlight w:val="none"/>
              </w:rPr>
              <w:t>16)支持访问权限设置功能，并通过日志记录访问事件；</w:t>
            </w:r>
          </w:p>
          <w:p w14:paraId="2DC9677D">
            <w:pPr>
              <w:widowControl/>
              <w:adjustRightInd/>
              <w:rPr>
                <w:rFonts w:ascii="宋体" w:hAnsi="宋体" w:cs="宋体"/>
                <w:kern w:val="0"/>
                <w:sz w:val="24"/>
                <w:highlight w:val="none"/>
              </w:rPr>
            </w:pPr>
            <w:r>
              <w:rPr>
                <w:rFonts w:hint="eastAsia" w:ascii="宋体" w:hAnsi="宋体" w:cs="宋体"/>
                <w:kern w:val="0"/>
                <w:sz w:val="24"/>
                <w:highlight w:val="none"/>
              </w:rPr>
              <w:t>17)支持对出厂默认的用户名及口令进行安全保护功能，并提供默认口令修改提示；</w:t>
            </w:r>
          </w:p>
          <w:p w14:paraId="7EC0CDF2">
            <w:pPr>
              <w:widowControl/>
              <w:adjustRightInd/>
              <w:rPr>
                <w:rFonts w:ascii="宋体" w:hAnsi="宋体" w:cs="宋体"/>
                <w:kern w:val="0"/>
                <w:sz w:val="24"/>
                <w:highlight w:val="none"/>
              </w:rPr>
            </w:pPr>
            <w:r>
              <w:rPr>
                <w:rFonts w:hint="eastAsia" w:ascii="宋体" w:hAnsi="宋体" w:cs="宋体"/>
                <w:kern w:val="0"/>
                <w:sz w:val="24"/>
                <w:highlight w:val="none"/>
              </w:rPr>
              <w:t>18)支持读取设备主板的工作环境温度功能；</w:t>
            </w:r>
          </w:p>
          <w:p w14:paraId="1B565CC4">
            <w:pPr>
              <w:widowControl/>
              <w:adjustRightInd/>
              <w:rPr>
                <w:rFonts w:ascii="宋体" w:hAnsi="宋体" w:cs="宋体"/>
                <w:kern w:val="0"/>
                <w:sz w:val="24"/>
                <w:highlight w:val="none"/>
              </w:rPr>
            </w:pPr>
            <w:r>
              <w:rPr>
                <w:rFonts w:hint="eastAsia" w:ascii="宋体" w:hAnsi="宋体" w:cs="宋体"/>
                <w:kern w:val="0"/>
                <w:sz w:val="24"/>
                <w:highlight w:val="none"/>
              </w:rPr>
              <w:t>19)支持读取服务器 CPU 等核心器件的温度功能；</w:t>
            </w:r>
          </w:p>
          <w:p w14:paraId="7344CFD4">
            <w:pPr>
              <w:widowControl/>
              <w:adjustRightInd/>
              <w:rPr>
                <w:rFonts w:ascii="宋体" w:hAnsi="宋体" w:cs="宋体"/>
                <w:kern w:val="0"/>
                <w:sz w:val="24"/>
                <w:highlight w:val="none"/>
              </w:rPr>
            </w:pPr>
            <w:r>
              <w:rPr>
                <w:rFonts w:hint="eastAsia" w:ascii="宋体" w:hAnsi="宋体" w:cs="宋体"/>
                <w:kern w:val="0"/>
                <w:sz w:val="24"/>
                <w:highlight w:val="none"/>
              </w:rPr>
              <w:t>20)支持通过外部管理工具进行 BMC参数设置的功能，并可基于网络通过外部管理工具对 BMC 进行管理；</w:t>
            </w:r>
          </w:p>
          <w:p w14:paraId="4B2BF9AA">
            <w:pPr>
              <w:widowControl/>
              <w:adjustRightInd/>
              <w:rPr>
                <w:rFonts w:ascii="宋体" w:hAnsi="宋体" w:cs="宋体"/>
                <w:kern w:val="0"/>
                <w:sz w:val="24"/>
                <w:highlight w:val="none"/>
              </w:rPr>
            </w:pPr>
            <w:r>
              <w:rPr>
                <w:rFonts w:hint="eastAsia" w:ascii="宋体" w:hAnsi="宋体" w:cs="宋体"/>
                <w:kern w:val="0"/>
                <w:sz w:val="24"/>
                <w:highlight w:val="none"/>
              </w:rPr>
              <w:t>21)应支持固件版本查询、固件升级</w:t>
            </w:r>
          </w:p>
          <w:p w14:paraId="6DED2434">
            <w:pPr>
              <w:widowControl/>
              <w:adjustRightInd/>
              <w:rPr>
                <w:rFonts w:ascii="宋体" w:hAnsi="宋体" w:cs="宋体"/>
                <w:kern w:val="0"/>
                <w:sz w:val="24"/>
                <w:highlight w:val="none"/>
              </w:rPr>
            </w:pPr>
            <w:r>
              <w:rPr>
                <w:rFonts w:hint="eastAsia" w:ascii="宋体" w:hAnsi="宋体" w:cs="宋体"/>
                <w:kern w:val="0"/>
                <w:sz w:val="24"/>
                <w:highlight w:val="none"/>
              </w:rPr>
              <w:t>22)支持基于网络实现开关机和复</w:t>
            </w:r>
          </w:p>
          <w:p w14:paraId="02D95CBD">
            <w:pPr>
              <w:widowControl/>
              <w:adjustRightInd/>
              <w:rPr>
                <w:rFonts w:ascii="宋体" w:hAnsi="宋体" w:cs="宋体"/>
                <w:kern w:val="0"/>
                <w:sz w:val="24"/>
                <w:highlight w:val="none"/>
              </w:rPr>
            </w:pPr>
            <w:r>
              <w:rPr>
                <w:rFonts w:hint="eastAsia" w:ascii="宋体" w:hAnsi="宋体" w:cs="宋体"/>
                <w:kern w:val="0"/>
                <w:sz w:val="24"/>
                <w:highlight w:val="none"/>
              </w:rPr>
              <w:t>位控制的功能；</w:t>
            </w:r>
          </w:p>
          <w:p w14:paraId="4B646A84">
            <w:pPr>
              <w:widowControl/>
              <w:adjustRightInd/>
              <w:rPr>
                <w:rFonts w:ascii="宋体" w:hAnsi="宋体" w:cs="宋体"/>
                <w:kern w:val="0"/>
                <w:sz w:val="24"/>
                <w:highlight w:val="none"/>
              </w:rPr>
            </w:pPr>
            <w:r>
              <w:rPr>
                <w:rFonts w:hint="eastAsia" w:ascii="宋体" w:hAnsi="宋体" w:cs="宋体"/>
                <w:kern w:val="0"/>
                <w:sz w:val="24"/>
                <w:highlight w:val="none"/>
              </w:rPr>
              <w:t>23)BMC 启动时间应不超过 180s，实现功能包括网络、IPMI、散热、传感器服务可用；</w:t>
            </w:r>
          </w:p>
          <w:p w14:paraId="34C4C3B1">
            <w:pPr>
              <w:widowControl/>
              <w:adjustRightInd/>
              <w:rPr>
                <w:rFonts w:ascii="宋体" w:hAnsi="宋体" w:cs="宋体"/>
                <w:kern w:val="0"/>
                <w:sz w:val="24"/>
                <w:highlight w:val="none"/>
              </w:rPr>
            </w:pPr>
            <w:r>
              <w:rPr>
                <w:rFonts w:hint="eastAsia" w:ascii="宋体" w:hAnsi="宋体" w:cs="宋体"/>
                <w:kern w:val="0"/>
                <w:sz w:val="24"/>
                <w:highlight w:val="none"/>
              </w:rPr>
              <w:t>24)支持 BMC 固件设置的恢复出厂功能</w:t>
            </w:r>
          </w:p>
        </w:tc>
      </w:tr>
      <w:tr w14:paraId="2F78D13B">
        <w:tblPrEx>
          <w:tblCellMar>
            <w:top w:w="0" w:type="dxa"/>
            <w:left w:w="108" w:type="dxa"/>
            <w:bottom w:w="0" w:type="dxa"/>
            <w:right w:w="108" w:type="dxa"/>
          </w:tblCellMar>
        </w:tblPrEx>
        <w:trPr>
          <w:trHeight w:val="636" w:hRule="atLeast"/>
        </w:trPr>
        <w:tc>
          <w:tcPr>
            <w:tcW w:w="960" w:type="dxa"/>
            <w:tcBorders>
              <w:top w:val="nil"/>
              <w:left w:val="single" w:color="auto" w:sz="8" w:space="0"/>
              <w:bottom w:val="single" w:color="auto" w:sz="8" w:space="0"/>
              <w:right w:val="single" w:color="auto" w:sz="8" w:space="0"/>
            </w:tcBorders>
            <w:vAlign w:val="center"/>
          </w:tcPr>
          <w:p w14:paraId="5A1DE541">
            <w:pPr>
              <w:widowControl/>
              <w:adjustRightInd/>
              <w:jc w:val="center"/>
              <w:rPr>
                <w:rFonts w:ascii="宋体" w:hAnsi="宋体" w:cs="宋体"/>
                <w:kern w:val="0"/>
                <w:sz w:val="24"/>
                <w:highlight w:val="none"/>
              </w:rPr>
            </w:pPr>
            <w:r>
              <w:rPr>
                <w:rFonts w:ascii="宋体" w:hAnsi="宋体" w:cs="宋体"/>
                <w:kern w:val="0"/>
                <w:sz w:val="24"/>
                <w:highlight w:val="none"/>
              </w:rPr>
              <w:t>32</w:t>
            </w:r>
          </w:p>
        </w:tc>
        <w:tc>
          <w:tcPr>
            <w:tcW w:w="1400" w:type="dxa"/>
            <w:vMerge w:val="continue"/>
            <w:tcBorders>
              <w:top w:val="nil"/>
              <w:left w:val="single" w:color="auto" w:sz="8" w:space="0"/>
              <w:bottom w:val="single" w:color="000000" w:sz="8" w:space="0"/>
              <w:right w:val="single" w:color="auto" w:sz="8" w:space="0"/>
            </w:tcBorders>
            <w:vAlign w:val="center"/>
          </w:tcPr>
          <w:p w14:paraId="57E3D6A7">
            <w:pPr>
              <w:widowControl/>
              <w:adjustRightInd/>
              <w:jc w:val="left"/>
              <w:rPr>
                <w:rFonts w:ascii="宋体" w:hAnsi="宋体" w:cs="宋体"/>
                <w:kern w:val="0"/>
                <w:sz w:val="24"/>
                <w:highlight w:val="none"/>
              </w:rPr>
            </w:pPr>
          </w:p>
        </w:tc>
        <w:tc>
          <w:tcPr>
            <w:tcW w:w="1420" w:type="dxa"/>
            <w:tcBorders>
              <w:top w:val="nil"/>
              <w:left w:val="nil"/>
              <w:bottom w:val="single" w:color="auto" w:sz="8" w:space="0"/>
              <w:right w:val="single" w:color="auto" w:sz="8" w:space="0"/>
            </w:tcBorders>
            <w:vAlign w:val="center"/>
          </w:tcPr>
          <w:p w14:paraId="095799E4">
            <w:pPr>
              <w:widowControl/>
              <w:adjustRightInd/>
              <w:jc w:val="center"/>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 xml:space="preserve">BIOS </w:t>
            </w:r>
            <w:r>
              <w:rPr>
                <w:rFonts w:hint="eastAsia" w:ascii="宋体" w:hAnsi="宋体" w:cs="宋体"/>
                <w:kern w:val="0"/>
                <w:sz w:val="24"/>
                <w:highlight w:val="none"/>
              </w:rPr>
              <w:t>固件基础功能</w:t>
            </w:r>
          </w:p>
        </w:tc>
        <w:tc>
          <w:tcPr>
            <w:tcW w:w="5080" w:type="dxa"/>
            <w:tcBorders>
              <w:top w:val="nil"/>
              <w:left w:val="nil"/>
              <w:bottom w:val="single" w:color="auto" w:sz="8" w:space="0"/>
              <w:right w:val="single" w:color="auto" w:sz="8" w:space="0"/>
            </w:tcBorders>
            <w:vAlign w:val="center"/>
          </w:tcPr>
          <w:p w14:paraId="58243082">
            <w:pPr>
              <w:widowControl/>
              <w:adjustRightInd/>
              <w:rPr>
                <w:rFonts w:ascii="宋体" w:hAnsi="宋体" w:cs="宋体"/>
                <w:kern w:val="0"/>
                <w:sz w:val="24"/>
                <w:highlight w:val="none"/>
              </w:rPr>
            </w:pPr>
            <w:r>
              <w:rPr>
                <w:rFonts w:hint="eastAsia" w:ascii="宋体" w:hAnsi="宋体" w:cs="宋体"/>
                <w:kern w:val="0"/>
                <w:sz w:val="24"/>
                <w:highlight w:val="none"/>
              </w:rPr>
              <w:t>a）支持查看固件版本、内存信息、主板信息、处理器信息和系统时间信息功能；</w:t>
            </w:r>
          </w:p>
          <w:p w14:paraId="3E26F55E">
            <w:pPr>
              <w:widowControl/>
              <w:adjustRightInd/>
              <w:rPr>
                <w:rFonts w:ascii="宋体" w:hAnsi="宋体" w:cs="宋体"/>
                <w:kern w:val="0"/>
                <w:sz w:val="24"/>
                <w:highlight w:val="none"/>
              </w:rPr>
            </w:pPr>
            <w:r>
              <w:rPr>
                <w:rFonts w:hint="eastAsia" w:ascii="宋体" w:hAnsi="宋体" w:cs="宋体"/>
                <w:kern w:val="0"/>
                <w:sz w:val="24"/>
                <w:highlight w:val="none"/>
              </w:rPr>
              <w:t>b）支持上电初始化界面显示 CPU 信息、内存信息、固件版本和部分快捷键信息功能；</w:t>
            </w:r>
          </w:p>
          <w:p w14:paraId="3DECA48A">
            <w:pPr>
              <w:widowControl/>
              <w:adjustRightInd/>
              <w:rPr>
                <w:rFonts w:ascii="宋体" w:hAnsi="宋体" w:cs="宋体"/>
                <w:kern w:val="0"/>
                <w:sz w:val="24"/>
                <w:highlight w:val="none"/>
              </w:rPr>
            </w:pPr>
            <w:r>
              <w:rPr>
                <w:rFonts w:hint="eastAsia" w:ascii="宋体" w:hAnsi="宋体" w:cs="宋体"/>
                <w:kern w:val="0"/>
                <w:sz w:val="24"/>
                <w:highlight w:val="none"/>
              </w:rPr>
              <w:t>c）支持设置界面中英文显示切换功能；</w:t>
            </w:r>
          </w:p>
          <w:p w14:paraId="7BBF6799">
            <w:pPr>
              <w:widowControl/>
              <w:adjustRightInd/>
              <w:rPr>
                <w:rFonts w:ascii="宋体" w:hAnsi="宋体" w:cs="宋体"/>
                <w:kern w:val="0"/>
                <w:sz w:val="24"/>
                <w:highlight w:val="none"/>
              </w:rPr>
            </w:pPr>
            <w:r>
              <w:rPr>
                <w:rFonts w:hint="eastAsia" w:ascii="宋体" w:hAnsi="宋体" w:cs="宋体"/>
                <w:kern w:val="0"/>
                <w:sz w:val="24"/>
                <w:highlight w:val="none"/>
              </w:rPr>
              <w:t>d）支持查看 PCIe 设备信息，SATA</w:t>
            </w:r>
          </w:p>
          <w:p w14:paraId="1709E4AA">
            <w:pPr>
              <w:widowControl/>
              <w:adjustRightInd/>
              <w:rPr>
                <w:rFonts w:ascii="宋体" w:hAnsi="宋体" w:cs="宋体"/>
                <w:kern w:val="0"/>
                <w:sz w:val="24"/>
                <w:highlight w:val="none"/>
              </w:rPr>
            </w:pPr>
            <w:r>
              <w:rPr>
                <w:rFonts w:hint="eastAsia" w:ascii="宋体" w:hAnsi="宋体" w:cs="宋体"/>
                <w:kern w:val="0"/>
                <w:sz w:val="24"/>
                <w:highlight w:val="none"/>
              </w:rPr>
              <w:t>设备信息功能；</w:t>
            </w:r>
          </w:p>
          <w:p w14:paraId="1633DA47">
            <w:pPr>
              <w:widowControl/>
              <w:adjustRightInd/>
              <w:rPr>
                <w:rFonts w:ascii="宋体" w:hAnsi="宋体" w:cs="宋体"/>
                <w:kern w:val="0"/>
                <w:sz w:val="24"/>
                <w:highlight w:val="none"/>
              </w:rPr>
            </w:pPr>
            <w:r>
              <w:rPr>
                <w:rFonts w:hint="eastAsia" w:ascii="宋体" w:hAnsi="宋体" w:cs="宋体"/>
                <w:kern w:val="0"/>
                <w:sz w:val="24"/>
                <w:highlight w:val="none"/>
              </w:rPr>
              <w:t>e）支持操作系统安装和引导功能，应并向操作系统提供计算机主板信息和服务接口；</w:t>
            </w:r>
          </w:p>
          <w:p w14:paraId="7856AB44">
            <w:pPr>
              <w:widowControl/>
              <w:adjustRightInd/>
              <w:rPr>
                <w:rFonts w:ascii="宋体" w:hAnsi="宋体" w:cs="宋体"/>
                <w:kern w:val="0"/>
                <w:sz w:val="24"/>
                <w:highlight w:val="none"/>
              </w:rPr>
            </w:pPr>
            <w:r>
              <w:rPr>
                <w:rFonts w:hint="eastAsia" w:ascii="宋体" w:hAnsi="宋体" w:cs="宋体"/>
                <w:kern w:val="0"/>
                <w:sz w:val="24"/>
                <w:highlight w:val="none"/>
              </w:rPr>
              <w:t>f）支持设置启动顺序，并按照设置的启动顺序启动功能；</w:t>
            </w:r>
          </w:p>
          <w:p w14:paraId="7906EBF0">
            <w:pPr>
              <w:widowControl/>
              <w:adjustRightInd/>
              <w:rPr>
                <w:rFonts w:ascii="宋体" w:hAnsi="宋体" w:cs="宋体"/>
                <w:kern w:val="0"/>
                <w:sz w:val="24"/>
                <w:highlight w:val="none"/>
              </w:rPr>
            </w:pPr>
            <w:r>
              <w:rPr>
                <w:rFonts w:hint="eastAsia" w:ascii="宋体" w:hAnsi="宋体" w:cs="宋体"/>
                <w:kern w:val="0"/>
                <w:sz w:val="24"/>
                <w:highlight w:val="none"/>
              </w:rPr>
              <w:t>g）支持安全启动功能；</w:t>
            </w:r>
          </w:p>
          <w:p w14:paraId="7149945E">
            <w:pPr>
              <w:widowControl/>
              <w:adjustRightInd/>
              <w:rPr>
                <w:rFonts w:ascii="宋体" w:hAnsi="宋体" w:cs="宋体"/>
                <w:kern w:val="0"/>
                <w:sz w:val="24"/>
                <w:highlight w:val="none"/>
              </w:rPr>
            </w:pPr>
            <w:r>
              <w:rPr>
                <w:rFonts w:hint="eastAsia" w:ascii="宋体" w:hAnsi="宋体" w:cs="宋体"/>
                <w:kern w:val="0"/>
                <w:sz w:val="24"/>
                <w:highlight w:val="none"/>
              </w:rPr>
              <w:t>h）支持设置口令、修改口令、验证口令功能；</w:t>
            </w:r>
          </w:p>
          <w:p w14:paraId="06D6AB60">
            <w:pPr>
              <w:widowControl/>
              <w:adjustRightInd/>
              <w:rPr>
                <w:rFonts w:ascii="宋体" w:hAnsi="宋体" w:cs="宋体"/>
                <w:kern w:val="0"/>
                <w:sz w:val="24"/>
                <w:highlight w:val="none"/>
              </w:rPr>
            </w:pPr>
            <w:r>
              <w:rPr>
                <w:rFonts w:hint="eastAsia" w:ascii="宋体" w:hAnsi="宋体" w:cs="宋体"/>
                <w:kern w:val="0"/>
                <w:sz w:val="24"/>
                <w:highlight w:val="none"/>
              </w:rPr>
              <w:t>i）支持板载显示控制或独立显卡的显示控制功能；</w:t>
            </w:r>
          </w:p>
          <w:p w14:paraId="6138E461">
            <w:pPr>
              <w:widowControl/>
              <w:adjustRightInd/>
              <w:rPr>
                <w:rFonts w:ascii="宋体" w:hAnsi="宋体" w:cs="宋体"/>
                <w:kern w:val="0"/>
                <w:sz w:val="24"/>
                <w:highlight w:val="none"/>
              </w:rPr>
            </w:pPr>
            <w:r>
              <w:rPr>
                <w:rFonts w:hint="eastAsia" w:ascii="宋体" w:hAnsi="宋体" w:cs="宋体"/>
                <w:kern w:val="0"/>
                <w:sz w:val="24"/>
                <w:highlight w:val="none"/>
              </w:rPr>
              <w:t>j）支持 RAID 识别和启动功能；k）支持串口重定向功能；</w:t>
            </w:r>
          </w:p>
          <w:p w14:paraId="37C70883">
            <w:pPr>
              <w:widowControl/>
              <w:adjustRightInd/>
              <w:rPr>
                <w:rFonts w:ascii="宋体" w:hAnsi="宋体" w:cs="宋体"/>
                <w:kern w:val="0"/>
                <w:sz w:val="24"/>
                <w:highlight w:val="none"/>
              </w:rPr>
            </w:pPr>
            <w:r>
              <w:rPr>
                <w:rFonts w:hint="eastAsia" w:ascii="宋体" w:hAnsi="宋体" w:cs="宋体"/>
                <w:kern w:val="0"/>
                <w:sz w:val="24"/>
                <w:highlight w:val="none"/>
              </w:rPr>
              <w:t>l）支持固件更新功能；</w:t>
            </w:r>
          </w:p>
          <w:p w14:paraId="44AFEB9B">
            <w:pPr>
              <w:widowControl/>
              <w:adjustRightInd/>
              <w:rPr>
                <w:rFonts w:ascii="宋体" w:hAnsi="宋体" w:cs="宋体"/>
                <w:kern w:val="0"/>
                <w:sz w:val="24"/>
                <w:highlight w:val="none"/>
              </w:rPr>
            </w:pPr>
            <w:r>
              <w:rPr>
                <w:rFonts w:hint="eastAsia" w:ascii="宋体" w:hAnsi="宋体" w:cs="宋体"/>
                <w:kern w:val="0"/>
                <w:sz w:val="24"/>
                <w:highlight w:val="none"/>
              </w:rPr>
              <w:t>m）支持 BIOS 固件设置的恢复出厂功能；</w:t>
            </w:r>
          </w:p>
          <w:p w14:paraId="3AF9960B">
            <w:pPr>
              <w:widowControl/>
              <w:adjustRightInd/>
              <w:rPr>
                <w:rFonts w:ascii="宋体" w:hAnsi="宋体" w:cs="宋体"/>
                <w:kern w:val="0"/>
                <w:sz w:val="24"/>
                <w:highlight w:val="none"/>
              </w:rPr>
            </w:pPr>
            <w:r>
              <w:rPr>
                <w:rFonts w:hint="eastAsia" w:ascii="宋体" w:hAnsi="宋体" w:cs="宋体"/>
                <w:kern w:val="0"/>
                <w:sz w:val="24"/>
                <w:highlight w:val="none"/>
              </w:rPr>
              <w:t>n）支持网络引导启用和关闭功能</w:t>
            </w:r>
          </w:p>
        </w:tc>
      </w:tr>
      <w:tr w14:paraId="0B17530A">
        <w:tblPrEx>
          <w:tblCellMar>
            <w:top w:w="0" w:type="dxa"/>
            <w:left w:w="108" w:type="dxa"/>
            <w:bottom w:w="0" w:type="dxa"/>
            <w:right w:w="108" w:type="dxa"/>
          </w:tblCellMar>
        </w:tblPrEx>
        <w:trPr>
          <w:trHeight w:val="324" w:hRule="atLeast"/>
        </w:trPr>
        <w:tc>
          <w:tcPr>
            <w:tcW w:w="960" w:type="dxa"/>
            <w:tcBorders>
              <w:top w:val="nil"/>
              <w:left w:val="single" w:color="auto" w:sz="8" w:space="0"/>
              <w:bottom w:val="single" w:color="auto" w:sz="8" w:space="0"/>
              <w:right w:val="single" w:color="auto" w:sz="8" w:space="0"/>
            </w:tcBorders>
            <w:vAlign w:val="center"/>
          </w:tcPr>
          <w:p w14:paraId="209F79E3">
            <w:pPr>
              <w:widowControl/>
              <w:adjustRightInd/>
              <w:jc w:val="center"/>
              <w:rPr>
                <w:rFonts w:ascii="宋体" w:hAnsi="宋体" w:cs="宋体"/>
                <w:kern w:val="0"/>
                <w:sz w:val="24"/>
                <w:highlight w:val="none"/>
              </w:rPr>
            </w:pPr>
            <w:r>
              <w:rPr>
                <w:rFonts w:ascii="宋体" w:hAnsi="宋体" w:cs="宋体"/>
                <w:kern w:val="0"/>
                <w:sz w:val="24"/>
                <w:highlight w:val="none"/>
              </w:rPr>
              <w:t>33</w:t>
            </w:r>
          </w:p>
        </w:tc>
        <w:tc>
          <w:tcPr>
            <w:tcW w:w="1400" w:type="dxa"/>
            <w:vMerge w:val="continue"/>
            <w:tcBorders>
              <w:top w:val="nil"/>
              <w:left w:val="single" w:color="auto" w:sz="8" w:space="0"/>
              <w:bottom w:val="single" w:color="000000" w:sz="8" w:space="0"/>
              <w:right w:val="single" w:color="auto" w:sz="8" w:space="0"/>
            </w:tcBorders>
            <w:vAlign w:val="center"/>
          </w:tcPr>
          <w:p w14:paraId="054864D8">
            <w:pPr>
              <w:widowControl/>
              <w:adjustRightInd/>
              <w:jc w:val="left"/>
              <w:rPr>
                <w:rFonts w:ascii="宋体" w:hAnsi="宋体" w:cs="宋体"/>
                <w:kern w:val="0"/>
                <w:sz w:val="24"/>
                <w:highlight w:val="none"/>
              </w:rPr>
            </w:pPr>
          </w:p>
        </w:tc>
        <w:tc>
          <w:tcPr>
            <w:tcW w:w="1420" w:type="dxa"/>
            <w:tcBorders>
              <w:top w:val="nil"/>
              <w:left w:val="nil"/>
              <w:bottom w:val="single" w:color="auto" w:sz="8" w:space="0"/>
              <w:right w:val="single" w:color="auto" w:sz="8" w:space="0"/>
            </w:tcBorders>
            <w:vAlign w:val="center"/>
          </w:tcPr>
          <w:p w14:paraId="61474519">
            <w:pPr>
              <w:widowControl/>
              <w:adjustRightInd/>
              <w:jc w:val="center"/>
              <w:rPr>
                <w:rFonts w:ascii="宋体" w:hAnsi="宋体" w:cs="宋体"/>
                <w:kern w:val="0"/>
                <w:sz w:val="24"/>
                <w:highlight w:val="none"/>
              </w:rPr>
            </w:pPr>
            <w:r>
              <w:rPr>
                <w:rFonts w:hint="eastAsia" w:ascii="宋体" w:hAnsi="宋体" w:cs="宋体"/>
                <w:kern w:val="0"/>
                <w:sz w:val="24"/>
                <w:highlight w:val="none"/>
              </w:rPr>
              <w:t>▲远程控制</w:t>
            </w:r>
          </w:p>
        </w:tc>
        <w:tc>
          <w:tcPr>
            <w:tcW w:w="5080" w:type="dxa"/>
            <w:tcBorders>
              <w:top w:val="nil"/>
              <w:left w:val="nil"/>
              <w:bottom w:val="single" w:color="auto" w:sz="8" w:space="0"/>
              <w:right w:val="single" w:color="auto" w:sz="8" w:space="0"/>
            </w:tcBorders>
            <w:vAlign w:val="center"/>
          </w:tcPr>
          <w:p w14:paraId="77CD8EFB">
            <w:pPr>
              <w:widowControl/>
              <w:adjustRightInd/>
              <w:rPr>
                <w:rFonts w:ascii="宋体" w:hAnsi="宋体" w:cs="宋体"/>
                <w:kern w:val="0"/>
                <w:sz w:val="24"/>
                <w:highlight w:val="none"/>
              </w:rPr>
            </w:pPr>
            <w:r>
              <w:rPr>
                <w:rFonts w:hint="eastAsia" w:ascii="宋体" w:hAnsi="宋体" w:cs="宋体"/>
                <w:kern w:val="0"/>
                <w:sz w:val="24"/>
                <w:highlight w:val="none"/>
              </w:rPr>
              <w:t>支持远程关机和重新启动功能</w:t>
            </w:r>
          </w:p>
        </w:tc>
      </w:tr>
      <w:tr w14:paraId="6B9E49F8">
        <w:tblPrEx>
          <w:tblCellMar>
            <w:top w:w="0" w:type="dxa"/>
            <w:left w:w="108" w:type="dxa"/>
            <w:bottom w:w="0" w:type="dxa"/>
            <w:right w:w="108" w:type="dxa"/>
          </w:tblCellMar>
        </w:tblPrEx>
        <w:trPr>
          <w:trHeight w:val="948" w:hRule="atLeast"/>
        </w:trPr>
        <w:tc>
          <w:tcPr>
            <w:tcW w:w="960" w:type="dxa"/>
            <w:tcBorders>
              <w:top w:val="nil"/>
              <w:left w:val="single" w:color="auto" w:sz="8" w:space="0"/>
              <w:bottom w:val="single" w:color="auto" w:sz="8" w:space="0"/>
              <w:right w:val="single" w:color="auto" w:sz="8" w:space="0"/>
            </w:tcBorders>
            <w:vAlign w:val="center"/>
          </w:tcPr>
          <w:p w14:paraId="53AB7B9C">
            <w:pPr>
              <w:widowControl/>
              <w:adjustRightInd/>
              <w:jc w:val="center"/>
              <w:rPr>
                <w:rFonts w:ascii="宋体" w:hAnsi="宋体" w:cs="宋体"/>
                <w:kern w:val="0"/>
                <w:sz w:val="24"/>
                <w:highlight w:val="none"/>
              </w:rPr>
            </w:pPr>
            <w:r>
              <w:rPr>
                <w:rFonts w:ascii="宋体" w:hAnsi="宋体" w:cs="宋体"/>
                <w:kern w:val="0"/>
                <w:sz w:val="24"/>
                <w:highlight w:val="none"/>
              </w:rPr>
              <w:t>34</w:t>
            </w:r>
          </w:p>
        </w:tc>
        <w:tc>
          <w:tcPr>
            <w:tcW w:w="1400" w:type="dxa"/>
            <w:vMerge w:val="restart"/>
            <w:tcBorders>
              <w:top w:val="nil"/>
              <w:left w:val="single" w:color="auto" w:sz="8" w:space="0"/>
              <w:bottom w:val="single" w:color="000000" w:sz="8" w:space="0"/>
              <w:right w:val="single" w:color="auto" w:sz="8" w:space="0"/>
            </w:tcBorders>
            <w:vAlign w:val="center"/>
          </w:tcPr>
          <w:p w14:paraId="38755FF6">
            <w:pPr>
              <w:widowControl/>
              <w:adjustRightInd/>
              <w:jc w:val="center"/>
              <w:rPr>
                <w:rFonts w:ascii="宋体" w:hAnsi="宋体" w:cs="宋体"/>
                <w:kern w:val="0"/>
                <w:sz w:val="24"/>
                <w:highlight w:val="none"/>
              </w:rPr>
            </w:pPr>
            <w:r>
              <w:rPr>
                <w:rFonts w:hint="eastAsia" w:ascii="宋体" w:hAnsi="宋体" w:cs="宋体"/>
                <w:kern w:val="0"/>
                <w:sz w:val="24"/>
                <w:highlight w:val="none"/>
              </w:rPr>
              <w:t>▲操作系统及驱动功能</w:t>
            </w:r>
          </w:p>
        </w:tc>
        <w:tc>
          <w:tcPr>
            <w:tcW w:w="1420" w:type="dxa"/>
            <w:tcBorders>
              <w:top w:val="nil"/>
              <w:left w:val="nil"/>
              <w:bottom w:val="single" w:color="auto" w:sz="8" w:space="0"/>
              <w:right w:val="single" w:color="auto" w:sz="8" w:space="0"/>
            </w:tcBorders>
            <w:vAlign w:val="center"/>
          </w:tcPr>
          <w:p w14:paraId="6CE08201">
            <w:pPr>
              <w:widowControl/>
              <w:adjustRightInd/>
              <w:jc w:val="center"/>
              <w:rPr>
                <w:rFonts w:ascii="宋体" w:hAnsi="宋体" w:cs="宋体"/>
                <w:kern w:val="0"/>
                <w:sz w:val="24"/>
                <w:highlight w:val="none"/>
              </w:rPr>
            </w:pPr>
            <w:r>
              <w:rPr>
                <w:rFonts w:hint="eastAsia" w:ascii="宋体" w:hAnsi="宋体" w:cs="宋体"/>
                <w:kern w:val="0"/>
                <w:sz w:val="24"/>
                <w:highlight w:val="none"/>
              </w:rPr>
              <w:t>▲操作系统及驱动的升级</w:t>
            </w:r>
          </w:p>
        </w:tc>
        <w:tc>
          <w:tcPr>
            <w:tcW w:w="5080" w:type="dxa"/>
            <w:tcBorders>
              <w:top w:val="nil"/>
              <w:left w:val="nil"/>
              <w:bottom w:val="single" w:color="auto" w:sz="8" w:space="0"/>
              <w:right w:val="single" w:color="auto" w:sz="8" w:space="0"/>
            </w:tcBorders>
            <w:vAlign w:val="center"/>
          </w:tcPr>
          <w:p w14:paraId="7ABBA81A">
            <w:pPr>
              <w:widowControl/>
              <w:adjustRightInd/>
              <w:rPr>
                <w:rFonts w:ascii="宋体" w:hAnsi="宋体" w:cs="宋体"/>
                <w:kern w:val="0"/>
                <w:sz w:val="24"/>
                <w:highlight w:val="none"/>
              </w:rPr>
            </w:pPr>
            <w:r>
              <w:rPr>
                <w:rFonts w:hint="eastAsia" w:ascii="宋体" w:hAnsi="宋体" w:cs="宋体"/>
                <w:kern w:val="0"/>
                <w:sz w:val="24"/>
                <w:highlight w:val="none"/>
              </w:rPr>
              <w:t>支持通过网络、闪存盘对操作系统、驱动进行升级</w:t>
            </w:r>
          </w:p>
        </w:tc>
      </w:tr>
      <w:tr w14:paraId="3CC955AC">
        <w:tblPrEx>
          <w:tblCellMar>
            <w:top w:w="0" w:type="dxa"/>
            <w:left w:w="108" w:type="dxa"/>
            <w:bottom w:w="0" w:type="dxa"/>
            <w:right w:w="108" w:type="dxa"/>
          </w:tblCellMar>
        </w:tblPrEx>
        <w:trPr>
          <w:trHeight w:val="636" w:hRule="atLeast"/>
        </w:trPr>
        <w:tc>
          <w:tcPr>
            <w:tcW w:w="960" w:type="dxa"/>
            <w:tcBorders>
              <w:top w:val="nil"/>
              <w:left w:val="single" w:color="auto" w:sz="8" w:space="0"/>
              <w:bottom w:val="single" w:color="auto" w:sz="8" w:space="0"/>
              <w:right w:val="single" w:color="auto" w:sz="8" w:space="0"/>
            </w:tcBorders>
            <w:vAlign w:val="center"/>
          </w:tcPr>
          <w:p w14:paraId="73347E0C">
            <w:pPr>
              <w:widowControl/>
              <w:adjustRightInd/>
              <w:jc w:val="center"/>
              <w:rPr>
                <w:rFonts w:ascii="宋体" w:hAnsi="宋体" w:cs="宋体"/>
                <w:kern w:val="0"/>
                <w:sz w:val="24"/>
                <w:highlight w:val="none"/>
              </w:rPr>
            </w:pPr>
            <w:r>
              <w:rPr>
                <w:rFonts w:ascii="宋体" w:hAnsi="宋体" w:cs="宋体"/>
                <w:kern w:val="0"/>
                <w:sz w:val="24"/>
                <w:highlight w:val="none"/>
              </w:rPr>
              <w:t>35</w:t>
            </w:r>
          </w:p>
        </w:tc>
        <w:tc>
          <w:tcPr>
            <w:tcW w:w="1400" w:type="dxa"/>
            <w:vMerge w:val="continue"/>
            <w:tcBorders>
              <w:top w:val="nil"/>
              <w:left w:val="single" w:color="auto" w:sz="8" w:space="0"/>
              <w:bottom w:val="single" w:color="000000" w:sz="8" w:space="0"/>
              <w:right w:val="single" w:color="auto" w:sz="8" w:space="0"/>
            </w:tcBorders>
            <w:vAlign w:val="center"/>
          </w:tcPr>
          <w:p w14:paraId="78A7D8A4">
            <w:pPr>
              <w:widowControl/>
              <w:adjustRightInd/>
              <w:jc w:val="left"/>
              <w:rPr>
                <w:rFonts w:ascii="宋体" w:hAnsi="宋体" w:cs="宋体"/>
                <w:kern w:val="0"/>
                <w:sz w:val="24"/>
                <w:highlight w:val="none"/>
              </w:rPr>
            </w:pPr>
          </w:p>
        </w:tc>
        <w:tc>
          <w:tcPr>
            <w:tcW w:w="1420" w:type="dxa"/>
            <w:tcBorders>
              <w:top w:val="nil"/>
              <w:left w:val="nil"/>
              <w:bottom w:val="single" w:color="auto" w:sz="8" w:space="0"/>
              <w:right w:val="single" w:color="auto" w:sz="8" w:space="0"/>
            </w:tcBorders>
            <w:vAlign w:val="center"/>
          </w:tcPr>
          <w:p w14:paraId="2797D538">
            <w:pPr>
              <w:widowControl/>
              <w:adjustRightInd/>
              <w:jc w:val="center"/>
              <w:rPr>
                <w:rFonts w:ascii="宋体" w:hAnsi="宋体" w:cs="宋体"/>
                <w:kern w:val="0"/>
                <w:sz w:val="24"/>
                <w:highlight w:val="none"/>
              </w:rPr>
            </w:pPr>
            <w:r>
              <w:rPr>
                <w:rFonts w:hint="eastAsia" w:ascii="宋体" w:hAnsi="宋体" w:cs="宋体"/>
                <w:kern w:val="0"/>
                <w:sz w:val="24"/>
                <w:highlight w:val="none"/>
              </w:rPr>
              <w:t>▲操作系统功能</w:t>
            </w:r>
          </w:p>
        </w:tc>
        <w:tc>
          <w:tcPr>
            <w:tcW w:w="5080" w:type="dxa"/>
            <w:tcBorders>
              <w:top w:val="nil"/>
              <w:left w:val="nil"/>
              <w:bottom w:val="single" w:color="auto" w:sz="8" w:space="0"/>
              <w:right w:val="single" w:color="auto" w:sz="8" w:space="0"/>
            </w:tcBorders>
            <w:vAlign w:val="center"/>
          </w:tcPr>
          <w:p w14:paraId="6A030A4E">
            <w:pPr>
              <w:widowControl/>
              <w:adjustRightInd/>
              <w:rPr>
                <w:rFonts w:ascii="宋体" w:hAnsi="宋体" w:cs="宋体"/>
                <w:kern w:val="0"/>
                <w:sz w:val="24"/>
                <w:highlight w:val="none"/>
              </w:rPr>
            </w:pPr>
            <w:r>
              <w:rPr>
                <w:rFonts w:hint="eastAsia" w:ascii="宋体" w:hAnsi="宋体" w:cs="宋体"/>
                <w:kern w:val="0"/>
                <w:sz w:val="24"/>
                <w:highlight w:val="none"/>
              </w:rPr>
              <w:t>支持访问控制、安全审计、网络接入鉴别等功能；</w:t>
            </w:r>
          </w:p>
        </w:tc>
      </w:tr>
      <w:tr w14:paraId="389C2547">
        <w:tblPrEx>
          <w:tblCellMar>
            <w:top w:w="0" w:type="dxa"/>
            <w:left w:w="108" w:type="dxa"/>
            <w:bottom w:w="0" w:type="dxa"/>
            <w:right w:w="108" w:type="dxa"/>
          </w:tblCellMar>
        </w:tblPrEx>
        <w:trPr>
          <w:trHeight w:val="636" w:hRule="atLeast"/>
        </w:trPr>
        <w:tc>
          <w:tcPr>
            <w:tcW w:w="960" w:type="dxa"/>
            <w:tcBorders>
              <w:top w:val="nil"/>
              <w:left w:val="single" w:color="auto" w:sz="8" w:space="0"/>
              <w:bottom w:val="single" w:color="auto" w:sz="8" w:space="0"/>
              <w:right w:val="single" w:color="auto" w:sz="8" w:space="0"/>
            </w:tcBorders>
            <w:vAlign w:val="center"/>
          </w:tcPr>
          <w:p w14:paraId="396D937A">
            <w:pPr>
              <w:widowControl/>
              <w:adjustRightInd/>
              <w:jc w:val="center"/>
              <w:rPr>
                <w:rFonts w:ascii="宋体" w:hAnsi="宋体" w:cs="宋体"/>
                <w:kern w:val="0"/>
                <w:sz w:val="24"/>
                <w:highlight w:val="none"/>
              </w:rPr>
            </w:pPr>
            <w:r>
              <w:rPr>
                <w:rFonts w:ascii="宋体" w:hAnsi="宋体" w:cs="宋体"/>
                <w:kern w:val="0"/>
                <w:sz w:val="24"/>
                <w:highlight w:val="none"/>
              </w:rPr>
              <w:t>36</w:t>
            </w:r>
          </w:p>
        </w:tc>
        <w:tc>
          <w:tcPr>
            <w:tcW w:w="1400" w:type="dxa"/>
            <w:tcBorders>
              <w:top w:val="nil"/>
              <w:left w:val="nil"/>
              <w:bottom w:val="single" w:color="auto" w:sz="8" w:space="0"/>
              <w:right w:val="single" w:color="auto" w:sz="8" w:space="0"/>
            </w:tcBorders>
            <w:vAlign w:val="center"/>
          </w:tcPr>
          <w:p w14:paraId="129D7B93">
            <w:pPr>
              <w:widowControl/>
              <w:adjustRightInd/>
              <w:jc w:val="center"/>
              <w:rPr>
                <w:rFonts w:ascii="宋体" w:hAnsi="宋体" w:cs="宋体"/>
                <w:kern w:val="0"/>
                <w:sz w:val="24"/>
                <w:highlight w:val="none"/>
              </w:rPr>
            </w:pPr>
            <w:r>
              <w:rPr>
                <w:rFonts w:hint="eastAsia" w:ascii="宋体" w:hAnsi="宋体" w:cs="宋体"/>
                <w:kern w:val="0"/>
                <w:sz w:val="24"/>
                <w:highlight w:val="none"/>
              </w:rPr>
              <w:t>▲中文信息处理功能</w:t>
            </w:r>
          </w:p>
        </w:tc>
        <w:tc>
          <w:tcPr>
            <w:tcW w:w="1420" w:type="dxa"/>
            <w:tcBorders>
              <w:top w:val="nil"/>
              <w:left w:val="nil"/>
              <w:bottom w:val="single" w:color="auto" w:sz="8" w:space="0"/>
              <w:right w:val="single" w:color="auto" w:sz="8" w:space="0"/>
            </w:tcBorders>
            <w:vAlign w:val="center"/>
          </w:tcPr>
          <w:p w14:paraId="66A98BFA">
            <w:pPr>
              <w:widowControl/>
              <w:adjustRightInd/>
              <w:jc w:val="center"/>
              <w:rPr>
                <w:rFonts w:ascii="宋体" w:hAnsi="宋体" w:cs="宋体"/>
                <w:kern w:val="0"/>
                <w:sz w:val="24"/>
                <w:highlight w:val="none"/>
              </w:rPr>
            </w:pPr>
            <w:r>
              <w:rPr>
                <w:rFonts w:hint="eastAsia" w:ascii="宋体" w:hAnsi="宋体" w:cs="宋体"/>
                <w:kern w:val="0"/>
                <w:sz w:val="24"/>
                <w:highlight w:val="none"/>
              </w:rPr>
              <w:t>▲中文信息处理</w:t>
            </w:r>
          </w:p>
        </w:tc>
        <w:tc>
          <w:tcPr>
            <w:tcW w:w="5080" w:type="dxa"/>
            <w:tcBorders>
              <w:top w:val="nil"/>
              <w:left w:val="nil"/>
              <w:bottom w:val="single" w:color="auto" w:sz="8" w:space="0"/>
              <w:right w:val="single" w:color="auto" w:sz="8" w:space="0"/>
            </w:tcBorders>
            <w:vAlign w:val="center"/>
          </w:tcPr>
          <w:p w14:paraId="1F455962">
            <w:pPr>
              <w:widowControl/>
              <w:adjustRightInd/>
              <w:rPr>
                <w:rFonts w:ascii="宋体" w:hAnsi="宋体" w:cs="宋体"/>
                <w:kern w:val="0"/>
                <w:sz w:val="24"/>
                <w:highlight w:val="none"/>
              </w:rPr>
            </w:pPr>
            <w:r>
              <w:rPr>
                <w:rFonts w:hint="eastAsia" w:ascii="宋体" w:hAnsi="宋体" w:cs="宋体"/>
                <w:kern w:val="0"/>
                <w:sz w:val="24"/>
                <w:highlight w:val="none"/>
              </w:rPr>
              <w:t>符合</w:t>
            </w:r>
            <w:r>
              <w:rPr>
                <w:rFonts w:ascii="宋体" w:hAnsi="宋体" w:cs="宋体"/>
                <w:kern w:val="0"/>
                <w:sz w:val="24"/>
                <w:highlight w:val="none"/>
              </w:rPr>
              <w:t xml:space="preserve"> GB 18030 </w:t>
            </w:r>
            <w:r>
              <w:rPr>
                <w:rFonts w:hint="eastAsia" w:ascii="宋体" w:hAnsi="宋体" w:cs="宋体"/>
                <w:kern w:val="0"/>
                <w:sz w:val="24"/>
                <w:highlight w:val="none"/>
              </w:rPr>
              <w:t>的有关规定</w:t>
            </w:r>
          </w:p>
        </w:tc>
      </w:tr>
      <w:tr w14:paraId="2071A51E">
        <w:tblPrEx>
          <w:tblCellMar>
            <w:top w:w="0" w:type="dxa"/>
            <w:left w:w="108" w:type="dxa"/>
            <w:bottom w:w="0" w:type="dxa"/>
            <w:right w:w="108" w:type="dxa"/>
          </w:tblCellMar>
        </w:tblPrEx>
        <w:trPr>
          <w:trHeight w:val="636" w:hRule="atLeast"/>
        </w:trPr>
        <w:tc>
          <w:tcPr>
            <w:tcW w:w="960" w:type="dxa"/>
            <w:tcBorders>
              <w:top w:val="nil"/>
              <w:left w:val="single" w:color="auto" w:sz="8" w:space="0"/>
              <w:bottom w:val="single" w:color="auto" w:sz="8" w:space="0"/>
              <w:right w:val="single" w:color="auto" w:sz="8" w:space="0"/>
            </w:tcBorders>
            <w:vAlign w:val="center"/>
          </w:tcPr>
          <w:p w14:paraId="7F84A82C">
            <w:pPr>
              <w:widowControl/>
              <w:adjustRightInd/>
              <w:jc w:val="center"/>
              <w:rPr>
                <w:rFonts w:ascii="宋体" w:hAnsi="宋体" w:cs="宋体"/>
                <w:kern w:val="0"/>
                <w:sz w:val="24"/>
                <w:highlight w:val="none"/>
              </w:rPr>
            </w:pPr>
            <w:r>
              <w:rPr>
                <w:rFonts w:ascii="宋体" w:hAnsi="宋体" w:cs="宋体"/>
                <w:kern w:val="0"/>
                <w:sz w:val="24"/>
                <w:highlight w:val="none"/>
              </w:rPr>
              <w:t>37</w:t>
            </w:r>
          </w:p>
        </w:tc>
        <w:tc>
          <w:tcPr>
            <w:tcW w:w="1400" w:type="dxa"/>
            <w:tcBorders>
              <w:top w:val="nil"/>
              <w:left w:val="nil"/>
              <w:bottom w:val="single" w:color="auto" w:sz="8" w:space="0"/>
              <w:right w:val="single" w:color="auto" w:sz="8" w:space="0"/>
            </w:tcBorders>
            <w:vAlign w:val="center"/>
          </w:tcPr>
          <w:p w14:paraId="477BC187">
            <w:pPr>
              <w:widowControl/>
              <w:adjustRightInd/>
              <w:jc w:val="center"/>
              <w:rPr>
                <w:rFonts w:ascii="宋体" w:hAnsi="宋体" w:cs="宋体"/>
                <w:kern w:val="0"/>
                <w:sz w:val="24"/>
                <w:highlight w:val="none"/>
              </w:rPr>
            </w:pPr>
            <w:r>
              <w:rPr>
                <w:rFonts w:hint="eastAsia" w:ascii="宋体" w:hAnsi="宋体" w:cs="宋体"/>
                <w:kern w:val="0"/>
                <w:sz w:val="24"/>
                <w:highlight w:val="none"/>
              </w:rPr>
              <w:t>▲关键部件安全要求</w:t>
            </w:r>
          </w:p>
        </w:tc>
        <w:tc>
          <w:tcPr>
            <w:tcW w:w="1420" w:type="dxa"/>
            <w:tcBorders>
              <w:top w:val="nil"/>
              <w:left w:val="nil"/>
              <w:bottom w:val="single" w:color="auto" w:sz="8" w:space="0"/>
              <w:right w:val="single" w:color="auto" w:sz="8" w:space="0"/>
            </w:tcBorders>
            <w:vAlign w:val="center"/>
          </w:tcPr>
          <w:p w14:paraId="7315007D">
            <w:pPr>
              <w:widowControl/>
              <w:adjustRightInd/>
              <w:jc w:val="center"/>
              <w:rPr>
                <w:rFonts w:ascii="宋体" w:hAnsi="宋体" w:cs="宋体"/>
                <w:kern w:val="0"/>
                <w:sz w:val="24"/>
                <w:highlight w:val="none"/>
              </w:rPr>
            </w:pPr>
            <w:r>
              <w:rPr>
                <w:rFonts w:hint="eastAsia" w:ascii="宋体" w:hAnsi="宋体" w:cs="宋体"/>
                <w:kern w:val="0"/>
                <w:sz w:val="24"/>
                <w:highlight w:val="none"/>
              </w:rPr>
              <w:t>▲关键部件安全要求</w:t>
            </w:r>
          </w:p>
        </w:tc>
        <w:tc>
          <w:tcPr>
            <w:tcW w:w="5080" w:type="dxa"/>
            <w:tcBorders>
              <w:top w:val="nil"/>
              <w:left w:val="nil"/>
              <w:bottom w:val="single" w:color="auto" w:sz="8" w:space="0"/>
              <w:right w:val="single" w:color="auto" w:sz="8" w:space="0"/>
            </w:tcBorders>
            <w:vAlign w:val="center"/>
          </w:tcPr>
          <w:p w14:paraId="3598E0E8">
            <w:pPr>
              <w:widowControl/>
              <w:adjustRightInd/>
              <w:rPr>
                <w:rFonts w:ascii="宋体" w:hAnsi="宋体" w:cs="宋体"/>
                <w:kern w:val="0"/>
                <w:sz w:val="24"/>
                <w:highlight w:val="none"/>
              </w:rPr>
            </w:pPr>
            <w:r>
              <w:rPr>
                <w:rFonts w:ascii="宋体" w:hAnsi="宋体" w:cs="宋体"/>
                <w:kern w:val="0"/>
                <w:sz w:val="24"/>
                <w:highlight w:val="none"/>
              </w:rPr>
              <w:t xml:space="preserve">CPU </w:t>
            </w:r>
            <w:r>
              <w:rPr>
                <w:rFonts w:hint="eastAsia" w:ascii="宋体" w:hAnsi="宋体" w:cs="宋体"/>
                <w:kern w:val="0"/>
                <w:sz w:val="24"/>
                <w:highlight w:val="none"/>
              </w:rPr>
              <w:t>和操作系统等关键部件应当符合安全可靠测评要求</w:t>
            </w:r>
          </w:p>
        </w:tc>
      </w:tr>
      <w:tr w14:paraId="3F80BE7C">
        <w:tblPrEx>
          <w:tblCellMar>
            <w:top w:w="0" w:type="dxa"/>
            <w:left w:w="108" w:type="dxa"/>
            <w:bottom w:w="0" w:type="dxa"/>
            <w:right w:w="108" w:type="dxa"/>
          </w:tblCellMar>
        </w:tblPrEx>
        <w:trPr>
          <w:trHeight w:val="636" w:hRule="atLeast"/>
        </w:trPr>
        <w:tc>
          <w:tcPr>
            <w:tcW w:w="960" w:type="dxa"/>
            <w:tcBorders>
              <w:top w:val="nil"/>
              <w:left w:val="single" w:color="auto" w:sz="8" w:space="0"/>
              <w:bottom w:val="single" w:color="auto" w:sz="8" w:space="0"/>
              <w:right w:val="single" w:color="auto" w:sz="8" w:space="0"/>
            </w:tcBorders>
            <w:vAlign w:val="center"/>
          </w:tcPr>
          <w:p w14:paraId="70238501">
            <w:pPr>
              <w:widowControl/>
              <w:adjustRightInd/>
              <w:jc w:val="center"/>
              <w:rPr>
                <w:rFonts w:ascii="宋体" w:hAnsi="宋体" w:cs="宋体"/>
                <w:kern w:val="0"/>
                <w:sz w:val="24"/>
                <w:highlight w:val="none"/>
              </w:rPr>
            </w:pPr>
            <w:r>
              <w:rPr>
                <w:rFonts w:ascii="宋体" w:hAnsi="宋体" w:cs="宋体"/>
                <w:kern w:val="0"/>
                <w:sz w:val="24"/>
                <w:highlight w:val="none"/>
              </w:rPr>
              <w:t>38</w:t>
            </w:r>
          </w:p>
        </w:tc>
        <w:tc>
          <w:tcPr>
            <w:tcW w:w="1400" w:type="dxa"/>
            <w:tcBorders>
              <w:top w:val="nil"/>
              <w:left w:val="nil"/>
              <w:bottom w:val="single" w:color="auto" w:sz="8" w:space="0"/>
              <w:right w:val="single" w:color="auto" w:sz="8" w:space="0"/>
            </w:tcBorders>
            <w:vAlign w:val="center"/>
          </w:tcPr>
          <w:p w14:paraId="61A20752">
            <w:pPr>
              <w:widowControl/>
              <w:adjustRightInd/>
              <w:jc w:val="center"/>
              <w:rPr>
                <w:rFonts w:ascii="宋体" w:hAnsi="宋体" w:cs="宋体"/>
                <w:kern w:val="0"/>
                <w:sz w:val="24"/>
                <w:highlight w:val="none"/>
              </w:rPr>
            </w:pPr>
            <w:r>
              <w:rPr>
                <w:rFonts w:hint="eastAsia" w:ascii="宋体" w:hAnsi="宋体" w:cs="宋体"/>
                <w:kern w:val="0"/>
                <w:sz w:val="24"/>
                <w:highlight w:val="none"/>
              </w:rPr>
              <w:t>▲固件安全要求</w:t>
            </w:r>
          </w:p>
        </w:tc>
        <w:tc>
          <w:tcPr>
            <w:tcW w:w="1420" w:type="dxa"/>
            <w:tcBorders>
              <w:top w:val="nil"/>
              <w:left w:val="nil"/>
              <w:bottom w:val="single" w:color="auto" w:sz="8" w:space="0"/>
              <w:right w:val="single" w:color="auto" w:sz="8" w:space="0"/>
            </w:tcBorders>
            <w:vAlign w:val="center"/>
          </w:tcPr>
          <w:p w14:paraId="08313F88">
            <w:pPr>
              <w:widowControl/>
              <w:adjustRightInd/>
              <w:jc w:val="center"/>
              <w:rPr>
                <w:rFonts w:ascii="宋体" w:hAnsi="宋体" w:cs="宋体"/>
                <w:kern w:val="0"/>
                <w:sz w:val="24"/>
                <w:highlight w:val="none"/>
              </w:rPr>
            </w:pPr>
            <w:r>
              <w:rPr>
                <w:rFonts w:hint="eastAsia" w:ascii="宋体" w:hAnsi="宋体" w:cs="宋体"/>
                <w:kern w:val="0"/>
                <w:sz w:val="24"/>
                <w:highlight w:val="none"/>
              </w:rPr>
              <w:t>▲故障检测</w:t>
            </w:r>
          </w:p>
        </w:tc>
        <w:tc>
          <w:tcPr>
            <w:tcW w:w="5080" w:type="dxa"/>
            <w:tcBorders>
              <w:top w:val="nil"/>
              <w:left w:val="nil"/>
              <w:bottom w:val="single" w:color="auto" w:sz="8" w:space="0"/>
              <w:right w:val="single" w:color="auto" w:sz="8" w:space="0"/>
            </w:tcBorders>
            <w:vAlign w:val="center"/>
          </w:tcPr>
          <w:p w14:paraId="6498A12D">
            <w:pPr>
              <w:widowControl/>
              <w:adjustRightInd/>
              <w:rPr>
                <w:rFonts w:ascii="宋体" w:hAnsi="宋体" w:cs="宋体"/>
                <w:kern w:val="0"/>
                <w:sz w:val="24"/>
                <w:highlight w:val="none"/>
              </w:rPr>
            </w:pPr>
            <w:r>
              <w:rPr>
                <w:rFonts w:hint="eastAsia" w:ascii="宋体" w:hAnsi="宋体" w:cs="宋体"/>
                <w:kern w:val="0"/>
                <w:sz w:val="24"/>
                <w:highlight w:val="none"/>
              </w:rPr>
              <w:t>支持故障检测功能，可以检测到具体的</w:t>
            </w:r>
            <w:r>
              <w:rPr>
                <w:rFonts w:ascii="宋体" w:hAnsi="宋体" w:cs="宋体"/>
                <w:kern w:val="0"/>
                <w:sz w:val="24"/>
                <w:highlight w:val="none"/>
              </w:rPr>
              <w:t xml:space="preserve"> FRU（内存、硬盘等）的故障并发出告警</w:t>
            </w:r>
          </w:p>
        </w:tc>
      </w:tr>
      <w:tr w14:paraId="1E34D0BA">
        <w:tblPrEx>
          <w:tblCellMar>
            <w:top w:w="0" w:type="dxa"/>
            <w:left w:w="108" w:type="dxa"/>
            <w:bottom w:w="0" w:type="dxa"/>
            <w:right w:w="108" w:type="dxa"/>
          </w:tblCellMar>
        </w:tblPrEx>
        <w:trPr>
          <w:trHeight w:val="948" w:hRule="atLeast"/>
        </w:trPr>
        <w:tc>
          <w:tcPr>
            <w:tcW w:w="960" w:type="dxa"/>
            <w:tcBorders>
              <w:top w:val="nil"/>
              <w:left w:val="single" w:color="auto" w:sz="8" w:space="0"/>
              <w:bottom w:val="single" w:color="auto" w:sz="8" w:space="0"/>
              <w:right w:val="single" w:color="auto" w:sz="8" w:space="0"/>
            </w:tcBorders>
            <w:vAlign w:val="center"/>
          </w:tcPr>
          <w:p w14:paraId="265D82C4">
            <w:pPr>
              <w:widowControl/>
              <w:adjustRightInd/>
              <w:jc w:val="center"/>
              <w:rPr>
                <w:rFonts w:ascii="宋体" w:hAnsi="宋体" w:cs="宋体"/>
                <w:kern w:val="0"/>
                <w:sz w:val="24"/>
                <w:highlight w:val="none"/>
              </w:rPr>
            </w:pPr>
            <w:r>
              <w:rPr>
                <w:rFonts w:ascii="宋体" w:hAnsi="宋体" w:cs="宋体"/>
                <w:kern w:val="0"/>
                <w:sz w:val="24"/>
                <w:highlight w:val="none"/>
              </w:rPr>
              <w:t>39</w:t>
            </w:r>
          </w:p>
        </w:tc>
        <w:tc>
          <w:tcPr>
            <w:tcW w:w="1400" w:type="dxa"/>
            <w:vMerge w:val="restart"/>
            <w:tcBorders>
              <w:top w:val="nil"/>
              <w:left w:val="single" w:color="auto" w:sz="8" w:space="0"/>
              <w:bottom w:val="single" w:color="000000" w:sz="8" w:space="0"/>
              <w:right w:val="single" w:color="auto" w:sz="8" w:space="0"/>
            </w:tcBorders>
            <w:vAlign w:val="center"/>
          </w:tcPr>
          <w:p w14:paraId="4346CB24">
            <w:pPr>
              <w:widowControl/>
              <w:adjustRightInd/>
              <w:jc w:val="center"/>
              <w:rPr>
                <w:rFonts w:ascii="宋体" w:hAnsi="宋体" w:cs="宋体"/>
                <w:kern w:val="0"/>
                <w:sz w:val="24"/>
                <w:highlight w:val="none"/>
              </w:rPr>
            </w:pPr>
            <w:r>
              <w:rPr>
                <w:rFonts w:hint="eastAsia" w:ascii="宋体" w:hAnsi="宋体" w:cs="宋体"/>
                <w:kern w:val="0"/>
                <w:sz w:val="24"/>
                <w:highlight w:val="none"/>
              </w:rPr>
              <w:t>▲系统安全要求</w:t>
            </w:r>
          </w:p>
        </w:tc>
        <w:tc>
          <w:tcPr>
            <w:tcW w:w="1420" w:type="dxa"/>
            <w:tcBorders>
              <w:top w:val="nil"/>
              <w:left w:val="nil"/>
              <w:bottom w:val="single" w:color="auto" w:sz="8" w:space="0"/>
              <w:right w:val="single" w:color="auto" w:sz="8" w:space="0"/>
            </w:tcBorders>
            <w:vAlign w:val="center"/>
          </w:tcPr>
          <w:p w14:paraId="096F063A">
            <w:pPr>
              <w:widowControl/>
              <w:adjustRightInd/>
              <w:jc w:val="center"/>
              <w:rPr>
                <w:rFonts w:ascii="宋体" w:hAnsi="宋体" w:cs="宋体"/>
                <w:kern w:val="0"/>
                <w:sz w:val="24"/>
                <w:highlight w:val="none"/>
              </w:rPr>
            </w:pPr>
            <w:r>
              <w:rPr>
                <w:rFonts w:hint="eastAsia" w:ascii="宋体" w:hAnsi="宋体" w:cs="宋体"/>
                <w:kern w:val="0"/>
                <w:sz w:val="24"/>
                <w:highlight w:val="none"/>
              </w:rPr>
              <w:t>▲弱口令字典检查</w:t>
            </w:r>
          </w:p>
        </w:tc>
        <w:tc>
          <w:tcPr>
            <w:tcW w:w="5080" w:type="dxa"/>
            <w:tcBorders>
              <w:top w:val="nil"/>
              <w:left w:val="nil"/>
              <w:bottom w:val="single" w:color="auto" w:sz="8" w:space="0"/>
              <w:right w:val="single" w:color="auto" w:sz="8" w:space="0"/>
            </w:tcBorders>
            <w:vAlign w:val="center"/>
          </w:tcPr>
          <w:p w14:paraId="012B415D">
            <w:pPr>
              <w:widowControl/>
              <w:adjustRightInd/>
              <w:rPr>
                <w:rFonts w:ascii="宋体" w:hAnsi="宋体" w:cs="宋体"/>
                <w:kern w:val="0"/>
                <w:sz w:val="24"/>
                <w:highlight w:val="none"/>
              </w:rPr>
            </w:pPr>
            <w:r>
              <w:rPr>
                <w:rFonts w:hint="eastAsia" w:ascii="宋体" w:hAnsi="宋体" w:cs="宋体"/>
                <w:kern w:val="0"/>
                <w:sz w:val="24"/>
                <w:highlight w:val="none"/>
              </w:rPr>
              <w:t>支持弱口令字典检查功能，出现在弱口令字典中的字符串不能被设置为用户口令</w:t>
            </w:r>
          </w:p>
        </w:tc>
      </w:tr>
      <w:tr w14:paraId="5F868F82">
        <w:tblPrEx>
          <w:tblCellMar>
            <w:top w:w="0" w:type="dxa"/>
            <w:left w:w="108" w:type="dxa"/>
            <w:bottom w:w="0" w:type="dxa"/>
            <w:right w:w="108" w:type="dxa"/>
          </w:tblCellMar>
        </w:tblPrEx>
        <w:trPr>
          <w:trHeight w:val="636" w:hRule="atLeast"/>
        </w:trPr>
        <w:tc>
          <w:tcPr>
            <w:tcW w:w="960" w:type="dxa"/>
            <w:tcBorders>
              <w:top w:val="nil"/>
              <w:left w:val="single" w:color="auto" w:sz="8" w:space="0"/>
              <w:bottom w:val="single" w:color="auto" w:sz="8" w:space="0"/>
              <w:right w:val="single" w:color="auto" w:sz="8" w:space="0"/>
            </w:tcBorders>
            <w:vAlign w:val="center"/>
          </w:tcPr>
          <w:p w14:paraId="79F08EEA">
            <w:pPr>
              <w:widowControl/>
              <w:adjustRightInd/>
              <w:jc w:val="center"/>
              <w:rPr>
                <w:rFonts w:ascii="宋体" w:hAnsi="宋体" w:cs="宋体"/>
                <w:kern w:val="0"/>
                <w:sz w:val="24"/>
                <w:highlight w:val="none"/>
              </w:rPr>
            </w:pPr>
            <w:r>
              <w:rPr>
                <w:rFonts w:ascii="宋体" w:hAnsi="宋体" w:cs="宋体"/>
                <w:kern w:val="0"/>
                <w:sz w:val="24"/>
                <w:highlight w:val="none"/>
              </w:rPr>
              <w:t>40</w:t>
            </w:r>
          </w:p>
        </w:tc>
        <w:tc>
          <w:tcPr>
            <w:tcW w:w="1400" w:type="dxa"/>
            <w:vMerge w:val="continue"/>
            <w:tcBorders>
              <w:top w:val="nil"/>
              <w:left w:val="single" w:color="auto" w:sz="8" w:space="0"/>
              <w:bottom w:val="single" w:color="000000" w:sz="8" w:space="0"/>
              <w:right w:val="single" w:color="auto" w:sz="8" w:space="0"/>
            </w:tcBorders>
            <w:vAlign w:val="center"/>
          </w:tcPr>
          <w:p w14:paraId="2C96B291">
            <w:pPr>
              <w:widowControl/>
              <w:adjustRightInd/>
              <w:jc w:val="left"/>
              <w:rPr>
                <w:rFonts w:ascii="宋体" w:hAnsi="宋体" w:cs="宋体"/>
                <w:kern w:val="0"/>
                <w:sz w:val="24"/>
                <w:highlight w:val="none"/>
              </w:rPr>
            </w:pPr>
          </w:p>
        </w:tc>
        <w:tc>
          <w:tcPr>
            <w:tcW w:w="1420" w:type="dxa"/>
            <w:tcBorders>
              <w:top w:val="nil"/>
              <w:left w:val="nil"/>
              <w:bottom w:val="single" w:color="auto" w:sz="8" w:space="0"/>
              <w:right w:val="single" w:color="auto" w:sz="8" w:space="0"/>
            </w:tcBorders>
            <w:vAlign w:val="center"/>
          </w:tcPr>
          <w:p w14:paraId="4F5C6B02">
            <w:pPr>
              <w:widowControl/>
              <w:adjustRightInd/>
              <w:jc w:val="center"/>
              <w:rPr>
                <w:rFonts w:ascii="宋体" w:hAnsi="宋体" w:cs="宋体"/>
                <w:kern w:val="0"/>
                <w:sz w:val="24"/>
                <w:highlight w:val="none"/>
              </w:rPr>
            </w:pPr>
            <w:r>
              <w:rPr>
                <w:rFonts w:hint="eastAsia" w:ascii="宋体" w:hAnsi="宋体" w:cs="宋体"/>
                <w:kern w:val="0"/>
                <w:sz w:val="24"/>
                <w:highlight w:val="none"/>
              </w:rPr>
              <w:t>▲白名单访问控制</w:t>
            </w:r>
          </w:p>
        </w:tc>
        <w:tc>
          <w:tcPr>
            <w:tcW w:w="5080" w:type="dxa"/>
            <w:tcBorders>
              <w:top w:val="nil"/>
              <w:left w:val="nil"/>
              <w:bottom w:val="single" w:color="auto" w:sz="8" w:space="0"/>
              <w:right w:val="single" w:color="auto" w:sz="8" w:space="0"/>
            </w:tcBorders>
            <w:vAlign w:val="center"/>
          </w:tcPr>
          <w:p w14:paraId="59CFAEF8">
            <w:pPr>
              <w:widowControl/>
              <w:adjustRightInd/>
              <w:rPr>
                <w:rFonts w:ascii="宋体" w:hAnsi="宋体" w:cs="宋体"/>
                <w:kern w:val="0"/>
                <w:sz w:val="24"/>
                <w:highlight w:val="none"/>
              </w:rPr>
            </w:pPr>
            <w:r>
              <w:rPr>
                <w:rFonts w:hint="eastAsia" w:ascii="宋体" w:hAnsi="宋体" w:cs="宋体"/>
                <w:kern w:val="0"/>
                <w:sz w:val="24"/>
                <w:highlight w:val="none"/>
              </w:rPr>
              <w:t>支持基于时间、</w:t>
            </w:r>
            <w:r>
              <w:rPr>
                <w:rFonts w:ascii="宋体" w:hAnsi="宋体" w:cs="宋体"/>
                <w:kern w:val="0"/>
                <w:sz w:val="24"/>
                <w:highlight w:val="none"/>
              </w:rPr>
              <w:t xml:space="preserve">IP </w:t>
            </w:r>
            <w:r>
              <w:rPr>
                <w:rFonts w:hint="eastAsia" w:ascii="宋体" w:hAnsi="宋体" w:cs="宋体"/>
                <w:kern w:val="0"/>
                <w:sz w:val="24"/>
                <w:highlight w:val="none"/>
              </w:rPr>
              <w:t>或</w:t>
            </w:r>
            <w:r>
              <w:rPr>
                <w:rFonts w:ascii="宋体" w:hAnsi="宋体" w:cs="宋体"/>
                <w:kern w:val="0"/>
                <w:sz w:val="24"/>
                <w:highlight w:val="none"/>
              </w:rPr>
              <w:t xml:space="preserve"> MAC </w:t>
            </w:r>
            <w:r>
              <w:rPr>
                <w:rFonts w:hint="eastAsia" w:ascii="宋体" w:hAnsi="宋体" w:cs="宋体"/>
                <w:kern w:val="0"/>
                <w:sz w:val="24"/>
                <w:highlight w:val="none"/>
              </w:rPr>
              <w:t>白名单访问控制</w:t>
            </w:r>
          </w:p>
        </w:tc>
      </w:tr>
      <w:tr w14:paraId="3D3EA650">
        <w:tblPrEx>
          <w:tblCellMar>
            <w:top w:w="0" w:type="dxa"/>
            <w:left w:w="108" w:type="dxa"/>
            <w:bottom w:w="0" w:type="dxa"/>
            <w:right w:w="108" w:type="dxa"/>
          </w:tblCellMar>
        </w:tblPrEx>
        <w:trPr>
          <w:trHeight w:val="1260" w:hRule="atLeast"/>
        </w:trPr>
        <w:tc>
          <w:tcPr>
            <w:tcW w:w="960" w:type="dxa"/>
            <w:tcBorders>
              <w:top w:val="nil"/>
              <w:left w:val="single" w:color="auto" w:sz="8" w:space="0"/>
              <w:bottom w:val="single" w:color="auto" w:sz="8" w:space="0"/>
              <w:right w:val="single" w:color="auto" w:sz="8" w:space="0"/>
            </w:tcBorders>
            <w:vAlign w:val="center"/>
          </w:tcPr>
          <w:p w14:paraId="6C7C0418">
            <w:pPr>
              <w:widowControl/>
              <w:adjustRightInd/>
              <w:jc w:val="center"/>
              <w:rPr>
                <w:rFonts w:ascii="宋体" w:hAnsi="宋体" w:cs="宋体"/>
                <w:kern w:val="0"/>
                <w:sz w:val="24"/>
                <w:highlight w:val="none"/>
              </w:rPr>
            </w:pPr>
            <w:r>
              <w:rPr>
                <w:rFonts w:ascii="宋体" w:hAnsi="宋体" w:cs="宋体"/>
                <w:kern w:val="0"/>
                <w:sz w:val="24"/>
                <w:highlight w:val="none"/>
              </w:rPr>
              <w:t>41</w:t>
            </w:r>
          </w:p>
        </w:tc>
        <w:tc>
          <w:tcPr>
            <w:tcW w:w="1400" w:type="dxa"/>
            <w:vMerge w:val="continue"/>
            <w:tcBorders>
              <w:top w:val="nil"/>
              <w:left w:val="single" w:color="auto" w:sz="8" w:space="0"/>
              <w:bottom w:val="single" w:color="000000" w:sz="8" w:space="0"/>
              <w:right w:val="single" w:color="auto" w:sz="8" w:space="0"/>
            </w:tcBorders>
            <w:vAlign w:val="center"/>
          </w:tcPr>
          <w:p w14:paraId="5BA40926">
            <w:pPr>
              <w:widowControl/>
              <w:adjustRightInd/>
              <w:jc w:val="left"/>
              <w:rPr>
                <w:rFonts w:ascii="宋体" w:hAnsi="宋体" w:cs="宋体"/>
                <w:kern w:val="0"/>
                <w:sz w:val="24"/>
                <w:highlight w:val="none"/>
              </w:rPr>
            </w:pPr>
          </w:p>
        </w:tc>
        <w:tc>
          <w:tcPr>
            <w:tcW w:w="1420" w:type="dxa"/>
            <w:tcBorders>
              <w:top w:val="nil"/>
              <w:left w:val="nil"/>
              <w:bottom w:val="single" w:color="auto" w:sz="8" w:space="0"/>
              <w:right w:val="single" w:color="auto" w:sz="8" w:space="0"/>
            </w:tcBorders>
            <w:vAlign w:val="center"/>
          </w:tcPr>
          <w:p w14:paraId="111B269C">
            <w:pPr>
              <w:widowControl/>
              <w:adjustRightInd/>
              <w:jc w:val="center"/>
              <w:rPr>
                <w:rFonts w:ascii="宋体" w:hAnsi="宋体" w:cs="宋体"/>
                <w:kern w:val="0"/>
                <w:sz w:val="24"/>
                <w:highlight w:val="none"/>
              </w:rPr>
            </w:pPr>
            <w:r>
              <w:rPr>
                <w:rFonts w:hint="eastAsia" w:ascii="宋体" w:hAnsi="宋体" w:cs="宋体"/>
                <w:kern w:val="0"/>
                <w:sz w:val="24"/>
                <w:highlight w:val="none"/>
              </w:rPr>
              <w:t>▲二次鉴别</w:t>
            </w:r>
          </w:p>
        </w:tc>
        <w:tc>
          <w:tcPr>
            <w:tcW w:w="5080" w:type="dxa"/>
            <w:tcBorders>
              <w:top w:val="nil"/>
              <w:left w:val="nil"/>
              <w:bottom w:val="single" w:color="auto" w:sz="8" w:space="0"/>
              <w:right w:val="single" w:color="auto" w:sz="8" w:space="0"/>
            </w:tcBorders>
            <w:vAlign w:val="center"/>
          </w:tcPr>
          <w:p w14:paraId="2AAC2E56">
            <w:pPr>
              <w:widowControl/>
              <w:adjustRightInd/>
              <w:rPr>
                <w:rFonts w:ascii="宋体" w:hAnsi="宋体" w:cs="宋体"/>
                <w:kern w:val="0"/>
                <w:sz w:val="24"/>
                <w:highlight w:val="none"/>
              </w:rPr>
            </w:pPr>
            <w:r>
              <w:rPr>
                <w:rFonts w:hint="eastAsia" w:ascii="宋体" w:hAnsi="宋体" w:cs="宋体"/>
                <w:kern w:val="0"/>
                <w:sz w:val="24"/>
                <w:highlight w:val="none"/>
              </w:rPr>
              <w:t>支持二次鉴别功能。对于用户配置、权限配置、公钥导入等重要的管理操作，已登录用户应通过二次鉴别后，才能执行操作</w:t>
            </w:r>
          </w:p>
        </w:tc>
      </w:tr>
      <w:tr w14:paraId="500F640D">
        <w:tblPrEx>
          <w:tblCellMar>
            <w:top w:w="0" w:type="dxa"/>
            <w:left w:w="108" w:type="dxa"/>
            <w:bottom w:w="0" w:type="dxa"/>
            <w:right w:w="108" w:type="dxa"/>
          </w:tblCellMar>
        </w:tblPrEx>
        <w:trPr>
          <w:trHeight w:val="948" w:hRule="atLeast"/>
        </w:trPr>
        <w:tc>
          <w:tcPr>
            <w:tcW w:w="960" w:type="dxa"/>
            <w:tcBorders>
              <w:top w:val="nil"/>
              <w:left w:val="single" w:color="auto" w:sz="8" w:space="0"/>
              <w:bottom w:val="single" w:color="auto" w:sz="8" w:space="0"/>
              <w:right w:val="single" w:color="auto" w:sz="8" w:space="0"/>
            </w:tcBorders>
            <w:vAlign w:val="center"/>
          </w:tcPr>
          <w:p w14:paraId="18682521">
            <w:pPr>
              <w:widowControl/>
              <w:adjustRightInd/>
              <w:jc w:val="center"/>
              <w:rPr>
                <w:rFonts w:ascii="宋体" w:hAnsi="宋体" w:cs="宋体"/>
                <w:kern w:val="0"/>
                <w:sz w:val="24"/>
                <w:highlight w:val="none"/>
              </w:rPr>
            </w:pPr>
            <w:r>
              <w:rPr>
                <w:rFonts w:ascii="宋体" w:hAnsi="宋体" w:cs="宋体"/>
                <w:kern w:val="0"/>
                <w:sz w:val="24"/>
                <w:highlight w:val="none"/>
              </w:rPr>
              <w:t>42</w:t>
            </w:r>
          </w:p>
        </w:tc>
        <w:tc>
          <w:tcPr>
            <w:tcW w:w="1400" w:type="dxa"/>
            <w:vMerge w:val="continue"/>
            <w:tcBorders>
              <w:top w:val="nil"/>
              <w:left w:val="single" w:color="auto" w:sz="8" w:space="0"/>
              <w:bottom w:val="single" w:color="000000" w:sz="8" w:space="0"/>
              <w:right w:val="single" w:color="auto" w:sz="8" w:space="0"/>
            </w:tcBorders>
            <w:vAlign w:val="center"/>
          </w:tcPr>
          <w:p w14:paraId="0ECBA8E4">
            <w:pPr>
              <w:widowControl/>
              <w:adjustRightInd/>
              <w:jc w:val="left"/>
              <w:rPr>
                <w:rFonts w:ascii="宋体" w:hAnsi="宋体" w:cs="宋体"/>
                <w:kern w:val="0"/>
                <w:sz w:val="24"/>
                <w:highlight w:val="none"/>
              </w:rPr>
            </w:pPr>
          </w:p>
        </w:tc>
        <w:tc>
          <w:tcPr>
            <w:tcW w:w="1420" w:type="dxa"/>
            <w:tcBorders>
              <w:top w:val="nil"/>
              <w:left w:val="nil"/>
              <w:bottom w:val="single" w:color="auto" w:sz="8" w:space="0"/>
              <w:right w:val="single" w:color="auto" w:sz="8" w:space="0"/>
            </w:tcBorders>
            <w:vAlign w:val="center"/>
          </w:tcPr>
          <w:p w14:paraId="1DBBD7DA">
            <w:pPr>
              <w:widowControl/>
              <w:adjustRightInd/>
              <w:jc w:val="center"/>
              <w:rPr>
                <w:rFonts w:ascii="宋体" w:hAnsi="宋体" w:cs="宋体"/>
                <w:kern w:val="0"/>
                <w:sz w:val="24"/>
                <w:highlight w:val="none"/>
              </w:rPr>
            </w:pPr>
            <w:r>
              <w:rPr>
                <w:rFonts w:hint="eastAsia" w:ascii="宋体" w:hAnsi="宋体" w:cs="宋体"/>
                <w:kern w:val="0"/>
                <w:sz w:val="24"/>
                <w:highlight w:val="none"/>
              </w:rPr>
              <w:t>▲密码证书安全加密存储</w:t>
            </w:r>
          </w:p>
        </w:tc>
        <w:tc>
          <w:tcPr>
            <w:tcW w:w="5080" w:type="dxa"/>
            <w:tcBorders>
              <w:top w:val="nil"/>
              <w:left w:val="nil"/>
              <w:bottom w:val="single" w:color="auto" w:sz="8" w:space="0"/>
              <w:right w:val="single" w:color="auto" w:sz="8" w:space="0"/>
            </w:tcBorders>
            <w:vAlign w:val="center"/>
          </w:tcPr>
          <w:p w14:paraId="51C80E43">
            <w:pPr>
              <w:widowControl/>
              <w:adjustRightInd/>
              <w:rPr>
                <w:rFonts w:ascii="宋体" w:hAnsi="宋体" w:cs="宋体"/>
                <w:kern w:val="0"/>
                <w:sz w:val="24"/>
                <w:highlight w:val="none"/>
              </w:rPr>
            </w:pPr>
            <w:r>
              <w:rPr>
                <w:rFonts w:hint="eastAsia" w:ascii="宋体" w:hAnsi="宋体" w:cs="宋体"/>
                <w:kern w:val="0"/>
                <w:sz w:val="24"/>
                <w:highlight w:val="none"/>
              </w:rPr>
              <w:t>支持对带外管理系统中的用户口令和证书等敏感信息进行加密存储，禁止使用私有的和业界已知不安全的密码算法</w:t>
            </w:r>
          </w:p>
        </w:tc>
      </w:tr>
      <w:tr w14:paraId="30AE2096">
        <w:tblPrEx>
          <w:tblCellMar>
            <w:top w:w="0" w:type="dxa"/>
            <w:left w:w="108" w:type="dxa"/>
            <w:bottom w:w="0" w:type="dxa"/>
            <w:right w:w="108" w:type="dxa"/>
          </w:tblCellMar>
        </w:tblPrEx>
        <w:trPr>
          <w:trHeight w:val="948" w:hRule="atLeast"/>
        </w:trPr>
        <w:tc>
          <w:tcPr>
            <w:tcW w:w="960" w:type="dxa"/>
            <w:tcBorders>
              <w:top w:val="nil"/>
              <w:left w:val="single" w:color="auto" w:sz="8" w:space="0"/>
              <w:bottom w:val="single" w:color="auto" w:sz="8" w:space="0"/>
              <w:right w:val="single" w:color="auto" w:sz="8" w:space="0"/>
            </w:tcBorders>
            <w:vAlign w:val="center"/>
          </w:tcPr>
          <w:p w14:paraId="042FE33E">
            <w:pPr>
              <w:widowControl/>
              <w:adjustRightInd/>
              <w:jc w:val="center"/>
              <w:rPr>
                <w:rFonts w:ascii="宋体" w:hAnsi="宋体" w:cs="宋体"/>
                <w:kern w:val="0"/>
                <w:sz w:val="24"/>
                <w:highlight w:val="none"/>
              </w:rPr>
            </w:pPr>
            <w:r>
              <w:rPr>
                <w:rFonts w:ascii="宋体" w:hAnsi="宋体" w:cs="宋体"/>
                <w:kern w:val="0"/>
                <w:sz w:val="24"/>
                <w:highlight w:val="none"/>
              </w:rPr>
              <w:t>43</w:t>
            </w:r>
          </w:p>
        </w:tc>
        <w:tc>
          <w:tcPr>
            <w:tcW w:w="1400" w:type="dxa"/>
            <w:vMerge w:val="continue"/>
            <w:tcBorders>
              <w:top w:val="nil"/>
              <w:left w:val="single" w:color="auto" w:sz="8" w:space="0"/>
              <w:bottom w:val="single" w:color="000000" w:sz="8" w:space="0"/>
              <w:right w:val="single" w:color="auto" w:sz="8" w:space="0"/>
            </w:tcBorders>
            <w:vAlign w:val="center"/>
          </w:tcPr>
          <w:p w14:paraId="3934F37D">
            <w:pPr>
              <w:widowControl/>
              <w:adjustRightInd/>
              <w:jc w:val="left"/>
              <w:rPr>
                <w:rFonts w:ascii="宋体" w:hAnsi="宋体" w:cs="宋体"/>
                <w:kern w:val="0"/>
                <w:sz w:val="24"/>
                <w:highlight w:val="none"/>
              </w:rPr>
            </w:pPr>
          </w:p>
        </w:tc>
        <w:tc>
          <w:tcPr>
            <w:tcW w:w="1420" w:type="dxa"/>
            <w:tcBorders>
              <w:top w:val="nil"/>
              <w:left w:val="nil"/>
              <w:bottom w:val="single" w:color="auto" w:sz="8" w:space="0"/>
              <w:right w:val="single" w:color="auto" w:sz="8" w:space="0"/>
            </w:tcBorders>
            <w:vAlign w:val="center"/>
          </w:tcPr>
          <w:p w14:paraId="466788D7">
            <w:pPr>
              <w:widowControl/>
              <w:adjustRightInd/>
              <w:jc w:val="center"/>
              <w:rPr>
                <w:rFonts w:ascii="宋体" w:hAnsi="宋体" w:cs="宋体"/>
                <w:kern w:val="0"/>
                <w:sz w:val="24"/>
                <w:highlight w:val="none"/>
              </w:rPr>
            </w:pPr>
            <w:r>
              <w:rPr>
                <w:rFonts w:hint="eastAsia" w:ascii="宋体" w:hAnsi="宋体" w:cs="宋体"/>
                <w:kern w:val="0"/>
                <w:sz w:val="24"/>
                <w:highlight w:val="none"/>
              </w:rPr>
              <w:t>▲敏感信息安全加密传输</w:t>
            </w:r>
          </w:p>
        </w:tc>
        <w:tc>
          <w:tcPr>
            <w:tcW w:w="5080" w:type="dxa"/>
            <w:tcBorders>
              <w:top w:val="nil"/>
              <w:left w:val="nil"/>
              <w:bottom w:val="single" w:color="auto" w:sz="8" w:space="0"/>
              <w:right w:val="single" w:color="auto" w:sz="8" w:space="0"/>
            </w:tcBorders>
            <w:vAlign w:val="center"/>
          </w:tcPr>
          <w:p w14:paraId="4F8E1995">
            <w:pPr>
              <w:widowControl/>
              <w:adjustRightInd/>
              <w:rPr>
                <w:rFonts w:ascii="宋体" w:hAnsi="宋体" w:cs="宋体"/>
                <w:kern w:val="0"/>
                <w:sz w:val="24"/>
                <w:highlight w:val="none"/>
              </w:rPr>
            </w:pPr>
            <w:r>
              <w:rPr>
                <w:rFonts w:hint="eastAsia" w:ascii="宋体" w:hAnsi="宋体" w:cs="宋体"/>
                <w:kern w:val="0"/>
                <w:sz w:val="24"/>
                <w:highlight w:val="none"/>
              </w:rPr>
              <w:t>支持使用安全的传输加密协议（如</w:t>
            </w:r>
            <w:r>
              <w:rPr>
                <w:rFonts w:ascii="宋体" w:hAnsi="宋体" w:cs="宋体"/>
                <w:kern w:val="0"/>
                <w:sz w:val="24"/>
                <w:highlight w:val="none"/>
              </w:rPr>
              <w:t xml:space="preserve">SSH </w:t>
            </w:r>
            <w:r>
              <w:rPr>
                <w:rFonts w:hint="eastAsia" w:ascii="宋体" w:hAnsi="宋体" w:cs="宋体"/>
                <w:kern w:val="0"/>
                <w:sz w:val="24"/>
                <w:highlight w:val="none"/>
              </w:rPr>
              <w:t>或</w:t>
            </w:r>
            <w:r>
              <w:rPr>
                <w:rFonts w:ascii="宋体" w:hAnsi="宋体" w:cs="宋体"/>
                <w:kern w:val="0"/>
                <w:sz w:val="24"/>
                <w:highlight w:val="none"/>
              </w:rPr>
              <w:t xml:space="preserve"> HTTPS </w:t>
            </w:r>
            <w:r>
              <w:rPr>
                <w:rFonts w:hint="eastAsia" w:ascii="宋体" w:hAnsi="宋体" w:cs="宋体"/>
                <w:kern w:val="0"/>
                <w:sz w:val="24"/>
                <w:highlight w:val="none"/>
              </w:rPr>
              <w:t>等）传输用户的敏感信息</w:t>
            </w:r>
          </w:p>
        </w:tc>
      </w:tr>
      <w:tr w14:paraId="6FC35C7A">
        <w:tblPrEx>
          <w:tblCellMar>
            <w:top w:w="0" w:type="dxa"/>
            <w:left w:w="108" w:type="dxa"/>
            <w:bottom w:w="0" w:type="dxa"/>
            <w:right w:w="108" w:type="dxa"/>
          </w:tblCellMar>
        </w:tblPrEx>
        <w:trPr>
          <w:trHeight w:val="1680" w:hRule="atLeast"/>
        </w:trPr>
        <w:tc>
          <w:tcPr>
            <w:tcW w:w="960" w:type="dxa"/>
            <w:tcBorders>
              <w:top w:val="nil"/>
              <w:left w:val="single" w:color="auto" w:sz="8" w:space="0"/>
              <w:bottom w:val="single" w:color="000000" w:sz="8" w:space="0"/>
              <w:right w:val="single" w:color="auto" w:sz="8" w:space="0"/>
            </w:tcBorders>
            <w:vAlign w:val="center"/>
          </w:tcPr>
          <w:p w14:paraId="28189B19">
            <w:pPr>
              <w:widowControl/>
              <w:adjustRightInd/>
              <w:jc w:val="center"/>
              <w:rPr>
                <w:rFonts w:ascii="宋体" w:hAnsi="宋体" w:cs="宋体"/>
                <w:kern w:val="0"/>
                <w:sz w:val="24"/>
                <w:highlight w:val="none"/>
              </w:rPr>
            </w:pPr>
            <w:r>
              <w:rPr>
                <w:rFonts w:ascii="宋体" w:hAnsi="宋体" w:cs="宋体"/>
                <w:kern w:val="0"/>
                <w:sz w:val="24"/>
                <w:highlight w:val="none"/>
              </w:rPr>
              <w:t>44</w:t>
            </w:r>
          </w:p>
        </w:tc>
        <w:tc>
          <w:tcPr>
            <w:tcW w:w="1400" w:type="dxa"/>
            <w:tcBorders>
              <w:top w:val="nil"/>
              <w:left w:val="single" w:color="auto" w:sz="8" w:space="0"/>
              <w:bottom w:val="single" w:color="000000" w:sz="8" w:space="0"/>
              <w:right w:val="single" w:color="auto" w:sz="8" w:space="0"/>
            </w:tcBorders>
            <w:vAlign w:val="center"/>
          </w:tcPr>
          <w:p w14:paraId="46702824">
            <w:pPr>
              <w:widowControl/>
              <w:adjustRightInd/>
              <w:jc w:val="center"/>
              <w:rPr>
                <w:rFonts w:ascii="宋体" w:hAnsi="宋体" w:cs="宋体"/>
                <w:kern w:val="0"/>
                <w:sz w:val="24"/>
                <w:highlight w:val="none"/>
              </w:rPr>
            </w:pPr>
            <w:r>
              <w:rPr>
                <w:rFonts w:hint="eastAsia" w:ascii="宋体" w:hAnsi="宋体" w:cs="宋体"/>
                <w:kern w:val="0"/>
                <w:sz w:val="24"/>
                <w:highlight w:val="none"/>
              </w:rPr>
              <w:t>▲信息安全要求</w:t>
            </w:r>
          </w:p>
        </w:tc>
        <w:tc>
          <w:tcPr>
            <w:tcW w:w="1420" w:type="dxa"/>
            <w:tcBorders>
              <w:top w:val="nil"/>
              <w:left w:val="single" w:color="auto" w:sz="8" w:space="0"/>
              <w:bottom w:val="single" w:color="000000" w:sz="8" w:space="0"/>
              <w:right w:val="single" w:color="auto" w:sz="8" w:space="0"/>
            </w:tcBorders>
            <w:vAlign w:val="center"/>
          </w:tcPr>
          <w:p w14:paraId="3713AF75">
            <w:pPr>
              <w:widowControl/>
              <w:adjustRightInd/>
              <w:jc w:val="center"/>
              <w:rPr>
                <w:rFonts w:ascii="宋体" w:hAnsi="宋体" w:cs="宋体"/>
                <w:kern w:val="0"/>
                <w:sz w:val="24"/>
                <w:highlight w:val="none"/>
              </w:rPr>
            </w:pPr>
            <w:r>
              <w:rPr>
                <w:rFonts w:hint="eastAsia" w:ascii="宋体" w:hAnsi="宋体" w:cs="宋体"/>
                <w:kern w:val="0"/>
                <w:sz w:val="24"/>
                <w:highlight w:val="none"/>
              </w:rPr>
              <w:t>▲研发过程安全</w:t>
            </w:r>
          </w:p>
        </w:tc>
        <w:tc>
          <w:tcPr>
            <w:tcW w:w="5080" w:type="dxa"/>
            <w:tcBorders>
              <w:top w:val="nil"/>
              <w:left w:val="nil"/>
              <w:bottom w:val="single" w:color="auto" w:sz="8" w:space="0"/>
              <w:right w:val="single" w:color="auto" w:sz="8" w:space="0"/>
            </w:tcBorders>
            <w:vAlign w:val="center"/>
          </w:tcPr>
          <w:p w14:paraId="04748A59">
            <w:pPr>
              <w:widowControl/>
              <w:adjustRightInd/>
              <w:rPr>
                <w:rFonts w:ascii="宋体" w:hAnsi="宋体" w:cs="宋体"/>
                <w:kern w:val="0"/>
                <w:sz w:val="24"/>
                <w:highlight w:val="none"/>
              </w:rPr>
            </w:pPr>
            <w:r>
              <w:rPr>
                <w:rFonts w:hint="eastAsia" w:ascii="宋体" w:hAnsi="宋体" w:cs="宋体"/>
                <w:kern w:val="0"/>
                <w:sz w:val="24"/>
                <w:highlight w:val="none"/>
              </w:rPr>
              <w:t>供应商承诺，生产商已建立从需求、设计、开发、测试、维护端到端的开发流程管理机制，输出和保存开发流程中每个阶段的产品需求清单、设计文档、开发文档、测试记录等材料，保证各个流程可追溯；</w:t>
            </w:r>
          </w:p>
        </w:tc>
      </w:tr>
      <w:tr w14:paraId="19A5B376">
        <w:tblPrEx>
          <w:tblCellMar>
            <w:top w:w="0" w:type="dxa"/>
            <w:left w:w="108" w:type="dxa"/>
            <w:bottom w:w="0" w:type="dxa"/>
            <w:right w:w="108" w:type="dxa"/>
          </w:tblCellMar>
        </w:tblPrEx>
        <w:trPr>
          <w:trHeight w:val="324" w:hRule="atLeast"/>
        </w:trPr>
        <w:tc>
          <w:tcPr>
            <w:tcW w:w="960" w:type="dxa"/>
            <w:tcBorders>
              <w:top w:val="nil"/>
              <w:left w:val="single" w:color="auto" w:sz="8" w:space="0"/>
              <w:bottom w:val="single" w:color="auto" w:sz="8" w:space="0"/>
              <w:right w:val="single" w:color="auto" w:sz="8" w:space="0"/>
            </w:tcBorders>
            <w:vAlign w:val="center"/>
          </w:tcPr>
          <w:p w14:paraId="44882DB5">
            <w:pPr>
              <w:widowControl/>
              <w:adjustRightInd/>
              <w:jc w:val="center"/>
              <w:rPr>
                <w:rFonts w:ascii="宋体" w:hAnsi="宋体" w:cs="宋体"/>
                <w:kern w:val="0"/>
                <w:sz w:val="24"/>
                <w:highlight w:val="none"/>
              </w:rPr>
            </w:pPr>
            <w:r>
              <w:rPr>
                <w:rFonts w:ascii="宋体" w:hAnsi="宋体" w:cs="宋体"/>
                <w:kern w:val="0"/>
                <w:sz w:val="24"/>
                <w:highlight w:val="none"/>
              </w:rPr>
              <w:t>45</w:t>
            </w:r>
          </w:p>
        </w:tc>
        <w:tc>
          <w:tcPr>
            <w:tcW w:w="1400" w:type="dxa"/>
            <w:tcBorders>
              <w:top w:val="nil"/>
              <w:left w:val="nil"/>
              <w:bottom w:val="single" w:color="auto" w:sz="8" w:space="0"/>
              <w:right w:val="single" w:color="auto" w:sz="8" w:space="0"/>
            </w:tcBorders>
            <w:vAlign w:val="center"/>
          </w:tcPr>
          <w:p w14:paraId="2F7EB287">
            <w:pPr>
              <w:widowControl/>
              <w:adjustRightInd/>
              <w:jc w:val="center"/>
              <w:rPr>
                <w:rFonts w:ascii="宋体" w:hAnsi="宋体" w:cs="宋体"/>
                <w:kern w:val="0"/>
                <w:sz w:val="24"/>
                <w:highlight w:val="none"/>
              </w:rPr>
            </w:pPr>
            <w:r>
              <w:rPr>
                <w:rFonts w:hint="eastAsia" w:ascii="宋体" w:hAnsi="宋体" w:cs="宋体"/>
                <w:kern w:val="0"/>
                <w:sz w:val="24"/>
                <w:highlight w:val="none"/>
              </w:rPr>
              <w:t>▲物理安全</w:t>
            </w:r>
          </w:p>
        </w:tc>
        <w:tc>
          <w:tcPr>
            <w:tcW w:w="1420" w:type="dxa"/>
            <w:tcBorders>
              <w:top w:val="nil"/>
              <w:left w:val="nil"/>
              <w:bottom w:val="single" w:color="auto" w:sz="8" w:space="0"/>
              <w:right w:val="single" w:color="auto" w:sz="8" w:space="0"/>
            </w:tcBorders>
            <w:vAlign w:val="center"/>
          </w:tcPr>
          <w:p w14:paraId="5976F40E">
            <w:pPr>
              <w:widowControl/>
              <w:adjustRightInd/>
              <w:jc w:val="center"/>
              <w:rPr>
                <w:rFonts w:ascii="宋体" w:hAnsi="宋体" w:cs="宋体"/>
                <w:kern w:val="0"/>
                <w:sz w:val="24"/>
                <w:highlight w:val="none"/>
              </w:rPr>
            </w:pPr>
            <w:r>
              <w:rPr>
                <w:rFonts w:hint="eastAsia" w:ascii="宋体" w:hAnsi="宋体" w:cs="宋体"/>
                <w:kern w:val="0"/>
                <w:sz w:val="24"/>
                <w:highlight w:val="none"/>
              </w:rPr>
              <w:t>▲物理安全</w:t>
            </w:r>
          </w:p>
        </w:tc>
        <w:tc>
          <w:tcPr>
            <w:tcW w:w="5080" w:type="dxa"/>
            <w:tcBorders>
              <w:top w:val="nil"/>
              <w:left w:val="nil"/>
              <w:bottom w:val="single" w:color="auto" w:sz="8" w:space="0"/>
              <w:right w:val="single" w:color="auto" w:sz="8" w:space="0"/>
            </w:tcBorders>
            <w:vAlign w:val="center"/>
          </w:tcPr>
          <w:p w14:paraId="3386A1A2">
            <w:pPr>
              <w:widowControl/>
              <w:adjustRightInd/>
              <w:rPr>
                <w:rFonts w:ascii="宋体" w:hAnsi="宋体" w:cs="宋体"/>
                <w:kern w:val="0"/>
                <w:sz w:val="24"/>
                <w:highlight w:val="none"/>
              </w:rPr>
            </w:pPr>
            <w:r>
              <w:rPr>
                <w:rFonts w:hint="eastAsia" w:ascii="宋体" w:hAnsi="宋体" w:cs="宋体"/>
                <w:kern w:val="0"/>
                <w:sz w:val="24"/>
                <w:highlight w:val="none"/>
              </w:rPr>
              <w:t>安全要求应符合</w:t>
            </w:r>
            <w:r>
              <w:rPr>
                <w:rFonts w:ascii="宋体" w:hAnsi="宋体" w:cs="宋体"/>
                <w:kern w:val="0"/>
                <w:sz w:val="24"/>
                <w:highlight w:val="none"/>
              </w:rPr>
              <w:t xml:space="preserve"> GB 4943.1 </w:t>
            </w:r>
            <w:r>
              <w:rPr>
                <w:rFonts w:hint="eastAsia" w:ascii="宋体" w:hAnsi="宋体" w:cs="宋体"/>
                <w:kern w:val="0"/>
                <w:sz w:val="24"/>
                <w:highlight w:val="none"/>
              </w:rPr>
              <w:t>的规定</w:t>
            </w:r>
          </w:p>
        </w:tc>
      </w:tr>
      <w:tr w14:paraId="66A42352">
        <w:tblPrEx>
          <w:tblCellMar>
            <w:top w:w="0" w:type="dxa"/>
            <w:left w:w="108" w:type="dxa"/>
            <w:bottom w:w="0" w:type="dxa"/>
            <w:right w:w="108" w:type="dxa"/>
          </w:tblCellMar>
        </w:tblPrEx>
        <w:trPr>
          <w:trHeight w:val="636" w:hRule="atLeast"/>
        </w:trPr>
        <w:tc>
          <w:tcPr>
            <w:tcW w:w="960" w:type="dxa"/>
            <w:tcBorders>
              <w:top w:val="nil"/>
              <w:left w:val="single" w:color="auto" w:sz="8" w:space="0"/>
              <w:bottom w:val="single" w:color="auto" w:sz="8" w:space="0"/>
              <w:right w:val="single" w:color="auto" w:sz="8" w:space="0"/>
            </w:tcBorders>
            <w:vAlign w:val="center"/>
          </w:tcPr>
          <w:p w14:paraId="054F0434">
            <w:pPr>
              <w:widowControl/>
              <w:adjustRightInd/>
              <w:jc w:val="center"/>
              <w:rPr>
                <w:rFonts w:ascii="宋体" w:hAnsi="宋体" w:cs="宋体"/>
                <w:kern w:val="0"/>
                <w:sz w:val="24"/>
                <w:highlight w:val="none"/>
              </w:rPr>
            </w:pPr>
            <w:r>
              <w:rPr>
                <w:rFonts w:ascii="宋体" w:hAnsi="宋体" w:cs="宋体"/>
                <w:kern w:val="0"/>
                <w:sz w:val="24"/>
                <w:highlight w:val="none"/>
              </w:rPr>
              <w:t>46</w:t>
            </w:r>
          </w:p>
        </w:tc>
        <w:tc>
          <w:tcPr>
            <w:tcW w:w="1400" w:type="dxa"/>
            <w:tcBorders>
              <w:top w:val="nil"/>
              <w:left w:val="nil"/>
              <w:bottom w:val="single" w:color="auto" w:sz="8" w:space="0"/>
              <w:right w:val="single" w:color="auto" w:sz="8" w:space="0"/>
            </w:tcBorders>
            <w:vAlign w:val="center"/>
          </w:tcPr>
          <w:p w14:paraId="561C9ED2">
            <w:pPr>
              <w:widowControl/>
              <w:adjustRightInd/>
              <w:jc w:val="center"/>
              <w:rPr>
                <w:rFonts w:ascii="宋体" w:hAnsi="宋体" w:cs="宋体"/>
                <w:kern w:val="0"/>
                <w:sz w:val="24"/>
                <w:highlight w:val="none"/>
              </w:rPr>
            </w:pPr>
            <w:r>
              <w:rPr>
                <w:rFonts w:hint="eastAsia" w:ascii="宋体" w:hAnsi="宋体" w:cs="宋体"/>
                <w:kern w:val="0"/>
                <w:sz w:val="24"/>
                <w:highlight w:val="none"/>
              </w:rPr>
              <w:t>▲限用物质的限量要求</w:t>
            </w:r>
          </w:p>
        </w:tc>
        <w:tc>
          <w:tcPr>
            <w:tcW w:w="1420" w:type="dxa"/>
            <w:tcBorders>
              <w:top w:val="nil"/>
              <w:left w:val="nil"/>
              <w:bottom w:val="single" w:color="auto" w:sz="8" w:space="0"/>
              <w:right w:val="single" w:color="auto" w:sz="8" w:space="0"/>
            </w:tcBorders>
            <w:vAlign w:val="center"/>
          </w:tcPr>
          <w:p w14:paraId="4286FD71">
            <w:pPr>
              <w:widowControl/>
              <w:adjustRightInd/>
              <w:jc w:val="center"/>
              <w:rPr>
                <w:rFonts w:ascii="宋体" w:hAnsi="宋体" w:cs="宋体"/>
                <w:kern w:val="0"/>
                <w:sz w:val="24"/>
                <w:highlight w:val="none"/>
              </w:rPr>
            </w:pPr>
            <w:r>
              <w:rPr>
                <w:rFonts w:hint="eastAsia" w:ascii="宋体" w:hAnsi="宋体" w:cs="宋体"/>
                <w:kern w:val="0"/>
                <w:sz w:val="24"/>
                <w:highlight w:val="none"/>
              </w:rPr>
              <w:t>▲限用物质的限量要求</w:t>
            </w:r>
          </w:p>
        </w:tc>
        <w:tc>
          <w:tcPr>
            <w:tcW w:w="5080" w:type="dxa"/>
            <w:tcBorders>
              <w:top w:val="nil"/>
              <w:left w:val="nil"/>
              <w:bottom w:val="single" w:color="auto" w:sz="8" w:space="0"/>
              <w:right w:val="single" w:color="auto" w:sz="8" w:space="0"/>
            </w:tcBorders>
            <w:vAlign w:val="center"/>
          </w:tcPr>
          <w:p w14:paraId="2E3B5866">
            <w:pPr>
              <w:widowControl/>
              <w:adjustRightInd/>
              <w:rPr>
                <w:rFonts w:ascii="宋体" w:hAnsi="宋体" w:cs="宋体"/>
                <w:kern w:val="0"/>
                <w:sz w:val="24"/>
                <w:highlight w:val="none"/>
              </w:rPr>
            </w:pPr>
            <w:r>
              <w:rPr>
                <w:rFonts w:hint="eastAsia" w:ascii="宋体" w:hAnsi="宋体" w:cs="宋体"/>
                <w:kern w:val="0"/>
                <w:sz w:val="24"/>
                <w:highlight w:val="none"/>
              </w:rPr>
              <w:t>限用物质的限量应符合</w:t>
            </w:r>
            <w:r>
              <w:rPr>
                <w:rFonts w:ascii="宋体" w:hAnsi="宋体" w:cs="宋体"/>
                <w:kern w:val="0"/>
                <w:sz w:val="24"/>
                <w:highlight w:val="none"/>
              </w:rPr>
              <w:t xml:space="preserve"> GB/T 26572的要求</w:t>
            </w:r>
          </w:p>
        </w:tc>
      </w:tr>
      <w:tr w14:paraId="3CB13B31">
        <w:tblPrEx>
          <w:tblCellMar>
            <w:top w:w="0" w:type="dxa"/>
            <w:left w:w="108" w:type="dxa"/>
            <w:bottom w:w="0" w:type="dxa"/>
            <w:right w:w="108" w:type="dxa"/>
          </w:tblCellMar>
        </w:tblPrEx>
        <w:trPr>
          <w:trHeight w:val="324" w:hRule="atLeast"/>
        </w:trPr>
        <w:tc>
          <w:tcPr>
            <w:tcW w:w="960" w:type="dxa"/>
            <w:tcBorders>
              <w:top w:val="nil"/>
              <w:left w:val="single" w:color="auto" w:sz="8" w:space="0"/>
              <w:bottom w:val="single" w:color="auto" w:sz="8" w:space="0"/>
              <w:right w:val="single" w:color="auto" w:sz="8" w:space="0"/>
            </w:tcBorders>
            <w:vAlign w:val="center"/>
          </w:tcPr>
          <w:p w14:paraId="10B702F1">
            <w:pPr>
              <w:widowControl/>
              <w:adjustRightInd/>
              <w:jc w:val="center"/>
              <w:rPr>
                <w:rFonts w:ascii="宋体" w:hAnsi="宋体" w:cs="宋体"/>
                <w:kern w:val="0"/>
                <w:sz w:val="24"/>
                <w:highlight w:val="none"/>
              </w:rPr>
            </w:pPr>
            <w:r>
              <w:rPr>
                <w:rFonts w:ascii="宋体" w:hAnsi="宋体" w:cs="宋体"/>
                <w:kern w:val="0"/>
                <w:sz w:val="24"/>
                <w:highlight w:val="none"/>
              </w:rPr>
              <w:t>47</w:t>
            </w:r>
          </w:p>
        </w:tc>
        <w:tc>
          <w:tcPr>
            <w:tcW w:w="1400" w:type="dxa"/>
            <w:vMerge w:val="restart"/>
            <w:tcBorders>
              <w:top w:val="nil"/>
              <w:left w:val="single" w:color="auto" w:sz="8" w:space="0"/>
              <w:bottom w:val="single" w:color="000000" w:sz="8" w:space="0"/>
              <w:right w:val="single" w:color="auto" w:sz="8" w:space="0"/>
            </w:tcBorders>
            <w:vAlign w:val="center"/>
          </w:tcPr>
          <w:p w14:paraId="0CF81A8C">
            <w:pPr>
              <w:widowControl/>
              <w:adjustRightInd/>
              <w:jc w:val="center"/>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CPU性能</w:t>
            </w:r>
          </w:p>
        </w:tc>
        <w:tc>
          <w:tcPr>
            <w:tcW w:w="1420" w:type="dxa"/>
            <w:tcBorders>
              <w:top w:val="nil"/>
              <w:left w:val="nil"/>
              <w:bottom w:val="single" w:color="auto" w:sz="8" w:space="0"/>
              <w:right w:val="single" w:color="auto" w:sz="8" w:space="0"/>
            </w:tcBorders>
            <w:vAlign w:val="center"/>
          </w:tcPr>
          <w:p w14:paraId="1F125467">
            <w:pPr>
              <w:widowControl/>
              <w:adjustRightInd/>
              <w:jc w:val="center"/>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 xml:space="preserve">CPU </w:t>
            </w:r>
            <w:r>
              <w:rPr>
                <w:rFonts w:hint="eastAsia" w:ascii="宋体" w:hAnsi="宋体" w:cs="宋体"/>
                <w:kern w:val="0"/>
                <w:sz w:val="24"/>
                <w:highlight w:val="none"/>
              </w:rPr>
              <w:t>主频</w:t>
            </w:r>
          </w:p>
        </w:tc>
        <w:tc>
          <w:tcPr>
            <w:tcW w:w="5080" w:type="dxa"/>
            <w:tcBorders>
              <w:top w:val="nil"/>
              <w:left w:val="nil"/>
              <w:bottom w:val="single" w:color="auto" w:sz="8" w:space="0"/>
              <w:right w:val="single" w:color="auto" w:sz="8" w:space="0"/>
            </w:tcBorders>
            <w:vAlign w:val="center"/>
          </w:tcPr>
          <w:p w14:paraId="0345D430">
            <w:pPr>
              <w:widowControl/>
              <w:adjustRightInd/>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2.2GHz</w:t>
            </w:r>
          </w:p>
        </w:tc>
      </w:tr>
      <w:tr w14:paraId="64FF87AF">
        <w:tblPrEx>
          <w:tblCellMar>
            <w:top w:w="0" w:type="dxa"/>
            <w:left w:w="108" w:type="dxa"/>
            <w:bottom w:w="0" w:type="dxa"/>
            <w:right w:w="108" w:type="dxa"/>
          </w:tblCellMar>
        </w:tblPrEx>
        <w:trPr>
          <w:trHeight w:val="636" w:hRule="atLeast"/>
        </w:trPr>
        <w:tc>
          <w:tcPr>
            <w:tcW w:w="960" w:type="dxa"/>
            <w:tcBorders>
              <w:top w:val="nil"/>
              <w:left w:val="single" w:color="auto" w:sz="8" w:space="0"/>
              <w:bottom w:val="single" w:color="auto" w:sz="8" w:space="0"/>
              <w:right w:val="single" w:color="auto" w:sz="8" w:space="0"/>
            </w:tcBorders>
            <w:vAlign w:val="center"/>
          </w:tcPr>
          <w:p w14:paraId="6420A0E9">
            <w:pPr>
              <w:widowControl/>
              <w:adjustRightInd/>
              <w:jc w:val="center"/>
              <w:rPr>
                <w:rFonts w:ascii="宋体" w:hAnsi="宋体" w:cs="宋体"/>
                <w:kern w:val="0"/>
                <w:sz w:val="24"/>
                <w:highlight w:val="none"/>
              </w:rPr>
            </w:pPr>
            <w:r>
              <w:rPr>
                <w:rFonts w:ascii="宋体" w:hAnsi="宋体" w:cs="宋体"/>
                <w:kern w:val="0"/>
                <w:sz w:val="24"/>
                <w:highlight w:val="none"/>
              </w:rPr>
              <w:t>48</w:t>
            </w:r>
          </w:p>
        </w:tc>
        <w:tc>
          <w:tcPr>
            <w:tcW w:w="1400" w:type="dxa"/>
            <w:vMerge w:val="continue"/>
            <w:tcBorders>
              <w:top w:val="nil"/>
              <w:left w:val="single" w:color="auto" w:sz="8" w:space="0"/>
              <w:bottom w:val="single" w:color="000000" w:sz="8" w:space="0"/>
              <w:right w:val="single" w:color="auto" w:sz="8" w:space="0"/>
            </w:tcBorders>
            <w:vAlign w:val="center"/>
          </w:tcPr>
          <w:p w14:paraId="29187DAB">
            <w:pPr>
              <w:widowControl/>
              <w:adjustRightInd/>
              <w:jc w:val="left"/>
              <w:rPr>
                <w:rFonts w:ascii="宋体" w:hAnsi="宋体" w:cs="宋体"/>
                <w:kern w:val="0"/>
                <w:sz w:val="24"/>
                <w:highlight w:val="none"/>
              </w:rPr>
            </w:pPr>
          </w:p>
        </w:tc>
        <w:tc>
          <w:tcPr>
            <w:tcW w:w="1420" w:type="dxa"/>
            <w:tcBorders>
              <w:top w:val="nil"/>
              <w:left w:val="nil"/>
              <w:bottom w:val="single" w:color="auto" w:sz="8" w:space="0"/>
              <w:right w:val="single" w:color="auto" w:sz="8" w:space="0"/>
            </w:tcBorders>
            <w:vAlign w:val="center"/>
          </w:tcPr>
          <w:p w14:paraId="751A4827">
            <w:pPr>
              <w:widowControl/>
              <w:adjustRightInd/>
              <w:jc w:val="center"/>
              <w:rPr>
                <w:rFonts w:ascii="宋体" w:hAnsi="宋体" w:cs="宋体"/>
                <w:kern w:val="0"/>
                <w:sz w:val="24"/>
                <w:highlight w:val="none"/>
              </w:rPr>
            </w:pPr>
            <w:r>
              <w:rPr>
                <w:rFonts w:hint="eastAsia" w:ascii="宋体" w:hAnsi="宋体" w:cs="宋体"/>
                <w:kern w:val="0"/>
                <w:sz w:val="24"/>
                <w:highlight w:val="none"/>
              </w:rPr>
              <w:t>▲单</w:t>
            </w:r>
            <w:r>
              <w:rPr>
                <w:rFonts w:ascii="宋体" w:hAnsi="宋体" w:cs="宋体"/>
                <w:kern w:val="0"/>
                <w:sz w:val="24"/>
                <w:highlight w:val="none"/>
              </w:rPr>
              <w:t xml:space="preserve"> CPU </w:t>
            </w:r>
            <w:r>
              <w:rPr>
                <w:rFonts w:hint="eastAsia" w:ascii="宋体" w:hAnsi="宋体" w:cs="宋体"/>
                <w:kern w:val="0"/>
                <w:sz w:val="24"/>
                <w:highlight w:val="none"/>
              </w:rPr>
              <w:t>核数</w:t>
            </w:r>
          </w:p>
        </w:tc>
        <w:tc>
          <w:tcPr>
            <w:tcW w:w="5080" w:type="dxa"/>
            <w:tcBorders>
              <w:top w:val="nil"/>
              <w:left w:val="nil"/>
              <w:bottom w:val="single" w:color="auto" w:sz="8" w:space="0"/>
              <w:right w:val="single" w:color="auto" w:sz="8" w:space="0"/>
            </w:tcBorders>
            <w:vAlign w:val="center"/>
          </w:tcPr>
          <w:p w14:paraId="62A852F6">
            <w:pPr>
              <w:widowControl/>
              <w:adjustRightInd/>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16</w:t>
            </w:r>
          </w:p>
        </w:tc>
      </w:tr>
      <w:tr w14:paraId="4C96402F">
        <w:tblPrEx>
          <w:tblCellMar>
            <w:top w:w="0" w:type="dxa"/>
            <w:left w:w="108" w:type="dxa"/>
            <w:bottom w:w="0" w:type="dxa"/>
            <w:right w:w="108" w:type="dxa"/>
          </w:tblCellMar>
        </w:tblPrEx>
        <w:trPr>
          <w:trHeight w:val="948" w:hRule="atLeast"/>
        </w:trPr>
        <w:tc>
          <w:tcPr>
            <w:tcW w:w="960" w:type="dxa"/>
            <w:tcBorders>
              <w:top w:val="nil"/>
              <w:left w:val="single" w:color="auto" w:sz="8" w:space="0"/>
              <w:bottom w:val="single" w:color="auto" w:sz="8" w:space="0"/>
              <w:right w:val="single" w:color="auto" w:sz="8" w:space="0"/>
            </w:tcBorders>
            <w:vAlign w:val="center"/>
          </w:tcPr>
          <w:p w14:paraId="03C1745C">
            <w:pPr>
              <w:widowControl/>
              <w:adjustRightInd/>
              <w:jc w:val="center"/>
              <w:rPr>
                <w:rFonts w:ascii="宋体" w:hAnsi="宋体" w:cs="宋体"/>
                <w:kern w:val="0"/>
                <w:sz w:val="24"/>
                <w:highlight w:val="none"/>
              </w:rPr>
            </w:pPr>
            <w:r>
              <w:rPr>
                <w:rFonts w:ascii="宋体" w:hAnsi="宋体" w:cs="宋体"/>
                <w:kern w:val="0"/>
                <w:sz w:val="24"/>
                <w:highlight w:val="none"/>
              </w:rPr>
              <w:t>49</w:t>
            </w:r>
          </w:p>
        </w:tc>
        <w:tc>
          <w:tcPr>
            <w:tcW w:w="1400" w:type="dxa"/>
            <w:vMerge w:val="continue"/>
            <w:tcBorders>
              <w:top w:val="nil"/>
              <w:left w:val="single" w:color="auto" w:sz="8" w:space="0"/>
              <w:bottom w:val="single" w:color="000000" w:sz="8" w:space="0"/>
              <w:right w:val="single" w:color="auto" w:sz="8" w:space="0"/>
            </w:tcBorders>
            <w:vAlign w:val="center"/>
          </w:tcPr>
          <w:p w14:paraId="6F725EBB">
            <w:pPr>
              <w:widowControl/>
              <w:adjustRightInd/>
              <w:jc w:val="left"/>
              <w:rPr>
                <w:rFonts w:ascii="宋体" w:hAnsi="宋体" w:cs="宋体"/>
                <w:kern w:val="0"/>
                <w:sz w:val="24"/>
                <w:highlight w:val="none"/>
              </w:rPr>
            </w:pPr>
          </w:p>
        </w:tc>
        <w:tc>
          <w:tcPr>
            <w:tcW w:w="1420" w:type="dxa"/>
            <w:tcBorders>
              <w:top w:val="nil"/>
              <w:left w:val="nil"/>
              <w:bottom w:val="single" w:color="auto" w:sz="8" w:space="0"/>
              <w:right w:val="single" w:color="auto" w:sz="8" w:space="0"/>
            </w:tcBorders>
            <w:vAlign w:val="center"/>
          </w:tcPr>
          <w:p w14:paraId="0476331A">
            <w:pPr>
              <w:widowControl/>
              <w:adjustRightInd/>
              <w:jc w:val="center"/>
              <w:rPr>
                <w:rFonts w:ascii="宋体" w:hAnsi="宋体" w:cs="宋体"/>
                <w:kern w:val="0"/>
                <w:sz w:val="24"/>
                <w:highlight w:val="none"/>
              </w:rPr>
            </w:pPr>
            <w:r>
              <w:rPr>
                <w:rFonts w:hint="eastAsia" w:ascii="宋体" w:hAnsi="宋体" w:cs="宋体"/>
                <w:kern w:val="0"/>
                <w:sz w:val="24"/>
                <w:highlight w:val="none"/>
              </w:rPr>
              <w:t>▲单</w:t>
            </w:r>
            <w:r>
              <w:rPr>
                <w:rFonts w:ascii="宋体" w:hAnsi="宋体" w:cs="宋体"/>
                <w:kern w:val="0"/>
                <w:sz w:val="24"/>
                <w:highlight w:val="none"/>
              </w:rPr>
              <w:t xml:space="preserve"> CPU </w:t>
            </w:r>
            <w:r>
              <w:rPr>
                <w:rFonts w:hint="eastAsia" w:ascii="宋体" w:hAnsi="宋体" w:cs="宋体"/>
                <w:kern w:val="0"/>
                <w:sz w:val="24"/>
                <w:highlight w:val="none"/>
              </w:rPr>
              <w:t>末级缓存容量</w:t>
            </w:r>
          </w:p>
        </w:tc>
        <w:tc>
          <w:tcPr>
            <w:tcW w:w="5080" w:type="dxa"/>
            <w:tcBorders>
              <w:top w:val="nil"/>
              <w:left w:val="nil"/>
              <w:bottom w:val="single" w:color="auto" w:sz="8" w:space="0"/>
              <w:right w:val="single" w:color="auto" w:sz="8" w:space="0"/>
            </w:tcBorders>
            <w:vAlign w:val="center"/>
          </w:tcPr>
          <w:p w14:paraId="0E40BEED">
            <w:pPr>
              <w:widowControl/>
              <w:adjustRightInd/>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32MB</w:t>
            </w:r>
          </w:p>
        </w:tc>
      </w:tr>
      <w:tr w14:paraId="03491430">
        <w:tblPrEx>
          <w:tblCellMar>
            <w:top w:w="0" w:type="dxa"/>
            <w:left w:w="108" w:type="dxa"/>
            <w:bottom w:w="0" w:type="dxa"/>
            <w:right w:w="108" w:type="dxa"/>
          </w:tblCellMar>
        </w:tblPrEx>
        <w:trPr>
          <w:trHeight w:val="324" w:hRule="atLeast"/>
        </w:trPr>
        <w:tc>
          <w:tcPr>
            <w:tcW w:w="960" w:type="dxa"/>
            <w:tcBorders>
              <w:top w:val="nil"/>
              <w:left w:val="single" w:color="auto" w:sz="8" w:space="0"/>
              <w:bottom w:val="single" w:color="auto" w:sz="8" w:space="0"/>
              <w:right w:val="single" w:color="auto" w:sz="8" w:space="0"/>
            </w:tcBorders>
            <w:vAlign w:val="center"/>
          </w:tcPr>
          <w:p w14:paraId="765A6FCC">
            <w:pPr>
              <w:widowControl/>
              <w:adjustRightInd/>
              <w:jc w:val="center"/>
              <w:rPr>
                <w:rFonts w:ascii="宋体" w:hAnsi="宋体" w:cs="宋体"/>
                <w:kern w:val="0"/>
                <w:sz w:val="24"/>
                <w:highlight w:val="none"/>
              </w:rPr>
            </w:pPr>
            <w:r>
              <w:rPr>
                <w:rFonts w:ascii="宋体" w:hAnsi="宋体" w:cs="宋体"/>
                <w:kern w:val="0"/>
                <w:sz w:val="24"/>
                <w:highlight w:val="none"/>
              </w:rPr>
              <w:t>50</w:t>
            </w:r>
          </w:p>
        </w:tc>
        <w:tc>
          <w:tcPr>
            <w:tcW w:w="1400" w:type="dxa"/>
            <w:tcBorders>
              <w:top w:val="nil"/>
              <w:left w:val="nil"/>
              <w:bottom w:val="single" w:color="auto" w:sz="8" w:space="0"/>
              <w:right w:val="single" w:color="auto" w:sz="8" w:space="0"/>
            </w:tcBorders>
            <w:vAlign w:val="center"/>
          </w:tcPr>
          <w:p w14:paraId="7E627673">
            <w:pPr>
              <w:widowControl/>
              <w:adjustRightInd/>
              <w:jc w:val="center"/>
              <w:rPr>
                <w:rFonts w:ascii="宋体" w:hAnsi="宋体" w:cs="宋体"/>
                <w:kern w:val="0"/>
                <w:sz w:val="24"/>
                <w:highlight w:val="none"/>
              </w:rPr>
            </w:pPr>
            <w:r>
              <w:rPr>
                <w:rFonts w:hint="eastAsia" w:ascii="宋体" w:hAnsi="宋体" w:cs="宋体"/>
                <w:kern w:val="0"/>
                <w:sz w:val="24"/>
                <w:highlight w:val="none"/>
              </w:rPr>
              <w:t>▲内存性能</w:t>
            </w:r>
          </w:p>
        </w:tc>
        <w:tc>
          <w:tcPr>
            <w:tcW w:w="1420" w:type="dxa"/>
            <w:tcBorders>
              <w:top w:val="nil"/>
              <w:left w:val="nil"/>
              <w:bottom w:val="single" w:color="auto" w:sz="8" w:space="0"/>
              <w:right w:val="single" w:color="auto" w:sz="8" w:space="0"/>
            </w:tcBorders>
            <w:vAlign w:val="center"/>
          </w:tcPr>
          <w:p w14:paraId="53CCA4A1">
            <w:pPr>
              <w:widowControl/>
              <w:adjustRightInd/>
              <w:jc w:val="center"/>
              <w:rPr>
                <w:rFonts w:ascii="宋体" w:hAnsi="宋体" w:cs="宋体"/>
                <w:kern w:val="0"/>
                <w:sz w:val="24"/>
                <w:highlight w:val="none"/>
              </w:rPr>
            </w:pPr>
            <w:r>
              <w:rPr>
                <w:rFonts w:hint="eastAsia" w:ascii="宋体" w:hAnsi="宋体" w:cs="宋体"/>
                <w:kern w:val="0"/>
                <w:sz w:val="24"/>
                <w:highlight w:val="none"/>
              </w:rPr>
              <w:t>▲内存速率</w:t>
            </w:r>
          </w:p>
        </w:tc>
        <w:tc>
          <w:tcPr>
            <w:tcW w:w="5080" w:type="dxa"/>
            <w:tcBorders>
              <w:top w:val="nil"/>
              <w:left w:val="nil"/>
              <w:bottom w:val="single" w:color="auto" w:sz="8" w:space="0"/>
              <w:right w:val="single" w:color="auto" w:sz="8" w:space="0"/>
            </w:tcBorders>
            <w:vAlign w:val="center"/>
          </w:tcPr>
          <w:p w14:paraId="17CE9128">
            <w:pPr>
              <w:widowControl/>
              <w:adjustRightInd/>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2933MT/s</w:t>
            </w:r>
          </w:p>
        </w:tc>
      </w:tr>
      <w:tr w14:paraId="1E31A00C">
        <w:tblPrEx>
          <w:tblCellMar>
            <w:top w:w="0" w:type="dxa"/>
            <w:left w:w="108" w:type="dxa"/>
            <w:bottom w:w="0" w:type="dxa"/>
            <w:right w:w="108" w:type="dxa"/>
          </w:tblCellMar>
        </w:tblPrEx>
        <w:trPr>
          <w:trHeight w:val="324" w:hRule="atLeast"/>
        </w:trPr>
        <w:tc>
          <w:tcPr>
            <w:tcW w:w="960" w:type="dxa"/>
            <w:tcBorders>
              <w:top w:val="nil"/>
              <w:left w:val="single" w:color="auto" w:sz="8" w:space="0"/>
              <w:bottom w:val="single" w:color="auto" w:sz="8" w:space="0"/>
              <w:right w:val="single" w:color="auto" w:sz="8" w:space="0"/>
            </w:tcBorders>
            <w:vAlign w:val="center"/>
          </w:tcPr>
          <w:p w14:paraId="0578A1B9">
            <w:pPr>
              <w:widowControl/>
              <w:adjustRightInd/>
              <w:jc w:val="center"/>
              <w:rPr>
                <w:rFonts w:ascii="宋体" w:hAnsi="宋体" w:cs="宋体"/>
                <w:kern w:val="0"/>
                <w:sz w:val="24"/>
                <w:highlight w:val="none"/>
              </w:rPr>
            </w:pPr>
            <w:r>
              <w:rPr>
                <w:rFonts w:ascii="宋体" w:hAnsi="宋体" w:cs="宋体"/>
                <w:kern w:val="0"/>
                <w:sz w:val="24"/>
                <w:highlight w:val="none"/>
              </w:rPr>
              <w:t>51</w:t>
            </w:r>
          </w:p>
        </w:tc>
        <w:tc>
          <w:tcPr>
            <w:tcW w:w="1400" w:type="dxa"/>
            <w:tcBorders>
              <w:top w:val="nil"/>
              <w:left w:val="nil"/>
              <w:bottom w:val="single" w:color="auto" w:sz="8" w:space="0"/>
              <w:right w:val="single" w:color="auto" w:sz="8" w:space="0"/>
            </w:tcBorders>
            <w:vAlign w:val="center"/>
          </w:tcPr>
          <w:p w14:paraId="5A1E3E15">
            <w:pPr>
              <w:widowControl/>
              <w:adjustRightInd/>
              <w:jc w:val="center"/>
              <w:rPr>
                <w:rFonts w:ascii="宋体" w:hAnsi="宋体" w:cs="宋体"/>
                <w:kern w:val="0"/>
                <w:sz w:val="24"/>
                <w:highlight w:val="none"/>
              </w:rPr>
            </w:pPr>
            <w:r>
              <w:rPr>
                <w:rFonts w:hint="eastAsia" w:ascii="宋体" w:hAnsi="宋体" w:cs="宋体"/>
                <w:kern w:val="0"/>
                <w:sz w:val="24"/>
                <w:highlight w:val="none"/>
              </w:rPr>
              <w:t>▲电源能耗</w:t>
            </w:r>
          </w:p>
        </w:tc>
        <w:tc>
          <w:tcPr>
            <w:tcW w:w="1420" w:type="dxa"/>
            <w:tcBorders>
              <w:top w:val="nil"/>
              <w:left w:val="nil"/>
              <w:bottom w:val="single" w:color="auto" w:sz="8" w:space="0"/>
              <w:right w:val="single" w:color="auto" w:sz="8" w:space="0"/>
            </w:tcBorders>
            <w:vAlign w:val="center"/>
          </w:tcPr>
          <w:p w14:paraId="5C676D28">
            <w:pPr>
              <w:widowControl/>
              <w:adjustRightInd/>
              <w:jc w:val="center"/>
              <w:rPr>
                <w:rFonts w:ascii="宋体" w:hAnsi="宋体" w:cs="宋体"/>
                <w:kern w:val="0"/>
                <w:sz w:val="24"/>
                <w:highlight w:val="none"/>
              </w:rPr>
            </w:pPr>
            <w:r>
              <w:rPr>
                <w:rFonts w:hint="eastAsia" w:ascii="宋体" w:hAnsi="宋体" w:cs="宋体"/>
                <w:kern w:val="0"/>
                <w:sz w:val="24"/>
                <w:highlight w:val="none"/>
              </w:rPr>
              <w:t>▲电源能耗</w:t>
            </w:r>
          </w:p>
        </w:tc>
        <w:tc>
          <w:tcPr>
            <w:tcW w:w="5080" w:type="dxa"/>
            <w:tcBorders>
              <w:top w:val="nil"/>
              <w:left w:val="nil"/>
              <w:bottom w:val="single" w:color="auto" w:sz="8" w:space="0"/>
              <w:right w:val="single" w:color="auto" w:sz="8" w:space="0"/>
            </w:tcBorders>
            <w:vAlign w:val="center"/>
          </w:tcPr>
          <w:p w14:paraId="6D581C3C">
            <w:pPr>
              <w:widowControl/>
              <w:adjustRightInd/>
              <w:rPr>
                <w:rFonts w:ascii="宋体" w:hAnsi="宋体" w:cs="宋体"/>
                <w:kern w:val="0"/>
                <w:sz w:val="24"/>
                <w:highlight w:val="none"/>
              </w:rPr>
            </w:pPr>
            <w:r>
              <w:rPr>
                <w:rFonts w:hint="eastAsia" w:ascii="宋体" w:hAnsi="宋体" w:cs="宋体"/>
                <w:kern w:val="0"/>
                <w:sz w:val="24"/>
                <w:highlight w:val="none"/>
              </w:rPr>
              <w:t>符合</w:t>
            </w:r>
            <w:r>
              <w:rPr>
                <w:rFonts w:ascii="宋体" w:hAnsi="宋体" w:cs="宋体"/>
                <w:kern w:val="0"/>
                <w:sz w:val="24"/>
                <w:highlight w:val="none"/>
              </w:rPr>
              <w:t xml:space="preserve"> GB/T 9813.3 </w:t>
            </w:r>
            <w:r>
              <w:rPr>
                <w:rFonts w:hint="eastAsia" w:ascii="宋体" w:hAnsi="宋体" w:cs="宋体"/>
                <w:kern w:val="0"/>
                <w:sz w:val="24"/>
                <w:highlight w:val="none"/>
              </w:rPr>
              <w:t>的有关规定</w:t>
            </w:r>
          </w:p>
        </w:tc>
      </w:tr>
      <w:tr w14:paraId="0A588CA3">
        <w:tblPrEx>
          <w:tblCellMar>
            <w:top w:w="0" w:type="dxa"/>
            <w:left w:w="108" w:type="dxa"/>
            <w:bottom w:w="0" w:type="dxa"/>
            <w:right w:w="108" w:type="dxa"/>
          </w:tblCellMar>
        </w:tblPrEx>
        <w:trPr>
          <w:trHeight w:val="636" w:hRule="atLeast"/>
        </w:trPr>
        <w:tc>
          <w:tcPr>
            <w:tcW w:w="960" w:type="dxa"/>
            <w:tcBorders>
              <w:top w:val="nil"/>
              <w:left w:val="single" w:color="auto" w:sz="8" w:space="0"/>
              <w:bottom w:val="single" w:color="auto" w:sz="8" w:space="0"/>
              <w:right w:val="single" w:color="auto" w:sz="8" w:space="0"/>
            </w:tcBorders>
            <w:vAlign w:val="center"/>
          </w:tcPr>
          <w:p w14:paraId="4280EDBF">
            <w:pPr>
              <w:widowControl/>
              <w:adjustRightInd/>
              <w:jc w:val="center"/>
              <w:rPr>
                <w:rFonts w:ascii="宋体" w:hAnsi="宋体" w:cs="宋体"/>
                <w:kern w:val="0"/>
                <w:sz w:val="24"/>
                <w:highlight w:val="none"/>
              </w:rPr>
            </w:pPr>
            <w:r>
              <w:rPr>
                <w:rFonts w:ascii="宋体" w:hAnsi="宋体" w:cs="宋体"/>
                <w:kern w:val="0"/>
                <w:sz w:val="24"/>
                <w:highlight w:val="none"/>
              </w:rPr>
              <w:t>52</w:t>
            </w:r>
          </w:p>
        </w:tc>
        <w:tc>
          <w:tcPr>
            <w:tcW w:w="1400" w:type="dxa"/>
            <w:vMerge w:val="restart"/>
            <w:tcBorders>
              <w:top w:val="nil"/>
              <w:left w:val="single" w:color="auto" w:sz="8" w:space="0"/>
              <w:bottom w:val="single" w:color="000000" w:sz="8" w:space="0"/>
              <w:right w:val="single" w:color="auto" w:sz="8" w:space="0"/>
            </w:tcBorders>
            <w:vAlign w:val="center"/>
          </w:tcPr>
          <w:p w14:paraId="6A91DF60">
            <w:pPr>
              <w:widowControl/>
              <w:adjustRightInd/>
              <w:jc w:val="center"/>
              <w:rPr>
                <w:rFonts w:ascii="宋体" w:hAnsi="宋体" w:cs="宋体"/>
                <w:kern w:val="0"/>
                <w:sz w:val="24"/>
                <w:highlight w:val="none"/>
              </w:rPr>
            </w:pPr>
            <w:r>
              <w:rPr>
                <w:rFonts w:hint="eastAsia" w:ascii="宋体" w:hAnsi="宋体" w:cs="宋体"/>
                <w:kern w:val="0"/>
                <w:sz w:val="24"/>
                <w:highlight w:val="none"/>
              </w:rPr>
              <w:t>▲部件兼容性要求</w:t>
            </w:r>
          </w:p>
        </w:tc>
        <w:tc>
          <w:tcPr>
            <w:tcW w:w="1420" w:type="dxa"/>
            <w:tcBorders>
              <w:top w:val="nil"/>
              <w:left w:val="nil"/>
              <w:bottom w:val="single" w:color="auto" w:sz="8" w:space="0"/>
              <w:right w:val="single" w:color="auto" w:sz="8" w:space="0"/>
            </w:tcBorders>
            <w:vAlign w:val="center"/>
          </w:tcPr>
          <w:p w14:paraId="5AAA3C74">
            <w:pPr>
              <w:widowControl/>
              <w:adjustRightInd/>
              <w:jc w:val="center"/>
              <w:rPr>
                <w:rFonts w:ascii="宋体" w:hAnsi="宋体" w:cs="宋体"/>
                <w:kern w:val="0"/>
                <w:sz w:val="24"/>
                <w:highlight w:val="none"/>
              </w:rPr>
            </w:pPr>
            <w:r>
              <w:rPr>
                <w:rFonts w:hint="eastAsia" w:ascii="宋体" w:hAnsi="宋体" w:cs="宋体"/>
                <w:kern w:val="0"/>
                <w:sz w:val="24"/>
                <w:highlight w:val="none"/>
              </w:rPr>
              <w:t>▲内存兼容性</w:t>
            </w:r>
          </w:p>
        </w:tc>
        <w:tc>
          <w:tcPr>
            <w:tcW w:w="5080" w:type="dxa"/>
            <w:tcBorders>
              <w:top w:val="nil"/>
              <w:left w:val="nil"/>
              <w:bottom w:val="single" w:color="auto" w:sz="8" w:space="0"/>
              <w:right w:val="single" w:color="auto" w:sz="8" w:space="0"/>
            </w:tcBorders>
            <w:vAlign w:val="center"/>
          </w:tcPr>
          <w:p w14:paraId="6308EC73">
            <w:pPr>
              <w:widowControl/>
              <w:adjustRightInd/>
              <w:rPr>
                <w:rFonts w:ascii="宋体" w:hAnsi="宋体" w:cs="宋体"/>
                <w:kern w:val="0"/>
                <w:sz w:val="24"/>
                <w:highlight w:val="none"/>
              </w:rPr>
            </w:pPr>
            <w:r>
              <w:rPr>
                <w:rFonts w:hint="eastAsia" w:ascii="宋体" w:hAnsi="宋体" w:cs="宋体"/>
                <w:kern w:val="0"/>
                <w:sz w:val="24"/>
                <w:highlight w:val="none"/>
              </w:rPr>
              <w:t>适配</w:t>
            </w:r>
            <w:r>
              <w:rPr>
                <w:rFonts w:ascii="宋体" w:hAnsi="宋体" w:cs="宋体"/>
                <w:kern w:val="0"/>
                <w:sz w:val="24"/>
                <w:highlight w:val="none"/>
              </w:rPr>
              <w:t xml:space="preserve"> 3 </w:t>
            </w:r>
            <w:r>
              <w:rPr>
                <w:rFonts w:hint="eastAsia" w:ascii="宋体" w:hAnsi="宋体" w:cs="宋体"/>
                <w:kern w:val="0"/>
                <w:sz w:val="24"/>
                <w:highlight w:val="none"/>
              </w:rPr>
              <w:t>种及以上厂商的内存产品，且均不低于产品支持的内存规格</w:t>
            </w:r>
          </w:p>
        </w:tc>
      </w:tr>
      <w:tr w14:paraId="1D828E3A">
        <w:tblPrEx>
          <w:tblCellMar>
            <w:top w:w="0" w:type="dxa"/>
            <w:left w:w="108" w:type="dxa"/>
            <w:bottom w:w="0" w:type="dxa"/>
            <w:right w:w="108" w:type="dxa"/>
          </w:tblCellMar>
        </w:tblPrEx>
        <w:trPr>
          <w:trHeight w:val="948" w:hRule="atLeast"/>
        </w:trPr>
        <w:tc>
          <w:tcPr>
            <w:tcW w:w="960" w:type="dxa"/>
            <w:tcBorders>
              <w:top w:val="nil"/>
              <w:left w:val="single" w:color="auto" w:sz="8" w:space="0"/>
              <w:bottom w:val="single" w:color="auto" w:sz="8" w:space="0"/>
              <w:right w:val="single" w:color="auto" w:sz="8" w:space="0"/>
            </w:tcBorders>
            <w:vAlign w:val="center"/>
          </w:tcPr>
          <w:p w14:paraId="36AA414F">
            <w:pPr>
              <w:widowControl/>
              <w:adjustRightInd/>
              <w:jc w:val="center"/>
              <w:rPr>
                <w:rFonts w:ascii="宋体" w:hAnsi="宋体" w:cs="宋体"/>
                <w:kern w:val="0"/>
                <w:sz w:val="24"/>
                <w:highlight w:val="none"/>
              </w:rPr>
            </w:pPr>
            <w:r>
              <w:rPr>
                <w:rFonts w:ascii="宋体" w:hAnsi="宋体" w:cs="宋体"/>
                <w:kern w:val="0"/>
                <w:sz w:val="24"/>
                <w:highlight w:val="none"/>
              </w:rPr>
              <w:t>53</w:t>
            </w:r>
          </w:p>
        </w:tc>
        <w:tc>
          <w:tcPr>
            <w:tcW w:w="1400" w:type="dxa"/>
            <w:vMerge w:val="continue"/>
            <w:tcBorders>
              <w:top w:val="nil"/>
              <w:left w:val="single" w:color="auto" w:sz="8" w:space="0"/>
              <w:bottom w:val="single" w:color="000000" w:sz="8" w:space="0"/>
              <w:right w:val="single" w:color="auto" w:sz="8" w:space="0"/>
            </w:tcBorders>
            <w:vAlign w:val="center"/>
          </w:tcPr>
          <w:p w14:paraId="303F98D7">
            <w:pPr>
              <w:widowControl/>
              <w:adjustRightInd/>
              <w:jc w:val="left"/>
              <w:rPr>
                <w:rFonts w:ascii="宋体" w:hAnsi="宋体" w:cs="宋体"/>
                <w:kern w:val="0"/>
                <w:sz w:val="24"/>
                <w:highlight w:val="none"/>
              </w:rPr>
            </w:pPr>
          </w:p>
        </w:tc>
        <w:tc>
          <w:tcPr>
            <w:tcW w:w="1420" w:type="dxa"/>
            <w:tcBorders>
              <w:top w:val="nil"/>
              <w:left w:val="nil"/>
              <w:bottom w:val="single" w:color="auto" w:sz="8" w:space="0"/>
              <w:right w:val="single" w:color="auto" w:sz="8" w:space="0"/>
            </w:tcBorders>
            <w:vAlign w:val="center"/>
          </w:tcPr>
          <w:p w14:paraId="7BF5F6E4">
            <w:pPr>
              <w:widowControl/>
              <w:adjustRightInd/>
              <w:jc w:val="center"/>
              <w:rPr>
                <w:rFonts w:ascii="宋体" w:hAnsi="宋体" w:cs="宋体"/>
                <w:kern w:val="0"/>
                <w:sz w:val="24"/>
                <w:highlight w:val="none"/>
              </w:rPr>
            </w:pPr>
            <w:r>
              <w:rPr>
                <w:rFonts w:hint="eastAsia" w:ascii="宋体" w:hAnsi="宋体" w:cs="宋体"/>
                <w:kern w:val="0"/>
                <w:sz w:val="24"/>
                <w:highlight w:val="none"/>
              </w:rPr>
              <w:t>▲固态存储兼容性</w:t>
            </w:r>
          </w:p>
        </w:tc>
        <w:tc>
          <w:tcPr>
            <w:tcW w:w="5080" w:type="dxa"/>
            <w:tcBorders>
              <w:top w:val="nil"/>
              <w:left w:val="nil"/>
              <w:bottom w:val="single" w:color="auto" w:sz="8" w:space="0"/>
              <w:right w:val="single" w:color="auto" w:sz="8" w:space="0"/>
            </w:tcBorders>
            <w:vAlign w:val="center"/>
          </w:tcPr>
          <w:p w14:paraId="13809705">
            <w:pPr>
              <w:widowControl/>
              <w:adjustRightInd/>
              <w:rPr>
                <w:rFonts w:ascii="宋体" w:hAnsi="宋体" w:cs="宋体"/>
                <w:kern w:val="0"/>
                <w:sz w:val="24"/>
                <w:highlight w:val="none"/>
              </w:rPr>
            </w:pPr>
            <w:r>
              <w:rPr>
                <w:rFonts w:hint="eastAsia" w:ascii="宋体" w:hAnsi="宋体" w:cs="宋体"/>
                <w:kern w:val="0"/>
                <w:sz w:val="24"/>
                <w:highlight w:val="none"/>
              </w:rPr>
              <w:t>适配</w:t>
            </w:r>
            <w:r>
              <w:rPr>
                <w:rFonts w:ascii="宋体" w:hAnsi="宋体" w:cs="宋体"/>
                <w:kern w:val="0"/>
                <w:sz w:val="24"/>
                <w:highlight w:val="none"/>
              </w:rPr>
              <w:t xml:space="preserve"> 3 </w:t>
            </w:r>
            <w:r>
              <w:rPr>
                <w:rFonts w:hint="eastAsia" w:ascii="宋体" w:hAnsi="宋体" w:cs="宋体"/>
                <w:kern w:val="0"/>
                <w:sz w:val="24"/>
                <w:highlight w:val="none"/>
              </w:rPr>
              <w:t>种或以上厂商的固态存储产品，且均不低于产品支持的固态存储设备规格</w:t>
            </w:r>
          </w:p>
        </w:tc>
      </w:tr>
      <w:tr w14:paraId="16BECF57">
        <w:tblPrEx>
          <w:tblCellMar>
            <w:top w:w="0" w:type="dxa"/>
            <w:left w:w="108" w:type="dxa"/>
            <w:bottom w:w="0" w:type="dxa"/>
            <w:right w:w="108" w:type="dxa"/>
          </w:tblCellMar>
        </w:tblPrEx>
        <w:trPr>
          <w:trHeight w:val="636" w:hRule="atLeast"/>
        </w:trPr>
        <w:tc>
          <w:tcPr>
            <w:tcW w:w="960" w:type="dxa"/>
            <w:tcBorders>
              <w:top w:val="nil"/>
              <w:left w:val="single" w:color="auto" w:sz="8" w:space="0"/>
              <w:bottom w:val="single" w:color="auto" w:sz="8" w:space="0"/>
              <w:right w:val="single" w:color="auto" w:sz="8" w:space="0"/>
            </w:tcBorders>
            <w:vAlign w:val="center"/>
          </w:tcPr>
          <w:p w14:paraId="79BDA579">
            <w:pPr>
              <w:widowControl/>
              <w:adjustRightInd/>
              <w:jc w:val="center"/>
              <w:rPr>
                <w:rFonts w:ascii="宋体" w:hAnsi="宋体" w:cs="宋体"/>
                <w:kern w:val="0"/>
                <w:sz w:val="24"/>
                <w:highlight w:val="none"/>
              </w:rPr>
            </w:pPr>
            <w:r>
              <w:rPr>
                <w:rFonts w:ascii="宋体" w:hAnsi="宋体" w:cs="宋体"/>
                <w:kern w:val="0"/>
                <w:sz w:val="24"/>
                <w:highlight w:val="none"/>
              </w:rPr>
              <w:t>54</w:t>
            </w:r>
          </w:p>
        </w:tc>
        <w:tc>
          <w:tcPr>
            <w:tcW w:w="1400" w:type="dxa"/>
            <w:vMerge w:val="continue"/>
            <w:tcBorders>
              <w:top w:val="nil"/>
              <w:left w:val="single" w:color="auto" w:sz="8" w:space="0"/>
              <w:bottom w:val="single" w:color="000000" w:sz="8" w:space="0"/>
              <w:right w:val="single" w:color="auto" w:sz="8" w:space="0"/>
            </w:tcBorders>
            <w:vAlign w:val="center"/>
          </w:tcPr>
          <w:p w14:paraId="08DA8798">
            <w:pPr>
              <w:widowControl/>
              <w:adjustRightInd/>
              <w:jc w:val="left"/>
              <w:rPr>
                <w:rFonts w:ascii="宋体" w:hAnsi="宋体" w:cs="宋体"/>
                <w:kern w:val="0"/>
                <w:sz w:val="24"/>
                <w:highlight w:val="none"/>
              </w:rPr>
            </w:pPr>
          </w:p>
        </w:tc>
        <w:tc>
          <w:tcPr>
            <w:tcW w:w="1420" w:type="dxa"/>
            <w:tcBorders>
              <w:top w:val="nil"/>
              <w:left w:val="nil"/>
              <w:bottom w:val="single" w:color="auto" w:sz="8" w:space="0"/>
              <w:right w:val="single" w:color="auto" w:sz="8" w:space="0"/>
            </w:tcBorders>
            <w:vAlign w:val="center"/>
          </w:tcPr>
          <w:p w14:paraId="7AA850A4">
            <w:pPr>
              <w:widowControl/>
              <w:adjustRightInd/>
              <w:jc w:val="center"/>
              <w:rPr>
                <w:rFonts w:ascii="宋体" w:hAnsi="宋体" w:cs="宋体"/>
                <w:kern w:val="0"/>
                <w:sz w:val="24"/>
                <w:highlight w:val="none"/>
              </w:rPr>
            </w:pPr>
            <w:r>
              <w:rPr>
                <w:rFonts w:hint="eastAsia" w:ascii="宋体" w:hAnsi="宋体" w:cs="宋体"/>
                <w:kern w:val="0"/>
                <w:sz w:val="24"/>
                <w:highlight w:val="none"/>
              </w:rPr>
              <w:t>▲网卡兼容性</w:t>
            </w:r>
          </w:p>
        </w:tc>
        <w:tc>
          <w:tcPr>
            <w:tcW w:w="5080" w:type="dxa"/>
            <w:tcBorders>
              <w:top w:val="nil"/>
              <w:left w:val="nil"/>
              <w:bottom w:val="single" w:color="auto" w:sz="8" w:space="0"/>
              <w:right w:val="single" w:color="auto" w:sz="8" w:space="0"/>
            </w:tcBorders>
            <w:vAlign w:val="center"/>
          </w:tcPr>
          <w:p w14:paraId="726B1B69">
            <w:pPr>
              <w:widowControl/>
              <w:adjustRightInd/>
              <w:rPr>
                <w:rFonts w:ascii="宋体" w:hAnsi="宋体" w:cs="宋体"/>
                <w:kern w:val="0"/>
                <w:sz w:val="24"/>
                <w:highlight w:val="none"/>
              </w:rPr>
            </w:pPr>
            <w:r>
              <w:rPr>
                <w:rFonts w:hint="eastAsia" w:ascii="宋体" w:hAnsi="宋体" w:cs="宋体"/>
                <w:kern w:val="0"/>
                <w:sz w:val="24"/>
                <w:highlight w:val="none"/>
              </w:rPr>
              <w:t>网卡应适配两种或以上厂商产品</w:t>
            </w:r>
          </w:p>
        </w:tc>
      </w:tr>
      <w:tr w14:paraId="6FFED3F6">
        <w:tblPrEx>
          <w:tblCellMar>
            <w:top w:w="0" w:type="dxa"/>
            <w:left w:w="108" w:type="dxa"/>
            <w:bottom w:w="0" w:type="dxa"/>
            <w:right w:w="108" w:type="dxa"/>
          </w:tblCellMar>
        </w:tblPrEx>
        <w:trPr>
          <w:trHeight w:val="948" w:hRule="atLeast"/>
        </w:trPr>
        <w:tc>
          <w:tcPr>
            <w:tcW w:w="960" w:type="dxa"/>
            <w:tcBorders>
              <w:top w:val="nil"/>
              <w:left w:val="single" w:color="auto" w:sz="8" w:space="0"/>
              <w:bottom w:val="single" w:color="auto" w:sz="8" w:space="0"/>
              <w:right w:val="single" w:color="auto" w:sz="8" w:space="0"/>
            </w:tcBorders>
            <w:vAlign w:val="center"/>
          </w:tcPr>
          <w:p w14:paraId="3B56B16F">
            <w:pPr>
              <w:widowControl/>
              <w:adjustRightInd/>
              <w:jc w:val="center"/>
              <w:rPr>
                <w:rFonts w:ascii="宋体" w:hAnsi="宋体" w:cs="宋体"/>
                <w:kern w:val="0"/>
                <w:sz w:val="24"/>
                <w:highlight w:val="none"/>
              </w:rPr>
            </w:pPr>
            <w:r>
              <w:rPr>
                <w:rFonts w:ascii="宋体" w:hAnsi="宋体" w:cs="宋体"/>
                <w:kern w:val="0"/>
                <w:sz w:val="24"/>
                <w:highlight w:val="none"/>
              </w:rPr>
              <w:t>55</w:t>
            </w:r>
          </w:p>
        </w:tc>
        <w:tc>
          <w:tcPr>
            <w:tcW w:w="1400" w:type="dxa"/>
            <w:vMerge w:val="continue"/>
            <w:tcBorders>
              <w:top w:val="nil"/>
              <w:left w:val="single" w:color="auto" w:sz="8" w:space="0"/>
              <w:bottom w:val="single" w:color="000000" w:sz="8" w:space="0"/>
              <w:right w:val="single" w:color="auto" w:sz="8" w:space="0"/>
            </w:tcBorders>
            <w:vAlign w:val="center"/>
          </w:tcPr>
          <w:p w14:paraId="43A6D533">
            <w:pPr>
              <w:widowControl/>
              <w:adjustRightInd/>
              <w:jc w:val="left"/>
              <w:rPr>
                <w:rFonts w:ascii="宋体" w:hAnsi="宋体" w:cs="宋体"/>
                <w:kern w:val="0"/>
                <w:sz w:val="24"/>
                <w:highlight w:val="none"/>
              </w:rPr>
            </w:pPr>
          </w:p>
        </w:tc>
        <w:tc>
          <w:tcPr>
            <w:tcW w:w="1420" w:type="dxa"/>
            <w:tcBorders>
              <w:top w:val="nil"/>
              <w:left w:val="nil"/>
              <w:bottom w:val="single" w:color="auto" w:sz="8" w:space="0"/>
              <w:right w:val="single" w:color="auto" w:sz="8" w:space="0"/>
            </w:tcBorders>
            <w:vAlign w:val="center"/>
          </w:tcPr>
          <w:p w14:paraId="3060ED00">
            <w:pPr>
              <w:widowControl/>
              <w:adjustRightInd/>
              <w:jc w:val="center"/>
              <w:rPr>
                <w:rFonts w:ascii="宋体" w:hAnsi="宋体" w:cs="宋体"/>
                <w:kern w:val="0"/>
                <w:sz w:val="24"/>
                <w:highlight w:val="none"/>
              </w:rPr>
            </w:pPr>
            <w:r>
              <w:rPr>
                <w:rFonts w:hint="eastAsia" w:ascii="宋体" w:hAnsi="宋体" w:cs="宋体"/>
                <w:kern w:val="0"/>
                <w:sz w:val="24"/>
                <w:highlight w:val="none"/>
              </w:rPr>
              <w:t>▲功能卡兼容性</w:t>
            </w:r>
          </w:p>
        </w:tc>
        <w:tc>
          <w:tcPr>
            <w:tcW w:w="5080" w:type="dxa"/>
            <w:tcBorders>
              <w:top w:val="nil"/>
              <w:left w:val="nil"/>
              <w:bottom w:val="single" w:color="auto" w:sz="8" w:space="0"/>
              <w:right w:val="single" w:color="auto" w:sz="8" w:space="0"/>
            </w:tcBorders>
            <w:vAlign w:val="center"/>
          </w:tcPr>
          <w:p w14:paraId="33DC32A6">
            <w:pPr>
              <w:widowControl/>
              <w:adjustRightInd/>
              <w:rPr>
                <w:rFonts w:ascii="宋体" w:hAnsi="宋体" w:cs="宋体"/>
                <w:kern w:val="0"/>
                <w:sz w:val="24"/>
                <w:highlight w:val="none"/>
              </w:rPr>
            </w:pPr>
            <w:r>
              <w:rPr>
                <w:rFonts w:hint="eastAsia" w:ascii="宋体" w:hAnsi="宋体" w:cs="宋体"/>
                <w:kern w:val="0"/>
                <w:sz w:val="24"/>
                <w:highlight w:val="none"/>
              </w:rPr>
              <w:t>内置或适配符合</w:t>
            </w:r>
            <w:r>
              <w:rPr>
                <w:rFonts w:ascii="宋体" w:hAnsi="宋体" w:cs="宋体"/>
                <w:kern w:val="0"/>
                <w:sz w:val="24"/>
                <w:highlight w:val="none"/>
              </w:rPr>
              <w:t xml:space="preserve"> PCIe </w:t>
            </w:r>
            <w:r>
              <w:rPr>
                <w:rFonts w:hint="eastAsia" w:ascii="宋体" w:hAnsi="宋体" w:cs="宋体"/>
                <w:kern w:val="0"/>
                <w:sz w:val="24"/>
                <w:highlight w:val="none"/>
              </w:rPr>
              <w:t>的功能卡，如：网络功能卡、存储功能卡及图形显示功能卡</w:t>
            </w:r>
          </w:p>
        </w:tc>
      </w:tr>
      <w:tr w14:paraId="291A5212">
        <w:tblPrEx>
          <w:tblCellMar>
            <w:top w:w="0" w:type="dxa"/>
            <w:left w:w="108" w:type="dxa"/>
            <w:bottom w:w="0" w:type="dxa"/>
            <w:right w:w="108" w:type="dxa"/>
          </w:tblCellMar>
        </w:tblPrEx>
        <w:trPr>
          <w:trHeight w:val="1572" w:hRule="atLeast"/>
        </w:trPr>
        <w:tc>
          <w:tcPr>
            <w:tcW w:w="960" w:type="dxa"/>
            <w:tcBorders>
              <w:top w:val="nil"/>
              <w:left w:val="single" w:color="auto" w:sz="8" w:space="0"/>
              <w:bottom w:val="single" w:color="auto" w:sz="8" w:space="0"/>
              <w:right w:val="single" w:color="auto" w:sz="8" w:space="0"/>
            </w:tcBorders>
            <w:vAlign w:val="center"/>
          </w:tcPr>
          <w:p w14:paraId="23353831">
            <w:pPr>
              <w:widowControl/>
              <w:adjustRightInd/>
              <w:jc w:val="center"/>
              <w:rPr>
                <w:rFonts w:ascii="宋体" w:hAnsi="宋体" w:cs="宋体"/>
                <w:kern w:val="0"/>
                <w:sz w:val="24"/>
                <w:highlight w:val="none"/>
              </w:rPr>
            </w:pPr>
            <w:r>
              <w:rPr>
                <w:rFonts w:ascii="宋体" w:hAnsi="宋体" w:cs="宋体"/>
                <w:kern w:val="0"/>
                <w:sz w:val="24"/>
                <w:highlight w:val="none"/>
              </w:rPr>
              <w:t>56</w:t>
            </w:r>
          </w:p>
        </w:tc>
        <w:tc>
          <w:tcPr>
            <w:tcW w:w="1400" w:type="dxa"/>
            <w:tcBorders>
              <w:top w:val="nil"/>
              <w:left w:val="nil"/>
              <w:bottom w:val="single" w:color="auto" w:sz="8" w:space="0"/>
              <w:right w:val="single" w:color="auto" w:sz="8" w:space="0"/>
            </w:tcBorders>
            <w:vAlign w:val="center"/>
          </w:tcPr>
          <w:p w14:paraId="63E856E2">
            <w:pPr>
              <w:widowControl/>
              <w:adjustRightInd/>
              <w:jc w:val="center"/>
              <w:rPr>
                <w:rFonts w:ascii="宋体" w:hAnsi="宋体" w:cs="宋体"/>
                <w:kern w:val="0"/>
                <w:sz w:val="24"/>
                <w:highlight w:val="none"/>
              </w:rPr>
            </w:pPr>
            <w:r>
              <w:rPr>
                <w:rFonts w:hint="eastAsia" w:ascii="宋体" w:hAnsi="宋体" w:cs="宋体"/>
                <w:kern w:val="0"/>
                <w:sz w:val="24"/>
                <w:highlight w:val="none"/>
              </w:rPr>
              <w:t>▲外设兼容性</w:t>
            </w:r>
          </w:p>
        </w:tc>
        <w:tc>
          <w:tcPr>
            <w:tcW w:w="1420" w:type="dxa"/>
            <w:tcBorders>
              <w:top w:val="nil"/>
              <w:left w:val="nil"/>
              <w:bottom w:val="single" w:color="auto" w:sz="8" w:space="0"/>
              <w:right w:val="single" w:color="auto" w:sz="8" w:space="0"/>
            </w:tcBorders>
            <w:vAlign w:val="center"/>
          </w:tcPr>
          <w:p w14:paraId="1754C50A">
            <w:pPr>
              <w:widowControl/>
              <w:adjustRightInd/>
              <w:jc w:val="center"/>
              <w:rPr>
                <w:rFonts w:ascii="宋体" w:hAnsi="宋体" w:cs="宋体"/>
                <w:kern w:val="0"/>
                <w:sz w:val="24"/>
                <w:highlight w:val="none"/>
              </w:rPr>
            </w:pPr>
            <w:r>
              <w:rPr>
                <w:rFonts w:hint="eastAsia" w:ascii="宋体" w:hAnsi="宋体" w:cs="宋体"/>
                <w:kern w:val="0"/>
                <w:sz w:val="24"/>
                <w:highlight w:val="none"/>
              </w:rPr>
              <w:t>▲外设兼容性</w:t>
            </w:r>
          </w:p>
        </w:tc>
        <w:tc>
          <w:tcPr>
            <w:tcW w:w="5080" w:type="dxa"/>
            <w:tcBorders>
              <w:top w:val="nil"/>
              <w:left w:val="nil"/>
              <w:bottom w:val="single" w:color="auto" w:sz="8" w:space="0"/>
              <w:right w:val="single" w:color="auto" w:sz="8" w:space="0"/>
            </w:tcBorders>
            <w:vAlign w:val="center"/>
          </w:tcPr>
          <w:p w14:paraId="4B1A8504">
            <w:pPr>
              <w:widowControl/>
              <w:adjustRightInd/>
              <w:rPr>
                <w:rFonts w:ascii="宋体" w:hAnsi="宋体" w:cs="宋体"/>
                <w:kern w:val="0"/>
                <w:sz w:val="24"/>
                <w:highlight w:val="none"/>
              </w:rPr>
            </w:pPr>
            <w:r>
              <w:rPr>
                <w:rFonts w:hint="eastAsia" w:ascii="宋体" w:hAnsi="宋体" w:cs="宋体"/>
                <w:kern w:val="0"/>
                <w:sz w:val="24"/>
                <w:highlight w:val="none"/>
              </w:rPr>
              <w:t>兼容多种主流生产商的外部设备，包括显示器、键盘、鼠标、闪存盘、移动硬盘、</w:t>
            </w:r>
            <w:r>
              <w:rPr>
                <w:rFonts w:ascii="宋体" w:hAnsi="宋体" w:cs="宋体"/>
                <w:kern w:val="0"/>
                <w:sz w:val="24"/>
                <w:highlight w:val="none"/>
              </w:rPr>
              <w:t xml:space="preserve">USB </w:t>
            </w:r>
            <w:r>
              <w:rPr>
                <w:rFonts w:hint="eastAsia" w:ascii="宋体" w:hAnsi="宋体" w:cs="宋体"/>
                <w:kern w:val="0"/>
                <w:sz w:val="24"/>
                <w:highlight w:val="none"/>
              </w:rPr>
              <w:t>光驱及</w:t>
            </w:r>
            <w:r>
              <w:rPr>
                <w:rFonts w:ascii="宋体" w:hAnsi="宋体" w:cs="宋体"/>
                <w:kern w:val="0"/>
                <w:sz w:val="24"/>
                <w:highlight w:val="none"/>
              </w:rPr>
              <w:t xml:space="preserve"> KVM </w:t>
            </w:r>
            <w:r>
              <w:rPr>
                <w:rFonts w:hint="eastAsia" w:ascii="宋体" w:hAnsi="宋体" w:cs="宋体"/>
                <w:kern w:val="0"/>
                <w:sz w:val="24"/>
                <w:highlight w:val="none"/>
              </w:rPr>
              <w:t>等，要求使用不同厂商的外部设备时，系统均能正常识别和安装驱动</w:t>
            </w:r>
          </w:p>
        </w:tc>
      </w:tr>
      <w:tr w14:paraId="049482FA">
        <w:tblPrEx>
          <w:tblCellMar>
            <w:top w:w="0" w:type="dxa"/>
            <w:left w:w="108" w:type="dxa"/>
            <w:bottom w:w="0" w:type="dxa"/>
            <w:right w:w="108" w:type="dxa"/>
          </w:tblCellMar>
        </w:tblPrEx>
        <w:trPr>
          <w:trHeight w:val="636" w:hRule="atLeast"/>
        </w:trPr>
        <w:tc>
          <w:tcPr>
            <w:tcW w:w="960" w:type="dxa"/>
            <w:tcBorders>
              <w:top w:val="nil"/>
              <w:left w:val="single" w:color="auto" w:sz="8" w:space="0"/>
              <w:bottom w:val="single" w:color="auto" w:sz="8" w:space="0"/>
              <w:right w:val="single" w:color="auto" w:sz="8" w:space="0"/>
            </w:tcBorders>
            <w:vAlign w:val="center"/>
          </w:tcPr>
          <w:p w14:paraId="4CBB960B">
            <w:pPr>
              <w:widowControl/>
              <w:adjustRightInd/>
              <w:jc w:val="center"/>
              <w:rPr>
                <w:rFonts w:ascii="宋体" w:hAnsi="宋体" w:cs="宋体"/>
                <w:kern w:val="0"/>
                <w:sz w:val="24"/>
                <w:highlight w:val="none"/>
              </w:rPr>
            </w:pPr>
            <w:r>
              <w:rPr>
                <w:rFonts w:ascii="宋体" w:hAnsi="宋体" w:cs="宋体"/>
                <w:kern w:val="0"/>
                <w:sz w:val="24"/>
                <w:highlight w:val="none"/>
              </w:rPr>
              <w:t>57</w:t>
            </w:r>
          </w:p>
        </w:tc>
        <w:tc>
          <w:tcPr>
            <w:tcW w:w="1400" w:type="dxa"/>
            <w:vMerge w:val="restart"/>
            <w:tcBorders>
              <w:top w:val="nil"/>
              <w:left w:val="single" w:color="auto" w:sz="8" w:space="0"/>
              <w:bottom w:val="single" w:color="000000" w:sz="8" w:space="0"/>
              <w:right w:val="single" w:color="auto" w:sz="8" w:space="0"/>
            </w:tcBorders>
            <w:vAlign w:val="center"/>
          </w:tcPr>
          <w:p w14:paraId="425BE12F">
            <w:pPr>
              <w:widowControl/>
              <w:adjustRightInd/>
              <w:jc w:val="center"/>
              <w:rPr>
                <w:rFonts w:ascii="宋体" w:hAnsi="宋体" w:cs="宋体"/>
                <w:kern w:val="0"/>
                <w:sz w:val="24"/>
                <w:highlight w:val="none"/>
              </w:rPr>
            </w:pPr>
            <w:r>
              <w:rPr>
                <w:rFonts w:hint="eastAsia" w:ascii="宋体" w:hAnsi="宋体" w:cs="宋体"/>
                <w:kern w:val="0"/>
                <w:sz w:val="24"/>
                <w:highlight w:val="none"/>
              </w:rPr>
              <w:t>▲软件兼容性</w:t>
            </w:r>
          </w:p>
        </w:tc>
        <w:tc>
          <w:tcPr>
            <w:tcW w:w="1420" w:type="dxa"/>
            <w:tcBorders>
              <w:top w:val="nil"/>
              <w:left w:val="nil"/>
              <w:bottom w:val="single" w:color="auto" w:sz="8" w:space="0"/>
              <w:right w:val="single" w:color="auto" w:sz="8" w:space="0"/>
            </w:tcBorders>
            <w:vAlign w:val="center"/>
          </w:tcPr>
          <w:p w14:paraId="0546BCA4">
            <w:pPr>
              <w:widowControl/>
              <w:adjustRightInd/>
              <w:jc w:val="center"/>
              <w:rPr>
                <w:rFonts w:ascii="宋体" w:hAnsi="宋体" w:cs="宋体"/>
                <w:kern w:val="0"/>
                <w:sz w:val="24"/>
                <w:highlight w:val="none"/>
              </w:rPr>
            </w:pPr>
            <w:r>
              <w:rPr>
                <w:rFonts w:hint="eastAsia" w:ascii="宋体" w:hAnsi="宋体" w:cs="宋体"/>
                <w:kern w:val="0"/>
                <w:sz w:val="24"/>
                <w:highlight w:val="none"/>
              </w:rPr>
              <w:t>▲数据库兼容</w:t>
            </w:r>
          </w:p>
        </w:tc>
        <w:tc>
          <w:tcPr>
            <w:tcW w:w="5080" w:type="dxa"/>
            <w:tcBorders>
              <w:top w:val="nil"/>
              <w:left w:val="nil"/>
              <w:bottom w:val="single" w:color="auto" w:sz="8" w:space="0"/>
              <w:right w:val="single" w:color="auto" w:sz="8" w:space="0"/>
            </w:tcBorders>
            <w:vAlign w:val="center"/>
          </w:tcPr>
          <w:p w14:paraId="6717E5DB">
            <w:pPr>
              <w:widowControl/>
              <w:adjustRightInd/>
              <w:rPr>
                <w:rFonts w:ascii="宋体" w:hAnsi="宋体" w:cs="宋体"/>
                <w:kern w:val="0"/>
                <w:sz w:val="24"/>
                <w:highlight w:val="none"/>
              </w:rPr>
            </w:pPr>
            <w:r>
              <w:rPr>
                <w:rFonts w:hint="eastAsia" w:ascii="宋体" w:hAnsi="宋体" w:cs="宋体"/>
                <w:kern w:val="0"/>
                <w:sz w:val="24"/>
                <w:highlight w:val="none"/>
              </w:rPr>
              <w:t>兼容</w:t>
            </w:r>
            <w:r>
              <w:rPr>
                <w:rFonts w:ascii="宋体" w:hAnsi="宋体" w:cs="宋体"/>
                <w:kern w:val="0"/>
                <w:sz w:val="24"/>
                <w:highlight w:val="none"/>
              </w:rPr>
              <w:t>3个及以上厂商的数据库产品</w:t>
            </w:r>
            <w:r>
              <w:rPr>
                <w:rFonts w:hint="eastAsia" w:ascii="宋体" w:hAnsi="宋体" w:cs="宋体"/>
                <w:kern w:val="0"/>
                <w:sz w:val="24"/>
                <w:highlight w:val="none"/>
              </w:rPr>
              <w:t>；</w:t>
            </w:r>
          </w:p>
        </w:tc>
      </w:tr>
      <w:tr w14:paraId="2849CE7E">
        <w:tblPrEx>
          <w:tblCellMar>
            <w:top w:w="0" w:type="dxa"/>
            <w:left w:w="108" w:type="dxa"/>
            <w:bottom w:w="0" w:type="dxa"/>
            <w:right w:w="108" w:type="dxa"/>
          </w:tblCellMar>
        </w:tblPrEx>
        <w:trPr>
          <w:trHeight w:val="636" w:hRule="atLeast"/>
        </w:trPr>
        <w:tc>
          <w:tcPr>
            <w:tcW w:w="960" w:type="dxa"/>
            <w:tcBorders>
              <w:top w:val="nil"/>
              <w:left w:val="single" w:color="auto" w:sz="8" w:space="0"/>
              <w:bottom w:val="single" w:color="auto" w:sz="8" w:space="0"/>
              <w:right w:val="single" w:color="auto" w:sz="8" w:space="0"/>
            </w:tcBorders>
            <w:vAlign w:val="center"/>
          </w:tcPr>
          <w:p w14:paraId="4D4E44F0">
            <w:pPr>
              <w:widowControl/>
              <w:adjustRightInd/>
              <w:jc w:val="center"/>
              <w:rPr>
                <w:rFonts w:ascii="宋体" w:hAnsi="宋体" w:cs="宋体"/>
                <w:kern w:val="0"/>
                <w:sz w:val="24"/>
                <w:highlight w:val="none"/>
              </w:rPr>
            </w:pPr>
            <w:r>
              <w:rPr>
                <w:rFonts w:ascii="宋体" w:hAnsi="宋体" w:cs="宋体"/>
                <w:kern w:val="0"/>
                <w:sz w:val="24"/>
                <w:highlight w:val="none"/>
              </w:rPr>
              <w:t>58</w:t>
            </w:r>
          </w:p>
        </w:tc>
        <w:tc>
          <w:tcPr>
            <w:tcW w:w="1400" w:type="dxa"/>
            <w:vMerge w:val="continue"/>
            <w:tcBorders>
              <w:top w:val="nil"/>
              <w:left w:val="single" w:color="auto" w:sz="8" w:space="0"/>
              <w:bottom w:val="single" w:color="000000" w:sz="8" w:space="0"/>
              <w:right w:val="single" w:color="auto" w:sz="8" w:space="0"/>
            </w:tcBorders>
            <w:vAlign w:val="center"/>
          </w:tcPr>
          <w:p w14:paraId="5690A186">
            <w:pPr>
              <w:widowControl/>
              <w:adjustRightInd/>
              <w:jc w:val="left"/>
              <w:rPr>
                <w:rFonts w:ascii="宋体" w:hAnsi="宋体" w:cs="宋体"/>
                <w:kern w:val="0"/>
                <w:sz w:val="24"/>
                <w:highlight w:val="none"/>
              </w:rPr>
            </w:pPr>
          </w:p>
        </w:tc>
        <w:tc>
          <w:tcPr>
            <w:tcW w:w="1420" w:type="dxa"/>
            <w:tcBorders>
              <w:top w:val="nil"/>
              <w:left w:val="nil"/>
              <w:bottom w:val="single" w:color="auto" w:sz="8" w:space="0"/>
              <w:right w:val="single" w:color="auto" w:sz="8" w:space="0"/>
            </w:tcBorders>
            <w:vAlign w:val="center"/>
          </w:tcPr>
          <w:p w14:paraId="00EA9CB8">
            <w:pPr>
              <w:widowControl/>
              <w:adjustRightInd/>
              <w:jc w:val="center"/>
              <w:rPr>
                <w:rFonts w:ascii="宋体" w:hAnsi="宋体" w:cs="宋体"/>
                <w:kern w:val="0"/>
                <w:sz w:val="24"/>
                <w:highlight w:val="none"/>
              </w:rPr>
            </w:pPr>
            <w:r>
              <w:rPr>
                <w:rFonts w:hint="eastAsia" w:ascii="宋体" w:hAnsi="宋体" w:cs="宋体"/>
                <w:kern w:val="0"/>
                <w:sz w:val="24"/>
                <w:highlight w:val="none"/>
              </w:rPr>
              <w:t>▲中间件兼容</w:t>
            </w:r>
          </w:p>
        </w:tc>
        <w:tc>
          <w:tcPr>
            <w:tcW w:w="5080" w:type="dxa"/>
            <w:tcBorders>
              <w:top w:val="nil"/>
              <w:left w:val="nil"/>
              <w:bottom w:val="single" w:color="auto" w:sz="8" w:space="0"/>
              <w:right w:val="single" w:color="auto" w:sz="8" w:space="0"/>
            </w:tcBorders>
            <w:vAlign w:val="center"/>
          </w:tcPr>
          <w:p w14:paraId="7E2AE156">
            <w:pPr>
              <w:widowControl/>
              <w:adjustRightInd/>
              <w:rPr>
                <w:rFonts w:ascii="宋体" w:hAnsi="宋体" w:cs="宋体"/>
                <w:kern w:val="0"/>
                <w:sz w:val="24"/>
                <w:highlight w:val="none"/>
              </w:rPr>
            </w:pPr>
            <w:r>
              <w:rPr>
                <w:rFonts w:hint="eastAsia" w:ascii="宋体" w:hAnsi="宋体" w:cs="宋体"/>
                <w:kern w:val="0"/>
                <w:sz w:val="24"/>
                <w:highlight w:val="none"/>
              </w:rPr>
              <w:t>兼容</w:t>
            </w:r>
            <w:r>
              <w:rPr>
                <w:rFonts w:ascii="宋体" w:hAnsi="宋体" w:cs="宋体"/>
                <w:kern w:val="0"/>
                <w:sz w:val="24"/>
                <w:highlight w:val="none"/>
              </w:rPr>
              <w:t>3个及以上厂商的中间件产品</w:t>
            </w:r>
            <w:r>
              <w:rPr>
                <w:rFonts w:hint="eastAsia" w:ascii="宋体" w:hAnsi="宋体" w:cs="宋体"/>
                <w:kern w:val="0"/>
                <w:sz w:val="24"/>
                <w:highlight w:val="none"/>
              </w:rPr>
              <w:t>；</w:t>
            </w:r>
          </w:p>
        </w:tc>
      </w:tr>
      <w:tr w14:paraId="36D1D580">
        <w:tblPrEx>
          <w:tblCellMar>
            <w:top w:w="0" w:type="dxa"/>
            <w:left w:w="108" w:type="dxa"/>
            <w:bottom w:w="0" w:type="dxa"/>
            <w:right w:w="108" w:type="dxa"/>
          </w:tblCellMar>
        </w:tblPrEx>
        <w:trPr>
          <w:trHeight w:val="636" w:hRule="atLeast"/>
        </w:trPr>
        <w:tc>
          <w:tcPr>
            <w:tcW w:w="960" w:type="dxa"/>
            <w:tcBorders>
              <w:top w:val="nil"/>
              <w:left w:val="single" w:color="auto" w:sz="8" w:space="0"/>
              <w:bottom w:val="single" w:color="auto" w:sz="8" w:space="0"/>
              <w:right w:val="single" w:color="auto" w:sz="8" w:space="0"/>
            </w:tcBorders>
            <w:vAlign w:val="center"/>
          </w:tcPr>
          <w:p w14:paraId="10F3F4BB">
            <w:pPr>
              <w:widowControl/>
              <w:adjustRightInd/>
              <w:jc w:val="center"/>
              <w:rPr>
                <w:rFonts w:ascii="宋体" w:hAnsi="宋体" w:cs="宋体"/>
                <w:kern w:val="0"/>
                <w:sz w:val="24"/>
                <w:highlight w:val="none"/>
              </w:rPr>
            </w:pPr>
            <w:r>
              <w:rPr>
                <w:rFonts w:ascii="宋体" w:hAnsi="宋体" w:cs="宋体"/>
                <w:kern w:val="0"/>
                <w:sz w:val="24"/>
                <w:highlight w:val="none"/>
              </w:rPr>
              <w:t>59</w:t>
            </w:r>
          </w:p>
        </w:tc>
        <w:tc>
          <w:tcPr>
            <w:tcW w:w="1400" w:type="dxa"/>
            <w:vMerge w:val="continue"/>
            <w:tcBorders>
              <w:top w:val="nil"/>
              <w:left w:val="single" w:color="auto" w:sz="8" w:space="0"/>
              <w:bottom w:val="single" w:color="000000" w:sz="8" w:space="0"/>
              <w:right w:val="single" w:color="auto" w:sz="8" w:space="0"/>
            </w:tcBorders>
            <w:vAlign w:val="center"/>
          </w:tcPr>
          <w:p w14:paraId="27EFAF5B">
            <w:pPr>
              <w:widowControl/>
              <w:adjustRightInd/>
              <w:jc w:val="left"/>
              <w:rPr>
                <w:rFonts w:ascii="宋体" w:hAnsi="宋体" w:cs="宋体"/>
                <w:kern w:val="0"/>
                <w:sz w:val="24"/>
                <w:highlight w:val="none"/>
              </w:rPr>
            </w:pPr>
          </w:p>
        </w:tc>
        <w:tc>
          <w:tcPr>
            <w:tcW w:w="1420" w:type="dxa"/>
            <w:tcBorders>
              <w:top w:val="nil"/>
              <w:left w:val="nil"/>
              <w:bottom w:val="single" w:color="auto" w:sz="8" w:space="0"/>
              <w:right w:val="single" w:color="auto" w:sz="8" w:space="0"/>
            </w:tcBorders>
            <w:vAlign w:val="center"/>
          </w:tcPr>
          <w:p w14:paraId="7467A5C2">
            <w:pPr>
              <w:widowControl/>
              <w:adjustRightInd/>
              <w:jc w:val="center"/>
              <w:rPr>
                <w:rFonts w:ascii="宋体" w:hAnsi="宋体" w:cs="宋体"/>
                <w:kern w:val="0"/>
                <w:sz w:val="24"/>
                <w:highlight w:val="none"/>
              </w:rPr>
            </w:pPr>
            <w:r>
              <w:rPr>
                <w:rFonts w:hint="eastAsia" w:ascii="宋体" w:hAnsi="宋体" w:cs="宋体"/>
                <w:kern w:val="0"/>
                <w:sz w:val="24"/>
                <w:highlight w:val="none"/>
              </w:rPr>
              <w:t>▲平台软件兼容</w:t>
            </w:r>
          </w:p>
        </w:tc>
        <w:tc>
          <w:tcPr>
            <w:tcW w:w="5080" w:type="dxa"/>
            <w:tcBorders>
              <w:top w:val="nil"/>
              <w:left w:val="nil"/>
              <w:bottom w:val="single" w:color="auto" w:sz="8" w:space="0"/>
              <w:right w:val="single" w:color="auto" w:sz="8" w:space="0"/>
            </w:tcBorders>
            <w:vAlign w:val="center"/>
          </w:tcPr>
          <w:p w14:paraId="7E0FD383">
            <w:pPr>
              <w:widowControl/>
              <w:adjustRightInd/>
              <w:rPr>
                <w:rFonts w:ascii="宋体" w:hAnsi="宋体" w:cs="宋体"/>
                <w:kern w:val="0"/>
                <w:sz w:val="24"/>
                <w:highlight w:val="none"/>
              </w:rPr>
            </w:pPr>
            <w:r>
              <w:rPr>
                <w:rFonts w:hint="eastAsia" w:ascii="宋体" w:hAnsi="宋体" w:cs="宋体"/>
                <w:kern w:val="0"/>
                <w:sz w:val="24"/>
                <w:highlight w:val="none"/>
              </w:rPr>
              <w:t>兼容</w:t>
            </w:r>
            <w:r>
              <w:rPr>
                <w:rFonts w:ascii="宋体" w:hAnsi="宋体" w:cs="宋体"/>
                <w:kern w:val="0"/>
                <w:sz w:val="24"/>
                <w:highlight w:val="none"/>
              </w:rPr>
              <w:t>3个及以上厂商的大数据平台</w:t>
            </w:r>
            <w:r>
              <w:rPr>
                <w:rFonts w:hint="eastAsia" w:ascii="宋体" w:hAnsi="宋体" w:cs="宋体"/>
                <w:kern w:val="0"/>
                <w:sz w:val="24"/>
                <w:highlight w:val="none"/>
              </w:rPr>
              <w:t>；</w:t>
            </w:r>
          </w:p>
        </w:tc>
      </w:tr>
      <w:tr w14:paraId="59C24371">
        <w:tblPrEx>
          <w:tblCellMar>
            <w:top w:w="0" w:type="dxa"/>
            <w:left w:w="108" w:type="dxa"/>
            <w:bottom w:w="0" w:type="dxa"/>
            <w:right w:w="108" w:type="dxa"/>
          </w:tblCellMar>
        </w:tblPrEx>
        <w:trPr>
          <w:trHeight w:val="636" w:hRule="atLeast"/>
        </w:trPr>
        <w:tc>
          <w:tcPr>
            <w:tcW w:w="960" w:type="dxa"/>
            <w:tcBorders>
              <w:top w:val="nil"/>
              <w:left w:val="single" w:color="auto" w:sz="8" w:space="0"/>
              <w:bottom w:val="single" w:color="auto" w:sz="8" w:space="0"/>
              <w:right w:val="single" w:color="auto" w:sz="8" w:space="0"/>
            </w:tcBorders>
            <w:vAlign w:val="center"/>
          </w:tcPr>
          <w:p w14:paraId="570825BE">
            <w:pPr>
              <w:widowControl/>
              <w:adjustRightInd/>
              <w:jc w:val="center"/>
              <w:rPr>
                <w:rFonts w:ascii="宋体" w:hAnsi="宋体" w:cs="宋体"/>
                <w:kern w:val="0"/>
                <w:sz w:val="24"/>
                <w:highlight w:val="none"/>
              </w:rPr>
            </w:pPr>
            <w:r>
              <w:rPr>
                <w:rFonts w:ascii="宋体" w:hAnsi="宋体" w:cs="宋体"/>
                <w:kern w:val="0"/>
                <w:sz w:val="24"/>
                <w:highlight w:val="none"/>
              </w:rPr>
              <w:t>60</w:t>
            </w:r>
          </w:p>
        </w:tc>
        <w:tc>
          <w:tcPr>
            <w:tcW w:w="1400" w:type="dxa"/>
            <w:vMerge w:val="restart"/>
            <w:tcBorders>
              <w:top w:val="nil"/>
              <w:left w:val="single" w:color="auto" w:sz="8" w:space="0"/>
              <w:bottom w:val="single" w:color="000000" w:sz="8" w:space="0"/>
              <w:right w:val="single" w:color="auto" w:sz="8" w:space="0"/>
            </w:tcBorders>
            <w:vAlign w:val="center"/>
          </w:tcPr>
          <w:p w14:paraId="5F4E0609">
            <w:pPr>
              <w:widowControl/>
              <w:adjustRightInd/>
              <w:jc w:val="center"/>
              <w:rPr>
                <w:rFonts w:ascii="宋体" w:hAnsi="宋体" w:cs="宋体"/>
                <w:kern w:val="0"/>
                <w:sz w:val="24"/>
                <w:highlight w:val="none"/>
              </w:rPr>
            </w:pPr>
            <w:r>
              <w:rPr>
                <w:rFonts w:hint="eastAsia" w:ascii="宋体" w:hAnsi="宋体" w:cs="宋体"/>
                <w:kern w:val="0"/>
                <w:sz w:val="24"/>
                <w:highlight w:val="none"/>
              </w:rPr>
              <w:t>▲整机可靠性要求</w:t>
            </w:r>
          </w:p>
        </w:tc>
        <w:tc>
          <w:tcPr>
            <w:tcW w:w="1420" w:type="dxa"/>
            <w:tcBorders>
              <w:top w:val="nil"/>
              <w:left w:val="nil"/>
              <w:bottom w:val="single" w:color="auto" w:sz="8" w:space="0"/>
              <w:right w:val="single" w:color="auto" w:sz="8" w:space="0"/>
            </w:tcBorders>
            <w:vAlign w:val="center"/>
          </w:tcPr>
          <w:p w14:paraId="68F7B087">
            <w:pPr>
              <w:widowControl/>
              <w:adjustRightInd/>
              <w:jc w:val="center"/>
              <w:rPr>
                <w:rFonts w:ascii="宋体" w:hAnsi="宋体" w:cs="宋体"/>
                <w:kern w:val="0"/>
                <w:sz w:val="24"/>
                <w:highlight w:val="none"/>
              </w:rPr>
            </w:pPr>
            <w:r>
              <w:rPr>
                <w:rFonts w:hint="eastAsia" w:ascii="宋体" w:hAnsi="宋体" w:cs="宋体"/>
                <w:kern w:val="0"/>
                <w:sz w:val="24"/>
                <w:highlight w:val="none"/>
              </w:rPr>
              <w:t>▲整机可靠性</w:t>
            </w:r>
          </w:p>
        </w:tc>
        <w:tc>
          <w:tcPr>
            <w:tcW w:w="5080" w:type="dxa"/>
            <w:tcBorders>
              <w:top w:val="nil"/>
              <w:left w:val="nil"/>
              <w:bottom w:val="single" w:color="auto" w:sz="8" w:space="0"/>
              <w:right w:val="single" w:color="auto" w:sz="8" w:space="0"/>
            </w:tcBorders>
            <w:vAlign w:val="center"/>
          </w:tcPr>
          <w:p w14:paraId="1CFA58BE">
            <w:pPr>
              <w:widowControl/>
              <w:adjustRightInd/>
              <w:rPr>
                <w:rFonts w:ascii="宋体" w:hAnsi="宋体" w:cs="宋体"/>
                <w:kern w:val="0"/>
                <w:sz w:val="24"/>
                <w:highlight w:val="none"/>
              </w:rPr>
            </w:pPr>
            <w:r>
              <w:rPr>
                <w:rFonts w:ascii="宋体" w:hAnsi="宋体" w:cs="宋体"/>
                <w:kern w:val="0"/>
                <w:sz w:val="24"/>
                <w:highlight w:val="none"/>
              </w:rPr>
              <w:t xml:space="preserve">m1 </w:t>
            </w:r>
            <w:r>
              <w:rPr>
                <w:rFonts w:hint="eastAsia" w:ascii="宋体" w:hAnsi="宋体" w:cs="宋体"/>
                <w:kern w:val="0"/>
                <w:sz w:val="24"/>
                <w:highlight w:val="none"/>
              </w:rPr>
              <w:t>值（</w:t>
            </w:r>
            <w:r>
              <w:rPr>
                <w:rFonts w:ascii="宋体" w:hAnsi="宋体" w:cs="宋体"/>
                <w:kern w:val="0"/>
                <w:sz w:val="24"/>
                <w:highlight w:val="none"/>
              </w:rPr>
              <w:t xml:space="preserve">MTBF </w:t>
            </w:r>
            <w:r>
              <w:rPr>
                <w:rFonts w:hint="eastAsia" w:ascii="宋体" w:hAnsi="宋体" w:cs="宋体"/>
                <w:kern w:val="0"/>
                <w:sz w:val="24"/>
                <w:highlight w:val="none"/>
              </w:rPr>
              <w:t>的不可接受值）≥</w:t>
            </w:r>
            <w:r>
              <w:rPr>
                <w:rFonts w:ascii="宋体" w:hAnsi="宋体" w:cs="宋体"/>
                <w:kern w:val="0"/>
                <w:sz w:val="24"/>
                <w:highlight w:val="none"/>
              </w:rPr>
              <w:t>100000h</w:t>
            </w:r>
            <w:r>
              <w:rPr>
                <w:rFonts w:hint="eastAsia" w:ascii="宋体" w:hAnsi="宋体" w:cs="宋体"/>
                <w:kern w:val="0"/>
                <w:sz w:val="24"/>
                <w:highlight w:val="none"/>
              </w:rPr>
              <w:t>；</w:t>
            </w:r>
          </w:p>
        </w:tc>
      </w:tr>
      <w:tr w14:paraId="0BB0EC15">
        <w:tblPrEx>
          <w:tblCellMar>
            <w:top w:w="0" w:type="dxa"/>
            <w:left w:w="108" w:type="dxa"/>
            <w:bottom w:w="0" w:type="dxa"/>
            <w:right w:w="108" w:type="dxa"/>
          </w:tblCellMar>
        </w:tblPrEx>
        <w:trPr>
          <w:trHeight w:val="636" w:hRule="atLeast"/>
        </w:trPr>
        <w:tc>
          <w:tcPr>
            <w:tcW w:w="960" w:type="dxa"/>
            <w:tcBorders>
              <w:top w:val="nil"/>
              <w:left w:val="single" w:color="auto" w:sz="8" w:space="0"/>
              <w:bottom w:val="single" w:color="auto" w:sz="8" w:space="0"/>
              <w:right w:val="single" w:color="auto" w:sz="8" w:space="0"/>
            </w:tcBorders>
            <w:vAlign w:val="center"/>
          </w:tcPr>
          <w:p w14:paraId="2F0553A2">
            <w:pPr>
              <w:widowControl/>
              <w:adjustRightInd/>
              <w:jc w:val="center"/>
              <w:rPr>
                <w:rFonts w:ascii="宋体" w:hAnsi="宋体" w:cs="宋体"/>
                <w:kern w:val="0"/>
                <w:sz w:val="24"/>
                <w:highlight w:val="none"/>
              </w:rPr>
            </w:pPr>
            <w:r>
              <w:rPr>
                <w:rFonts w:ascii="宋体" w:hAnsi="宋体" w:cs="宋体"/>
                <w:kern w:val="0"/>
                <w:sz w:val="24"/>
                <w:highlight w:val="none"/>
              </w:rPr>
              <w:t>61</w:t>
            </w:r>
          </w:p>
        </w:tc>
        <w:tc>
          <w:tcPr>
            <w:tcW w:w="1400" w:type="dxa"/>
            <w:vMerge w:val="continue"/>
            <w:tcBorders>
              <w:top w:val="nil"/>
              <w:left w:val="single" w:color="auto" w:sz="8" w:space="0"/>
              <w:bottom w:val="single" w:color="000000" w:sz="8" w:space="0"/>
              <w:right w:val="single" w:color="auto" w:sz="8" w:space="0"/>
            </w:tcBorders>
            <w:vAlign w:val="center"/>
          </w:tcPr>
          <w:p w14:paraId="3DE871FB">
            <w:pPr>
              <w:widowControl/>
              <w:adjustRightInd/>
              <w:jc w:val="left"/>
              <w:rPr>
                <w:rFonts w:ascii="宋体" w:hAnsi="宋体" w:cs="宋体"/>
                <w:kern w:val="0"/>
                <w:sz w:val="24"/>
                <w:highlight w:val="none"/>
              </w:rPr>
            </w:pPr>
          </w:p>
        </w:tc>
        <w:tc>
          <w:tcPr>
            <w:tcW w:w="1420" w:type="dxa"/>
            <w:tcBorders>
              <w:top w:val="nil"/>
              <w:left w:val="nil"/>
              <w:bottom w:val="single" w:color="auto" w:sz="8" w:space="0"/>
              <w:right w:val="single" w:color="auto" w:sz="8" w:space="0"/>
            </w:tcBorders>
            <w:vAlign w:val="center"/>
          </w:tcPr>
          <w:p w14:paraId="03ABFF5A">
            <w:pPr>
              <w:widowControl/>
              <w:adjustRightInd/>
              <w:jc w:val="center"/>
              <w:rPr>
                <w:rFonts w:ascii="宋体" w:hAnsi="宋体" w:cs="宋体"/>
                <w:kern w:val="0"/>
                <w:sz w:val="24"/>
                <w:highlight w:val="none"/>
              </w:rPr>
            </w:pPr>
            <w:r>
              <w:rPr>
                <w:rFonts w:hint="eastAsia" w:ascii="宋体" w:hAnsi="宋体" w:cs="宋体"/>
                <w:kern w:val="0"/>
                <w:sz w:val="24"/>
                <w:highlight w:val="none"/>
              </w:rPr>
              <w:t>▲风扇可靠性</w:t>
            </w:r>
          </w:p>
        </w:tc>
        <w:tc>
          <w:tcPr>
            <w:tcW w:w="5080" w:type="dxa"/>
            <w:tcBorders>
              <w:top w:val="nil"/>
              <w:left w:val="nil"/>
              <w:bottom w:val="single" w:color="auto" w:sz="8" w:space="0"/>
              <w:right w:val="single" w:color="auto" w:sz="8" w:space="0"/>
            </w:tcBorders>
            <w:vAlign w:val="center"/>
          </w:tcPr>
          <w:p w14:paraId="62CFDC7F">
            <w:pPr>
              <w:widowControl/>
              <w:adjustRightInd/>
              <w:rPr>
                <w:rFonts w:ascii="宋体" w:hAnsi="宋体" w:cs="宋体"/>
                <w:kern w:val="0"/>
                <w:sz w:val="24"/>
                <w:highlight w:val="none"/>
              </w:rPr>
            </w:pPr>
            <w:r>
              <w:rPr>
                <w:rFonts w:hint="eastAsia" w:ascii="宋体" w:hAnsi="宋体" w:cs="宋体"/>
                <w:kern w:val="0"/>
                <w:sz w:val="24"/>
                <w:highlight w:val="none"/>
              </w:rPr>
              <w:t>风扇寿命≥</w:t>
            </w:r>
            <w:r>
              <w:rPr>
                <w:rFonts w:ascii="宋体" w:hAnsi="宋体" w:cs="宋体"/>
                <w:kern w:val="0"/>
                <w:sz w:val="24"/>
                <w:highlight w:val="none"/>
              </w:rPr>
              <w:t xml:space="preserve"> 40000h</w:t>
            </w:r>
          </w:p>
        </w:tc>
      </w:tr>
      <w:tr w14:paraId="68DF1A50">
        <w:tblPrEx>
          <w:tblCellMar>
            <w:top w:w="0" w:type="dxa"/>
            <w:left w:w="108" w:type="dxa"/>
            <w:bottom w:w="0" w:type="dxa"/>
            <w:right w:w="108" w:type="dxa"/>
          </w:tblCellMar>
        </w:tblPrEx>
        <w:trPr>
          <w:trHeight w:val="636" w:hRule="atLeast"/>
        </w:trPr>
        <w:tc>
          <w:tcPr>
            <w:tcW w:w="960" w:type="dxa"/>
            <w:tcBorders>
              <w:top w:val="nil"/>
              <w:left w:val="single" w:color="auto" w:sz="8" w:space="0"/>
              <w:bottom w:val="single" w:color="auto" w:sz="8" w:space="0"/>
              <w:right w:val="single" w:color="auto" w:sz="8" w:space="0"/>
            </w:tcBorders>
            <w:vAlign w:val="center"/>
          </w:tcPr>
          <w:p w14:paraId="7B76A2F2">
            <w:pPr>
              <w:widowControl/>
              <w:adjustRightInd/>
              <w:jc w:val="center"/>
              <w:rPr>
                <w:rFonts w:ascii="宋体" w:hAnsi="宋体" w:cs="宋体"/>
                <w:kern w:val="0"/>
                <w:sz w:val="24"/>
                <w:highlight w:val="none"/>
              </w:rPr>
            </w:pPr>
            <w:r>
              <w:rPr>
                <w:rFonts w:ascii="宋体" w:hAnsi="宋体" w:cs="宋体"/>
                <w:kern w:val="0"/>
                <w:sz w:val="24"/>
                <w:highlight w:val="none"/>
              </w:rPr>
              <w:t>62</w:t>
            </w:r>
          </w:p>
        </w:tc>
        <w:tc>
          <w:tcPr>
            <w:tcW w:w="1400" w:type="dxa"/>
            <w:vMerge w:val="continue"/>
            <w:tcBorders>
              <w:top w:val="nil"/>
              <w:left w:val="single" w:color="auto" w:sz="8" w:space="0"/>
              <w:bottom w:val="single" w:color="000000" w:sz="8" w:space="0"/>
              <w:right w:val="single" w:color="auto" w:sz="8" w:space="0"/>
            </w:tcBorders>
            <w:vAlign w:val="center"/>
          </w:tcPr>
          <w:p w14:paraId="44C0ACC2">
            <w:pPr>
              <w:widowControl/>
              <w:adjustRightInd/>
              <w:jc w:val="left"/>
              <w:rPr>
                <w:rFonts w:ascii="宋体" w:hAnsi="宋体" w:cs="宋体"/>
                <w:kern w:val="0"/>
                <w:sz w:val="24"/>
                <w:highlight w:val="none"/>
              </w:rPr>
            </w:pPr>
          </w:p>
        </w:tc>
        <w:tc>
          <w:tcPr>
            <w:tcW w:w="1420" w:type="dxa"/>
            <w:tcBorders>
              <w:top w:val="nil"/>
              <w:left w:val="nil"/>
              <w:bottom w:val="single" w:color="auto" w:sz="8" w:space="0"/>
              <w:right w:val="single" w:color="auto" w:sz="8" w:space="0"/>
            </w:tcBorders>
            <w:vAlign w:val="center"/>
          </w:tcPr>
          <w:p w14:paraId="62B85E11">
            <w:pPr>
              <w:widowControl/>
              <w:adjustRightInd/>
              <w:jc w:val="center"/>
              <w:rPr>
                <w:rFonts w:ascii="宋体" w:hAnsi="宋体" w:cs="宋体"/>
                <w:kern w:val="0"/>
                <w:sz w:val="24"/>
                <w:highlight w:val="none"/>
              </w:rPr>
            </w:pPr>
            <w:r>
              <w:rPr>
                <w:rFonts w:hint="eastAsia" w:ascii="宋体" w:hAnsi="宋体" w:cs="宋体"/>
                <w:kern w:val="0"/>
                <w:sz w:val="24"/>
                <w:highlight w:val="none"/>
              </w:rPr>
              <w:t>▲部件可靠性</w:t>
            </w:r>
          </w:p>
        </w:tc>
        <w:tc>
          <w:tcPr>
            <w:tcW w:w="5080" w:type="dxa"/>
            <w:tcBorders>
              <w:top w:val="nil"/>
              <w:left w:val="nil"/>
              <w:bottom w:val="single" w:color="auto" w:sz="8" w:space="0"/>
              <w:right w:val="single" w:color="auto" w:sz="8" w:space="0"/>
            </w:tcBorders>
            <w:vAlign w:val="center"/>
          </w:tcPr>
          <w:p w14:paraId="5B4C67A7">
            <w:pPr>
              <w:widowControl/>
              <w:adjustRightInd/>
              <w:rPr>
                <w:rFonts w:ascii="宋体" w:hAnsi="宋体" w:cs="宋体"/>
                <w:kern w:val="0"/>
                <w:sz w:val="24"/>
                <w:highlight w:val="none"/>
              </w:rPr>
            </w:pPr>
            <w:r>
              <w:rPr>
                <w:rFonts w:hint="eastAsia" w:ascii="宋体" w:hAnsi="宋体" w:cs="宋体"/>
                <w:kern w:val="0"/>
                <w:sz w:val="24"/>
                <w:highlight w:val="none"/>
              </w:rPr>
              <w:t>支持硬盘、电源、风扇热插拔</w:t>
            </w:r>
            <w:r>
              <w:rPr>
                <w:rFonts w:ascii="宋体" w:hAnsi="宋体" w:cs="宋体"/>
                <w:kern w:val="0"/>
                <w:sz w:val="24"/>
                <w:highlight w:val="none"/>
              </w:rPr>
              <w:t>(内置风扇除外)</w:t>
            </w:r>
          </w:p>
        </w:tc>
      </w:tr>
      <w:tr w14:paraId="277B7528">
        <w:tblPrEx>
          <w:tblCellMar>
            <w:top w:w="0" w:type="dxa"/>
            <w:left w:w="108" w:type="dxa"/>
            <w:bottom w:w="0" w:type="dxa"/>
            <w:right w:w="108" w:type="dxa"/>
          </w:tblCellMar>
        </w:tblPrEx>
        <w:trPr>
          <w:trHeight w:val="948" w:hRule="atLeast"/>
        </w:trPr>
        <w:tc>
          <w:tcPr>
            <w:tcW w:w="960" w:type="dxa"/>
            <w:tcBorders>
              <w:top w:val="nil"/>
              <w:left w:val="single" w:color="auto" w:sz="8" w:space="0"/>
              <w:bottom w:val="single" w:color="auto" w:sz="8" w:space="0"/>
              <w:right w:val="single" w:color="auto" w:sz="8" w:space="0"/>
            </w:tcBorders>
            <w:vAlign w:val="center"/>
          </w:tcPr>
          <w:p w14:paraId="3CA5173C">
            <w:pPr>
              <w:widowControl/>
              <w:adjustRightInd/>
              <w:jc w:val="center"/>
              <w:rPr>
                <w:rFonts w:ascii="宋体" w:hAnsi="宋体" w:cs="宋体"/>
                <w:kern w:val="0"/>
                <w:sz w:val="24"/>
                <w:highlight w:val="none"/>
              </w:rPr>
            </w:pPr>
            <w:r>
              <w:rPr>
                <w:rFonts w:ascii="宋体" w:hAnsi="宋体" w:cs="宋体"/>
                <w:kern w:val="0"/>
                <w:sz w:val="24"/>
                <w:highlight w:val="none"/>
              </w:rPr>
              <w:t>63</w:t>
            </w:r>
          </w:p>
        </w:tc>
        <w:tc>
          <w:tcPr>
            <w:tcW w:w="1400" w:type="dxa"/>
            <w:tcBorders>
              <w:top w:val="nil"/>
              <w:left w:val="nil"/>
              <w:bottom w:val="single" w:color="auto" w:sz="8" w:space="0"/>
              <w:right w:val="single" w:color="auto" w:sz="8" w:space="0"/>
            </w:tcBorders>
            <w:vAlign w:val="center"/>
          </w:tcPr>
          <w:p w14:paraId="762F28CE">
            <w:pPr>
              <w:widowControl/>
              <w:adjustRightInd/>
              <w:jc w:val="center"/>
              <w:rPr>
                <w:rFonts w:ascii="宋体" w:hAnsi="宋体" w:cs="宋体"/>
                <w:kern w:val="0"/>
                <w:sz w:val="24"/>
                <w:highlight w:val="none"/>
              </w:rPr>
            </w:pPr>
            <w:r>
              <w:rPr>
                <w:rFonts w:hint="eastAsia" w:ascii="宋体" w:hAnsi="宋体" w:cs="宋体"/>
                <w:kern w:val="0"/>
                <w:sz w:val="24"/>
                <w:highlight w:val="none"/>
              </w:rPr>
              <w:t>▲包装及运输要求</w:t>
            </w:r>
          </w:p>
        </w:tc>
        <w:tc>
          <w:tcPr>
            <w:tcW w:w="1420" w:type="dxa"/>
            <w:tcBorders>
              <w:top w:val="nil"/>
              <w:left w:val="nil"/>
              <w:bottom w:val="single" w:color="auto" w:sz="8" w:space="0"/>
              <w:right w:val="single" w:color="auto" w:sz="8" w:space="0"/>
            </w:tcBorders>
            <w:vAlign w:val="center"/>
          </w:tcPr>
          <w:p w14:paraId="7A105EA9">
            <w:pPr>
              <w:widowControl/>
              <w:adjustRightInd/>
              <w:jc w:val="center"/>
              <w:rPr>
                <w:rFonts w:ascii="宋体" w:hAnsi="宋体" w:cs="宋体"/>
                <w:kern w:val="0"/>
                <w:sz w:val="24"/>
                <w:highlight w:val="none"/>
              </w:rPr>
            </w:pPr>
            <w:r>
              <w:rPr>
                <w:rFonts w:hint="eastAsia" w:ascii="宋体" w:hAnsi="宋体" w:cs="宋体"/>
                <w:kern w:val="0"/>
                <w:sz w:val="24"/>
                <w:highlight w:val="none"/>
              </w:rPr>
              <w:t>▲标志、包装、运输和贮存</w:t>
            </w:r>
          </w:p>
        </w:tc>
        <w:tc>
          <w:tcPr>
            <w:tcW w:w="5080" w:type="dxa"/>
            <w:tcBorders>
              <w:top w:val="nil"/>
              <w:left w:val="nil"/>
              <w:bottom w:val="single" w:color="auto" w:sz="8" w:space="0"/>
              <w:right w:val="single" w:color="auto" w:sz="8" w:space="0"/>
            </w:tcBorders>
            <w:vAlign w:val="center"/>
          </w:tcPr>
          <w:p w14:paraId="7EA47D94">
            <w:pPr>
              <w:widowControl/>
              <w:adjustRightInd/>
              <w:rPr>
                <w:rFonts w:ascii="宋体" w:hAnsi="宋体" w:cs="宋体"/>
                <w:kern w:val="0"/>
                <w:sz w:val="24"/>
                <w:highlight w:val="none"/>
              </w:rPr>
            </w:pPr>
            <w:r>
              <w:rPr>
                <w:rFonts w:hint="eastAsia" w:ascii="宋体" w:hAnsi="宋体" w:cs="宋体"/>
                <w:kern w:val="0"/>
                <w:sz w:val="24"/>
                <w:highlight w:val="none"/>
              </w:rPr>
              <w:t>符合</w:t>
            </w:r>
            <w:r>
              <w:rPr>
                <w:rFonts w:ascii="宋体" w:hAnsi="宋体" w:cs="宋体"/>
                <w:kern w:val="0"/>
                <w:sz w:val="24"/>
                <w:highlight w:val="none"/>
              </w:rPr>
              <w:t xml:space="preserve"> GB/T 9813.3 </w:t>
            </w:r>
            <w:r>
              <w:rPr>
                <w:rFonts w:hint="eastAsia" w:ascii="宋体" w:hAnsi="宋体" w:cs="宋体"/>
                <w:kern w:val="0"/>
                <w:sz w:val="24"/>
                <w:highlight w:val="none"/>
              </w:rPr>
              <w:t>和商品包装政府采购需求标准的相关规定</w:t>
            </w:r>
          </w:p>
        </w:tc>
      </w:tr>
      <w:tr w14:paraId="2967B44B">
        <w:tblPrEx>
          <w:tblCellMar>
            <w:top w:w="0" w:type="dxa"/>
            <w:left w:w="108" w:type="dxa"/>
            <w:bottom w:w="0" w:type="dxa"/>
            <w:right w:w="108" w:type="dxa"/>
          </w:tblCellMar>
        </w:tblPrEx>
        <w:trPr>
          <w:trHeight w:val="2820" w:hRule="atLeast"/>
        </w:trPr>
        <w:tc>
          <w:tcPr>
            <w:tcW w:w="960" w:type="dxa"/>
            <w:tcBorders>
              <w:top w:val="nil"/>
              <w:left w:val="single" w:color="auto" w:sz="8" w:space="0"/>
              <w:bottom w:val="single" w:color="auto" w:sz="8" w:space="0"/>
              <w:right w:val="single" w:color="auto" w:sz="8" w:space="0"/>
            </w:tcBorders>
            <w:vAlign w:val="center"/>
          </w:tcPr>
          <w:p w14:paraId="04143A51">
            <w:pPr>
              <w:widowControl/>
              <w:adjustRightInd/>
              <w:jc w:val="center"/>
              <w:rPr>
                <w:rFonts w:ascii="宋体" w:hAnsi="宋体" w:cs="宋体"/>
                <w:kern w:val="0"/>
                <w:sz w:val="24"/>
                <w:highlight w:val="none"/>
              </w:rPr>
            </w:pPr>
            <w:r>
              <w:rPr>
                <w:rFonts w:ascii="宋体" w:hAnsi="宋体" w:cs="宋体"/>
                <w:kern w:val="0"/>
                <w:sz w:val="24"/>
                <w:highlight w:val="none"/>
              </w:rPr>
              <w:t>64</w:t>
            </w:r>
          </w:p>
        </w:tc>
        <w:tc>
          <w:tcPr>
            <w:tcW w:w="1400" w:type="dxa"/>
            <w:vMerge w:val="restart"/>
            <w:tcBorders>
              <w:top w:val="nil"/>
              <w:left w:val="single" w:color="auto" w:sz="8" w:space="0"/>
              <w:bottom w:val="single" w:color="000000" w:sz="8" w:space="0"/>
              <w:right w:val="single" w:color="auto" w:sz="8" w:space="0"/>
            </w:tcBorders>
            <w:vAlign w:val="center"/>
          </w:tcPr>
          <w:p w14:paraId="53F81E62">
            <w:pPr>
              <w:widowControl/>
              <w:adjustRightInd/>
              <w:jc w:val="center"/>
              <w:rPr>
                <w:rFonts w:ascii="宋体" w:hAnsi="宋体" w:cs="宋体"/>
                <w:kern w:val="0"/>
                <w:sz w:val="24"/>
                <w:highlight w:val="none"/>
              </w:rPr>
            </w:pPr>
            <w:r>
              <w:rPr>
                <w:rFonts w:hint="eastAsia" w:ascii="宋体" w:hAnsi="宋体" w:cs="宋体"/>
                <w:kern w:val="0"/>
                <w:sz w:val="24"/>
                <w:highlight w:val="none"/>
              </w:rPr>
              <w:t>▲服务响应</w:t>
            </w:r>
          </w:p>
        </w:tc>
        <w:tc>
          <w:tcPr>
            <w:tcW w:w="1420" w:type="dxa"/>
            <w:tcBorders>
              <w:top w:val="nil"/>
              <w:left w:val="nil"/>
              <w:bottom w:val="single" w:color="auto" w:sz="8" w:space="0"/>
              <w:right w:val="single" w:color="auto" w:sz="8" w:space="0"/>
            </w:tcBorders>
            <w:vAlign w:val="center"/>
          </w:tcPr>
          <w:p w14:paraId="2BFA9322">
            <w:pPr>
              <w:widowControl/>
              <w:adjustRightInd/>
              <w:jc w:val="center"/>
              <w:rPr>
                <w:rFonts w:ascii="宋体" w:hAnsi="宋体" w:cs="宋体"/>
                <w:kern w:val="0"/>
                <w:sz w:val="24"/>
                <w:highlight w:val="none"/>
              </w:rPr>
            </w:pPr>
            <w:r>
              <w:rPr>
                <w:rFonts w:hint="eastAsia" w:ascii="宋体" w:hAnsi="宋体" w:cs="宋体"/>
                <w:kern w:val="0"/>
                <w:sz w:val="24"/>
                <w:highlight w:val="none"/>
              </w:rPr>
              <w:t>▲服务响应</w:t>
            </w:r>
          </w:p>
        </w:tc>
        <w:tc>
          <w:tcPr>
            <w:tcW w:w="5080" w:type="dxa"/>
            <w:tcBorders>
              <w:top w:val="nil"/>
              <w:left w:val="nil"/>
              <w:bottom w:val="single" w:color="auto" w:sz="8" w:space="0"/>
              <w:right w:val="single" w:color="auto" w:sz="8" w:space="0"/>
            </w:tcBorders>
            <w:vAlign w:val="center"/>
          </w:tcPr>
          <w:p w14:paraId="2EE92692">
            <w:pPr>
              <w:widowControl/>
              <w:adjustRightInd/>
              <w:rPr>
                <w:rFonts w:ascii="宋体" w:hAnsi="宋体" w:cs="宋体"/>
                <w:kern w:val="0"/>
                <w:sz w:val="24"/>
                <w:highlight w:val="none"/>
              </w:rPr>
            </w:pPr>
            <w:r>
              <w:rPr>
                <w:rFonts w:ascii="宋体" w:hAnsi="宋体" w:cs="宋体"/>
                <w:kern w:val="0"/>
                <w:sz w:val="24"/>
                <w:highlight w:val="none"/>
              </w:rPr>
              <w:t xml:space="preserve">a) </w:t>
            </w:r>
            <w:r>
              <w:rPr>
                <w:rFonts w:hint="eastAsia" w:ascii="宋体" w:hAnsi="宋体" w:cs="宋体"/>
                <w:kern w:val="0"/>
                <w:sz w:val="24"/>
                <w:highlight w:val="none"/>
              </w:rPr>
              <w:t>提供电话、电子邮件、远程连接等多种形式服务；</w:t>
            </w:r>
            <w:r>
              <w:rPr>
                <w:rFonts w:ascii="宋体" w:hAnsi="宋体" w:cs="宋体"/>
                <w:kern w:val="0"/>
                <w:sz w:val="24"/>
                <w:highlight w:val="none"/>
              </w:rPr>
              <w:t xml:space="preserve">b) </w:t>
            </w:r>
            <w:r>
              <w:rPr>
                <w:rFonts w:hint="eastAsia" w:ascii="宋体" w:hAnsi="宋体" w:cs="宋体"/>
                <w:kern w:val="0"/>
                <w:sz w:val="24"/>
                <w:highlight w:val="none"/>
              </w:rPr>
              <w:t>提供同城</w:t>
            </w:r>
            <w:r>
              <w:rPr>
                <w:rFonts w:ascii="宋体" w:hAnsi="宋体" w:cs="宋体"/>
                <w:kern w:val="0"/>
                <w:sz w:val="24"/>
                <w:highlight w:val="none"/>
              </w:rPr>
              <w:t xml:space="preserve"> 4h、异地 12h </w:t>
            </w:r>
            <w:r>
              <w:rPr>
                <w:rFonts w:hint="eastAsia" w:ascii="宋体" w:hAnsi="宋体" w:cs="宋体"/>
                <w:kern w:val="0"/>
                <w:sz w:val="24"/>
                <w:highlight w:val="none"/>
              </w:rPr>
              <w:t>技术响应服务，</w:t>
            </w:r>
            <w:r>
              <w:rPr>
                <w:rFonts w:ascii="宋体" w:hAnsi="宋体" w:cs="宋体"/>
                <w:kern w:val="0"/>
                <w:sz w:val="24"/>
                <w:highlight w:val="none"/>
              </w:rPr>
              <w:t xml:space="preserve">2 </w:t>
            </w:r>
            <w:r>
              <w:rPr>
                <w:rFonts w:hint="eastAsia" w:ascii="宋体" w:hAnsi="宋体" w:cs="宋体"/>
                <w:kern w:val="0"/>
                <w:sz w:val="24"/>
                <w:highlight w:val="none"/>
              </w:rPr>
              <w:t>个工作日解决问题，对于未能解决的问题和故障应提供可行的升级方案，并提供周转设备；</w:t>
            </w:r>
            <w:r>
              <w:rPr>
                <w:rFonts w:ascii="宋体" w:hAnsi="宋体" w:cs="宋体"/>
                <w:kern w:val="0"/>
                <w:sz w:val="24"/>
                <w:highlight w:val="none"/>
              </w:rPr>
              <w:t xml:space="preserve">c) </w:t>
            </w:r>
            <w:r>
              <w:rPr>
                <w:rFonts w:hint="eastAsia" w:ascii="宋体" w:hAnsi="宋体" w:cs="宋体"/>
                <w:kern w:val="0"/>
                <w:sz w:val="24"/>
                <w:highlight w:val="none"/>
              </w:rPr>
              <w:t>建立全国技术服务体系和服务团体，符合专业服务体系标准要求，提供原厂中文服务；</w:t>
            </w:r>
            <w:r>
              <w:rPr>
                <w:rFonts w:ascii="宋体" w:hAnsi="宋体" w:cs="宋体"/>
                <w:kern w:val="0"/>
                <w:sz w:val="24"/>
                <w:highlight w:val="none"/>
              </w:rPr>
              <w:t xml:space="preserve">d) </w:t>
            </w:r>
            <w:r>
              <w:rPr>
                <w:rFonts w:hint="eastAsia" w:ascii="宋体" w:hAnsi="宋体" w:cs="宋体"/>
                <w:kern w:val="0"/>
                <w:sz w:val="24"/>
                <w:highlight w:val="none"/>
              </w:rPr>
              <w:t>服务周期内提供产品的维修、换件和升级服务</w:t>
            </w:r>
          </w:p>
        </w:tc>
      </w:tr>
      <w:tr w14:paraId="5EA4AEB5">
        <w:tblPrEx>
          <w:tblCellMar>
            <w:top w:w="0" w:type="dxa"/>
            <w:left w:w="108" w:type="dxa"/>
            <w:bottom w:w="0" w:type="dxa"/>
            <w:right w:w="108" w:type="dxa"/>
          </w:tblCellMar>
        </w:tblPrEx>
        <w:trPr>
          <w:trHeight w:val="636" w:hRule="atLeast"/>
        </w:trPr>
        <w:tc>
          <w:tcPr>
            <w:tcW w:w="960" w:type="dxa"/>
            <w:tcBorders>
              <w:top w:val="nil"/>
              <w:left w:val="single" w:color="auto" w:sz="8" w:space="0"/>
              <w:bottom w:val="single" w:color="auto" w:sz="8" w:space="0"/>
              <w:right w:val="single" w:color="auto" w:sz="8" w:space="0"/>
            </w:tcBorders>
            <w:vAlign w:val="center"/>
          </w:tcPr>
          <w:p w14:paraId="23E70765">
            <w:pPr>
              <w:widowControl/>
              <w:adjustRightInd/>
              <w:jc w:val="center"/>
              <w:rPr>
                <w:rFonts w:ascii="宋体" w:hAnsi="宋体" w:cs="宋体"/>
                <w:kern w:val="0"/>
                <w:sz w:val="24"/>
                <w:highlight w:val="none"/>
              </w:rPr>
            </w:pPr>
            <w:r>
              <w:rPr>
                <w:rFonts w:ascii="宋体" w:hAnsi="宋体" w:cs="宋体"/>
                <w:kern w:val="0"/>
                <w:sz w:val="24"/>
                <w:highlight w:val="none"/>
              </w:rPr>
              <w:t>65</w:t>
            </w:r>
          </w:p>
        </w:tc>
        <w:tc>
          <w:tcPr>
            <w:tcW w:w="1400" w:type="dxa"/>
            <w:vMerge w:val="continue"/>
            <w:tcBorders>
              <w:top w:val="nil"/>
              <w:left w:val="single" w:color="auto" w:sz="8" w:space="0"/>
              <w:bottom w:val="single" w:color="000000" w:sz="8" w:space="0"/>
              <w:right w:val="single" w:color="auto" w:sz="8" w:space="0"/>
            </w:tcBorders>
            <w:vAlign w:val="center"/>
          </w:tcPr>
          <w:p w14:paraId="67C86485">
            <w:pPr>
              <w:widowControl/>
              <w:adjustRightInd/>
              <w:jc w:val="left"/>
              <w:rPr>
                <w:rFonts w:ascii="宋体" w:hAnsi="宋体" w:cs="宋体"/>
                <w:kern w:val="0"/>
                <w:sz w:val="24"/>
                <w:highlight w:val="none"/>
              </w:rPr>
            </w:pPr>
          </w:p>
        </w:tc>
        <w:tc>
          <w:tcPr>
            <w:tcW w:w="1420" w:type="dxa"/>
            <w:tcBorders>
              <w:top w:val="nil"/>
              <w:left w:val="nil"/>
              <w:bottom w:val="single" w:color="auto" w:sz="8" w:space="0"/>
              <w:right w:val="single" w:color="auto" w:sz="8" w:space="0"/>
            </w:tcBorders>
            <w:vAlign w:val="center"/>
          </w:tcPr>
          <w:p w14:paraId="68946D0F">
            <w:pPr>
              <w:widowControl/>
              <w:adjustRightInd/>
              <w:jc w:val="center"/>
              <w:rPr>
                <w:rFonts w:ascii="宋体" w:hAnsi="宋体" w:cs="宋体"/>
                <w:kern w:val="0"/>
                <w:sz w:val="24"/>
                <w:highlight w:val="none"/>
              </w:rPr>
            </w:pPr>
            <w:r>
              <w:rPr>
                <w:rFonts w:hint="eastAsia" w:ascii="宋体" w:hAnsi="宋体" w:cs="宋体"/>
                <w:kern w:val="0"/>
                <w:sz w:val="24"/>
                <w:highlight w:val="none"/>
              </w:rPr>
              <w:t>▲培训服务</w:t>
            </w:r>
          </w:p>
        </w:tc>
        <w:tc>
          <w:tcPr>
            <w:tcW w:w="5080" w:type="dxa"/>
            <w:tcBorders>
              <w:top w:val="nil"/>
              <w:left w:val="nil"/>
              <w:bottom w:val="nil"/>
              <w:right w:val="single" w:color="auto" w:sz="8" w:space="0"/>
            </w:tcBorders>
            <w:vAlign w:val="center"/>
          </w:tcPr>
          <w:p w14:paraId="3B096F65">
            <w:pPr>
              <w:widowControl/>
              <w:adjustRightInd/>
              <w:rPr>
                <w:rFonts w:ascii="宋体" w:hAnsi="宋体" w:cs="宋体"/>
                <w:kern w:val="0"/>
                <w:sz w:val="24"/>
                <w:highlight w:val="none"/>
              </w:rPr>
            </w:pPr>
            <w:r>
              <w:rPr>
                <w:rFonts w:hint="eastAsia" w:ascii="宋体" w:hAnsi="宋体" w:cs="宋体"/>
                <w:kern w:val="0"/>
                <w:sz w:val="24"/>
                <w:highlight w:val="none"/>
              </w:rPr>
              <w:t>供应商提供培训材料、产品手册、培训视频等培训相关内容</w:t>
            </w:r>
          </w:p>
        </w:tc>
      </w:tr>
      <w:tr w14:paraId="5E7C532D">
        <w:tblPrEx>
          <w:tblCellMar>
            <w:top w:w="0" w:type="dxa"/>
            <w:left w:w="108" w:type="dxa"/>
            <w:bottom w:w="0" w:type="dxa"/>
            <w:right w:w="108" w:type="dxa"/>
          </w:tblCellMar>
        </w:tblPrEx>
        <w:trPr>
          <w:trHeight w:val="624" w:hRule="atLeast"/>
        </w:trPr>
        <w:tc>
          <w:tcPr>
            <w:tcW w:w="960" w:type="dxa"/>
            <w:vMerge w:val="restart"/>
            <w:tcBorders>
              <w:top w:val="nil"/>
              <w:left w:val="single" w:color="auto" w:sz="8" w:space="0"/>
              <w:bottom w:val="single" w:color="000000" w:sz="8" w:space="0"/>
              <w:right w:val="single" w:color="auto" w:sz="8" w:space="0"/>
            </w:tcBorders>
            <w:vAlign w:val="center"/>
          </w:tcPr>
          <w:p w14:paraId="7EDA1E81">
            <w:pPr>
              <w:widowControl/>
              <w:adjustRightInd/>
              <w:jc w:val="center"/>
              <w:rPr>
                <w:rFonts w:ascii="宋体" w:hAnsi="宋体" w:cs="宋体"/>
                <w:kern w:val="0"/>
                <w:sz w:val="24"/>
                <w:highlight w:val="none"/>
              </w:rPr>
            </w:pPr>
            <w:r>
              <w:rPr>
                <w:rFonts w:ascii="宋体" w:hAnsi="宋体" w:cs="宋体"/>
                <w:kern w:val="0"/>
                <w:sz w:val="24"/>
                <w:highlight w:val="none"/>
              </w:rPr>
              <w:t>66</w:t>
            </w:r>
          </w:p>
        </w:tc>
        <w:tc>
          <w:tcPr>
            <w:tcW w:w="1400" w:type="dxa"/>
            <w:vMerge w:val="restart"/>
            <w:tcBorders>
              <w:top w:val="nil"/>
              <w:left w:val="single" w:color="auto" w:sz="8" w:space="0"/>
              <w:bottom w:val="single" w:color="000000" w:sz="8" w:space="0"/>
              <w:right w:val="single" w:color="auto" w:sz="8" w:space="0"/>
            </w:tcBorders>
            <w:vAlign w:val="center"/>
          </w:tcPr>
          <w:p w14:paraId="25F09B1D">
            <w:pPr>
              <w:widowControl/>
              <w:adjustRightInd/>
              <w:jc w:val="center"/>
              <w:rPr>
                <w:rFonts w:ascii="宋体" w:hAnsi="宋体" w:cs="宋体"/>
                <w:kern w:val="0"/>
                <w:sz w:val="24"/>
                <w:highlight w:val="none"/>
              </w:rPr>
            </w:pPr>
            <w:r>
              <w:rPr>
                <w:rFonts w:hint="eastAsia" w:ascii="宋体" w:hAnsi="宋体" w:cs="宋体"/>
                <w:kern w:val="0"/>
                <w:sz w:val="24"/>
                <w:highlight w:val="none"/>
              </w:rPr>
              <w:t>▲服务周期</w:t>
            </w:r>
          </w:p>
        </w:tc>
        <w:tc>
          <w:tcPr>
            <w:tcW w:w="1420" w:type="dxa"/>
            <w:vMerge w:val="restart"/>
            <w:tcBorders>
              <w:top w:val="nil"/>
              <w:left w:val="single" w:color="auto" w:sz="8" w:space="0"/>
              <w:bottom w:val="single" w:color="000000" w:sz="8" w:space="0"/>
              <w:right w:val="nil"/>
            </w:tcBorders>
            <w:vAlign w:val="center"/>
          </w:tcPr>
          <w:p w14:paraId="407FFC69">
            <w:pPr>
              <w:widowControl/>
              <w:adjustRightInd/>
              <w:jc w:val="center"/>
              <w:rPr>
                <w:rFonts w:ascii="宋体" w:hAnsi="宋体" w:cs="宋体"/>
                <w:kern w:val="0"/>
                <w:sz w:val="24"/>
                <w:highlight w:val="none"/>
              </w:rPr>
            </w:pPr>
            <w:r>
              <w:rPr>
                <w:rFonts w:hint="eastAsia" w:ascii="宋体" w:hAnsi="宋体" w:cs="宋体"/>
                <w:kern w:val="0"/>
                <w:sz w:val="24"/>
                <w:highlight w:val="none"/>
              </w:rPr>
              <w:t>▲服务周期</w:t>
            </w:r>
          </w:p>
        </w:tc>
        <w:tc>
          <w:tcPr>
            <w:tcW w:w="5080" w:type="dxa"/>
            <w:tcBorders>
              <w:top w:val="single" w:color="auto" w:sz="8" w:space="0"/>
              <w:left w:val="single" w:color="auto" w:sz="8" w:space="0"/>
              <w:bottom w:val="single" w:color="auto" w:sz="4" w:space="0"/>
              <w:right w:val="single" w:color="auto" w:sz="8" w:space="0"/>
            </w:tcBorders>
            <w:vAlign w:val="center"/>
          </w:tcPr>
          <w:p w14:paraId="573B30AA">
            <w:pPr>
              <w:widowControl/>
              <w:adjustRightInd/>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1）服务期内，提供服务（含换件和维修）；</w:t>
            </w:r>
          </w:p>
        </w:tc>
      </w:tr>
      <w:tr w14:paraId="6B28746F">
        <w:tblPrEx>
          <w:tblCellMar>
            <w:top w:w="0" w:type="dxa"/>
            <w:left w:w="108" w:type="dxa"/>
            <w:bottom w:w="0" w:type="dxa"/>
            <w:right w:w="108" w:type="dxa"/>
          </w:tblCellMar>
        </w:tblPrEx>
        <w:trPr>
          <w:trHeight w:val="936" w:hRule="atLeast"/>
        </w:trPr>
        <w:tc>
          <w:tcPr>
            <w:tcW w:w="960" w:type="dxa"/>
            <w:vMerge w:val="continue"/>
            <w:tcBorders>
              <w:top w:val="nil"/>
              <w:left w:val="single" w:color="auto" w:sz="8" w:space="0"/>
              <w:bottom w:val="single" w:color="000000" w:sz="8" w:space="0"/>
              <w:right w:val="single" w:color="auto" w:sz="8" w:space="0"/>
            </w:tcBorders>
            <w:vAlign w:val="center"/>
          </w:tcPr>
          <w:p w14:paraId="4DD70693">
            <w:pPr>
              <w:widowControl/>
              <w:adjustRightInd/>
              <w:jc w:val="left"/>
              <w:rPr>
                <w:rFonts w:ascii="宋体" w:hAnsi="宋体" w:cs="宋体"/>
                <w:kern w:val="0"/>
                <w:sz w:val="24"/>
                <w:highlight w:val="none"/>
              </w:rPr>
            </w:pPr>
          </w:p>
        </w:tc>
        <w:tc>
          <w:tcPr>
            <w:tcW w:w="1400" w:type="dxa"/>
            <w:vMerge w:val="continue"/>
            <w:tcBorders>
              <w:top w:val="nil"/>
              <w:left w:val="single" w:color="auto" w:sz="8" w:space="0"/>
              <w:bottom w:val="single" w:color="000000" w:sz="8" w:space="0"/>
              <w:right w:val="single" w:color="auto" w:sz="8" w:space="0"/>
            </w:tcBorders>
            <w:vAlign w:val="center"/>
          </w:tcPr>
          <w:p w14:paraId="05780B59">
            <w:pPr>
              <w:widowControl/>
              <w:adjustRightInd/>
              <w:jc w:val="left"/>
              <w:rPr>
                <w:rFonts w:ascii="宋体" w:hAnsi="宋体" w:cs="宋体"/>
                <w:kern w:val="0"/>
                <w:sz w:val="24"/>
                <w:highlight w:val="none"/>
              </w:rPr>
            </w:pPr>
          </w:p>
        </w:tc>
        <w:tc>
          <w:tcPr>
            <w:tcW w:w="1420" w:type="dxa"/>
            <w:vMerge w:val="continue"/>
            <w:tcBorders>
              <w:top w:val="nil"/>
              <w:left w:val="single" w:color="auto" w:sz="8" w:space="0"/>
              <w:bottom w:val="single" w:color="000000" w:sz="8" w:space="0"/>
              <w:right w:val="nil"/>
            </w:tcBorders>
            <w:vAlign w:val="center"/>
          </w:tcPr>
          <w:p w14:paraId="3934FF0F">
            <w:pPr>
              <w:widowControl/>
              <w:adjustRightInd/>
              <w:jc w:val="left"/>
              <w:rPr>
                <w:rFonts w:ascii="宋体" w:hAnsi="宋体" w:cs="宋体"/>
                <w:kern w:val="0"/>
                <w:sz w:val="24"/>
                <w:highlight w:val="none"/>
              </w:rPr>
            </w:pPr>
          </w:p>
        </w:tc>
        <w:tc>
          <w:tcPr>
            <w:tcW w:w="5080" w:type="dxa"/>
            <w:tcBorders>
              <w:top w:val="nil"/>
              <w:left w:val="single" w:color="auto" w:sz="8" w:space="0"/>
              <w:bottom w:val="single" w:color="auto" w:sz="4" w:space="0"/>
              <w:right w:val="single" w:color="auto" w:sz="8" w:space="0"/>
            </w:tcBorders>
            <w:vAlign w:val="center"/>
          </w:tcPr>
          <w:p w14:paraId="06C910A6">
            <w:pPr>
              <w:widowControl/>
              <w:adjustRightInd/>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2）设备停产后继续提供质量保障服务（含备品备件），服务终止时间与最后一批设备交付时间间隔≥6年；</w:t>
            </w:r>
          </w:p>
        </w:tc>
      </w:tr>
      <w:tr w14:paraId="62C00DC3">
        <w:tblPrEx>
          <w:tblCellMar>
            <w:top w:w="0" w:type="dxa"/>
            <w:left w:w="108" w:type="dxa"/>
            <w:bottom w:w="0" w:type="dxa"/>
            <w:right w:w="108" w:type="dxa"/>
          </w:tblCellMar>
        </w:tblPrEx>
        <w:trPr>
          <w:trHeight w:val="624" w:hRule="atLeast"/>
        </w:trPr>
        <w:tc>
          <w:tcPr>
            <w:tcW w:w="960" w:type="dxa"/>
            <w:vMerge w:val="continue"/>
            <w:tcBorders>
              <w:top w:val="nil"/>
              <w:left w:val="single" w:color="auto" w:sz="8" w:space="0"/>
              <w:bottom w:val="single" w:color="000000" w:sz="8" w:space="0"/>
              <w:right w:val="single" w:color="auto" w:sz="8" w:space="0"/>
            </w:tcBorders>
            <w:vAlign w:val="center"/>
          </w:tcPr>
          <w:p w14:paraId="3F152D06">
            <w:pPr>
              <w:widowControl/>
              <w:adjustRightInd/>
              <w:jc w:val="left"/>
              <w:rPr>
                <w:rFonts w:ascii="宋体" w:hAnsi="宋体" w:cs="宋体"/>
                <w:kern w:val="0"/>
                <w:sz w:val="24"/>
                <w:highlight w:val="none"/>
              </w:rPr>
            </w:pPr>
          </w:p>
        </w:tc>
        <w:tc>
          <w:tcPr>
            <w:tcW w:w="1400" w:type="dxa"/>
            <w:vMerge w:val="continue"/>
            <w:tcBorders>
              <w:top w:val="nil"/>
              <w:left w:val="single" w:color="auto" w:sz="8" w:space="0"/>
              <w:bottom w:val="single" w:color="000000" w:sz="8" w:space="0"/>
              <w:right w:val="single" w:color="auto" w:sz="8" w:space="0"/>
            </w:tcBorders>
            <w:vAlign w:val="center"/>
          </w:tcPr>
          <w:p w14:paraId="26620A4C">
            <w:pPr>
              <w:widowControl/>
              <w:adjustRightInd/>
              <w:jc w:val="left"/>
              <w:rPr>
                <w:rFonts w:ascii="宋体" w:hAnsi="宋体" w:cs="宋体"/>
                <w:kern w:val="0"/>
                <w:sz w:val="24"/>
                <w:highlight w:val="none"/>
              </w:rPr>
            </w:pPr>
          </w:p>
        </w:tc>
        <w:tc>
          <w:tcPr>
            <w:tcW w:w="1420" w:type="dxa"/>
            <w:vMerge w:val="continue"/>
            <w:tcBorders>
              <w:top w:val="nil"/>
              <w:left w:val="single" w:color="auto" w:sz="8" w:space="0"/>
              <w:bottom w:val="single" w:color="000000" w:sz="8" w:space="0"/>
              <w:right w:val="nil"/>
            </w:tcBorders>
            <w:vAlign w:val="center"/>
          </w:tcPr>
          <w:p w14:paraId="69BCA660">
            <w:pPr>
              <w:widowControl/>
              <w:adjustRightInd/>
              <w:jc w:val="left"/>
              <w:rPr>
                <w:rFonts w:ascii="宋体" w:hAnsi="宋体" w:cs="宋体"/>
                <w:kern w:val="0"/>
                <w:sz w:val="24"/>
                <w:highlight w:val="none"/>
              </w:rPr>
            </w:pPr>
          </w:p>
        </w:tc>
        <w:tc>
          <w:tcPr>
            <w:tcW w:w="5080" w:type="dxa"/>
            <w:tcBorders>
              <w:top w:val="nil"/>
              <w:left w:val="single" w:color="auto" w:sz="8" w:space="0"/>
              <w:bottom w:val="single" w:color="auto" w:sz="4" w:space="0"/>
              <w:right w:val="single" w:color="auto" w:sz="8" w:space="0"/>
            </w:tcBorders>
            <w:vAlign w:val="center"/>
          </w:tcPr>
          <w:p w14:paraId="5AC3E3F0">
            <w:pPr>
              <w:widowControl/>
              <w:adjustRightInd/>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3）产品停止服务时间应提前1年告知客户；</w:t>
            </w:r>
          </w:p>
        </w:tc>
      </w:tr>
      <w:tr w14:paraId="16EB58FA">
        <w:tblPrEx>
          <w:tblCellMar>
            <w:top w:w="0" w:type="dxa"/>
            <w:left w:w="108" w:type="dxa"/>
            <w:bottom w:w="0" w:type="dxa"/>
            <w:right w:w="108" w:type="dxa"/>
          </w:tblCellMar>
        </w:tblPrEx>
        <w:trPr>
          <w:trHeight w:val="624" w:hRule="atLeast"/>
        </w:trPr>
        <w:tc>
          <w:tcPr>
            <w:tcW w:w="960" w:type="dxa"/>
            <w:vMerge w:val="continue"/>
            <w:tcBorders>
              <w:top w:val="nil"/>
              <w:left w:val="single" w:color="auto" w:sz="8" w:space="0"/>
              <w:bottom w:val="single" w:color="000000" w:sz="8" w:space="0"/>
              <w:right w:val="single" w:color="auto" w:sz="8" w:space="0"/>
            </w:tcBorders>
            <w:vAlign w:val="center"/>
          </w:tcPr>
          <w:p w14:paraId="6A657AE3">
            <w:pPr>
              <w:widowControl/>
              <w:adjustRightInd/>
              <w:jc w:val="left"/>
              <w:rPr>
                <w:rFonts w:ascii="宋体" w:hAnsi="宋体" w:cs="宋体"/>
                <w:kern w:val="0"/>
                <w:sz w:val="24"/>
                <w:highlight w:val="none"/>
              </w:rPr>
            </w:pPr>
          </w:p>
        </w:tc>
        <w:tc>
          <w:tcPr>
            <w:tcW w:w="1400" w:type="dxa"/>
            <w:vMerge w:val="continue"/>
            <w:tcBorders>
              <w:top w:val="nil"/>
              <w:left w:val="single" w:color="auto" w:sz="8" w:space="0"/>
              <w:bottom w:val="single" w:color="000000" w:sz="8" w:space="0"/>
              <w:right w:val="single" w:color="auto" w:sz="8" w:space="0"/>
            </w:tcBorders>
            <w:vAlign w:val="center"/>
          </w:tcPr>
          <w:p w14:paraId="1A3CFA34">
            <w:pPr>
              <w:widowControl/>
              <w:adjustRightInd/>
              <w:jc w:val="left"/>
              <w:rPr>
                <w:rFonts w:ascii="宋体" w:hAnsi="宋体" w:cs="宋体"/>
                <w:kern w:val="0"/>
                <w:sz w:val="24"/>
                <w:highlight w:val="none"/>
              </w:rPr>
            </w:pPr>
          </w:p>
        </w:tc>
        <w:tc>
          <w:tcPr>
            <w:tcW w:w="1420" w:type="dxa"/>
            <w:vMerge w:val="continue"/>
            <w:tcBorders>
              <w:top w:val="nil"/>
              <w:left w:val="single" w:color="auto" w:sz="8" w:space="0"/>
              <w:bottom w:val="single" w:color="000000" w:sz="8" w:space="0"/>
              <w:right w:val="nil"/>
            </w:tcBorders>
            <w:vAlign w:val="center"/>
          </w:tcPr>
          <w:p w14:paraId="1628BC26">
            <w:pPr>
              <w:widowControl/>
              <w:adjustRightInd/>
              <w:jc w:val="left"/>
              <w:rPr>
                <w:rFonts w:ascii="宋体" w:hAnsi="宋体" w:cs="宋体"/>
                <w:kern w:val="0"/>
                <w:sz w:val="24"/>
                <w:highlight w:val="none"/>
              </w:rPr>
            </w:pPr>
          </w:p>
        </w:tc>
        <w:tc>
          <w:tcPr>
            <w:tcW w:w="5080" w:type="dxa"/>
            <w:tcBorders>
              <w:top w:val="nil"/>
              <w:left w:val="single" w:color="auto" w:sz="8" w:space="0"/>
              <w:bottom w:val="single" w:color="auto" w:sz="4" w:space="0"/>
              <w:right w:val="single" w:color="auto" w:sz="8" w:space="0"/>
            </w:tcBorders>
            <w:vAlign w:val="center"/>
          </w:tcPr>
          <w:p w14:paraId="5A32D523">
            <w:pPr>
              <w:widowControl/>
              <w:adjustRightInd/>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4）产品发布日期需在随机文件中明确。</w:t>
            </w:r>
          </w:p>
        </w:tc>
      </w:tr>
      <w:tr w14:paraId="014E436D">
        <w:tblPrEx>
          <w:tblCellMar>
            <w:top w:w="0" w:type="dxa"/>
            <w:left w:w="108" w:type="dxa"/>
            <w:bottom w:w="0" w:type="dxa"/>
            <w:right w:w="108" w:type="dxa"/>
          </w:tblCellMar>
        </w:tblPrEx>
        <w:trPr>
          <w:trHeight w:val="948" w:hRule="atLeast"/>
        </w:trPr>
        <w:tc>
          <w:tcPr>
            <w:tcW w:w="960" w:type="dxa"/>
            <w:vMerge w:val="continue"/>
            <w:tcBorders>
              <w:top w:val="nil"/>
              <w:left w:val="single" w:color="auto" w:sz="8" w:space="0"/>
              <w:bottom w:val="single" w:color="000000" w:sz="8" w:space="0"/>
              <w:right w:val="single" w:color="auto" w:sz="8" w:space="0"/>
            </w:tcBorders>
            <w:vAlign w:val="center"/>
          </w:tcPr>
          <w:p w14:paraId="2FC0F0BE">
            <w:pPr>
              <w:widowControl/>
              <w:adjustRightInd/>
              <w:jc w:val="left"/>
              <w:rPr>
                <w:rFonts w:ascii="宋体" w:hAnsi="宋体" w:cs="宋体"/>
                <w:kern w:val="0"/>
                <w:sz w:val="24"/>
                <w:highlight w:val="none"/>
              </w:rPr>
            </w:pPr>
          </w:p>
        </w:tc>
        <w:tc>
          <w:tcPr>
            <w:tcW w:w="1400" w:type="dxa"/>
            <w:vMerge w:val="continue"/>
            <w:tcBorders>
              <w:top w:val="nil"/>
              <w:left w:val="single" w:color="auto" w:sz="8" w:space="0"/>
              <w:bottom w:val="single" w:color="000000" w:sz="8" w:space="0"/>
              <w:right w:val="single" w:color="auto" w:sz="8" w:space="0"/>
            </w:tcBorders>
            <w:vAlign w:val="center"/>
          </w:tcPr>
          <w:p w14:paraId="7009E643">
            <w:pPr>
              <w:widowControl/>
              <w:adjustRightInd/>
              <w:jc w:val="left"/>
              <w:rPr>
                <w:rFonts w:ascii="宋体" w:hAnsi="宋体" w:cs="宋体"/>
                <w:kern w:val="0"/>
                <w:sz w:val="24"/>
                <w:highlight w:val="none"/>
              </w:rPr>
            </w:pPr>
          </w:p>
        </w:tc>
        <w:tc>
          <w:tcPr>
            <w:tcW w:w="1420" w:type="dxa"/>
            <w:vMerge w:val="continue"/>
            <w:tcBorders>
              <w:top w:val="nil"/>
              <w:left w:val="single" w:color="auto" w:sz="8" w:space="0"/>
              <w:bottom w:val="single" w:color="000000" w:sz="8" w:space="0"/>
              <w:right w:val="nil"/>
            </w:tcBorders>
            <w:vAlign w:val="center"/>
          </w:tcPr>
          <w:p w14:paraId="35A4C750">
            <w:pPr>
              <w:widowControl/>
              <w:adjustRightInd/>
              <w:jc w:val="left"/>
              <w:rPr>
                <w:rFonts w:ascii="宋体" w:hAnsi="宋体" w:cs="宋体"/>
                <w:kern w:val="0"/>
                <w:sz w:val="24"/>
                <w:highlight w:val="none"/>
              </w:rPr>
            </w:pPr>
          </w:p>
        </w:tc>
        <w:tc>
          <w:tcPr>
            <w:tcW w:w="5080" w:type="dxa"/>
            <w:tcBorders>
              <w:top w:val="nil"/>
              <w:left w:val="single" w:color="auto" w:sz="8" w:space="0"/>
              <w:bottom w:val="single" w:color="auto" w:sz="8" w:space="0"/>
              <w:right w:val="single" w:color="auto" w:sz="8" w:space="0"/>
            </w:tcBorders>
            <w:vAlign w:val="center"/>
          </w:tcPr>
          <w:p w14:paraId="4AC88287">
            <w:pPr>
              <w:widowControl/>
              <w:adjustRightInd/>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5）产品</w:t>
            </w:r>
            <w:r>
              <w:rPr>
                <w:rFonts w:hint="eastAsia" w:ascii="宋体" w:hAnsi="宋体" w:cs="宋体"/>
                <w:kern w:val="0"/>
                <w:sz w:val="24"/>
                <w:highlight w:val="none"/>
              </w:rPr>
              <w:t>原厂商需通过</w:t>
            </w:r>
            <w:r>
              <w:rPr>
                <w:rFonts w:ascii="宋体" w:hAnsi="宋体" w:cs="宋体"/>
                <w:kern w:val="0"/>
                <w:sz w:val="24"/>
                <w:highlight w:val="none"/>
              </w:rPr>
              <w:t>Q/ZZLH 1001-2022标准的售后服务体系完善程度卓绝级及以上认证</w:t>
            </w:r>
          </w:p>
        </w:tc>
      </w:tr>
      <w:tr w14:paraId="38DE72F8">
        <w:tblPrEx>
          <w:tblCellMar>
            <w:top w:w="0" w:type="dxa"/>
            <w:left w:w="108" w:type="dxa"/>
            <w:bottom w:w="0" w:type="dxa"/>
            <w:right w:w="108" w:type="dxa"/>
          </w:tblCellMar>
        </w:tblPrEx>
        <w:trPr>
          <w:trHeight w:val="948" w:hRule="atLeast"/>
        </w:trPr>
        <w:tc>
          <w:tcPr>
            <w:tcW w:w="960" w:type="dxa"/>
            <w:tcBorders>
              <w:top w:val="nil"/>
              <w:left w:val="single" w:color="auto" w:sz="8" w:space="0"/>
              <w:bottom w:val="single" w:color="auto" w:sz="8" w:space="0"/>
              <w:right w:val="single" w:color="auto" w:sz="8" w:space="0"/>
            </w:tcBorders>
            <w:vAlign w:val="center"/>
          </w:tcPr>
          <w:p w14:paraId="0447A75D">
            <w:pPr>
              <w:widowControl/>
              <w:adjustRightInd/>
              <w:jc w:val="center"/>
              <w:rPr>
                <w:rFonts w:ascii="宋体" w:hAnsi="宋体" w:cs="宋体"/>
                <w:kern w:val="0"/>
                <w:sz w:val="24"/>
                <w:highlight w:val="none"/>
              </w:rPr>
            </w:pPr>
            <w:r>
              <w:rPr>
                <w:rFonts w:ascii="宋体" w:hAnsi="宋体" w:cs="宋体"/>
                <w:kern w:val="0"/>
                <w:sz w:val="24"/>
                <w:highlight w:val="none"/>
              </w:rPr>
              <w:t>67</w:t>
            </w:r>
          </w:p>
        </w:tc>
        <w:tc>
          <w:tcPr>
            <w:tcW w:w="1400" w:type="dxa"/>
            <w:vMerge w:val="restart"/>
            <w:tcBorders>
              <w:top w:val="nil"/>
              <w:left w:val="single" w:color="auto" w:sz="8" w:space="0"/>
              <w:bottom w:val="single" w:color="000000" w:sz="8" w:space="0"/>
              <w:right w:val="single" w:color="auto" w:sz="8" w:space="0"/>
            </w:tcBorders>
            <w:vAlign w:val="center"/>
          </w:tcPr>
          <w:p w14:paraId="3E93D44D">
            <w:pPr>
              <w:widowControl/>
              <w:adjustRightInd/>
              <w:jc w:val="center"/>
              <w:rPr>
                <w:rFonts w:ascii="宋体" w:hAnsi="宋体" w:cs="宋体"/>
                <w:kern w:val="0"/>
                <w:sz w:val="24"/>
                <w:highlight w:val="none"/>
              </w:rPr>
            </w:pPr>
            <w:r>
              <w:rPr>
                <w:rFonts w:hint="eastAsia" w:ascii="宋体" w:hAnsi="宋体" w:cs="宋体"/>
                <w:kern w:val="0"/>
                <w:sz w:val="24"/>
                <w:highlight w:val="none"/>
              </w:rPr>
              <w:t>▲服务工具要求</w:t>
            </w:r>
          </w:p>
        </w:tc>
        <w:tc>
          <w:tcPr>
            <w:tcW w:w="1420" w:type="dxa"/>
            <w:tcBorders>
              <w:top w:val="nil"/>
              <w:left w:val="nil"/>
              <w:bottom w:val="single" w:color="auto" w:sz="8" w:space="0"/>
              <w:right w:val="single" w:color="auto" w:sz="8" w:space="0"/>
            </w:tcBorders>
            <w:vAlign w:val="center"/>
          </w:tcPr>
          <w:p w14:paraId="6EB73731">
            <w:pPr>
              <w:widowControl/>
              <w:adjustRightInd/>
              <w:jc w:val="center"/>
              <w:rPr>
                <w:rFonts w:ascii="宋体" w:hAnsi="宋体" w:cs="宋体"/>
                <w:kern w:val="0"/>
                <w:sz w:val="24"/>
                <w:highlight w:val="none"/>
              </w:rPr>
            </w:pPr>
            <w:r>
              <w:rPr>
                <w:rFonts w:hint="eastAsia" w:ascii="宋体" w:hAnsi="宋体" w:cs="宋体"/>
                <w:kern w:val="0"/>
                <w:sz w:val="24"/>
                <w:highlight w:val="none"/>
              </w:rPr>
              <w:t>▲工具要求</w:t>
            </w:r>
          </w:p>
        </w:tc>
        <w:tc>
          <w:tcPr>
            <w:tcW w:w="5080" w:type="dxa"/>
            <w:tcBorders>
              <w:top w:val="nil"/>
              <w:left w:val="nil"/>
              <w:bottom w:val="single" w:color="auto" w:sz="8" w:space="0"/>
              <w:right w:val="single" w:color="auto" w:sz="8" w:space="0"/>
            </w:tcBorders>
            <w:vAlign w:val="center"/>
          </w:tcPr>
          <w:p w14:paraId="4EFF6ACF">
            <w:pPr>
              <w:widowControl/>
              <w:adjustRightInd/>
              <w:rPr>
                <w:rFonts w:ascii="宋体" w:hAnsi="宋体" w:cs="宋体"/>
                <w:kern w:val="0"/>
                <w:sz w:val="24"/>
                <w:highlight w:val="none"/>
              </w:rPr>
            </w:pPr>
            <w:r>
              <w:rPr>
                <w:rFonts w:hint="eastAsia" w:ascii="宋体" w:hAnsi="宋体" w:cs="宋体"/>
                <w:kern w:val="0"/>
                <w:sz w:val="24"/>
                <w:highlight w:val="none"/>
              </w:rPr>
              <w:t>提供设置服务器硬件、辅助操作系统安装等功能的辅助工具和管理软件。且随附软件应具有合法授权或版权</w:t>
            </w:r>
          </w:p>
        </w:tc>
      </w:tr>
      <w:tr w14:paraId="0AB35929">
        <w:tblPrEx>
          <w:tblCellMar>
            <w:top w:w="0" w:type="dxa"/>
            <w:left w:w="108" w:type="dxa"/>
            <w:bottom w:w="0" w:type="dxa"/>
            <w:right w:w="108" w:type="dxa"/>
          </w:tblCellMar>
        </w:tblPrEx>
        <w:trPr>
          <w:trHeight w:val="948" w:hRule="atLeast"/>
        </w:trPr>
        <w:tc>
          <w:tcPr>
            <w:tcW w:w="960" w:type="dxa"/>
            <w:tcBorders>
              <w:top w:val="nil"/>
              <w:left w:val="single" w:color="auto" w:sz="8" w:space="0"/>
              <w:bottom w:val="single" w:color="auto" w:sz="8" w:space="0"/>
              <w:right w:val="single" w:color="auto" w:sz="8" w:space="0"/>
            </w:tcBorders>
            <w:vAlign w:val="center"/>
          </w:tcPr>
          <w:p w14:paraId="47F915FA">
            <w:pPr>
              <w:widowControl/>
              <w:adjustRightInd/>
              <w:jc w:val="center"/>
              <w:rPr>
                <w:rFonts w:ascii="宋体" w:hAnsi="宋体" w:cs="宋体"/>
                <w:kern w:val="0"/>
                <w:sz w:val="24"/>
                <w:highlight w:val="none"/>
              </w:rPr>
            </w:pPr>
            <w:r>
              <w:rPr>
                <w:rFonts w:ascii="宋体" w:hAnsi="宋体" w:cs="宋体"/>
                <w:kern w:val="0"/>
                <w:sz w:val="24"/>
                <w:highlight w:val="none"/>
              </w:rPr>
              <w:t>68</w:t>
            </w:r>
          </w:p>
        </w:tc>
        <w:tc>
          <w:tcPr>
            <w:tcW w:w="1400" w:type="dxa"/>
            <w:vMerge w:val="continue"/>
            <w:tcBorders>
              <w:top w:val="nil"/>
              <w:left w:val="single" w:color="auto" w:sz="8" w:space="0"/>
              <w:bottom w:val="single" w:color="000000" w:sz="8" w:space="0"/>
              <w:right w:val="single" w:color="auto" w:sz="8" w:space="0"/>
            </w:tcBorders>
            <w:vAlign w:val="center"/>
          </w:tcPr>
          <w:p w14:paraId="27DF0F79">
            <w:pPr>
              <w:widowControl/>
              <w:adjustRightInd/>
              <w:jc w:val="left"/>
              <w:rPr>
                <w:rFonts w:ascii="宋体" w:hAnsi="宋体" w:cs="宋体"/>
                <w:kern w:val="0"/>
                <w:sz w:val="24"/>
                <w:highlight w:val="none"/>
              </w:rPr>
            </w:pPr>
          </w:p>
        </w:tc>
        <w:tc>
          <w:tcPr>
            <w:tcW w:w="1420" w:type="dxa"/>
            <w:tcBorders>
              <w:top w:val="nil"/>
              <w:left w:val="nil"/>
              <w:bottom w:val="single" w:color="auto" w:sz="8" w:space="0"/>
              <w:right w:val="single" w:color="auto" w:sz="8" w:space="0"/>
            </w:tcBorders>
            <w:vAlign w:val="center"/>
          </w:tcPr>
          <w:p w14:paraId="7DD54FF5">
            <w:pPr>
              <w:widowControl/>
              <w:adjustRightInd/>
              <w:jc w:val="center"/>
              <w:rPr>
                <w:rFonts w:ascii="宋体" w:hAnsi="宋体" w:cs="宋体"/>
                <w:kern w:val="0"/>
                <w:sz w:val="24"/>
                <w:highlight w:val="none"/>
              </w:rPr>
            </w:pPr>
            <w:r>
              <w:rPr>
                <w:rFonts w:hint="eastAsia" w:ascii="宋体" w:hAnsi="宋体" w:cs="宋体"/>
                <w:kern w:val="0"/>
                <w:sz w:val="24"/>
                <w:highlight w:val="none"/>
              </w:rPr>
              <w:t>▲驱动安装升级指引</w:t>
            </w:r>
          </w:p>
        </w:tc>
        <w:tc>
          <w:tcPr>
            <w:tcW w:w="5080" w:type="dxa"/>
            <w:tcBorders>
              <w:top w:val="nil"/>
              <w:left w:val="nil"/>
              <w:bottom w:val="single" w:color="auto" w:sz="8" w:space="0"/>
              <w:right w:val="single" w:color="auto" w:sz="8" w:space="0"/>
            </w:tcBorders>
            <w:vAlign w:val="center"/>
          </w:tcPr>
          <w:p w14:paraId="44AE1A47">
            <w:pPr>
              <w:widowControl/>
              <w:adjustRightInd/>
              <w:rPr>
                <w:rFonts w:ascii="宋体" w:hAnsi="宋体" w:cs="宋体"/>
                <w:kern w:val="0"/>
                <w:sz w:val="24"/>
                <w:highlight w:val="none"/>
              </w:rPr>
            </w:pPr>
            <w:r>
              <w:rPr>
                <w:rFonts w:hint="eastAsia" w:ascii="宋体" w:hAnsi="宋体" w:cs="宋体"/>
                <w:kern w:val="0"/>
                <w:sz w:val="24"/>
                <w:highlight w:val="none"/>
              </w:rPr>
              <w:t>提供出厂安装的配件所需的驱动程序，形式包括但不限于驱动光盘、驱动下载链接等。其他配件应提供指引</w:t>
            </w:r>
          </w:p>
        </w:tc>
      </w:tr>
      <w:tr w14:paraId="387598FC">
        <w:tblPrEx>
          <w:tblCellMar>
            <w:top w:w="0" w:type="dxa"/>
            <w:left w:w="108" w:type="dxa"/>
            <w:bottom w:w="0" w:type="dxa"/>
            <w:right w:w="108" w:type="dxa"/>
          </w:tblCellMar>
        </w:tblPrEx>
        <w:trPr>
          <w:trHeight w:val="948" w:hRule="atLeast"/>
        </w:trPr>
        <w:tc>
          <w:tcPr>
            <w:tcW w:w="960" w:type="dxa"/>
            <w:tcBorders>
              <w:top w:val="nil"/>
              <w:left w:val="single" w:color="auto" w:sz="8" w:space="0"/>
              <w:bottom w:val="single" w:color="auto" w:sz="8" w:space="0"/>
              <w:right w:val="single" w:color="auto" w:sz="8" w:space="0"/>
            </w:tcBorders>
            <w:vAlign w:val="center"/>
          </w:tcPr>
          <w:p w14:paraId="5ED9C782">
            <w:pPr>
              <w:widowControl/>
              <w:adjustRightInd/>
              <w:jc w:val="center"/>
              <w:rPr>
                <w:rFonts w:ascii="宋体" w:hAnsi="宋体" w:cs="宋体"/>
                <w:kern w:val="0"/>
                <w:sz w:val="24"/>
                <w:highlight w:val="none"/>
              </w:rPr>
            </w:pPr>
            <w:r>
              <w:rPr>
                <w:rFonts w:ascii="宋体" w:hAnsi="宋体" w:cs="宋体"/>
                <w:kern w:val="0"/>
                <w:sz w:val="24"/>
                <w:highlight w:val="none"/>
              </w:rPr>
              <w:t>69</w:t>
            </w:r>
          </w:p>
        </w:tc>
        <w:tc>
          <w:tcPr>
            <w:tcW w:w="1400" w:type="dxa"/>
            <w:vMerge w:val="continue"/>
            <w:tcBorders>
              <w:top w:val="nil"/>
              <w:left w:val="single" w:color="auto" w:sz="8" w:space="0"/>
              <w:bottom w:val="single" w:color="000000" w:sz="8" w:space="0"/>
              <w:right w:val="single" w:color="auto" w:sz="8" w:space="0"/>
            </w:tcBorders>
            <w:vAlign w:val="center"/>
          </w:tcPr>
          <w:p w14:paraId="6AA90429">
            <w:pPr>
              <w:widowControl/>
              <w:adjustRightInd/>
              <w:jc w:val="left"/>
              <w:rPr>
                <w:rFonts w:ascii="宋体" w:hAnsi="宋体" w:cs="宋体"/>
                <w:kern w:val="0"/>
                <w:sz w:val="24"/>
                <w:highlight w:val="none"/>
              </w:rPr>
            </w:pPr>
          </w:p>
        </w:tc>
        <w:tc>
          <w:tcPr>
            <w:tcW w:w="1420" w:type="dxa"/>
            <w:tcBorders>
              <w:top w:val="nil"/>
              <w:left w:val="nil"/>
              <w:bottom w:val="single" w:color="auto" w:sz="8" w:space="0"/>
              <w:right w:val="single" w:color="auto" w:sz="8" w:space="0"/>
            </w:tcBorders>
            <w:vAlign w:val="center"/>
          </w:tcPr>
          <w:p w14:paraId="6F2CF3B3">
            <w:pPr>
              <w:widowControl/>
              <w:adjustRightInd/>
              <w:jc w:val="center"/>
              <w:rPr>
                <w:rFonts w:ascii="宋体" w:hAnsi="宋体" w:cs="宋体"/>
                <w:kern w:val="0"/>
                <w:sz w:val="24"/>
                <w:highlight w:val="none"/>
              </w:rPr>
            </w:pPr>
            <w:r>
              <w:rPr>
                <w:rFonts w:hint="eastAsia" w:ascii="宋体" w:hAnsi="宋体" w:cs="宋体"/>
                <w:kern w:val="0"/>
                <w:sz w:val="24"/>
                <w:highlight w:val="none"/>
              </w:rPr>
              <w:t>▲管理软件</w:t>
            </w:r>
          </w:p>
        </w:tc>
        <w:tc>
          <w:tcPr>
            <w:tcW w:w="5080" w:type="dxa"/>
            <w:tcBorders>
              <w:top w:val="nil"/>
              <w:left w:val="nil"/>
              <w:bottom w:val="single" w:color="auto" w:sz="8" w:space="0"/>
              <w:right w:val="single" w:color="auto" w:sz="8" w:space="0"/>
            </w:tcBorders>
            <w:vAlign w:val="center"/>
          </w:tcPr>
          <w:p w14:paraId="632FC7DE">
            <w:pPr>
              <w:widowControl/>
              <w:adjustRightInd/>
              <w:rPr>
                <w:rFonts w:ascii="宋体" w:hAnsi="宋体" w:cs="宋体"/>
                <w:kern w:val="0"/>
                <w:sz w:val="24"/>
                <w:highlight w:val="none"/>
              </w:rPr>
            </w:pPr>
            <w:r>
              <w:rPr>
                <w:rFonts w:hint="eastAsia" w:ascii="宋体" w:hAnsi="宋体" w:cs="宋体"/>
                <w:kern w:val="0"/>
                <w:sz w:val="24"/>
                <w:highlight w:val="none"/>
              </w:rPr>
              <w:t>具备资源管理、系统管理、性能监控、健康监控、基于网络控制、报警设置功能</w:t>
            </w:r>
          </w:p>
        </w:tc>
      </w:tr>
      <w:tr w14:paraId="656A3753">
        <w:tblPrEx>
          <w:tblCellMar>
            <w:top w:w="0" w:type="dxa"/>
            <w:left w:w="108" w:type="dxa"/>
            <w:bottom w:w="0" w:type="dxa"/>
            <w:right w:w="108" w:type="dxa"/>
          </w:tblCellMar>
        </w:tblPrEx>
        <w:trPr>
          <w:trHeight w:val="948" w:hRule="atLeast"/>
        </w:trPr>
        <w:tc>
          <w:tcPr>
            <w:tcW w:w="960" w:type="dxa"/>
            <w:tcBorders>
              <w:top w:val="nil"/>
              <w:left w:val="single" w:color="auto" w:sz="8" w:space="0"/>
              <w:bottom w:val="single" w:color="auto" w:sz="8" w:space="0"/>
              <w:right w:val="single" w:color="auto" w:sz="8" w:space="0"/>
            </w:tcBorders>
            <w:vAlign w:val="center"/>
          </w:tcPr>
          <w:p w14:paraId="740316CC">
            <w:pPr>
              <w:widowControl/>
              <w:adjustRightInd/>
              <w:jc w:val="center"/>
              <w:rPr>
                <w:rFonts w:ascii="宋体" w:hAnsi="宋体" w:cs="宋体"/>
                <w:kern w:val="0"/>
                <w:sz w:val="24"/>
                <w:highlight w:val="none"/>
              </w:rPr>
            </w:pPr>
            <w:r>
              <w:rPr>
                <w:rFonts w:ascii="宋体" w:hAnsi="宋体" w:cs="宋体"/>
                <w:kern w:val="0"/>
                <w:sz w:val="24"/>
                <w:highlight w:val="none"/>
              </w:rPr>
              <w:t>70</w:t>
            </w:r>
          </w:p>
        </w:tc>
        <w:tc>
          <w:tcPr>
            <w:tcW w:w="1400" w:type="dxa"/>
            <w:vMerge w:val="restart"/>
            <w:tcBorders>
              <w:top w:val="nil"/>
              <w:left w:val="single" w:color="auto" w:sz="8" w:space="0"/>
              <w:bottom w:val="single" w:color="000000" w:sz="8" w:space="0"/>
              <w:right w:val="single" w:color="auto" w:sz="8" w:space="0"/>
            </w:tcBorders>
            <w:vAlign w:val="center"/>
          </w:tcPr>
          <w:p w14:paraId="0CF7DBDC">
            <w:pPr>
              <w:widowControl/>
              <w:adjustRightInd/>
              <w:jc w:val="center"/>
              <w:rPr>
                <w:rFonts w:ascii="宋体" w:hAnsi="宋体" w:cs="宋体"/>
                <w:kern w:val="0"/>
                <w:sz w:val="24"/>
                <w:highlight w:val="none"/>
              </w:rPr>
            </w:pPr>
            <w:r>
              <w:rPr>
                <w:rFonts w:hint="eastAsia" w:ascii="宋体" w:hAnsi="宋体" w:cs="宋体"/>
                <w:kern w:val="0"/>
                <w:sz w:val="24"/>
                <w:highlight w:val="none"/>
              </w:rPr>
              <w:t>▲增值服务</w:t>
            </w:r>
          </w:p>
        </w:tc>
        <w:tc>
          <w:tcPr>
            <w:tcW w:w="1420" w:type="dxa"/>
            <w:tcBorders>
              <w:top w:val="nil"/>
              <w:left w:val="nil"/>
              <w:bottom w:val="single" w:color="auto" w:sz="8" w:space="0"/>
              <w:right w:val="single" w:color="auto" w:sz="8" w:space="0"/>
            </w:tcBorders>
            <w:vAlign w:val="center"/>
          </w:tcPr>
          <w:p w14:paraId="29EF174F">
            <w:pPr>
              <w:widowControl/>
              <w:adjustRightInd/>
              <w:jc w:val="center"/>
              <w:rPr>
                <w:rFonts w:ascii="宋体" w:hAnsi="宋体" w:cs="宋体"/>
                <w:kern w:val="0"/>
                <w:sz w:val="24"/>
                <w:highlight w:val="none"/>
              </w:rPr>
            </w:pPr>
            <w:r>
              <w:rPr>
                <w:rFonts w:hint="eastAsia" w:ascii="宋体" w:hAnsi="宋体" w:cs="宋体"/>
                <w:kern w:val="0"/>
                <w:sz w:val="24"/>
                <w:highlight w:val="none"/>
              </w:rPr>
              <w:t>▲厂家升级产品软件与扩容服务</w:t>
            </w:r>
          </w:p>
        </w:tc>
        <w:tc>
          <w:tcPr>
            <w:tcW w:w="5080" w:type="dxa"/>
            <w:tcBorders>
              <w:top w:val="nil"/>
              <w:left w:val="nil"/>
              <w:bottom w:val="single" w:color="auto" w:sz="8" w:space="0"/>
              <w:right w:val="single" w:color="auto" w:sz="8" w:space="0"/>
            </w:tcBorders>
            <w:vAlign w:val="center"/>
          </w:tcPr>
          <w:p w14:paraId="2A08D27A">
            <w:pPr>
              <w:widowControl/>
              <w:adjustRightInd/>
              <w:rPr>
                <w:rFonts w:ascii="宋体" w:hAnsi="宋体" w:cs="宋体"/>
                <w:kern w:val="0"/>
                <w:sz w:val="24"/>
                <w:highlight w:val="none"/>
              </w:rPr>
            </w:pPr>
            <w:r>
              <w:rPr>
                <w:rFonts w:hint="eastAsia" w:ascii="宋体" w:hAnsi="宋体" w:cs="宋体"/>
                <w:kern w:val="0"/>
                <w:sz w:val="24"/>
                <w:highlight w:val="none"/>
              </w:rPr>
              <w:t>提供原厂级的部件</w:t>
            </w:r>
            <w:r>
              <w:rPr>
                <w:rFonts w:ascii="宋体" w:hAnsi="宋体" w:cs="宋体"/>
                <w:kern w:val="0"/>
                <w:sz w:val="24"/>
                <w:highlight w:val="none"/>
              </w:rPr>
              <w:t>/软件产品升级和扩容能力</w:t>
            </w:r>
          </w:p>
        </w:tc>
      </w:tr>
      <w:tr w14:paraId="1B43A072">
        <w:tblPrEx>
          <w:tblCellMar>
            <w:top w:w="0" w:type="dxa"/>
            <w:left w:w="108" w:type="dxa"/>
            <w:bottom w:w="0" w:type="dxa"/>
            <w:right w:w="108" w:type="dxa"/>
          </w:tblCellMar>
        </w:tblPrEx>
        <w:trPr>
          <w:trHeight w:val="636" w:hRule="atLeast"/>
        </w:trPr>
        <w:tc>
          <w:tcPr>
            <w:tcW w:w="960" w:type="dxa"/>
            <w:tcBorders>
              <w:top w:val="nil"/>
              <w:left w:val="single" w:color="auto" w:sz="8" w:space="0"/>
              <w:bottom w:val="single" w:color="auto" w:sz="8" w:space="0"/>
              <w:right w:val="single" w:color="auto" w:sz="8" w:space="0"/>
            </w:tcBorders>
            <w:vAlign w:val="center"/>
          </w:tcPr>
          <w:p w14:paraId="7AF05BFF">
            <w:pPr>
              <w:widowControl/>
              <w:adjustRightInd/>
              <w:jc w:val="center"/>
              <w:rPr>
                <w:rFonts w:ascii="宋体" w:hAnsi="宋体" w:cs="宋体"/>
                <w:kern w:val="0"/>
                <w:sz w:val="24"/>
                <w:highlight w:val="none"/>
              </w:rPr>
            </w:pPr>
            <w:r>
              <w:rPr>
                <w:rFonts w:ascii="宋体" w:hAnsi="宋体" w:cs="宋体"/>
                <w:kern w:val="0"/>
                <w:sz w:val="24"/>
                <w:highlight w:val="none"/>
              </w:rPr>
              <w:t>71</w:t>
            </w:r>
          </w:p>
        </w:tc>
        <w:tc>
          <w:tcPr>
            <w:tcW w:w="1400" w:type="dxa"/>
            <w:vMerge w:val="continue"/>
            <w:tcBorders>
              <w:top w:val="nil"/>
              <w:left w:val="single" w:color="auto" w:sz="8" w:space="0"/>
              <w:bottom w:val="single" w:color="000000" w:sz="8" w:space="0"/>
              <w:right w:val="single" w:color="auto" w:sz="8" w:space="0"/>
            </w:tcBorders>
            <w:vAlign w:val="center"/>
          </w:tcPr>
          <w:p w14:paraId="21616677">
            <w:pPr>
              <w:widowControl/>
              <w:adjustRightInd/>
              <w:jc w:val="left"/>
              <w:rPr>
                <w:rFonts w:ascii="宋体" w:hAnsi="宋体" w:cs="宋体"/>
                <w:kern w:val="0"/>
                <w:sz w:val="24"/>
                <w:highlight w:val="none"/>
              </w:rPr>
            </w:pPr>
          </w:p>
        </w:tc>
        <w:tc>
          <w:tcPr>
            <w:tcW w:w="1420" w:type="dxa"/>
            <w:tcBorders>
              <w:top w:val="nil"/>
              <w:left w:val="nil"/>
              <w:bottom w:val="single" w:color="auto" w:sz="8" w:space="0"/>
              <w:right w:val="single" w:color="auto" w:sz="8" w:space="0"/>
            </w:tcBorders>
            <w:vAlign w:val="center"/>
          </w:tcPr>
          <w:p w14:paraId="167D8A7A">
            <w:pPr>
              <w:widowControl/>
              <w:adjustRightInd/>
              <w:jc w:val="center"/>
              <w:rPr>
                <w:rFonts w:ascii="宋体" w:hAnsi="宋体" w:cs="宋体"/>
                <w:kern w:val="0"/>
                <w:sz w:val="24"/>
                <w:highlight w:val="none"/>
              </w:rPr>
            </w:pPr>
            <w:r>
              <w:rPr>
                <w:rFonts w:hint="eastAsia" w:ascii="宋体" w:hAnsi="宋体" w:cs="宋体"/>
                <w:kern w:val="0"/>
                <w:sz w:val="24"/>
                <w:highlight w:val="none"/>
              </w:rPr>
              <w:t>▲提供上门服务</w:t>
            </w:r>
          </w:p>
        </w:tc>
        <w:tc>
          <w:tcPr>
            <w:tcW w:w="5080" w:type="dxa"/>
            <w:tcBorders>
              <w:top w:val="nil"/>
              <w:left w:val="nil"/>
              <w:bottom w:val="single" w:color="auto" w:sz="8" w:space="0"/>
              <w:right w:val="single" w:color="auto" w:sz="8" w:space="0"/>
            </w:tcBorders>
            <w:vAlign w:val="center"/>
          </w:tcPr>
          <w:p w14:paraId="5110C712">
            <w:pPr>
              <w:widowControl/>
              <w:adjustRightInd/>
              <w:rPr>
                <w:rFonts w:ascii="宋体" w:hAnsi="宋体" w:cs="宋体"/>
                <w:kern w:val="0"/>
                <w:sz w:val="24"/>
                <w:highlight w:val="none"/>
              </w:rPr>
            </w:pPr>
            <w:r>
              <w:rPr>
                <w:rFonts w:hint="eastAsia" w:ascii="宋体" w:hAnsi="宋体" w:cs="宋体"/>
                <w:kern w:val="0"/>
                <w:sz w:val="24"/>
                <w:highlight w:val="none"/>
              </w:rPr>
              <w:t>供应商具备提供上门服务的能力(可收费)</w:t>
            </w:r>
          </w:p>
        </w:tc>
      </w:tr>
      <w:tr w14:paraId="2BD548C6">
        <w:tblPrEx>
          <w:tblCellMar>
            <w:top w:w="0" w:type="dxa"/>
            <w:left w:w="108" w:type="dxa"/>
            <w:bottom w:w="0" w:type="dxa"/>
            <w:right w:w="108" w:type="dxa"/>
          </w:tblCellMar>
        </w:tblPrEx>
        <w:trPr>
          <w:trHeight w:val="1260" w:hRule="atLeast"/>
        </w:trPr>
        <w:tc>
          <w:tcPr>
            <w:tcW w:w="960" w:type="dxa"/>
            <w:tcBorders>
              <w:top w:val="nil"/>
              <w:left w:val="single" w:color="auto" w:sz="8" w:space="0"/>
              <w:bottom w:val="single" w:color="auto" w:sz="8" w:space="0"/>
              <w:right w:val="single" w:color="auto" w:sz="8" w:space="0"/>
            </w:tcBorders>
            <w:vAlign w:val="center"/>
          </w:tcPr>
          <w:p w14:paraId="14767384">
            <w:pPr>
              <w:widowControl/>
              <w:adjustRightInd/>
              <w:jc w:val="center"/>
              <w:rPr>
                <w:rFonts w:ascii="宋体" w:hAnsi="宋体" w:cs="宋体"/>
                <w:kern w:val="0"/>
                <w:sz w:val="24"/>
                <w:highlight w:val="none"/>
              </w:rPr>
            </w:pPr>
            <w:r>
              <w:rPr>
                <w:rFonts w:ascii="宋体" w:hAnsi="宋体" w:cs="宋体"/>
                <w:kern w:val="0"/>
                <w:sz w:val="24"/>
                <w:highlight w:val="none"/>
              </w:rPr>
              <w:t>72</w:t>
            </w:r>
          </w:p>
        </w:tc>
        <w:tc>
          <w:tcPr>
            <w:tcW w:w="1400" w:type="dxa"/>
            <w:vMerge w:val="restart"/>
            <w:tcBorders>
              <w:top w:val="nil"/>
              <w:left w:val="single" w:color="auto" w:sz="8" w:space="0"/>
              <w:bottom w:val="single" w:color="000000" w:sz="8" w:space="0"/>
              <w:right w:val="single" w:color="auto" w:sz="8" w:space="0"/>
            </w:tcBorders>
            <w:vAlign w:val="center"/>
          </w:tcPr>
          <w:p w14:paraId="41D2BA15">
            <w:pPr>
              <w:widowControl/>
              <w:adjustRightInd/>
              <w:jc w:val="center"/>
              <w:rPr>
                <w:rFonts w:ascii="宋体" w:hAnsi="宋体" w:cs="宋体"/>
                <w:kern w:val="0"/>
                <w:sz w:val="24"/>
                <w:highlight w:val="none"/>
              </w:rPr>
            </w:pPr>
            <w:r>
              <w:rPr>
                <w:rFonts w:hint="eastAsia" w:ascii="宋体" w:hAnsi="宋体" w:cs="宋体"/>
                <w:kern w:val="0"/>
                <w:sz w:val="24"/>
                <w:highlight w:val="none"/>
              </w:rPr>
              <w:t>▲供应链质量</w:t>
            </w:r>
          </w:p>
        </w:tc>
        <w:tc>
          <w:tcPr>
            <w:tcW w:w="1420" w:type="dxa"/>
            <w:tcBorders>
              <w:top w:val="nil"/>
              <w:left w:val="nil"/>
              <w:bottom w:val="single" w:color="auto" w:sz="8" w:space="0"/>
              <w:right w:val="single" w:color="auto" w:sz="8" w:space="0"/>
            </w:tcBorders>
            <w:vAlign w:val="center"/>
          </w:tcPr>
          <w:p w14:paraId="2ACBBB3F">
            <w:pPr>
              <w:widowControl/>
              <w:adjustRightInd/>
              <w:jc w:val="center"/>
              <w:rPr>
                <w:rFonts w:ascii="宋体" w:hAnsi="宋体" w:cs="宋体"/>
                <w:kern w:val="0"/>
                <w:sz w:val="24"/>
                <w:highlight w:val="none"/>
              </w:rPr>
            </w:pPr>
            <w:r>
              <w:rPr>
                <w:rFonts w:hint="eastAsia" w:ascii="宋体" w:hAnsi="宋体" w:cs="宋体"/>
                <w:kern w:val="0"/>
                <w:sz w:val="24"/>
                <w:highlight w:val="none"/>
              </w:rPr>
              <w:t>▲抗干扰性</w:t>
            </w:r>
          </w:p>
        </w:tc>
        <w:tc>
          <w:tcPr>
            <w:tcW w:w="5080" w:type="dxa"/>
            <w:tcBorders>
              <w:top w:val="nil"/>
              <w:left w:val="nil"/>
              <w:bottom w:val="single" w:color="auto" w:sz="8" w:space="0"/>
              <w:right w:val="single" w:color="auto" w:sz="8" w:space="0"/>
            </w:tcBorders>
            <w:vAlign w:val="center"/>
          </w:tcPr>
          <w:p w14:paraId="1911FF05">
            <w:pPr>
              <w:widowControl/>
              <w:adjustRightInd/>
              <w:rPr>
                <w:rFonts w:ascii="宋体" w:hAnsi="宋体" w:cs="宋体"/>
                <w:kern w:val="0"/>
                <w:sz w:val="24"/>
                <w:highlight w:val="none"/>
              </w:rPr>
            </w:pPr>
            <w:r>
              <w:rPr>
                <w:rFonts w:hint="eastAsia" w:ascii="宋体" w:hAnsi="宋体" w:cs="宋体"/>
                <w:kern w:val="0"/>
                <w:sz w:val="24"/>
                <w:highlight w:val="none"/>
              </w:rPr>
              <w:t>当产品部件出现供应风险时，应通知客户并提供风险应对方案确保产品的服务保障，必要时应停止相关受影响产品的销售</w:t>
            </w:r>
          </w:p>
        </w:tc>
      </w:tr>
      <w:tr w14:paraId="769C038F">
        <w:tblPrEx>
          <w:tblCellMar>
            <w:top w:w="0" w:type="dxa"/>
            <w:left w:w="108" w:type="dxa"/>
            <w:bottom w:w="0" w:type="dxa"/>
            <w:right w:w="108" w:type="dxa"/>
          </w:tblCellMar>
        </w:tblPrEx>
        <w:trPr>
          <w:trHeight w:val="636" w:hRule="atLeast"/>
        </w:trPr>
        <w:tc>
          <w:tcPr>
            <w:tcW w:w="960" w:type="dxa"/>
            <w:tcBorders>
              <w:top w:val="nil"/>
              <w:left w:val="single" w:color="auto" w:sz="8" w:space="0"/>
              <w:bottom w:val="single" w:color="auto" w:sz="8" w:space="0"/>
              <w:right w:val="single" w:color="auto" w:sz="8" w:space="0"/>
            </w:tcBorders>
            <w:vAlign w:val="center"/>
          </w:tcPr>
          <w:p w14:paraId="36EA9351">
            <w:pPr>
              <w:widowControl/>
              <w:adjustRightInd/>
              <w:jc w:val="center"/>
              <w:rPr>
                <w:rFonts w:ascii="宋体" w:hAnsi="宋体" w:cs="宋体"/>
                <w:kern w:val="0"/>
                <w:sz w:val="24"/>
                <w:highlight w:val="none"/>
              </w:rPr>
            </w:pPr>
            <w:r>
              <w:rPr>
                <w:rFonts w:ascii="宋体" w:hAnsi="宋体" w:cs="宋体"/>
                <w:kern w:val="0"/>
                <w:sz w:val="24"/>
                <w:highlight w:val="none"/>
              </w:rPr>
              <w:t>73</w:t>
            </w:r>
          </w:p>
        </w:tc>
        <w:tc>
          <w:tcPr>
            <w:tcW w:w="1400" w:type="dxa"/>
            <w:vMerge w:val="continue"/>
            <w:tcBorders>
              <w:top w:val="nil"/>
              <w:left w:val="single" w:color="auto" w:sz="8" w:space="0"/>
              <w:bottom w:val="single" w:color="000000" w:sz="8" w:space="0"/>
              <w:right w:val="single" w:color="auto" w:sz="8" w:space="0"/>
            </w:tcBorders>
            <w:vAlign w:val="center"/>
          </w:tcPr>
          <w:p w14:paraId="5A5C73DA">
            <w:pPr>
              <w:widowControl/>
              <w:adjustRightInd/>
              <w:jc w:val="left"/>
              <w:rPr>
                <w:rFonts w:ascii="宋体" w:hAnsi="宋体" w:cs="宋体"/>
                <w:kern w:val="0"/>
                <w:sz w:val="24"/>
                <w:highlight w:val="none"/>
              </w:rPr>
            </w:pPr>
          </w:p>
        </w:tc>
        <w:tc>
          <w:tcPr>
            <w:tcW w:w="1420" w:type="dxa"/>
            <w:tcBorders>
              <w:top w:val="nil"/>
              <w:left w:val="nil"/>
              <w:bottom w:val="single" w:color="auto" w:sz="8" w:space="0"/>
              <w:right w:val="single" w:color="auto" w:sz="8" w:space="0"/>
            </w:tcBorders>
            <w:vAlign w:val="center"/>
          </w:tcPr>
          <w:p w14:paraId="64DE6ABE">
            <w:pPr>
              <w:widowControl/>
              <w:adjustRightInd/>
              <w:jc w:val="center"/>
              <w:rPr>
                <w:rFonts w:ascii="宋体" w:hAnsi="宋体" w:cs="宋体"/>
                <w:kern w:val="0"/>
                <w:sz w:val="24"/>
                <w:highlight w:val="none"/>
              </w:rPr>
            </w:pPr>
            <w:r>
              <w:rPr>
                <w:rFonts w:hint="eastAsia" w:ascii="宋体" w:hAnsi="宋体" w:cs="宋体"/>
                <w:kern w:val="0"/>
                <w:sz w:val="24"/>
                <w:highlight w:val="none"/>
              </w:rPr>
              <w:t>▲供应能力证明</w:t>
            </w:r>
          </w:p>
        </w:tc>
        <w:tc>
          <w:tcPr>
            <w:tcW w:w="5080" w:type="dxa"/>
            <w:tcBorders>
              <w:top w:val="nil"/>
              <w:left w:val="nil"/>
              <w:bottom w:val="single" w:color="auto" w:sz="8" w:space="0"/>
              <w:right w:val="single" w:color="auto" w:sz="8" w:space="0"/>
            </w:tcBorders>
            <w:vAlign w:val="center"/>
          </w:tcPr>
          <w:p w14:paraId="524A73DB">
            <w:pPr>
              <w:widowControl/>
              <w:adjustRightInd/>
              <w:rPr>
                <w:rFonts w:ascii="宋体" w:hAnsi="宋体" w:cs="宋体"/>
                <w:kern w:val="0"/>
                <w:sz w:val="24"/>
                <w:highlight w:val="none"/>
              </w:rPr>
            </w:pPr>
            <w:r>
              <w:rPr>
                <w:rFonts w:hint="eastAsia" w:ascii="宋体" w:hAnsi="宋体" w:cs="宋体"/>
                <w:kern w:val="0"/>
                <w:sz w:val="24"/>
                <w:highlight w:val="none"/>
              </w:rPr>
              <w:t>供应商需提供供应链稳定承诺书，确保产品的部件在产品服务周期内稳定供货</w:t>
            </w:r>
          </w:p>
        </w:tc>
      </w:tr>
    </w:tbl>
    <w:p w14:paraId="4BDDAA71">
      <w:pPr>
        <w:spacing w:line="360" w:lineRule="auto"/>
        <w:ind w:firstLine="480" w:firstLineChars="200"/>
        <w:rPr>
          <w:rFonts w:ascii="宋体" w:hAnsi="宋体" w:cs="宋体"/>
          <w:sz w:val="24"/>
          <w:highlight w:val="none"/>
        </w:rPr>
      </w:pPr>
    </w:p>
    <w:p w14:paraId="7A7646DF">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（三）货运导航数据及运营保障服务</w:t>
      </w:r>
    </w:p>
    <w:p w14:paraId="31F0FD8D">
      <w:pPr>
        <w:spacing w:line="360" w:lineRule="auto"/>
        <w:ind w:firstLine="480" w:firstLineChars="200"/>
        <w:rPr>
          <w:rFonts w:ascii="宋体" w:hAnsi="宋体" w:cs="宋体"/>
          <w:sz w:val="24"/>
          <w:highlight w:val="none"/>
        </w:rPr>
      </w:pPr>
      <w:r>
        <w:rPr>
          <w:rFonts w:hint="eastAsia" w:ascii="宋体" w:hAnsi="宋体" w:cs="宋体"/>
          <w:sz w:val="24"/>
          <w:highlight w:val="none"/>
        </w:rPr>
        <w:t>1、互联网地图导航基础服务</w:t>
      </w:r>
    </w:p>
    <w:p w14:paraId="5A19DE95">
      <w:pPr>
        <w:spacing w:line="360" w:lineRule="auto"/>
        <w:ind w:firstLine="480" w:firstLineChars="200"/>
        <w:rPr>
          <w:rFonts w:ascii="宋体" w:hAnsi="宋体" w:cs="宋体"/>
          <w:sz w:val="24"/>
          <w:highlight w:val="none"/>
        </w:rPr>
      </w:pPr>
      <w:r>
        <w:rPr>
          <w:rFonts w:hint="eastAsia" w:ascii="宋体" w:hAnsi="宋体" w:cs="宋体"/>
          <w:sz w:val="24"/>
          <w:highlight w:val="none"/>
        </w:rPr>
        <w:t>（1）基于货车长宽高重等整体信息，结合限行政策、限行区内黑白名单等信息，为货车做线路规划；提供每天访问量100w次，并发访问个数100个的能力。</w:t>
      </w:r>
    </w:p>
    <w:p w14:paraId="32567DB3">
      <w:pPr>
        <w:spacing w:line="360" w:lineRule="auto"/>
        <w:ind w:firstLine="480" w:firstLineChars="200"/>
        <w:rPr>
          <w:rFonts w:ascii="宋体" w:hAnsi="宋体" w:cs="宋体"/>
          <w:sz w:val="24"/>
          <w:highlight w:val="none"/>
        </w:rPr>
      </w:pPr>
      <w:r>
        <w:rPr>
          <w:rFonts w:hint="eastAsia" w:ascii="宋体" w:hAnsi="宋体" w:cs="宋体"/>
          <w:sz w:val="24"/>
          <w:highlight w:val="none"/>
        </w:rPr>
        <w:t>（2）基于货车长宽高重等整体信息，结合限行政策、限行区内黑白名单等信息，为货车做导航，提供显示、播报等sdk能力；提供每天访问量100w次，并发访问个数100个的能力。</w:t>
      </w:r>
    </w:p>
    <w:p w14:paraId="0BA5FB59">
      <w:pPr>
        <w:spacing w:line="360" w:lineRule="auto"/>
        <w:ind w:firstLine="480" w:firstLineChars="200"/>
        <w:rPr>
          <w:rFonts w:ascii="宋体" w:hAnsi="宋体" w:cs="宋体"/>
          <w:sz w:val="24"/>
          <w:highlight w:val="none"/>
        </w:rPr>
      </w:pPr>
      <w:r>
        <w:rPr>
          <w:rFonts w:hint="eastAsia" w:ascii="宋体" w:hAnsi="宋体" w:cs="宋体"/>
          <w:sz w:val="24"/>
          <w:highlight w:val="none"/>
        </w:rPr>
        <w:t>（3）基于规划的货车通行证线路信息，将其上传到互联网导航平台云端并做持久化保存；提供每天访问量30w次，并发访问个数50个的能力。</w:t>
      </w:r>
    </w:p>
    <w:p w14:paraId="27E5DCAA">
      <w:pPr>
        <w:spacing w:line="360" w:lineRule="auto"/>
        <w:ind w:firstLine="480" w:firstLineChars="200"/>
        <w:rPr>
          <w:rFonts w:ascii="宋体" w:hAnsi="宋体" w:cs="宋体"/>
          <w:sz w:val="24"/>
          <w:highlight w:val="none"/>
        </w:rPr>
      </w:pPr>
      <w:r>
        <w:rPr>
          <w:rFonts w:hint="eastAsia" w:ascii="宋体" w:hAnsi="宋体" w:cs="宋体"/>
          <w:sz w:val="24"/>
          <w:highlight w:val="none"/>
        </w:rPr>
        <w:t>（4）基于互联网导航平台云端增加的线路信息，将其与路网绑定，形成唯一的货车通行证线路；提供每天访问量30w次，并发访问个数50个的能力。</w:t>
      </w:r>
    </w:p>
    <w:p w14:paraId="3ECA6F0A">
      <w:pPr>
        <w:spacing w:line="360" w:lineRule="auto"/>
        <w:ind w:firstLine="480" w:firstLineChars="200"/>
        <w:rPr>
          <w:rFonts w:ascii="宋体" w:hAnsi="宋体" w:cs="宋体"/>
          <w:sz w:val="24"/>
          <w:highlight w:val="none"/>
        </w:rPr>
      </w:pPr>
      <w:r>
        <w:rPr>
          <w:rFonts w:hint="eastAsia" w:ascii="宋体" w:hAnsi="宋体" w:cs="宋体"/>
          <w:sz w:val="24"/>
          <w:highlight w:val="none"/>
        </w:rPr>
        <w:t>（5）基于关键字信息获取周边的POI信息，供货车导航确定起终点；提供每天访问量50w次，并发访问个数100个的能力。</w:t>
      </w:r>
    </w:p>
    <w:p w14:paraId="1AF79676">
      <w:pPr>
        <w:spacing w:line="360" w:lineRule="auto"/>
        <w:ind w:firstLine="480" w:firstLineChars="200"/>
        <w:rPr>
          <w:rFonts w:ascii="宋体" w:hAnsi="宋体" w:cs="宋体"/>
          <w:sz w:val="24"/>
          <w:highlight w:val="none"/>
        </w:rPr>
      </w:pPr>
      <w:r>
        <w:rPr>
          <w:rFonts w:hint="eastAsia" w:ascii="宋体" w:hAnsi="宋体" w:cs="宋体"/>
          <w:sz w:val="24"/>
          <w:highlight w:val="none"/>
        </w:rPr>
        <w:t>（6）基于定线导航id获取其线路规划的信息，供定线导航；提供每天访问量50w次，并发访问个数50个的能力。</w:t>
      </w:r>
    </w:p>
    <w:p w14:paraId="357CCB4D">
      <w:pPr>
        <w:spacing w:line="360" w:lineRule="auto"/>
        <w:ind w:firstLine="480" w:firstLineChars="200"/>
        <w:rPr>
          <w:rFonts w:ascii="宋体" w:hAnsi="宋体" w:cs="宋体"/>
          <w:sz w:val="24"/>
          <w:highlight w:val="none"/>
        </w:rPr>
      </w:pPr>
      <w:r>
        <w:rPr>
          <w:rFonts w:hint="eastAsia" w:ascii="宋体" w:hAnsi="宋体" w:cs="宋体"/>
          <w:sz w:val="24"/>
          <w:highlight w:val="none"/>
        </w:rPr>
        <w:t>2、城市货运导航数据运营服务</w:t>
      </w:r>
    </w:p>
    <w:p w14:paraId="4B72F66C">
      <w:pPr>
        <w:spacing w:line="360" w:lineRule="auto"/>
        <w:ind w:firstLine="480" w:firstLineChars="200"/>
        <w:rPr>
          <w:rFonts w:ascii="宋体" w:hAnsi="宋体" w:cs="宋体"/>
          <w:sz w:val="24"/>
          <w:highlight w:val="none"/>
        </w:rPr>
      </w:pPr>
      <w:r>
        <w:rPr>
          <w:rFonts w:hint="eastAsia" w:ascii="宋体" w:hAnsi="宋体" w:cs="宋体"/>
          <w:sz w:val="24"/>
          <w:highlight w:val="none"/>
        </w:rPr>
        <w:t>2.1常态化货运交通组织优化调整服务</w:t>
      </w:r>
    </w:p>
    <w:p w14:paraId="0681D9BC">
      <w:pPr>
        <w:spacing w:line="360" w:lineRule="auto"/>
        <w:ind w:firstLine="480" w:firstLineChars="200"/>
        <w:rPr>
          <w:rFonts w:ascii="宋体" w:hAnsi="宋体" w:cs="宋体"/>
          <w:sz w:val="24"/>
          <w:highlight w:val="none"/>
        </w:rPr>
      </w:pPr>
      <w:r>
        <w:rPr>
          <w:rFonts w:hint="eastAsia" w:ascii="宋体" w:hAnsi="宋体" w:cs="宋体"/>
          <w:sz w:val="24"/>
          <w:highlight w:val="none"/>
        </w:rPr>
        <w:t>（1）限行区域数据调整、制作、数据测试、数据发布服务；</w:t>
      </w:r>
    </w:p>
    <w:p w14:paraId="6C7A5BE8">
      <w:pPr>
        <w:spacing w:line="360" w:lineRule="auto"/>
        <w:ind w:firstLine="480" w:firstLineChars="200"/>
        <w:rPr>
          <w:rFonts w:ascii="宋体" w:hAnsi="宋体" w:cs="宋体"/>
          <w:sz w:val="24"/>
          <w:highlight w:val="none"/>
        </w:rPr>
      </w:pPr>
      <w:r>
        <w:rPr>
          <w:rFonts w:hint="eastAsia" w:ascii="宋体" w:hAnsi="宋体" w:cs="宋体"/>
          <w:sz w:val="24"/>
          <w:highlight w:val="none"/>
        </w:rPr>
        <w:t>（2）禁行区域数据调整、制作、数据测试、数据发布服务；</w:t>
      </w:r>
    </w:p>
    <w:p w14:paraId="13CF5175">
      <w:pPr>
        <w:spacing w:line="360" w:lineRule="auto"/>
        <w:ind w:firstLine="480" w:firstLineChars="200"/>
        <w:rPr>
          <w:rFonts w:ascii="宋体" w:hAnsi="宋体" w:cs="宋体"/>
          <w:sz w:val="24"/>
          <w:highlight w:val="none"/>
        </w:rPr>
      </w:pPr>
      <w:r>
        <w:rPr>
          <w:rFonts w:hint="eastAsia" w:ascii="宋体" w:hAnsi="宋体" w:cs="宋体"/>
          <w:sz w:val="24"/>
          <w:highlight w:val="none"/>
        </w:rPr>
        <w:t>（3）黑名单道路调整、数据制作、数据测试、数据发布服务；</w:t>
      </w:r>
    </w:p>
    <w:p w14:paraId="5D867EB0">
      <w:pPr>
        <w:spacing w:line="360" w:lineRule="auto"/>
        <w:ind w:firstLine="480" w:firstLineChars="200"/>
        <w:rPr>
          <w:rFonts w:ascii="宋体" w:hAnsi="宋体" w:cs="宋体"/>
          <w:sz w:val="24"/>
          <w:highlight w:val="none"/>
        </w:rPr>
      </w:pPr>
      <w:r>
        <w:rPr>
          <w:rFonts w:hint="eastAsia" w:ascii="宋体" w:hAnsi="宋体" w:cs="宋体"/>
          <w:sz w:val="24"/>
          <w:highlight w:val="none"/>
        </w:rPr>
        <w:t>（4）避让区域的调整、数据制作、数据测试、数据发布服务；</w:t>
      </w:r>
    </w:p>
    <w:p w14:paraId="24862497">
      <w:pPr>
        <w:spacing w:line="360" w:lineRule="auto"/>
        <w:ind w:firstLine="480" w:firstLineChars="200"/>
        <w:rPr>
          <w:rFonts w:ascii="宋体" w:hAnsi="宋体" w:cs="宋体"/>
          <w:sz w:val="24"/>
          <w:highlight w:val="none"/>
        </w:rPr>
      </w:pPr>
      <w:r>
        <w:rPr>
          <w:rFonts w:hint="eastAsia" w:ascii="宋体" w:hAnsi="宋体" w:cs="宋体"/>
          <w:sz w:val="24"/>
          <w:highlight w:val="none"/>
        </w:rPr>
        <w:t>2.2大型活动、节假日等货运交通组织调整服务。</w:t>
      </w:r>
    </w:p>
    <w:p w14:paraId="29C16753">
      <w:pPr>
        <w:spacing w:line="360" w:lineRule="auto"/>
        <w:ind w:firstLine="480" w:firstLineChars="200"/>
        <w:rPr>
          <w:rFonts w:ascii="宋体" w:hAnsi="宋体" w:cs="宋体"/>
          <w:sz w:val="24"/>
          <w:highlight w:val="none"/>
        </w:rPr>
      </w:pPr>
      <w:r>
        <w:rPr>
          <w:rFonts w:hint="eastAsia" w:ascii="宋体" w:hAnsi="宋体" w:cs="宋体"/>
          <w:sz w:val="24"/>
          <w:highlight w:val="none"/>
        </w:rPr>
        <w:t>（1）限行区域数据调整、制作、数据测试、数据发布服务；</w:t>
      </w:r>
    </w:p>
    <w:p w14:paraId="61D48BA6">
      <w:pPr>
        <w:spacing w:line="360" w:lineRule="auto"/>
        <w:ind w:firstLine="480" w:firstLineChars="200"/>
        <w:rPr>
          <w:rFonts w:ascii="宋体" w:hAnsi="宋体" w:cs="宋体"/>
          <w:sz w:val="24"/>
          <w:highlight w:val="none"/>
        </w:rPr>
      </w:pPr>
      <w:r>
        <w:rPr>
          <w:rFonts w:hint="eastAsia" w:ascii="宋体" w:hAnsi="宋体" w:cs="宋体"/>
          <w:sz w:val="24"/>
          <w:highlight w:val="none"/>
        </w:rPr>
        <w:t>（2）禁行区域数据调整、制作、数据测试、数据发布服务；</w:t>
      </w:r>
    </w:p>
    <w:p w14:paraId="7E56CFDA">
      <w:pPr>
        <w:spacing w:line="360" w:lineRule="auto"/>
        <w:ind w:firstLine="480" w:firstLineChars="200"/>
        <w:rPr>
          <w:rFonts w:ascii="宋体" w:hAnsi="宋体" w:cs="宋体"/>
          <w:sz w:val="24"/>
          <w:highlight w:val="none"/>
        </w:rPr>
      </w:pPr>
      <w:r>
        <w:rPr>
          <w:rFonts w:hint="eastAsia" w:ascii="宋体" w:hAnsi="宋体" w:cs="宋体"/>
          <w:sz w:val="24"/>
          <w:highlight w:val="none"/>
        </w:rPr>
        <w:t>（3）黑名单道路数据制作、数据测试、数据发布服务；</w:t>
      </w:r>
    </w:p>
    <w:p w14:paraId="75884F91">
      <w:pPr>
        <w:spacing w:line="360" w:lineRule="auto"/>
        <w:ind w:firstLine="480" w:firstLineChars="200"/>
        <w:rPr>
          <w:rFonts w:ascii="宋体" w:hAnsi="宋体" w:cs="宋体"/>
          <w:sz w:val="24"/>
          <w:highlight w:val="none"/>
        </w:rPr>
      </w:pPr>
      <w:r>
        <w:rPr>
          <w:rFonts w:hint="eastAsia" w:ascii="宋体" w:hAnsi="宋体" w:cs="宋体"/>
          <w:sz w:val="24"/>
          <w:highlight w:val="none"/>
        </w:rPr>
        <w:t>（4）避让区域的调整、数据制作、数据测试、数据发布服务。</w:t>
      </w:r>
    </w:p>
    <w:p w14:paraId="210BEA67">
      <w:pPr>
        <w:spacing w:line="360" w:lineRule="auto"/>
        <w:ind w:firstLine="480" w:firstLineChars="200"/>
        <w:rPr>
          <w:rFonts w:ascii="宋体" w:hAnsi="宋体" w:cs="宋体"/>
          <w:sz w:val="24"/>
          <w:highlight w:val="none"/>
        </w:rPr>
      </w:pPr>
      <w:r>
        <w:rPr>
          <w:rFonts w:hint="eastAsia" w:ascii="宋体" w:hAnsi="宋体" w:cs="宋体"/>
          <w:sz w:val="24"/>
          <w:highlight w:val="none"/>
        </w:rPr>
        <w:t>2.3省厅行政审批系统、货车通行证系统数据接口对接、数据运营服务</w:t>
      </w:r>
    </w:p>
    <w:p w14:paraId="18E6B45E">
      <w:pPr>
        <w:spacing w:line="360" w:lineRule="auto"/>
        <w:ind w:firstLine="480" w:firstLineChars="200"/>
        <w:rPr>
          <w:rFonts w:ascii="宋体" w:hAnsi="宋体" w:cs="宋体"/>
          <w:sz w:val="24"/>
          <w:highlight w:val="none"/>
        </w:rPr>
      </w:pPr>
      <w:r>
        <w:rPr>
          <w:rFonts w:hint="eastAsia" w:ascii="宋体" w:hAnsi="宋体" w:cs="宋体"/>
          <w:sz w:val="24"/>
          <w:highlight w:val="none"/>
        </w:rPr>
        <w:t>（1）可申请路线修改接口</w:t>
      </w:r>
    </w:p>
    <w:p w14:paraId="3050BE36">
      <w:pPr>
        <w:spacing w:line="360" w:lineRule="auto"/>
        <w:ind w:firstLine="480" w:firstLineChars="200"/>
        <w:rPr>
          <w:rFonts w:ascii="宋体" w:hAnsi="宋体" w:cs="宋体"/>
          <w:sz w:val="24"/>
          <w:highlight w:val="none"/>
        </w:rPr>
      </w:pPr>
      <w:r>
        <w:rPr>
          <w:rFonts w:hint="eastAsia" w:ascii="宋体" w:hAnsi="宋体" w:cs="宋体"/>
          <w:sz w:val="24"/>
          <w:highlight w:val="none"/>
        </w:rPr>
        <w:t>（2）可申请路线获取接口</w:t>
      </w:r>
    </w:p>
    <w:p w14:paraId="5FFD059E">
      <w:pPr>
        <w:spacing w:line="360" w:lineRule="auto"/>
        <w:ind w:firstLine="480" w:firstLineChars="200"/>
        <w:rPr>
          <w:rFonts w:ascii="宋体" w:hAnsi="宋体" w:cs="宋体"/>
          <w:sz w:val="24"/>
          <w:highlight w:val="none"/>
        </w:rPr>
      </w:pPr>
      <w:r>
        <w:rPr>
          <w:rFonts w:hint="eastAsia" w:ascii="宋体" w:hAnsi="宋体" w:cs="宋体"/>
          <w:sz w:val="24"/>
          <w:highlight w:val="none"/>
        </w:rPr>
        <w:t>（3）办件接收接口</w:t>
      </w:r>
    </w:p>
    <w:p w14:paraId="14088058">
      <w:pPr>
        <w:spacing w:line="360" w:lineRule="auto"/>
        <w:ind w:firstLine="480" w:firstLineChars="200"/>
        <w:rPr>
          <w:rFonts w:ascii="宋体" w:hAnsi="宋体" w:cs="宋体"/>
          <w:sz w:val="24"/>
          <w:highlight w:val="none"/>
        </w:rPr>
      </w:pPr>
      <w:r>
        <w:rPr>
          <w:rFonts w:hint="eastAsia" w:ascii="宋体" w:hAnsi="宋体" w:cs="宋体"/>
          <w:sz w:val="24"/>
          <w:highlight w:val="none"/>
        </w:rPr>
        <w:t>（4）审批结果接收接口</w:t>
      </w:r>
    </w:p>
    <w:p w14:paraId="4D1DD394">
      <w:pPr>
        <w:spacing w:line="360" w:lineRule="auto"/>
        <w:ind w:firstLine="480" w:firstLineChars="200"/>
        <w:rPr>
          <w:rFonts w:ascii="宋体" w:hAnsi="宋体" w:cs="宋体"/>
          <w:sz w:val="24"/>
          <w:highlight w:val="none"/>
        </w:rPr>
      </w:pPr>
      <w:r>
        <w:rPr>
          <w:rFonts w:hint="eastAsia" w:ascii="宋体" w:hAnsi="宋体" w:cs="宋体"/>
          <w:sz w:val="24"/>
          <w:highlight w:val="none"/>
        </w:rPr>
        <w:t>（5）通行证允许申请车辆接收接口</w:t>
      </w:r>
    </w:p>
    <w:p w14:paraId="2E3BCF92">
      <w:pPr>
        <w:spacing w:line="360" w:lineRule="auto"/>
        <w:ind w:firstLine="480" w:firstLineChars="200"/>
        <w:rPr>
          <w:rFonts w:ascii="宋体" w:hAnsi="宋体" w:cs="宋体"/>
          <w:sz w:val="24"/>
          <w:highlight w:val="none"/>
        </w:rPr>
      </w:pPr>
      <w:r>
        <w:rPr>
          <w:rFonts w:hint="eastAsia" w:ascii="宋体" w:hAnsi="宋体" w:cs="宋体"/>
          <w:sz w:val="24"/>
          <w:highlight w:val="none"/>
        </w:rPr>
        <w:t>（6）通行证允许申请车辆修改接口</w:t>
      </w:r>
    </w:p>
    <w:p w14:paraId="1BA5D3AE">
      <w:pPr>
        <w:spacing w:line="360" w:lineRule="auto"/>
        <w:ind w:firstLine="480" w:firstLineChars="200"/>
        <w:rPr>
          <w:rFonts w:ascii="宋体" w:hAnsi="宋体" w:cs="宋体"/>
          <w:sz w:val="24"/>
          <w:highlight w:val="none"/>
        </w:rPr>
      </w:pPr>
      <w:r>
        <w:rPr>
          <w:rFonts w:hint="eastAsia" w:ascii="宋体" w:hAnsi="宋体" w:cs="宋体"/>
          <w:sz w:val="24"/>
          <w:highlight w:val="none"/>
        </w:rPr>
        <w:t>（7）通行证允许申请车辆获取接口</w:t>
      </w:r>
    </w:p>
    <w:p w14:paraId="0F3EBB72">
      <w:pPr>
        <w:spacing w:line="360" w:lineRule="auto"/>
        <w:ind w:firstLine="480" w:firstLineChars="200"/>
        <w:rPr>
          <w:rFonts w:ascii="宋体" w:hAnsi="宋体" w:cs="宋体"/>
          <w:sz w:val="24"/>
          <w:highlight w:val="none"/>
        </w:rPr>
      </w:pPr>
      <w:r>
        <w:rPr>
          <w:rFonts w:hint="eastAsia" w:ascii="宋体" w:hAnsi="宋体" w:cs="宋体"/>
          <w:sz w:val="24"/>
          <w:highlight w:val="none"/>
        </w:rPr>
        <w:t>（8）办件审批进度获取接口</w:t>
      </w:r>
    </w:p>
    <w:p w14:paraId="21609254">
      <w:pPr>
        <w:spacing w:line="360" w:lineRule="auto"/>
        <w:ind w:firstLine="480" w:firstLineChars="200"/>
        <w:rPr>
          <w:rFonts w:ascii="宋体" w:hAnsi="宋体" w:cs="宋体"/>
          <w:sz w:val="24"/>
          <w:highlight w:val="none"/>
        </w:rPr>
      </w:pPr>
      <w:r>
        <w:rPr>
          <w:rFonts w:hint="eastAsia" w:ascii="宋体" w:hAnsi="宋体" w:cs="宋体"/>
          <w:sz w:val="24"/>
          <w:highlight w:val="none"/>
        </w:rPr>
        <w:t>（9）通行证允许申请线路接收接口</w:t>
      </w:r>
    </w:p>
    <w:p w14:paraId="1DECD9B2">
      <w:pPr>
        <w:spacing w:line="360" w:lineRule="auto"/>
        <w:ind w:firstLine="480" w:firstLineChars="200"/>
        <w:rPr>
          <w:rFonts w:ascii="宋体" w:hAnsi="宋体" w:cs="宋体"/>
          <w:sz w:val="24"/>
          <w:highlight w:val="none"/>
        </w:rPr>
      </w:pPr>
      <w:r>
        <w:rPr>
          <w:rFonts w:hint="eastAsia" w:ascii="宋体" w:hAnsi="宋体" w:cs="宋体"/>
          <w:sz w:val="24"/>
          <w:highlight w:val="none"/>
        </w:rPr>
        <w:t>（10）通行证允许申请线路修改接口</w:t>
      </w:r>
    </w:p>
    <w:p w14:paraId="22761E10">
      <w:pPr>
        <w:spacing w:line="360" w:lineRule="auto"/>
        <w:ind w:firstLine="480" w:firstLineChars="200"/>
        <w:rPr>
          <w:rFonts w:ascii="宋体" w:hAnsi="宋体" w:cs="宋体"/>
          <w:sz w:val="24"/>
          <w:highlight w:val="none"/>
        </w:rPr>
      </w:pPr>
      <w:r>
        <w:rPr>
          <w:rFonts w:hint="eastAsia" w:ascii="宋体" w:hAnsi="宋体" w:cs="宋体"/>
          <w:sz w:val="24"/>
          <w:highlight w:val="none"/>
        </w:rPr>
        <w:t>（11）通行证允许申请线路获取接口</w:t>
      </w:r>
    </w:p>
    <w:p w14:paraId="1FC9A358">
      <w:pPr>
        <w:spacing w:line="360" w:lineRule="auto"/>
        <w:ind w:firstLine="480" w:firstLineChars="200"/>
        <w:rPr>
          <w:rFonts w:ascii="宋体" w:hAnsi="宋体" w:cs="宋体"/>
          <w:sz w:val="24"/>
          <w:highlight w:val="none"/>
        </w:rPr>
      </w:pPr>
      <w:r>
        <w:rPr>
          <w:rFonts w:hint="eastAsia" w:ascii="宋体" w:hAnsi="宋体" w:cs="宋体"/>
          <w:sz w:val="24"/>
          <w:highlight w:val="none"/>
        </w:rPr>
        <w:t>（12）获取/刷新数字证书接口</w:t>
      </w:r>
    </w:p>
    <w:p w14:paraId="1C63B2AF">
      <w:pPr>
        <w:spacing w:line="360" w:lineRule="auto"/>
        <w:ind w:firstLine="480" w:firstLineChars="200"/>
        <w:rPr>
          <w:rFonts w:ascii="宋体" w:hAnsi="宋体" w:cs="宋体"/>
          <w:sz w:val="24"/>
          <w:highlight w:val="none"/>
        </w:rPr>
      </w:pPr>
      <w:r>
        <w:rPr>
          <w:rFonts w:hint="eastAsia" w:ascii="宋体" w:hAnsi="宋体" w:cs="宋体"/>
          <w:sz w:val="24"/>
          <w:highlight w:val="none"/>
        </w:rPr>
        <w:t>（13）办件接收接口</w:t>
      </w:r>
    </w:p>
    <w:p w14:paraId="0742F892">
      <w:pPr>
        <w:spacing w:line="360" w:lineRule="auto"/>
        <w:ind w:firstLine="480" w:firstLineChars="200"/>
        <w:rPr>
          <w:rFonts w:ascii="宋体" w:hAnsi="宋体" w:cs="宋体"/>
          <w:sz w:val="24"/>
          <w:highlight w:val="none"/>
        </w:rPr>
      </w:pPr>
      <w:r>
        <w:rPr>
          <w:rFonts w:hint="eastAsia" w:ascii="宋体" w:hAnsi="宋体" w:cs="宋体"/>
          <w:sz w:val="24"/>
          <w:highlight w:val="none"/>
        </w:rPr>
        <w:t>（14）办件结果接收接口</w:t>
      </w:r>
    </w:p>
    <w:p w14:paraId="5A357A98">
      <w:pPr>
        <w:spacing w:line="360" w:lineRule="auto"/>
        <w:ind w:firstLine="480" w:firstLineChars="200"/>
        <w:rPr>
          <w:rFonts w:ascii="宋体" w:hAnsi="宋体" w:cs="宋体"/>
          <w:sz w:val="24"/>
          <w:highlight w:val="none"/>
        </w:rPr>
      </w:pPr>
      <w:r>
        <w:rPr>
          <w:rFonts w:hint="eastAsia" w:ascii="宋体" w:hAnsi="宋体" w:cs="宋体"/>
          <w:sz w:val="24"/>
          <w:highlight w:val="none"/>
        </w:rPr>
        <w:t>（15）可申请路线接收接口</w:t>
      </w:r>
    </w:p>
    <w:p w14:paraId="2C21FF46">
      <w:pPr>
        <w:spacing w:line="360" w:lineRule="auto"/>
        <w:ind w:firstLine="480" w:firstLineChars="200"/>
        <w:rPr>
          <w:rFonts w:ascii="宋体" w:hAnsi="宋体" w:cs="宋体"/>
          <w:sz w:val="24"/>
          <w:highlight w:val="none"/>
        </w:rPr>
      </w:pPr>
      <w:r>
        <w:rPr>
          <w:rFonts w:hint="eastAsia" w:ascii="宋体" w:hAnsi="宋体" w:cs="宋体"/>
          <w:sz w:val="24"/>
          <w:highlight w:val="none"/>
        </w:rPr>
        <w:t>2.4大型活动、节假日等期间省厅行政审批系统、货车通行证系统数据接口对接、数据运营服务。</w:t>
      </w:r>
    </w:p>
    <w:p w14:paraId="21A316DB">
      <w:pPr>
        <w:spacing w:line="360" w:lineRule="auto"/>
        <w:ind w:firstLine="480" w:firstLineChars="200"/>
        <w:rPr>
          <w:rFonts w:ascii="宋体" w:hAnsi="宋体" w:cs="宋体"/>
          <w:sz w:val="24"/>
          <w:highlight w:val="none"/>
        </w:rPr>
      </w:pPr>
      <w:r>
        <w:rPr>
          <w:rFonts w:hint="eastAsia" w:ascii="宋体" w:hAnsi="宋体" w:cs="宋体"/>
          <w:sz w:val="24"/>
          <w:highlight w:val="none"/>
        </w:rPr>
        <w:t>（1）通行证允许申请车辆接收接口</w:t>
      </w:r>
    </w:p>
    <w:p w14:paraId="41CAC962">
      <w:pPr>
        <w:spacing w:line="360" w:lineRule="auto"/>
        <w:ind w:firstLine="480" w:firstLineChars="200"/>
        <w:rPr>
          <w:rFonts w:ascii="宋体" w:hAnsi="宋体" w:cs="宋体"/>
          <w:sz w:val="24"/>
          <w:highlight w:val="none"/>
        </w:rPr>
      </w:pPr>
      <w:r>
        <w:rPr>
          <w:rFonts w:hint="eastAsia" w:ascii="宋体" w:hAnsi="宋体" w:cs="宋体"/>
          <w:sz w:val="24"/>
          <w:highlight w:val="none"/>
        </w:rPr>
        <w:t>（2）通行证允许申请车辆修改接口</w:t>
      </w:r>
    </w:p>
    <w:p w14:paraId="4DC798B3">
      <w:pPr>
        <w:spacing w:line="360" w:lineRule="auto"/>
        <w:ind w:firstLine="480" w:firstLineChars="200"/>
        <w:rPr>
          <w:rFonts w:ascii="宋体" w:hAnsi="宋体" w:cs="宋体"/>
          <w:sz w:val="24"/>
          <w:highlight w:val="none"/>
        </w:rPr>
      </w:pPr>
      <w:r>
        <w:rPr>
          <w:rFonts w:hint="eastAsia" w:ascii="宋体" w:hAnsi="宋体" w:cs="宋体"/>
          <w:sz w:val="24"/>
          <w:highlight w:val="none"/>
        </w:rPr>
        <w:t>（3）通行证允许申请车辆获取接口</w:t>
      </w:r>
    </w:p>
    <w:p w14:paraId="51F3329A">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（四）安全防控风险预警服务</w:t>
      </w:r>
    </w:p>
    <w:p w14:paraId="0D0FBA6B">
      <w:pPr>
        <w:spacing w:line="360" w:lineRule="auto"/>
        <w:ind w:firstLine="480" w:firstLineChars="200"/>
        <w:rPr>
          <w:rFonts w:ascii="宋体" w:hAnsi="宋体" w:cs="宋体"/>
          <w:sz w:val="24"/>
          <w:highlight w:val="none"/>
        </w:rPr>
      </w:pPr>
      <w:r>
        <w:rPr>
          <w:rFonts w:hint="eastAsia" w:ascii="宋体" w:hAnsi="宋体" w:cs="宋体"/>
          <w:sz w:val="24"/>
          <w:highlight w:val="none"/>
        </w:rPr>
        <w:t>通过研判分析近期和历史的高发事故或违法查处数据，为安全防控工作提供行动预警、趋势分析、事故地图等数据分析和应用服务，为安全防控工作提供决策依据、力争精准防控，有效提升安全防控管理效能。 具体内容如下：</w:t>
      </w:r>
    </w:p>
    <w:p w14:paraId="66F3AA4A">
      <w:pPr>
        <w:spacing w:line="360" w:lineRule="auto"/>
        <w:ind w:firstLine="480" w:firstLineChars="200"/>
        <w:rPr>
          <w:rFonts w:ascii="宋体" w:hAnsi="宋体" w:cs="宋体"/>
          <w:sz w:val="24"/>
          <w:highlight w:val="none"/>
        </w:rPr>
      </w:pPr>
      <w:r>
        <w:rPr>
          <w:rFonts w:hint="eastAsia" w:ascii="宋体" w:hAnsi="宋体" w:cs="宋体"/>
          <w:sz w:val="24"/>
          <w:highlight w:val="none"/>
        </w:rPr>
        <w:t>1、“波次统一行动”预警</w:t>
      </w:r>
    </w:p>
    <w:p w14:paraId="2053D6D7">
      <w:pPr>
        <w:spacing w:line="360" w:lineRule="auto"/>
        <w:ind w:firstLine="480" w:firstLineChars="200"/>
        <w:rPr>
          <w:rFonts w:ascii="宋体" w:hAnsi="宋体" w:cs="宋体"/>
          <w:sz w:val="24"/>
          <w:highlight w:val="none"/>
        </w:rPr>
      </w:pPr>
      <w:r>
        <w:rPr>
          <w:rFonts w:hint="eastAsia" w:ascii="宋体" w:hAnsi="宋体" w:cs="宋体"/>
          <w:sz w:val="24"/>
          <w:highlight w:val="none"/>
        </w:rPr>
        <w:t>针对全市和辖区高发的事故类型，针对“波次统一行动”，提供包含“预警-派单-落地-反馈”闭环流程的行动管理服务，为“波次统一行动”工作提供精准防控决策依据。</w:t>
      </w:r>
    </w:p>
    <w:p w14:paraId="2CCB0B73">
      <w:pPr>
        <w:spacing w:line="360" w:lineRule="auto"/>
        <w:ind w:firstLine="480" w:firstLineChars="200"/>
        <w:rPr>
          <w:rFonts w:ascii="宋体" w:hAnsi="宋体" w:cs="宋体"/>
          <w:sz w:val="24"/>
          <w:highlight w:val="none"/>
        </w:rPr>
      </w:pPr>
      <w:r>
        <w:rPr>
          <w:rFonts w:hint="eastAsia" w:ascii="宋体" w:hAnsi="宋体" w:cs="宋体"/>
          <w:sz w:val="24"/>
          <w:highlight w:val="none"/>
        </w:rPr>
        <w:t>1）预警规则与内容</w:t>
      </w:r>
    </w:p>
    <w:p w14:paraId="4877C6A5">
      <w:pPr>
        <w:spacing w:line="360" w:lineRule="auto"/>
        <w:ind w:firstLine="480" w:firstLineChars="200"/>
        <w:rPr>
          <w:rFonts w:ascii="宋体" w:hAnsi="宋体" w:cs="宋体"/>
          <w:sz w:val="24"/>
          <w:highlight w:val="none"/>
        </w:rPr>
      </w:pPr>
      <w:r>
        <w:rPr>
          <w:rFonts w:hint="eastAsia" w:ascii="宋体" w:hAnsi="宋体" w:cs="宋体"/>
          <w:sz w:val="24"/>
          <w:highlight w:val="none"/>
        </w:rPr>
        <w:t>A.行动模式。按照不同时间维度、强度的区分，提供多种行动模式。</w:t>
      </w:r>
    </w:p>
    <w:p w14:paraId="0B833813">
      <w:pPr>
        <w:spacing w:line="360" w:lineRule="auto"/>
        <w:ind w:firstLine="480" w:firstLineChars="200"/>
        <w:rPr>
          <w:rFonts w:ascii="宋体" w:hAnsi="宋体" w:cs="宋体"/>
          <w:sz w:val="24"/>
          <w:highlight w:val="none"/>
        </w:rPr>
      </w:pPr>
      <w:r>
        <w:rPr>
          <w:rFonts w:hint="eastAsia" w:ascii="宋体" w:hAnsi="宋体" w:cs="宋体"/>
          <w:sz w:val="24"/>
          <w:highlight w:val="none"/>
        </w:rPr>
        <w:t>B.预警规则数据分析。根据历史行动数据分析提供预警规则推荐值。</w:t>
      </w:r>
    </w:p>
    <w:p w14:paraId="6A21FF30">
      <w:pPr>
        <w:spacing w:line="360" w:lineRule="auto"/>
        <w:ind w:firstLine="480" w:firstLineChars="200"/>
        <w:rPr>
          <w:rFonts w:ascii="宋体" w:hAnsi="宋体" w:cs="宋体"/>
          <w:sz w:val="24"/>
          <w:highlight w:val="none"/>
        </w:rPr>
      </w:pPr>
      <w:r>
        <w:rPr>
          <w:rFonts w:hint="eastAsia" w:ascii="宋体" w:hAnsi="宋体" w:cs="宋体"/>
          <w:sz w:val="24"/>
          <w:highlight w:val="none"/>
        </w:rPr>
        <w:t>C.预警规则。支持根据历史事故数据统计情况，推出不同区域事故连续高发规则；支持设定专项整治行动预警规则。</w:t>
      </w:r>
    </w:p>
    <w:p w14:paraId="64D6E317">
      <w:pPr>
        <w:spacing w:line="360" w:lineRule="auto"/>
        <w:ind w:firstLine="480" w:firstLineChars="200"/>
        <w:rPr>
          <w:rFonts w:ascii="宋体" w:hAnsi="宋体" w:cs="宋体"/>
          <w:sz w:val="24"/>
          <w:highlight w:val="none"/>
        </w:rPr>
      </w:pPr>
      <w:r>
        <w:rPr>
          <w:rFonts w:hint="eastAsia" w:ascii="宋体" w:hAnsi="宋体" w:cs="宋体"/>
          <w:sz w:val="24"/>
          <w:highlight w:val="none"/>
        </w:rPr>
        <w:t>D.预警规则调整。事故预警数值、预警事故类型可根据不同区域进行配置。</w:t>
      </w:r>
    </w:p>
    <w:p w14:paraId="441083BE">
      <w:pPr>
        <w:spacing w:line="360" w:lineRule="auto"/>
        <w:ind w:firstLine="480" w:firstLineChars="200"/>
        <w:rPr>
          <w:rFonts w:ascii="宋体" w:hAnsi="宋体" w:cs="宋体"/>
          <w:sz w:val="24"/>
          <w:highlight w:val="none"/>
        </w:rPr>
      </w:pPr>
      <w:r>
        <w:rPr>
          <w:rFonts w:hint="eastAsia" w:ascii="宋体" w:hAnsi="宋体" w:cs="宋体"/>
          <w:sz w:val="24"/>
          <w:highlight w:val="none"/>
        </w:rPr>
        <w:t>E.预警内容。包含基于上群事故数据的近期全市某类型事故高发相关信息。</w:t>
      </w:r>
    </w:p>
    <w:p w14:paraId="050DFBD5">
      <w:pPr>
        <w:spacing w:line="360" w:lineRule="auto"/>
        <w:ind w:firstLine="480" w:firstLineChars="200"/>
        <w:rPr>
          <w:rFonts w:ascii="宋体" w:hAnsi="宋体" w:cs="宋体"/>
          <w:sz w:val="24"/>
          <w:highlight w:val="none"/>
        </w:rPr>
      </w:pPr>
      <w:r>
        <w:rPr>
          <w:rFonts w:hint="eastAsia" w:ascii="宋体" w:hAnsi="宋体" w:cs="宋体"/>
          <w:sz w:val="24"/>
          <w:highlight w:val="none"/>
        </w:rPr>
        <w:t>F.预警内容推送。提过消息中间件实现预警内容及时推送。</w:t>
      </w:r>
    </w:p>
    <w:p w14:paraId="484DA3AE">
      <w:pPr>
        <w:spacing w:line="360" w:lineRule="auto"/>
        <w:ind w:firstLine="480" w:firstLineChars="200"/>
        <w:rPr>
          <w:rFonts w:ascii="宋体" w:hAnsi="宋体" w:cs="宋体"/>
          <w:sz w:val="24"/>
          <w:highlight w:val="none"/>
        </w:rPr>
      </w:pPr>
      <w:r>
        <w:rPr>
          <w:rFonts w:hint="eastAsia" w:ascii="宋体" w:hAnsi="宋体" w:cs="宋体"/>
          <w:sz w:val="24"/>
          <w:highlight w:val="none"/>
        </w:rPr>
        <w:t>2）派单</w:t>
      </w:r>
    </w:p>
    <w:p w14:paraId="56E522E0">
      <w:pPr>
        <w:spacing w:line="360" w:lineRule="auto"/>
        <w:ind w:firstLine="480" w:firstLineChars="200"/>
        <w:rPr>
          <w:rFonts w:ascii="宋体" w:hAnsi="宋体" w:cs="宋体"/>
          <w:sz w:val="24"/>
          <w:highlight w:val="none"/>
        </w:rPr>
      </w:pPr>
      <w:r>
        <w:rPr>
          <w:rFonts w:hint="eastAsia" w:ascii="宋体" w:hAnsi="宋体" w:cs="宋体"/>
          <w:sz w:val="24"/>
          <w:highlight w:val="none"/>
        </w:rPr>
        <w:t>A.预警呈现。根据预警规则和推送设定，在列表中查看预警内容、关联区域。</w:t>
      </w:r>
    </w:p>
    <w:p w14:paraId="066120CE">
      <w:pPr>
        <w:spacing w:line="360" w:lineRule="auto"/>
        <w:ind w:firstLine="480" w:firstLineChars="200"/>
        <w:rPr>
          <w:rFonts w:ascii="宋体" w:hAnsi="宋体" w:cs="宋体"/>
          <w:sz w:val="24"/>
          <w:highlight w:val="none"/>
        </w:rPr>
      </w:pPr>
      <w:r>
        <w:rPr>
          <w:rFonts w:hint="eastAsia" w:ascii="宋体" w:hAnsi="宋体" w:cs="宋体"/>
          <w:sz w:val="24"/>
          <w:highlight w:val="none"/>
        </w:rPr>
        <w:t>B.预警确认。可查看预警列表内容，人工确认并做派发。</w:t>
      </w:r>
    </w:p>
    <w:p w14:paraId="1551202D">
      <w:pPr>
        <w:spacing w:line="360" w:lineRule="auto"/>
        <w:ind w:firstLine="480" w:firstLineChars="200"/>
        <w:rPr>
          <w:rFonts w:ascii="宋体" w:hAnsi="宋体" w:cs="宋体"/>
          <w:sz w:val="24"/>
          <w:highlight w:val="none"/>
        </w:rPr>
      </w:pPr>
      <w:r>
        <w:rPr>
          <w:rFonts w:hint="eastAsia" w:ascii="宋体" w:hAnsi="宋体" w:cs="宋体"/>
          <w:sz w:val="24"/>
          <w:highlight w:val="none"/>
        </w:rPr>
        <w:t>C.大队查收。被派发大队可在系统界面中收到预警消息，查看派单行动信息。大队可根据实际情况关闭无需处理的预警。</w:t>
      </w:r>
    </w:p>
    <w:p w14:paraId="2397BB37">
      <w:pPr>
        <w:spacing w:line="360" w:lineRule="auto"/>
        <w:ind w:firstLine="480" w:firstLineChars="200"/>
        <w:rPr>
          <w:rFonts w:ascii="宋体" w:hAnsi="宋体" w:cs="宋体"/>
          <w:sz w:val="24"/>
          <w:highlight w:val="none"/>
        </w:rPr>
      </w:pPr>
      <w:r>
        <w:rPr>
          <w:rFonts w:hint="eastAsia" w:ascii="宋体" w:hAnsi="宋体" w:cs="宋体"/>
          <w:sz w:val="24"/>
          <w:highlight w:val="none"/>
        </w:rPr>
        <w:t>3）落地</w:t>
      </w:r>
    </w:p>
    <w:p w14:paraId="6121C5CC">
      <w:pPr>
        <w:spacing w:line="360" w:lineRule="auto"/>
        <w:ind w:firstLine="480" w:firstLineChars="200"/>
        <w:rPr>
          <w:rFonts w:ascii="宋体" w:hAnsi="宋体" w:cs="宋体"/>
          <w:sz w:val="24"/>
          <w:highlight w:val="none"/>
        </w:rPr>
      </w:pPr>
      <w:r>
        <w:rPr>
          <w:rFonts w:hint="eastAsia" w:ascii="宋体" w:hAnsi="宋体" w:cs="宋体"/>
          <w:sz w:val="24"/>
          <w:highlight w:val="none"/>
        </w:rPr>
        <w:t>A.行动落地。在实施过程中线下收集行动相关的执行结果数据。</w:t>
      </w:r>
    </w:p>
    <w:p w14:paraId="231BECFD">
      <w:pPr>
        <w:spacing w:line="360" w:lineRule="auto"/>
        <w:ind w:firstLine="480" w:firstLineChars="200"/>
        <w:rPr>
          <w:rFonts w:ascii="宋体" w:hAnsi="宋体" w:cs="宋体"/>
          <w:sz w:val="24"/>
          <w:highlight w:val="none"/>
        </w:rPr>
      </w:pPr>
      <w:r>
        <w:rPr>
          <w:rFonts w:hint="eastAsia" w:ascii="宋体" w:hAnsi="宋体" w:cs="宋体"/>
          <w:sz w:val="24"/>
          <w:highlight w:val="none"/>
        </w:rPr>
        <w:t>B.行动执行反馈。实施行动完成后，在系统中反馈本次实施落地情况。</w:t>
      </w:r>
    </w:p>
    <w:p w14:paraId="0B56EEED">
      <w:pPr>
        <w:spacing w:line="360" w:lineRule="auto"/>
        <w:ind w:firstLine="480" w:firstLineChars="200"/>
        <w:rPr>
          <w:rFonts w:ascii="宋体" w:hAnsi="宋体" w:cs="宋体"/>
          <w:sz w:val="24"/>
          <w:highlight w:val="none"/>
        </w:rPr>
      </w:pPr>
      <w:r>
        <w:rPr>
          <w:rFonts w:hint="eastAsia" w:ascii="宋体" w:hAnsi="宋体" w:cs="宋体"/>
          <w:sz w:val="24"/>
          <w:highlight w:val="none"/>
        </w:rPr>
        <w:t>4）反馈</w:t>
      </w:r>
    </w:p>
    <w:p w14:paraId="4AA79EFA">
      <w:pPr>
        <w:spacing w:line="360" w:lineRule="auto"/>
        <w:ind w:firstLine="480" w:firstLineChars="200"/>
        <w:rPr>
          <w:rFonts w:ascii="宋体" w:hAnsi="宋体" w:cs="宋体"/>
          <w:sz w:val="24"/>
          <w:highlight w:val="none"/>
        </w:rPr>
      </w:pPr>
      <w:r>
        <w:rPr>
          <w:rFonts w:hint="eastAsia" w:ascii="宋体" w:hAnsi="宋体" w:cs="宋体"/>
          <w:sz w:val="24"/>
          <w:highlight w:val="none"/>
        </w:rPr>
        <w:t>A.反馈数据汇聚。将行动执行结果数据进行自动汇聚，形成统一的反馈库。</w:t>
      </w:r>
    </w:p>
    <w:p w14:paraId="752086C0">
      <w:pPr>
        <w:spacing w:line="360" w:lineRule="auto"/>
        <w:ind w:firstLine="480" w:firstLineChars="200"/>
        <w:rPr>
          <w:rFonts w:ascii="宋体" w:hAnsi="宋体" w:cs="宋体"/>
          <w:sz w:val="24"/>
          <w:highlight w:val="none"/>
        </w:rPr>
      </w:pPr>
      <w:r>
        <w:rPr>
          <w:rFonts w:hint="eastAsia" w:ascii="宋体" w:hAnsi="宋体" w:cs="宋体"/>
          <w:sz w:val="24"/>
          <w:highlight w:val="none"/>
        </w:rPr>
        <w:t>B.战果分析配置。配置战果分析模板，将反馈数据进行人工或自动清理。</w:t>
      </w:r>
    </w:p>
    <w:p w14:paraId="362359A7">
      <w:pPr>
        <w:spacing w:line="360" w:lineRule="auto"/>
        <w:ind w:firstLine="480" w:firstLineChars="200"/>
        <w:rPr>
          <w:rFonts w:ascii="宋体" w:hAnsi="宋体" w:cs="宋体"/>
          <w:sz w:val="24"/>
          <w:highlight w:val="none"/>
        </w:rPr>
      </w:pPr>
      <w:r>
        <w:rPr>
          <w:rFonts w:hint="eastAsia" w:ascii="宋体" w:hAnsi="宋体" w:cs="宋体"/>
          <w:sz w:val="24"/>
          <w:highlight w:val="none"/>
        </w:rPr>
        <w:t>C.战果查看。根据战果分析模板，自动生成本次行动及全年的战果分析报告。</w:t>
      </w:r>
    </w:p>
    <w:p w14:paraId="2EF6394F">
      <w:pPr>
        <w:spacing w:line="360" w:lineRule="auto"/>
        <w:ind w:firstLine="480" w:firstLineChars="200"/>
        <w:rPr>
          <w:rFonts w:ascii="宋体" w:hAnsi="宋体" w:cs="宋体"/>
          <w:sz w:val="24"/>
          <w:highlight w:val="none"/>
        </w:rPr>
      </w:pPr>
      <w:r>
        <w:rPr>
          <w:rFonts w:hint="eastAsia" w:ascii="宋体" w:hAnsi="宋体" w:cs="宋体"/>
          <w:sz w:val="24"/>
          <w:highlight w:val="none"/>
        </w:rPr>
        <w:t>2、事故与违法查处趋势分析</w:t>
      </w:r>
    </w:p>
    <w:p w14:paraId="0905F545">
      <w:pPr>
        <w:spacing w:line="360" w:lineRule="auto"/>
        <w:ind w:firstLine="480" w:firstLineChars="200"/>
        <w:rPr>
          <w:rFonts w:ascii="宋体" w:hAnsi="宋体" w:cs="宋体"/>
          <w:sz w:val="24"/>
          <w:highlight w:val="none"/>
        </w:rPr>
      </w:pPr>
      <w:r>
        <w:rPr>
          <w:rFonts w:hint="eastAsia" w:ascii="宋体" w:hAnsi="宋体" w:cs="宋体"/>
          <w:sz w:val="24"/>
          <w:highlight w:val="none"/>
        </w:rPr>
        <w:t>通过对事故和违法查处变化趋势的数据分析，通过模型分析同事故/违法关联的潜在因素以及违法查处数据，绘制上述因素的变化趋势折线图。</w:t>
      </w:r>
    </w:p>
    <w:p w14:paraId="1646C02B">
      <w:pPr>
        <w:spacing w:line="360" w:lineRule="auto"/>
        <w:ind w:firstLine="480" w:firstLineChars="200"/>
        <w:rPr>
          <w:rFonts w:ascii="宋体" w:hAnsi="宋体" w:cs="宋体"/>
          <w:sz w:val="24"/>
          <w:highlight w:val="none"/>
        </w:rPr>
      </w:pPr>
      <w:r>
        <w:rPr>
          <w:rFonts w:hint="eastAsia" w:ascii="宋体" w:hAnsi="宋体" w:cs="宋体"/>
          <w:sz w:val="24"/>
          <w:highlight w:val="none"/>
        </w:rPr>
        <w:t>1）可控违法类型筛选</w:t>
      </w:r>
    </w:p>
    <w:p w14:paraId="6BE59A19">
      <w:pPr>
        <w:spacing w:line="360" w:lineRule="auto"/>
        <w:ind w:firstLine="480" w:firstLineChars="200"/>
        <w:rPr>
          <w:rFonts w:ascii="宋体" w:hAnsi="宋体" w:cs="宋体"/>
          <w:sz w:val="24"/>
          <w:highlight w:val="none"/>
        </w:rPr>
      </w:pPr>
      <w:r>
        <w:rPr>
          <w:rFonts w:hint="eastAsia" w:ascii="宋体" w:hAnsi="宋体" w:cs="宋体"/>
          <w:sz w:val="24"/>
          <w:highlight w:val="none"/>
        </w:rPr>
        <w:t>A.专家经验筛选。根据时空属性分析，结合专家的经验和建议，筛选可防控型事故/违法作为分析对象。</w:t>
      </w:r>
    </w:p>
    <w:p w14:paraId="76D392E8">
      <w:pPr>
        <w:spacing w:line="360" w:lineRule="auto"/>
        <w:ind w:firstLine="480" w:firstLineChars="200"/>
        <w:rPr>
          <w:rFonts w:ascii="宋体" w:hAnsi="宋体" w:cs="宋体"/>
          <w:sz w:val="24"/>
          <w:highlight w:val="none"/>
        </w:rPr>
      </w:pPr>
      <w:r>
        <w:rPr>
          <w:rFonts w:hint="eastAsia" w:ascii="宋体" w:hAnsi="宋体" w:cs="宋体"/>
          <w:sz w:val="24"/>
          <w:highlight w:val="none"/>
        </w:rPr>
        <w:t>B.数据自动筛选。根据时空属性分析，以及近期违法查处数据进行多因素关联分析结果数据，自动推荐、筛选可防控型事故/违法作为分析对象，作为专家经验筛选的补充。</w:t>
      </w:r>
    </w:p>
    <w:p w14:paraId="628C186E">
      <w:pPr>
        <w:spacing w:line="360" w:lineRule="auto"/>
        <w:ind w:firstLine="480" w:firstLineChars="200"/>
        <w:rPr>
          <w:rFonts w:ascii="宋体" w:hAnsi="宋体" w:cs="宋体"/>
          <w:sz w:val="24"/>
          <w:highlight w:val="none"/>
        </w:rPr>
      </w:pPr>
      <w:r>
        <w:rPr>
          <w:rFonts w:hint="eastAsia" w:ascii="宋体" w:hAnsi="宋体" w:cs="宋体"/>
          <w:sz w:val="24"/>
          <w:highlight w:val="none"/>
        </w:rPr>
        <w:t>C.可控违法类型调整。参考近期可控违法类型分析的结果数据，以及专家的经验和建议，可对原有筛选的可防控型事故/违法做调整。</w:t>
      </w:r>
    </w:p>
    <w:p w14:paraId="6FF7B414">
      <w:pPr>
        <w:spacing w:line="360" w:lineRule="auto"/>
        <w:ind w:firstLine="480" w:firstLineChars="200"/>
        <w:rPr>
          <w:rFonts w:ascii="宋体" w:hAnsi="宋体" w:cs="宋体"/>
          <w:sz w:val="24"/>
          <w:highlight w:val="none"/>
        </w:rPr>
      </w:pPr>
      <w:r>
        <w:rPr>
          <w:rFonts w:hint="eastAsia" w:ascii="宋体" w:hAnsi="宋体" w:cs="宋体"/>
          <w:sz w:val="24"/>
          <w:highlight w:val="none"/>
        </w:rPr>
        <w:t>2）事故/违法关联的潜在因素分析</w:t>
      </w:r>
    </w:p>
    <w:p w14:paraId="70DD9CBC">
      <w:pPr>
        <w:spacing w:line="360" w:lineRule="auto"/>
        <w:ind w:firstLine="480" w:firstLineChars="200"/>
        <w:rPr>
          <w:rFonts w:ascii="宋体" w:hAnsi="宋体" w:cs="宋体"/>
          <w:sz w:val="24"/>
          <w:highlight w:val="none"/>
        </w:rPr>
      </w:pPr>
      <w:r>
        <w:rPr>
          <w:rFonts w:hint="eastAsia" w:ascii="宋体" w:hAnsi="宋体" w:cs="宋体"/>
          <w:sz w:val="24"/>
          <w:highlight w:val="none"/>
        </w:rPr>
        <w:t>A.数据质量分析。对事故/违法数据的数据质量进行初步分析，形成质量分析报告，进行数据质量的修正。</w:t>
      </w:r>
    </w:p>
    <w:p w14:paraId="13015558">
      <w:pPr>
        <w:spacing w:line="360" w:lineRule="auto"/>
        <w:ind w:firstLine="480" w:firstLineChars="200"/>
        <w:rPr>
          <w:rFonts w:ascii="宋体" w:hAnsi="宋体" w:cs="宋体"/>
          <w:sz w:val="24"/>
          <w:highlight w:val="none"/>
        </w:rPr>
      </w:pPr>
      <w:r>
        <w:rPr>
          <w:rFonts w:hint="eastAsia" w:ascii="宋体" w:hAnsi="宋体" w:cs="宋体"/>
          <w:sz w:val="24"/>
          <w:highlight w:val="none"/>
        </w:rPr>
        <w:t>B.基础信息分析。对上述事故/违法类型的各类潜在因素进行基础信息分析，获取事故/违法的分布规律。</w:t>
      </w:r>
    </w:p>
    <w:p w14:paraId="1DBCBDF8">
      <w:pPr>
        <w:spacing w:line="360" w:lineRule="auto"/>
        <w:ind w:firstLine="480" w:firstLineChars="200"/>
        <w:rPr>
          <w:rFonts w:ascii="宋体" w:hAnsi="宋体" w:cs="宋体"/>
          <w:sz w:val="24"/>
          <w:highlight w:val="none"/>
        </w:rPr>
      </w:pPr>
      <w:r>
        <w:rPr>
          <w:rFonts w:hint="eastAsia" w:ascii="宋体" w:hAnsi="宋体" w:cs="宋体"/>
          <w:sz w:val="24"/>
          <w:highlight w:val="none"/>
        </w:rPr>
        <w:t>C.多因素关联分析模型。将事故/违法关联潜在因素与违法查处数据进行多因素关联分析，设定关联度阈值，形成两者的关联关系模型。</w:t>
      </w:r>
    </w:p>
    <w:p w14:paraId="0E71E994">
      <w:pPr>
        <w:spacing w:line="360" w:lineRule="auto"/>
        <w:ind w:firstLine="480" w:firstLineChars="200"/>
        <w:rPr>
          <w:rFonts w:ascii="宋体" w:hAnsi="宋体" w:cs="宋体"/>
          <w:sz w:val="24"/>
          <w:highlight w:val="none"/>
        </w:rPr>
      </w:pPr>
      <w:r>
        <w:rPr>
          <w:rFonts w:hint="eastAsia" w:ascii="宋体" w:hAnsi="宋体" w:cs="宋体"/>
          <w:sz w:val="24"/>
          <w:highlight w:val="none"/>
        </w:rPr>
        <w:t>3）趋势分析</w:t>
      </w:r>
    </w:p>
    <w:p w14:paraId="4574F804">
      <w:pPr>
        <w:spacing w:line="360" w:lineRule="auto"/>
        <w:ind w:firstLine="480" w:firstLineChars="200"/>
        <w:rPr>
          <w:rFonts w:ascii="宋体" w:hAnsi="宋体" w:cs="宋体"/>
          <w:sz w:val="24"/>
          <w:highlight w:val="none"/>
        </w:rPr>
      </w:pPr>
      <w:r>
        <w:rPr>
          <w:rFonts w:hint="eastAsia" w:ascii="宋体" w:hAnsi="宋体" w:cs="宋体"/>
          <w:sz w:val="24"/>
          <w:highlight w:val="none"/>
        </w:rPr>
        <w:t>A.趋势分析模型配置。根据模型分析结果数据，配置趋势分析模型，生成事故与违法查处趋势分析专题表。</w:t>
      </w:r>
    </w:p>
    <w:p w14:paraId="212C0A67">
      <w:pPr>
        <w:spacing w:line="360" w:lineRule="auto"/>
        <w:ind w:firstLine="480" w:firstLineChars="200"/>
        <w:rPr>
          <w:rFonts w:ascii="宋体" w:hAnsi="宋体" w:cs="宋体"/>
          <w:sz w:val="24"/>
          <w:highlight w:val="none"/>
        </w:rPr>
      </w:pPr>
      <w:r>
        <w:rPr>
          <w:rFonts w:hint="eastAsia" w:ascii="宋体" w:hAnsi="宋体" w:cs="宋体"/>
          <w:sz w:val="24"/>
          <w:highlight w:val="none"/>
        </w:rPr>
        <w:t>B.趋势分析查看。可以查看各部门某项违法及事故的日趋势，通过折线图对比找到某项违法查处薄弱的部门。</w:t>
      </w:r>
    </w:p>
    <w:p w14:paraId="6E524399">
      <w:pPr>
        <w:spacing w:line="360" w:lineRule="auto"/>
        <w:ind w:firstLine="480" w:firstLineChars="200"/>
        <w:rPr>
          <w:rFonts w:ascii="宋体" w:hAnsi="宋体" w:cs="宋体"/>
          <w:sz w:val="24"/>
          <w:highlight w:val="none"/>
        </w:rPr>
      </w:pPr>
      <w:r>
        <w:rPr>
          <w:rFonts w:hint="eastAsia" w:ascii="宋体" w:hAnsi="宋体" w:cs="宋体"/>
          <w:sz w:val="24"/>
          <w:highlight w:val="none"/>
        </w:rPr>
        <w:t>4）事故与违法查处预演</w:t>
      </w:r>
    </w:p>
    <w:p w14:paraId="0286F631">
      <w:pPr>
        <w:spacing w:line="360" w:lineRule="auto"/>
        <w:ind w:firstLine="480" w:firstLineChars="200"/>
        <w:rPr>
          <w:rFonts w:ascii="宋体" w:hAnsi="宋体" w:cs="宋体"/>
          <w:sz w:val="24"/>
          <w:highlight w:val="none"/>
        </w:rPr>
      </w:pPr>
      <w:r>
        <w:rPr>
          <w:rFonts w:hint="eastAsia" w:ascii="宋体" w:hAnsi="宋体" w:cs="宋体"/>
          <w:sz w:val="24"/>
          <w:highlight w:val="none"/>
        </w:rPr>
        <w:t>A.目标设定预演。结合趋势分析专题表，用户可设定未来某个周期事故/违法的目标值，给出查处的数量推荐/预期值。</w:t>
      </w:r>
    </w:p>
    <w:p w14:paraId="7EDC060E">
      <w:pPr>
        <w:spacing w:line="360" w:lineRule="auto"/>
        <w:ind w:firstLine="480" w:firstLineChars="200"/>
        <w:rPr>
          <w:rFonts w:ascii="宋体" w:hAnsi="宋体" w:cs="宋体"/>
          <w:sz w:val="24"/>
          <w:highlight w:val="none"/>
        </w:rPr>
      </w:pPr>
      <w:r>
        <w:rPr>
          <w:rFonts w:hint="eastAsia" w:ascii="宋体" w:hAnsi="宋体" w:cs="宋体"/>
          <w:sz w:val="24"/>
          <w:highlight w:val="none"/>
        </w:rPr>
        <w:t>B.目标达到预演。结合趋势分析专题表，用户可设定未来某个周期查处值，给出事故与违法目标预计达到的值。</w:t>
      </w:r>
    </w:p>
    <w:p w14:paraId="45253742">
      <w:pPr>
        <w:spacing w:line="360" w:lineRule="auto"/>
        <w:ind w:firstLine="480" w:firstLineChars="200"/>
        <w:rPr>
          <w:rFonts w:ascii="宋体" w:hAnsi="宋体" w:cs="宋体"/>
          <w:sz w:val="24"/>
          <w:highlight w:val="none"/>
        </w:rPr>
      </w:pPr>
      <w:r>
        <w:rPr>
          <w:rFonts w:hint="eastAsia" w:ascii="宋体" w:hAnsi="宋体" w:cs="宋体"/>
          <w:sz w:val="24"/>
          <w:highlight w:val="none"/>
        </w:rPr>
        <w:t>C.复盘。根据某个周期完成内目标设定或目标达到的预演信息，针对预演的信息和实际执行的结果数据进行分析，复盘预演效果。</w:t>
      </w:r>
    </w:p>
    <w:p w14:paraId="12AFFDE1">
      <w:pPr>
        <w:spacing w:line="360" w:lineRule="auto"/>
        <w:ind w:firstLine="480" w:firstLineChars="200"/>
        <w:rPr>
          <w:rFonts w:ascii="宋体" w:hAnsi="宋体" w:cs="宋体"/>
          <w:sz w:val="24"/>
          <w:highlight w:val="none"/>
        </w:rPr>
      </w:pPr>
      <w:r>
        <w:rPr>
          <w:rFonts w:hint="eastAsia" w:ascii="宋体" w:hAnsi="宋体" w:cs="宋体"/>
          <w:sz w:val="24"/>
          <w:highlight w:val="none"/>
        </w:rPr>
        <w:t>3、亡人事故地图</w:t>
      </w:r>
    </w:p>
    <w:p w14:paraId="3E4B1F4D">
      <w:pPr>
        <w:spacing w:line="360" w:lineRule="auto"/>
        <w:ind w:firstLine="480" w:firstLineChars="200"/>
        <w:rPr>
          <w:rFonts w:ascii="宋体" w:hAnsi="宋体" w:cs="宋体"/>
          <w:sz w:val="24"/>
          <w:highlight w:val="none"/>
        </w:rPr>
      </w:pPr>
      <w:r>
        <w:rPr>
          <w:rFonts w:hint="eastAsia" w:ascii="宋体" w:hAnsi="宋体" w:cs="宋体"/>
          <w:sz w:val="24"/>
          <w:highlight w:val="none"/>
        </w:rPr>
        <w:t>根据大队提供近3年亡人事故，根据事故数据的类型、区域、时间、经纬度等信息，将亡人事故按照不同年限、不同区域进行图上展示，便于从整体、区域上分析亡人事故。</w:t>
      </w:r>
    </w:p>
    <w:p w14:paraId="40C294ED">
      <w:pPr>
        <w:spacing w:line="360" w:lineRule="auto"/>
        <w:ind w:firstLine="480" w:firstLineChars="200"/>
        <w:rPr>
          <w:rFonts w:ascii="宋体" w:hAnsi="宋体" w:cs="宋体"/>
          <w:sz w:val="24"/>
          <w:highlight w:val="none"/>
        </w:rPr>
      </w:pPr>
      <w:r>
        <w:rPr>
          <w:rFonts w:hint="eastAsia" w:ascii="宋体" w:hAnsi="宋体" w:cs="宋体"/>
          <w:sz w:val="24"/>
          <w:highlight w:val="none"/>
        </w:rPr>
        <w:t>1）事故经纬度数据治理</w:t>
      </w:r>
    </w:p>
    <w:p w14:paraId="69E0CB20">
      <w:pPr>
        <w:spacing w:line="360" w:lineRule="auto"/>
        <w:ind w:firstLine="480" w:firstLineChars="200"/>
        <w:rPr>
          <w:rFonts w:ascii="宋体" w:hAnsi="宋体" w:cs="宋体"/>
          <w:sz w:val="24"/>
          <w:highlight w:val="none"/>
        </w:rPr>
      </w:pPr>
      <w:r>
        <w:rPr>
          <w:rFonts w:hint="eastAsia" w:ascii="宋体" w:hAnsi="宋体" w:cs="宋体"/>
          <w:sz w:val="24"/>
          <w:highlight w:val="none"/>
        </w:rPr>
        <w:t>将2020年起的亡人事故数据中的经纬度信息进行人工治理。</w:t>
      </w:r>
    </w:p>
    <w:p w14:paraId="58F7A57F">
      <w:pPr>
        <w:spacing w:line="360" w:lineRule="auto"/>
        <w:ind w:firstLine="480" w:firstLineChars="200"/>
        <w:rPr>
          <w:rFonts w:ascii="宋体" w:hAnsi="宋体" w:cs="宋体"/>
          <w:sz w:val="24"/>
          <w:highlight w:val="none"/>
        </w:rPr>
      </w:pPr>
      <w:r>
        <w:rPr>
          <w:rFonts w:hint="eastAsia" w:ascii="宋体" w:hAnsi="宋体" w:cs="宋体"/>
          <w:sz w:val="24"/>
          <w:highlight w:val="none"/>
        </w:rPr>
        <w:t>2）亡人事故地图撒点</w:t>
      </w:r>
    </w:p>
    <w:p w14:paraId="64A073FA">
      <w:pPr>
        <w:spacing w:line="360" w:lineRule="auto"/>
        <w:ind w:firstLine="480" w:firstLineChars="200"/>
        <w:rPr>
          <w:rFonts w:ascii="宋体" w:hAnsi="宋体" w:cs="宋体"/>
          <w:sz w:val="24"/>
          <w:highlight w:val="none"/>
        </w:rPr>
      </w:pPr>
      <w:r>
        <w:rPr>
          <w:rFonts w:hint="eastAsia" w:ascii="宋体" w:hAnsi="宋体" w:cs="宋体"/>
          <w:sz w:val="24"/>
          <w:highlight w:val="none"/>
        </w:rPr>
        <w:t>适配用户已有GIS地图，将2020年起治理后的亡人事故（包含经纬度）数据在GIS地图撒点、展示。</w:t>
      </w:r>
    </w:p>
    <w:p w14:paraId="1AA7F332">
      <w:pPr>
        <w:spacing w:line="360" w:lineRule="auto"/>
        <w:ind w:firstLine="480" w:firstLineChars="200"/>
        <w:rPr>
          <w:rFonts w:ascii="宋体" w:hAnsi="宋体" w:cs="宋体"/>
          <w:sz w:val="24"/>
          <w:highlight w:val="none"/>
        </w:rPr>
      </w:pPr>
      <w:r>
        <w:rPr>
          <w:rFonts w:hint="eastAsia" w:ascii="宋体" w:hAnsi="宋体" w:cs="宋体"/>
          <w:sz w:val="24"/>
          <w:highlight w:val="none"/>
        </w:rPr>
        <w:t>A.</w:t>
      </w:r>
      <w:r>
        <w:rPr>
          <w:rFonts w:hint="eastAsia" w:ascii="宋体" w:hAnsi="宋体" w:cs="宋体"/>
          <w:sz w:val="24"/>
          <w:highlight w:val="none"/>
        </w:rPr>
        <w:tab/>
      </w:r>
      <w:r>
        <w:rPr>
          <w:rFonts w:hint="eastAsia" w:ascii="宋体" w:hAnsi="宋体" w:cs="宋体"/>
          <w:sz w:val="24"/>
          <w:highlight w:val="none"/>
        </w:rPr>
        <w:t>首屏显示。根据登录的用户信息、默认地图图层信息在首屏展示地图撒点。</w:t>
      </w:r>
    </w:p>
    <w:p w14:paraId="0C1AB54E">
      <w:pPr>
        <w:spacing w:line="360" w:lineRule="auto"/>
        <w:ind w:firstLine="480" w:firstLineChars="200"/>
        <w:rPr>
          <w:rFonts w:ascii="宋体" w:hAnsi="宋体" w:cs="宋体"/>
          <w:sz w:val="24"/>
          <w:highlight w:val="none"/>
        </w:rPr>
      </w:pPr>
      <w:r>
        <w:rPr>
          <w:rFonts w:hint="eastAsia" w:ascii="宋体" w:hAnsi="宋体" w:cs="宋体"/>
          <w:sz w:val="24"/>
          <w:highlight w:val="none"/>
        </w:rPr>
        <w:t>B.</w:t>
      </w:r>
      <w:r>
        <w:rPr>
          <w:rFonts w:hint="eastAsia" w:ascii="宋体" w:hAnsi="宋体" w:cs="宋体"/>
          <w:sz w:val="24"/>
          <w:highlight w:val="none"/>
        </w:rPr>
        <w:tab/>
      </w:r>
      <w:r>
        <w:rPr>
          <w:rFonts w:hint="eastAsia" w:ascii="宋体" w:hAnsi="宋体" w:cs="宋体"/>
          <w:sz w:val="24"/>
          <w:highlight w:val="none"/>
        </w:rPr>
        <w:t>事故聚合。根据用户在地图图层上的操作，自动将图层范围内的事故进行聚合、分散。</w:t>
      </w:r>
    </w:p>
    <w:p w14:paraId="5D38BB29">
      <w:pPr>
        <w:spacing w:line="360" w:lineRule="auto"/>
        <w:ind w:firstLine="480" w:firstLineChars="200"/>
        <w:rPr>
          <w:rFonts w:ascii="宋体" w:hAnsi="宋体" w:cs="宋体"/>
          <w:sz w:val="24"/>
          <w:highlight w:val="none"/>
        </w:rPr>
      </w:pPr>
      <w:r>
        <w:rPr>
          <w:rFonts w:hint="eastAsia" w:ascii="宋体" w:hAnsi="宋体" w:cs="宋体"/>
          <w:sz w:val="24"/>
          <w:highlight w:val="none"/>
        </w:rPr>
        <w:t>C.</w:t>
      </w:r>
      <w:r>
        <w:rPr>
          <w:rFonts w:hint="eastAsia" w:ascii="宋体" w:hAnsi="宋体" w:cs="宋体"/>
          <w:sz w:val="24"/>
          <w:highlight w:val="none"/>
        </w:rPr>
        <w:tab/>
      </w:r>
      <w:r>
        <w:rPr>
          <w:rFonts w:hint="eastAsia" w:ascii="宋体" w:hAnsi="宋体" w:cs="宋体"/>
          <w:sz w:val="24"/>
          <w:highlight w:val="none"/>
        </w:rPr>
        <w:t>分类显示。在事故地图上根据固定的分类，支持用户可根据提供的分类信息进行筛选，将筛选结果自动在地图上分类显示。</w:t>
      </w:r>
    </w:p>
    <w:p w14:paraId="42756743">
      <w:pPr>
        <w:spacing w:line="360" w:lineRule="auto"/>
        <w:ind w:firstLine="480" w:firstLineChars="200"/>
        <w:rPr>
          <w:rFonts w:ascii="宋体" w:hAnsi="宋体" w:cs="宋体"/>
          <w:sz w:val="24"/>
          <w:highlight w:val="none"/>
        </w:rPr>
      </w:pPr>
      <w:r>
        <w:rPr>
          <w:rFonts w:hint="eastAsia" w:ascii="宋体" w:hAnsi="宋体" w:cs="宋体"/>
          <w:sz w:val="24"/>
          <w:highlight w:val="none"/>
        </w:rPr>
        <w:t>2）权限控制</w:t>
      </w:r>
    </w:p>
    <w:p w14:paraId="1EDF5A20">
      <w:pPr>
        <w:spacing w:line="360" w:lineRule="auto"/>
        <w:ind w:firstLine="480" w:firstLineChars="200"/>
        <w:rPr>
          <w:rFonts w:ascii="宋体" w:hAnsi="宋体" w:cs="宋体"/>
          <w:sz w:val="24"/>
          <w:highlight w:val="none"/>
        </w:rPr>
      </w:pPr>
      <w:r>
        <w:rPr>
          <w:rFonts w:hint="eastAsia" w:ascii="宋体" w:hAnsi="宋体" w:cs="宋体"/>
          <w:sz w:val="24"/>
          <w:highlight w:val="none"/>
        </w:rPr>
        <w:t>A.权限配置。支持通过用户组织架构数，配置不同的权限。</w:t>
      </w:r>
    </w:p>
    <w:p w14:paraId="1D4CCD26">
      <w:pPr>
        <w:spacing w:line="360" w:lineRule="auto"/>
        <w:ind w:firstLine="480" w:firstLineChars="200"/>
        <w:rPr>
          <w:rFonts w:ascii="宋体" w:hAnsi="宋体" w:cs="宋体"/>
          <w:sz w:val="24"/>
          <w:highlight w:val="none"/>
        </w:rPr>
      </w:pPr>
      <w:r>
        <w:rPr>
          <w:rFonts w:hint="eastAsia" w:ascii="宋体" w:hAnsi="宋体" w:cs="宋体"/>
          <w:sz w:val="24"/>
          <w:highlight w:val="none"/>
        </w:rPr>
        <w:t>B.权限查看。根据不同权限可查看本级及下级亡人事故地图。</w:t>
      </w:r>
    </w:p>
    <w:p w14:paraId="7E1BCCF4">
      <w:pPr>
        <w:spacing w:line="360" w:lineRule="auto"/>
        <w:ind w:firstLine="480" w:firstLineChars="200"/>
        <w:rPr>
          <w:rFonts w:ascii="宋体" w:hAnsi="宋体" w:cs="宋体"/>
          <w:sz w:val="24"/>
          <w:highlight w:val="none"/>
        </w:rPr>
      </w:pPr>
      <w:r>
        <w:rPr>
          <w:rFonts w:hint="eastAsia" w:ascii="宋体" w:hAnsi="宋体" w:cs="宋体"/>
          <w:sz w:val="24"/>
          <w:highlight w:val="none"/>
        </w:rPr>
        <w:t>3）标签筛选</w:t>
      </w:r>
    </w:p>
    <w:p w14:paraId="76C500EC">
      <w:pPr>
        <w:spacing w:line="360" w:lineRule="auto"/>
        <w:ind w:firstLine="480" w:firstLineChars="200"/>
        <w:rPr>
          <w:rFonts w:ascii="宋体" w:hAnsi="宋体" w:cs="宋体"/>
          <w:sz w:val="24"/>
          <w:highlight w:val="none"/>
        </w:rPr>
      </w:pPr>
      <w:r>
        <w:rPr>
          <w:rFonts w:hint="eastAsia" w:ascii="宋体" w:hAnsi="宋体" w:cs="宋体"/>
          <w:sz w:val="24"/>
          <w:highlight w:val="none"/>
        </w:rPr>
        <w:t>A.筛选标签管理。根据亡人事故的标签，可配置不同的标签到筛选界面，满足用户筛选标签变化的需求。</w:t>
      </w:r>
    </w:p>
    <w:p w14:paraId="1E25CBFE">
      <w:pPr>
        <w:spacing w:line="360" w:lineRule="auto"/>
        <w:ind w:firstLine="480" w:firstLineChars="200"/>
        <w:rPr>
          <w:rFonts w:ascii="宋体" w:hAnsi="宋体" w:cs="宋体"/>
          <w:sz w:val="24"/>
          <w:highlight w:val="none"/>
        </w:rPr>
      </w:pPr>
      <w:r>
        <w:rPr>
          <w:rFonts w:hint="eastAsia" w:ascii="宋体" w:hAnsi="宋体" w:cs="宋体"/>
          <w:sz w:val="24"/>
          <w:highlight w:val="none"/>
        </w:rPr>
        <w:t>B.标签筛选。可按亡人事故的标签来筛选查看不同类型事故的地图分布情况。</w:t>
      </w:r>
    </w:p>
    <w:p w14:paraId="071F5E6E">
      <w:pPr>
        <w:spacing w:line="360" w:lineRule="auto"/>
        <w:ind w:firstLine="480" w:firstLineChars="200"/>
        <w:rPr>
          <w:rFonts w:ascii="宋体" w:hAnsi="宋体" w:cs="宋体"/>
          <w:sz w:val="24"/>
          <w:highlight w:val="none"/>
        </w:rPr>
      </w:pPr>
      <w:r>
        <w:rPr>
          <w:rFonts w:hint="eastAsia" w:ascii="宋体" w:hAnsi="宋体" w:cs="宋体"/>
          <w:sz w:val="24"/>
          <w:highlight w:val="none"/>
        </w:rPr>
        <w:t>C.数据上色。可根据时间范围，将各年数据在地图上使用不同颜色进行上图，便于直观查看各年的亡人事故变化情况。</w:t>
      </w:r>
    </w:p>
    <w:p w14:paraId="6156B6E5">
      <w:pPr>
        <w:spacing w:line="360" w:lineRule="auto"/>
        <w:ind w:firstLine="480" w:firstLineChars="200"/>
        <w:rPr>
          <w:rFonts w:ascii="宋体" w:hAnsi="宋体" w:cs="宋体"/>
          <w:sz w:val="24"/>
          <w:highlight w:val="none"/>
        </w:rPr>
      </w:pPr>
      <w:r>
        <w:rPr>
          <w:rFonts w:hint="eastAsia" w:ascii="宋体" w:hAnsi="宋体" w:cs="宋体"/>
          <w:sz w:val="24"/>
          <w:highlight w:val="none"/>
        </w:rPr>
        <w:t>4、违法查处数据轻应用</w:t>
      </w:r>
    </w:p>
    <w:p w14:paraId="6EE4B211">
      <w:pPr>
        <w:spacing w:line="360" w:lineRule="auto"/>
        <w:ind w:firstLine="480" w:firstLineChars="200"/>
        <w:rPr>
          <w:rFonts w:ascii="宋体" w:hAnsi="宋体" w:cs="宋体"/>
          <w:sz w:val="24"/>
          <w:highlight w:val="none"/>
        </w:rPr>
      </w:pPr>
      <w:r>
        <w:rPr>
          <w:rFonts w:hint="eastAsia" w:ascii="宋体" w:hAnsi="宋体" w:cs="宋体"/>
          <w:sz w:val="24"/>
          <w:highlight w:val="none"/>
        </w:rPr>
        <w:t>数据轻应用模块部分的主要功能为：自动接入不同业务系统的违法数据，通过可视化数据建模和数据展示功能，配置出符合业务需求的违法明细数据和统计指标查询轻应用，便于用户快速查询不同标签的违法数据，起到为基层民警减负的作用。</w:t>
      </w:r>
    </w:p>
    <w:p w14:paraId="3B1CD01C">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1）数据接入：支持对接目标数据源，获取应用所需业务数据，实现数据源共享。 </w:t>
      </w:r>
    </w:p>
    <w:p w14:paraId="30D01A07">
      <w:pPr>
        <w:spacing w:line="360" w:lineRule="auto"/>
        <w:ind w:firstLine="480" w:firstLineChars="200"/>
        <w:rPr>
          <w:rFonts w:ascii="宋体" w:hAnsi="宋体" w:cs="宋体"/>
          <w:sz w:val="24"/>
          <w:highlight w:val="none"/>
        </w:rPr>
      </w:pPr>
      <w:r>
        <w:rPr>
          <w:rFonts w:hint="eastAsia" w:ascii="宋体" w:hAnsi="宋体" w:cs="宋体"/>
          <w:sz w:val="24"/>
          <w:highlight w:val="none"/>
        </w:rPr>
        <w:t>2）违法数据治理：从云上获取各业务系统的违法数据，根据日常违法查处工作关注的信息和标签，将各类违法数据治理成违法主题明细数据表。</w:t>
      </w:r>
    </w:p>
    <w:p w14:paraId="5F5066D0">
      <w:pPr>
        <w:spacing w:line="360" w:lineRule="auto"/>
        <w:ind w:firstLine="480" w:firstLineChars="200"/>
        <w:rPr>
          <w:rFonts w:ascii="宋体" w:hAnsi="宋体" w:cs="宋体"/>
          <w:sz w:val="24"/>
          <w:highlight w:val="none"/>
        </w:rPr>
      </w:pPr>
      <w:r>
        <w:rPr>
          <w:rFonts w:hint="eastAsia" w:ascii="宋体" w:hAnsi="宋体" w:cs="宋体"/>
          <w:sz w:val="24"/>
          <w:highlight w:val="none"/>
        </w:rPr>
        <w:t>3）数据查询：根据不同标签数据作为查询条件，自定义选择次维设置数据统计的维度和指标项，满足民警快速获取日常违法数据分析的数据需求。</w:t>
      </w:r>
    </w:p>
    <w:p w14:paraId="799D56A7">
      <w:pPr>
        <w:spacing w:line="360" w:lineRule="auto"/>
        <w:ind w:firstLine="480" w:firstLineChars="200"/>
        <w:rPr>
          <w:rFonts w:ascii="宋体" w:hAnsi="宋体" w:cs="宋体"/>
          <w:sz w:val="24"/>
          <w:highlight w:val="none"/>
        </w:rPr>
      </w:pPr>
      <w:r>
        <w:rPr>
          <w:rFonts w:hint="eastAsia" w:ascii="宋体" w:hAnsi="宋体" w:cs="宋体"/>
          <w:sz w:val="24"/>
          <w:highlight w:val="none"/>
        </w:rPr>
        <w:t>4）数据管理：自定义配置和保存违法统计指标规则，自动统计违法考核指标并导出报表。</w:t>
      </w:r>
    </w:p>
    <w:p w14:paraId="3FD00A5D">
      <w:pPr>
        <w:spacing w:line="360" w:lineRule="auto"/>
        <w:ind w:firstLine="482" w:firstLineChars="200"/>
        <w:rPr>
          <w:rFonts w:ascii="宋体" w:hAnsi="宋体" w:cs="宋体"/>
          <w:b/>
          <w:sz w:val="24"/>
          <w:highlight w:val="none"/>
        </w:rPr>
      </w:pPr>
      <w:r>
        <w:rPr>
          <w:rFonts w:hint="eastAsia" w:ascii="宋体" w:hAnsi="宋体" w:cs="宋体"/>
          <w:b/>
          <w:sz w:val="24"/>
          <w:highlight w:val="none"/>
        </w:rPr>
        <w:t>二）服务要求</w:t>
      </w:r>
    </w:p>
    <w:p w14:paraId="3C90B2D0">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1、应具有较强的云计算及大数据开发、运维及服务能力，应具备网络安全技术、运维及服务能力； </w:t>
      </w:r>
    </w:p>
    <w:p w14:paraId="191AF80F">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2、应为本项目投入必要安全硬件专业设备进行服务，以成熟技术进行必要的安全保障； </w:t>
      </w:r>
    </w:p>
    <w:p w14:paraId="4975F25D">
      <w:pPr>
        <w:spacing w:line="360" w:lineRule="auto"/>
        <w:ind w:firstLine="480" w:firstLineChars="200"/>
        <w:rPr>
          <w:rFonts w:ascii="宋体" w:hAnsi="宋体" w:cs="宋体"/>
          <w:sz w:val="24"/>
          <w:highlight w:val="none"/>
        </w:rPr>
      </w:pPr>
      <w:r>
        <w:rPr>
          <w:rFonts w:hint="eastAsia" w:ascii="宋体" w:hAnsi="宋体" w:cs="宋体"/>
          <w:sz w:val="24"/>
          <w:highlight w:val="none"/>
        </w:rPr>
        <w:t>3、应具备公安数据领域云平台和大数据建设能力、安全保障能力和丰富的项目经验。</w:t>
      </w:r>
    </w:p>
    <w:p w14:paraId="595FC594">
      <w:pPr>
        <w:spacing w:line="360" w:lineRule="auto"/>
        <w:ind w:firstLine="482" w:firstLineChars="200"/>
        <w:rPr>
          <w:rFonts w:ascii="宋体" w:hAnsi="宋体" w:cs="宋体"/>
          <w:b/>
          <w:sz w:val="24"/>
          <w:highlight w:val="none"/>
        </w:rPr>
      </w:pPr>
      <w:r>
        <w:rPr>
          <w:rFonts w:hint="eastAsia" w:ascii="宋体" w:hAnsi="宋体" w:cs="宋体"/>
          <w:b/>
          <w:sz w:val="24"/>
          <w:highlight w:val="none"/>
        </w:rPr>
        <w:t>三）服务响应时间</w:t>
      </w:r>
    </w:p>
    <w:p w14:paraId="15497BDD">
      <w:pPr>
        <w:spacing w:line="360" w:lineRule="auto"/>
        <w:ind w:firstLine="482" w:firstLineChars="200"/>
        <w:rPr>
          <w:rFonts w:ascii="宋体" w:hAnsi="宋体" w:cs="宋体"/>
          <w:b/>
          <w:sz w:val="24"/>
          <w:highlight w:val="none"/>
          <w:u w:val="single"/>
        </w:rPr>
      </w:pPr>
      <w:r>
        <w:rPr>
          <w:rFonts w:hint="eastAsia" w:ascii="宋体" w:hAnsi="宋体" w:cs="宋体"/>
          <w:b/>
          <w:sz w:val="24"/>
          <w:highlight w:val="none"/>
          <w:u w:val="single"/>
        </w:rPr>
        <w:t>▲投标人提供7*24小时响应服务。接到采购人通知后应于30分钟内响应，2小时内解决问题；如现场驻点人员无法解决需投标人公司提供技术支持的，技术支持人员需3小时内到达现场，48小时内解决问题。</w:t>
      </w:r>
    </w:p>
    <w:p w14:paraId="7E4C62D5">
      <w:pPr>
        <w:spacing w:line="360" w:lineRule="auto"/>
        <w:ind w:firstLine="482" w:firstLineChars="200"/>
        <w:rPr>
          <w:rFonts w:ascii="宋体" w:hAnsi="宋体" w:cs="宋体"/>
          <w:b/>
          <w:sz w:val="24"/>
          <w:highlight w:val="none"/>
        </w:rPr>
      </w:pPr>
      <w:r>
        <w:rPr>
          <w:rFonts w:hint="eastAsia" w:ascii="宋体" w:hAnsi="宋体" w:cs="宋体"/>
          <w:b/>
          <w:sz w:val="24"/>
          <w:highlight w:val="none"/>
        </w:rPr>
        <w:t>四）人员要求</w:t>
      </w:r>
    </w:p>
    <w:p w14:paraId="67985550">
      <w:pPr>
        <w:tabs>
          <w:tab w:val="left" w:pos="432"/>
        </w:tabs>
        <w:spacing w:line="360" w:lineRule="auto"/>
        <w:ind w:firstLine="482" w:firstLineChars="200"/>
        <w:outlineLvl w:val="1"/>
        <w:rPr>
          <w:rFonts w:ascii="宋体" w:hAnsi="宋体" w:cs="宋体"/>
          <w:b/>
          <w:sz w:val="24"/>
          <w:highlight w:val="none"/>
        </w:rPr>
      </w:pPr>
      <w:r>
        <w:rPr>
          <w:rFonts w:hint="eastAsia" w:ascii="宋体" w:hAnsi="宋体" w:cs="宋体"/>
          <w:b/>
          <w:sz w:val="24"/>
          <w:highlight w:val="none"/>
        </w:rPr>
        <w:t>1、配备数量</w:t>
      </w:r>
    </w:p>
    <w:p w14:paraId="14B315C1">
      <w:pPr>
        <w:tabs>
          <w:tab w:val="left" w:pos="432"/>
        </w:tabs>
        <w:spacing w:line="360" w:lineRule="auto"/>
        <w:ind w:firstLine="482" w:firstLineChars="200"/>
        <w:outlineLvl w:val="1"/>
        <w:rPr>
          <w:rFonts w:ascii="宋体" w:hAnsi="宋体" w:cs="宋体"/>
          <w:b/>
          <w:sz w:val="24"/>
          <w:highlight w:val="none"/>
          <w:u w:val="single"/>
        </w:rPr>
      </w:pPr>
      <w:r>
        <w:rPr>
          <w:rFonts w:hint="eastAsia" w:ascii="宋体" w:hAnsi="宋体" w:cs="宋体"/>
          <w:b/>
          <w:sz w:val="24"/>
          <w:highlight w:val="none"/>
          <w:u w:val="single"/>
        </w:rPr>
        <w:t>按照实际工作需要，配备项目负责人1名，驻点人员不少于11名，不得与其他项目兼任。非驻点服务人员根据采购人实际要求进行安排。承担本项目中的实施、服务、安全保障和技术支持工作。</w:t>
      </w:r>
    </w:p>
    <w:p w14:paraId="188B02A3">
      <w:pPr>
        <w:tabs>
          <w:tab w:val="left" w:pos="432"/>
        </w:tabs>
        <w:spacing w:line="360" w:lineRule="auto"/>
        <w:ind w:firstLine="482" w:firstLineChars="200"/>
        <w:outlineLvl w:val="1"/>
        <w:rPr>
          <w:rFonts w:ascii="宋体" w:hAnsi="宋体" w:cs="宋体"/>
          <w:b/>
          <w:sz w:val="24"/>
          <w:highlight w:val="none"/>
        </w:rPr>
      </w:pPr>
      <w:r>
        <w:rPr>
          <w:rFonts w:hint="eastAsia" w:ascii="宋体" w:hAnsi="宋体" w:cs="宋体"/>
          <w:b/>
          <w:sz w:val="24"/>
          <w:highlight w:val="none"/>
        </w:rPr>
        <w:t>2、人员服务时间</w:t>
      </w:r>
    </w:p>
    <w:p w14:paraId="579350C9">
      <w:pPr>
        <w:tabs>
          <w:tab w:val="left" w:pos="432"/>
        </w:tabs>
        <w:spacing w:line="360" w:lineRule="auto"/>
        <w:ind w:firstLine="480" w:firstLineChars="200"/>
        <w:outlineLvl w:val="1"/>
        <w:rPr>
          <w:rFonts w:ascii="宋体" w:hAnsi="宋体" w:cs="宋体"/>
          <w:sz w:val="24"/>
          <w:highlight w:val="none"/>
        </w:rPr>
      </w:pPr>
      <w:r>
        <w:rPr>
          <w:rFonts w:hint="eastAsia" w:ascii="宋体" w:hAnsi="宋体" w:cs="宋体"/>
          <w:sz w:val="24"/>
          <w:highlight w:val="none"/>
        </w:rPr>
        <w:t>1）项目负责人服务时间：7*24小时；</w:t>
      </w:r>
    </w:p>
    <w:p w14:paraId="0CA73848">
      <w:pPr>
        <w:tabs>
          <w:tab w:val="left" w:pos="432"/>
        </w:tabs>
        <w:spacing w:line="360" w:lineRule="auto"/>
        <w:ind w:firstLine="480" w:firstLineChars="200"/>
        <w:outlineLvl w:val="1"/>
        <w:rPr>
          <w:rFonts w:ascii="宋体" w:hAnsi="宋体" w:cs="宋体"/>
          <w:sz w:val="24"/>
          <w:highlight w:val="none"/>
        </w:rPr>
      </w:pPr>
      <w:r>
        <w:rPr>
          <w:rFonts w:hint="eastAsia" w:ascii="宋体" w:hAnsi="宋体" w:cs="宋体"/>
          <w:bCs/>
          <w:sz w:val="24"/>
          <w:highlight w:val="none"/>
        </w:rPr>
        <w:t>2）驻点</w:t>
      </w:r>
      <w:r>
        <w:rPr>
          <w:rFonts w:hint="eastAsia" w:ascii="宋体" w:hAnsi="宋体" w:cs="宋体"/>
          <w:sz w:val="24"/>
          <w:highlight w:val="none"/>
        </w:rPr>
        <w:t>人员服务时间：5*8小时，工作时间9：00-17：30；</w:t>
      </w:r>
    </w:p>
    <w:p w14:paraId="05A61D53">
      <w:pPr>
        <w:tabs>
          <w:tab w:val="left" w:pos="432"/>
        </w:tabs>
        <w:spacing w:line="360" w:lineRule="auto"/>
        <w:ind w:firstLine="480" w:firstLineChars="200"/>
        <w:outlineLvl w:val="1"/>
        <w:rPr>
          <w:rFonts w:ascii="宋体" w:hAnsi="宋体" w:cs="宋体"/>
          <w:sz w:val="24"/>
          <w:highlight w:val="none"/>
        </w:rPr>
      </w:pPr>
      <w:r>
        <w:rPr>
          <w:rFonts w:hint="eastAsia" w:ascii="宋体" w:hAnsi="宋体" w:cs="宋体"/>
          <w:sz w:val="24"/>
          <w:highlight w:val="none"/>
        </w:rPr>
        <w:t>3）工作地点：杭州市公安局交通警察支队（杭州市文晖路336号）</w:t>
      </w:r>
    </w:p>
    <w:p w14:paraId="5069BF7C">
      <w:pPr>
        <w:tabs>
          <w:tab w:val="left" w:pos="432"/>
        </w:tabs>
        <w:spacing w:line="360" w:lineRule="auto"/>
        <w:ind w:firstLine="482" w:firstLineChars="200"/>
        <w:outlineLvl w:val="1"/>
        <w:rPr>
          <w:rFonts w:ascii="宋体" w:hAnsi="宋体" w:cs="宋体"/>
          <w:b/>
          <w:sz w:val="24"/>
          <w:highlight w:val="none"/>
        </w:rPr>
      </w:pPr>
      <w:r>
        <w:rPr>
          <w:rFonts w:hint="eastAsia" w:ascii="宋体" w:hAnsi="宋体" w:cs="宋体"/>
          <w:b/>
          <w:sz w:val="24"/>
          <w:highlight w:val="none"/>
        </w:rPr>
        <w:t>3、人员配备标准</w:t>
      </w:r>
    </w:p>
    <w:p w14:paraId="00CDE5D0">
      <w:pPr>
        <w:tabs>
          <w:tab w:val="left" w:pos="432"/>
        </w:tabs>
        <w:spacing w:line="360" w:lineRule="auto"/>
        <w:ind w:firstLine="480" w:firstLineChars="200"/>
        <w:outlineLvl w:val="1"/>
        <w:rPr>
          <w:rFonts w:ascii="宋体" w:hAnsi="宋体" w:cs="宋体"/>
          <w:b/>
          <w:sz w:val="24"/>
          <w:highlight w:val="none"/>
        </w:rPr>
      </w:pPr>
      <w:r>
        <w:rPr>
          <w:rFonts w:hint="eastAsia" w:ascii="宋体" w:hAnsi="宋体" w:cs="宋体"/>
          <w:sz w:val="24"/>
          <w:highlight w:val="none"/>
        </w:rPr>
        <w:t>1）</w:t>
      </w:r>
      <w:r>
        <w:rPr>
          <w:rFonts w:hint="eastAsia" w:ascii="宋体" w:hAnsi="宋体" w:cs="宋体"/>
          <w:b/>
          <w:sz w:val="24"/>
          <w:highlight w:val="none"/>
        </w:rPr>
        <w:t>项目负责人配备标准：年龄55周岁（含）以下，本科及以上学历，具有信息化软硬件运维工作服务经验（投标时提供身份证、学历证书、类似业绩合同或业主证明材料、项目负责人与投标人共同出具的在服务期内为本项目提供服务的承诺函或社保证明）。项目负责人主要负责项目整体实施管理、驻点人员管理，及与采购人的沟通协调等工作。</w:t>
      </w:r>
    </w:p>
    <w:p w14:paraId="5537E7EA">
      <w:pPr>
        <w:tabs>
          <w:tab w:val="left" w:pos="432"/>
        </w:tabs>
        <w:spacing w:line="360" w:lineRule="auto"/>
        <w:ind w:firstLine="482" w:firstLineChars="200"/>
        <w:outlineLvl w:val="1"/>
        <w:rPr>
          <w:rFonts w:ascii="宋体" w:hAnsi="宋体" w:cs="宋体"/>
          <w:b/>
          <w:sz w:val="24"/>
          <w:highlight w:val="none"/>
        </w:rPr>
      </w:pPr>
      <w:r>
        <w:rPr>
          <w:rFonts w:hint="eastAsia" w:ascii="宋体" w:hAnsi="宋体" w:cs="宋体"/>
          <w:b/>
          <w:sz w:val="24"/>
          <w:highlight w:val="none"/>
        </w:rPr>
        <w:t>2）驻点人员配备标准：年龄55周岁（含）以下，大专及以上学历，具有信息化软硬件运维工作服务经验（投标时提供身份证、学历证书、类似业绩合同或业主证明材料、驻点人员与投标人共同出具的在服务期内为本项目提供服务的承诺函或社保证明）。驻点人员主要负责项目的具体实施工作，接受采购人统一管理，配合采购人工作。</w:t>
      </w:r>
    </w:p>
    <w:p w14:paraId="0416F794">
      <w:pPr>
        <w:tabs>
          <w:tab w:val="left" w:pos="432"/>
        </w:tabs>
        <w:spacing w:line="360" w:lineRule="auto"/>
        <w:ind w:firstLine="482" w:firstLineChars="200"/>
        <w:outlineLvl w:val="1"/>
        <w:rPr>
          <w:rFonts w:ascii="宋体" w:hAnsi="宋体" w:cs="宋体"/>
          <w:sz w:val="24"/>
          <w:highlight w:val="none"/>
        </w:rPr>
      </w:pPr>
      <w:r>
        <w:rPr>
          <w:rFonts w:hint="eastAsia" w:ascii="宋体" w:hAnsi="宋体" w:cs="宋体"/>
          <w:b/>
          <w:sz w:val="24"/>
          <w:highlight w:val="none"/>
        </w:rPr>
        <w:t>驻点人员分</w:t>
      </w:r>
      <w:r>
        <w:rPr>
          <w:rFonts w:hint="eastAsia" w:ascii="宋体" w:hAnsi="宋体" w:cs="宋体"/>
          <w:b/>
          <w:bCs/>
          <w:sz w:val="24"/>
          <w:highlight w:val="none"/>
        </w:rPr>
        <w:t>工要求如下：</w:t>
      </w:r>
    </w:p>
    <w:p w14:paraId="70CFDD48">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（1）专网云平台系统运行及数据治理服务、公安网数据治理服务，驻点人员8人，主要工作：</w:t>
      </w:r>
    </w:p>
    <w:p w14:paraId="3EBD2277">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1）日常维护杭州日常数据服务工作，常态化技术支持，完成数据接入及透出、数据开发和技术支持服务。</w:t>
      </w:r>
    </w:p>
    <w:p w14:paraId="11BC065A">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2）按要求完成每日平台巡查、数据服务链路维护和数据统计分析工作，检查系统运行情况，每周一上报并出具上周的巡检报告，确保系统的稳定运行，在服务期间驻点人员电话应保持畅通。</w:t>
      </w:r>
    </w:p>
    <w:p w14:paraId="461B8D16">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3）完善数据上云申请流程，完成公安网数据资源的汇聚整合，实现数据统一汇聚。</w:t>
      </w:r>
    </w:p>
    <w:p w14:paraId="7D349475">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4）汇聚的数据进行标准化处理，根据公安大数据处理标准要求对数据进行重新整合。</w:t>
      </w:r>
    </w:p>
    <w:p w14:paraId="5404963E">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5）以数据应用为导向，提升数据价值密度。</w:t>
      </w:r>
    </w:p>
    <w:p w14:paraId="0CB3DFE1">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6）保障上云数据链路，负责维护云上链路新建、维护等。</w:t>
      </w:r>
    </w:p>
    <w:p w14:paraId="40C7F334">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（2）网络安全服务，驻点人员1人，主要工作：配合</w:t>
      </w:r>
      <w:r>
        <w:rPr>
          <w:rFonts w:hint="eastAsia" w:ascii="宋体" w:hAnsi="宋体" w:cs="宋体"/>
          <w:sz w:val="24"/>
          <w:highlight w:val="none"/>
        </w:rPr>
        <w:t>采购人</w:t>
      </w:r>
      <w:r>
        <w:rPr>
          <w:rFonts w:hint="eastAsia" w:ascii="宋体" w:hAnsi="宋体" w:cs="宋体"/>
          <w:bCs/>
          <w:sz w:val="24"/>
          <w:highlight w:val="none"/>
        </w:rPr>
        <w:t>开展安全运营管理工作，提供5*8小时服务，负责公安信息网、视频专网、电子政务外网等相关网络的安全运营管理工作。</w:t>
      </w:r>
    </w:p>
    <w:p w14:paraId="74A1F20B">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1）对系统软硬件设施检查检测，系统参数调整；</w:t>
      </w:r>
    </w:p>
    <w:p w14:paraId="439343C4">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2）保障系统的正常运行（包括防火墙设置、杀毒库升级、杀毒服务、系统优化等）；</w:t>
      </w:r>
    </w:p>
    <w:p w14:paraId="6F42A595">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3）重大活动中的保障工作。</w:t>
      </w:r>
    </w:p>
    <w:p w14:paraId="3FD3DC86">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4）服务期内提供《应急响应报告》不少于4份、《渗透测试报告》20份、《重保期间安全日报》至少4份、《网络安全事件应急演练报告》1份、《网络安全事件应急预案》1份、服务期结束后提供《网络安全总结报告》1份</w:t>
      </w:r>
    </w:p>
    <w:p w14:paraId="76C18FF2">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（3）货运导航数据及运营保障服务，驻点人员2人</w:t>
      </w:r>
    </w:p>
    <w:p w14:paraId="69E91646">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1）提供常态化货运交通组织优化调整数据服务。</w:t>
      </w:r>
    </w:p>
    <w:p w14:paraId="12956643">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2）提供城市货运导航推广运营服务，包括运输企业、货车驾驶员系统使用、信息咨询服务等。</w:t>
      </w:r>
    </w:p>
    <w:p w14:paraId="3C592B1C">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3）提供大型活动保障服务，在大型活动、会议期间，负责货运交通组织调整数据服务。不限于1、限行区域数据调整、制作、数据测试、数据发布服务；2、禁行区域数据调整、制作、数据测试、数据发布服务；3、黑名单道路调整、数据制作、数据测试、数据发布服务；4、避让区域的调整、数据制作、数据测试、数据发布服务等</w:t>
      </w:r>
    </w:p>
    <w:p w14:paraId="05D9326F">
      <w:pPr>
        <w:spacing w:line="360" w:lineRule="auto"/>
        <w:ind w:firstLine="480" w:firstLineChars="200"/>
        <w:rPr>
          <w:rFonts w:ascii="宋体" w:hAnsi="宋体" w:cs="宋体"/>
          <w:sz w:val="24"/>
          <w:highlight w:val="none"/>
        </w:rPr>
      </w:pPr>
      <w:r>
        <w:rPr>
          <w:rFonts w:hint="eastAsia" w:ascii="宋体" w:hAnsi="宋体" w:cs="宋体"/>
          <w:bCs/>
          <w:sz w:val="24"/>
          <w:highlight w:val="none"/>
        </w:rPr>
        <w:t>4）提供系统开发和对接服务，完成常态化的系统正常运行保障和需求实现，包括省厅行政审批系统、货车通行证系统数据接口对接、数据运维服务。</w:t>
      </w:r>
    </w:p>
    <w:p w14:paraId="2D02B91A">
      <w:pPr>
        <w:tabs>
          <w:tab w:val="left" w:pos="432"/>
        </w:tabs>
        <w:spacing w:line="360" w:lineRule="auto"/>
        <w:ind w:firstLine="482" w:firstLineChars="200"/>
        <w:outlineLvl w:val="1"/>
        <w:rPr>
          <w:rFonts w:ascii="宋体" w:hAnsi="宋体" w:cs="宋体"/>
          <w:b/>
          <w:sz w:val="24"/>
          <w:highlight w:val="none"/>
        </w:rPr>
      </w:pPr>
      <w:r>
        <w:rPr>
          <w:rFonts w:hint="eastAsia" w:ascii="宋体" w:hAnsi="宋体" w:cs="宋体"/>
          <w:b/>
          <w:sz w:val="24"/>
          <w:highlight w:val="none"/>
        </w:rPr>
        <w:t>4、其他要求：</w:t>
      </w:r>
    </w:p>
    <w:p w14:paraId="364765E4">
      <w:pPr>
        <w:tabs>
          <w:tab w:val="left" w:pos="432"/>
        </w:tabs>
        <w:spacing w:line="360" w:lineRule="auto"/>
        <w:ind w:firstLine="480" w:firstLineChars="200"/>
        <w:outlineLvl w:val="1"/>
        <w:rPr>
          <w:rFonts w:ascii="宋体" w:hAnsi="宋体" w:cs="宋体"/>
          <w:bCs/>
          <w:sz w:val="24"/>
          <w:highlight w:val="none"/>
        </w:rPr>
      </w:pPr>
      <w:r>
        <w:rPr>
          <w:rFonts w:hint="eastAsia" w:ascii="宋体" w:hAnsi="宋体" w:cs="宋体"/>
          <w:bCs/>
          <w:sz w:val="24"/>
          <w:highlight w:val="none"/>
        </w:rPr>
        <w:t>1）投标人应派驻固定的驻点人员，合同期内人员不得随意变动，因</w:t>
      </w:r>
      <w:r>
        <w:rPr>
          <w:rFonts w:hint="eastAsia" w:ascii="宋体" w:hAnsi="宋体" w:cs="宋体"/>
          <w:sz w:val="24"/>
          <w:highlight w:val="none"/>
        </w:rPr>
        <w:t>采购人</w:t>
      </w:r>
      <w:r>
        <w:rPr>
          <w:rFonts w:hint="eastAsia" w:ascii="宋体" w:hAnsi="宋体" w:cs="宋体"/>
          <w:bCs/>
          <w:sz w:val="24"/>
          <w:highlight w:val="none"/>
        </w:rPr>
        <w:t>工作存在即时性和突发性，能够随时响应配合采购人的工作，利于合作的顺利开展；人员如需发生变更，投标人应提前48小时通知采购人，经采购人书面同意后方可更换，更换人员需在24小时内到位，确保任何时间都不得出现人员缺位现象，更换人员素质应不低于投标时的承诺。</w:t>
      </w:r>
    </w:p>
    <w:p w14:paraId="2D83F3E8">
      <w:pPr>
        <w:tabs>
          <w:tab w:val="left" w:pos="432"/>
        </w:tabs>
        <w:spacing w:line="360" w:lineRule="auto"/>
        <w:ind w:firstLine="480" w:firstLineChars="200"/>
        <w:outlineLvl w:val="1"/>
        <w:rPr>
          <w:rFonts w:ascii="宋体" w:hAnsi="宋体" w:cs="宋体"/>
          <w:b/>
          <w:sz w:val="24"/>
          <w:highlight w:val="none"/>
        </w:rPr>
      </w:pPr>
      <w:r>
        <w:rPr>
          <w:rFonts w:hint="eastAsia" w:ascii="宋体" w:hAnsi="宋体" w:cs="宋体"/>
          <w:bCs/>
          <w:sz w:val="24"/>
          <w:highlight w:val="none"/>
        </w:rPr>
        <w:t>2）</w:t>
      </w:r>
      <w:r>
        <w:rPr>
          <w:rFonts w:hint="eastAsia" w:ascii="宋体" w:hAnsi="宋体" w:cs="宋体"/>
          <w:b/>
          <w:kern w:val="0"/>
          <w:sz w:val="24"/>
          <w:szCs w:val="20"/>
          <w:highlight w:val="none"/>
        </w:rPr>
        <w:t>对于本项目中提供的软硬件，需根据信创要求，完成信创测评，如因投标人原因未符合要求的，需负责整改到位</w:t>
      </w:r>
      <w:r>
        <w:rPr>
          <w:rFonts w:hint="eastAsia" w:ascii="宋体" w:hAnsi="宋体" w:cs="宋体"/>
          <w:b/>
          <w:sz w:val="24"/>
          <w:highlight w:val="none"/>
        </w:rPr>
        <w:t>。</w:t>
      </w:r>
    </w:p>
    <w:p w14:paraId="777735BE">
      <w:pPr>
        <w:tabs>
          <w:tab w:val="left" w:pos="432"/>
        </w:tabs>
        <w:spacing w:line="360" w:lineRule="auto"/>
        <w:ind w:firstLine="482" w:firstLineChars="200"/>
        <w:outlineLvl w:val="1"/>
        <w:rPr>
          <w:rFonts w:ascii="宋体" w:hAnsi="宋体" w:cs="宋体"/>
          <w:b/>
          <w:kern w:val="0"/>
          <w:sz w:val="24"/>
          <w:szCs w:val="20"/>
          <w:highlight w:val="none"/>
        </w:rPr>
      </w:pPr>
      <w:r>
        <w:rPr>
          <w:rFonts w:hint="eastAsia" w:ascii="宋体" w:hAnsi="宋体" w:cs="宋体"/>
          <w:b/>
          <w:kern w:val="0"/>
          <w:sz w:val="24"/>
          <w:szCs w:val="20"/>
          <w:highlight w:val="none"/>
        </w:rPr>
        <w:t>3）在本项目合同履行过程中，投标人提供的服务中部分内容（货运导航数据及运营保障服务中的城市货运导航数据运营服务）需要由第三方充分配合，相关费用包含在投标报价内，请在投标时充分考虑，投标人投标时提供承诺函（格式自拟）。若合同履行过程中，未按承诺实施，则处以违约金处罚，违约金金额由投标人自行在承诺函中明确，单次违约金金额不低于5万元且不高于20万元。</w:t>
      </w:r>
    </w:p>
    <w:p w14:paraId="2E4B2F0C">
      <w:pPr>
        <w:tabs>
          <w:tab w:val="left" w:pos="432"/>
        </w:tabs>
        <w:spacing w:line="360" w:lineRule="auto"/>
        <w:ind w:firstLine="482" w:firstLineChars="200"/>
        <w:outlineLvl w:val="1"/>
        <w:rPr>
          <w:rFonts w:ascii="宋体" w:hAnsi="宋体" w:cs="宋体"/>
          <w:b/>
          <w:sz w:val="24"/>
          <w:highlight w:val="none"/>
        </w:rPr>
      </w:pPr>
      <w:r>
        <w:rPr>
          <w:rFonts w:hint="eastAsia" w:ascii="宋体" w:hAnsi="宋体" w:cs="宋体"/>
          <w:b/>
          <w:sz w:val="24"/>
          <w:highlight w:val="none"/>
        </w:rPr>
        <w:t>5.培训要求：</w:t>
      </w:r>
    </w:p>
    <w:p w14:paraId="160589B0">
      <w:pPr>
        <w:tabs>
          <w:tab w:val="left" w:pos="432"/>
        </w:tabs>
        <w:spacing w:line="360" w:lineRule="auto"/>
        <w:ind w:firstLine="480" w:firstLineChars="200"/>
        <w:outlineLvl w:val="1"/>
        <w:rPr>
          <w:rFonts w:ascii="宋体" w:hAnsi="宋体" w:cs="宋体"/>
          <w:bCs/>
          <w:sz w:val="24"/>
          <w:highlight w:val="none"/>
        </w:rPr>
      </w:pPr>
      <w:bookmarkStart w:id="28" w:name="_Toc458245749"/>
      <w:bookmarkStart w:id="29" w:name="_Toc21067"/>
      <w:bookmarkStart w:id="30" w:name="_Toc1133126131"/>
      <w:bookmarkStart w:id="31" w:name="_Toc457900744"/>
      <w:bookmarkStart w:id="32" w:name="_Toc19783519"/>
      <w:r>
        <w:rPr>
          <w:rFonts w:hint="eastAsia" w:ascii="宋体" w:hAnsi="宋体" w:cs="宋体"/>
          <w:bCs/>
          <w:sz w:val="24"/>
          <w:highlight w:val="none"/>
        </w:rPr>
        <w:t>培训对象</w:t>
      </w:r>
      <w:bookmarkEnd w:id="28"/>
      <w:bookmarkEnd w:id="29"/>
      <w:bookmarkEnd w:id="30"/>
      <w:bookmarkEnd w:id="31"/>
      <w:bookmarkEnd w:id="32"/>
      <w:r>
        <w:rPr>
          <w:rFonts w:hint="eastAsia" w:ascii="宋体" w:hAnsi="宋体" w:cs="宋体"/>
          <w:bCs/>
          <w:sz w:val="24"/>
          <w:highlight w:val="none"/>
        </w:rPr>
        <w:t>：</w:t>
      </w:r>
      <w:r>
        <w:rPr>
          <w:rFonts w:hint="eastAsia" w:ascii="宋体" w:hAnsi="宋体" w:cs="宋体"/>
          <w:sz w:val="24"/>
          <w:highlight w:val="none"/>
        </w:rPr>
        <w:t>采购人</w:t>
      </w:r>
      <w:r>
        <w:rPr>
          <w:rFonts w:hint="eastAsia" w:ascii="宋体" w:hAnsi="宋体" w:cs="宋体"/>
          <w:bCs/>
          <w:sz w:val="24"/>
          <w:highlight w:val="none"/>
        </w:rPr>
        <w:t>相关处室人员。培训人数根据采购人要求确定（不少于5人）。</w:t>
      </w:r>
    </w:p>
    <w:p w14:paraId="6D83B766">
      <w:pPr>
        <w:tabs>
          <w:tab w:val="left" w:pos="432"/>
        </w:tabs>
        <w:spacing w:line="360" w:lineRule="auto"/>
        <w:ind w:firstLine="480" w:firstLineChars="200"/>
        <w:outlineLvl w:val="1"/>
        <w:rPr>
          <w:rFonts w:ascii="宋体" w:hAnsi="宋体" w:cs="宋体"/>
          <w:bCs/>
          <w:sz w:val="24"/>
          <w:highlight w:val="none"/>
        </w:rPr>
      </w:pPr>
      <w:bookmarkStart w:id="33" w:name="_Toc19783520"/>
      <w:bookmarkStart w:id="34" w:name="_Toc458245750"/>
      <w:bookmarkStart w:id="35" w:name="_Toc16967"/>
      <w:bookmarkStart w:id="36" w:name="_Toc457900745"/>
      <w:bookmarkStart w:id="37" w:name="_Toc565902121"/>
      <w:r>
        <w:rPr>
          <w:rFonts w:hint="eastAsia" w:ascii="宋体" w:hAnsi="宋体" w:cs="宋体"/>
          <w:bCs/>
          <w:sz w:val="24"/>
          <w:highlight w:val="none"/>
        </w:rPr>
        <w:t>培训方式</w:t>
      </w:r>
      <w:bookmarkEnd w:id="33"/>
      <w:bookmarkEnd w:id="34"/>
      <w:bookmarkEnd w:id="35"/>
      <w:bookmarkEnd w:id="36"/>
      <w:bookmarkEnd w:id="37"/>
      <w:r>
        <w:rPr>
          <w:rFonts w:hint="eastAsia" w:ascii="宋体" w:hAnsi="宋体" w:cs="宋体"/>
          <w:bCs/>
          <w:sz w:val="24"/>
          <w:highlight w:val="none"/>
        </w:rPr>
        <w:t>：主要为集中授课和现场操作应用指导培训，提供至少一年一次的培训。</w:t>
      </w:r>
    </w:p>
    <w:p w14:paraId="3A997D73">
      <w:pPr>
        <w:tabs>
          <w:tab w:val="left" w:pos="432"/>
        </w:tabs>
        <w:spacing w:line="360" w:lineRule="auto"/>
        <w:ind w:firstLine="480" w:firstLineChars="200"/>
        <w:outlineLvl w:val="1"/>
        <w:rPr>
          <w:rFonts w:ascii="宋体" w:hAnsi="宋体" w:cs="宋体"/>
          <w:bCs/>
          <w:sz w:val="24"/>
          <w:highlight w:val="none"/>
        </w:rPr>
      </w:pPr>
      <w:bookmarkStart w:id="38" w:name="_Toc458245751"/>
      <w:bookmarkStart w:id="39" w:name="_Toc457900746"/>
      <w:bookmarkStart w:id="40" w:name="_Toc6155"/>
      <w:bookmarkStart w:id="41" w:name="_Toc2059358731"/>
      <w:bookmarkStart w:id="42" w:name="_Toc19783521"/>
      <w:r>
        <w:rPr>
          <w:rFonts w:hint="eastAsia" w:ascii="宋体" w:hAnsi="宋体" w:cs="宋体"/>
          <w:bCs/>
          <w:sz w:val="24"/>
          <w:highlight w:val="none"/>
        </w:rPr>
        <w:t>培训地点</w:t>
      </w:r>
      <w:bookmarkEnd w:id="38"/>
      <w:bookmarkEnd w:id="39"/>
      <w:bookmarkEnd w:id="40"/>
      <w:bookmarkEnd w:id="41"/>
      <w:bookmarkEnd w:id="42"/>
      <w:r>
        <w:rPr>
          <w:rFonts w:hint="eastAsia" w:ascii="宋体" w:hAnsi="宋体" w:cs="宋体"/>
          <w:bCs/>
          <w:sz w:val="24"/>
          <w:highlight w:val="none"/>
        </w:rPr>
        <w:t>：培训地点由项目投标人与采购人共同协商确定。</w:t>
      </w:r>
    </w:p>
    <w:p w14:paraId="0AF9A57A">
      <w:pPr>
        <w:tabs>
          <w:tab w:val="left" w:pos="432"/>
        </w:tabs>
        <w:spacing w:line="360" w:lineRule="auto"/>
        <w:ind w:firstLine="480" w:firstLineChars="200"/>
        <w:outlineLvl w:val="1"/>
        <w:rPr>
          <w:rFonts w:ascii="宋体" w:hAnsi="宋体" w:cs="宋体"/>
          <w:bCs/>
          <w:sz w:val="24"/>
          <w:highlight w:val="none"/>
        </w:rPr>
      </w:pPr>
      <w:bookmarkStart w:id="43" w:name="_Toc457900747"/>
      <w:bookmarkStart w:id="44" w:name="_Toc19783522"/>
      <w:bookmarkStart w:id="45" w:name="_Toc8832"/>
      <w:bookmarkStart w:id="46" w:name="_Toc648253218"/>
      <w:bookmarkStart w:id="47" w:name="_Toc458245752"/>
      <w:r>
        <w:rPr>
          <w:rFonts w:hint="eastAsia" w:ascii="宋体" w:hAnsi="宋体" w:cs="宋体"/>
          <w:bCs/>
          <w:sz w:val="24"/>
          <w:highlight w:val="none"/>
        </w:rPr>
        <w:t>培训内容</w:t>
      </w:r>
      <w:bookmarkEnd w:id="43"/>
      <w:bookmarkEnd w:id="44"/>
      <w:bookmarkEnd w:id="45"/>
      <w:bookmarkEnd w:id="46"/>
      <w:bookmarkEnd w:id="47"/>
      <w:r>
        <w:rPr>
          <w:rFonts w:hint="eastAsia" w:ascii="宋体" w:hAnsi="宋体" w:cs="宋体"/>
          <w:bCs/>
          <w:sz w:val="24"/>
          <w:highlight w:val="none"/>
        </w:rPr>
        <w:t>：培训包括安全体系、视频专网数据体系、公安网数据体系以及应用改造流程普及。</w:t>
      </w:r>
    </w:p>
    <w:p w14:paraId="1C1EEAA9">
      <w:pPr>
        <w:tabs>
          <w:tab w:val="left" w:pos="432"/>
        </w:tabs>
        <w:spacing w:line="360" w:lineRule="auto"/>
        <w:ind w:firstLine="480" w:firstLineChars="200"/>
        <w:rPr>
          <w:rFonts w:ascii="宋体" w:hAnsi="宋体" w:cs="宋体"/>
          <w:bCs/>
          <w:sz w:val="24"/>
          <w:highlight w:val="none"/>
        </w:rPr>
      </w:pPr>
      <w:r>
        <w:rPr>
          <w:rFonts w:hint="eastAsia" w:ascii="宋体" w:hAnsi="宋体" w:cs="宋体"/>
          <w:bCs/>
          <w:sz w:val="24"/>
          <w:highlight w:val="none"/>
          <w:lang w:bidi="zh-CN"/>
        </w:rPr>
        <w:t>培训师资：由投标人提供1名技术人员或工程师。</w:t>
      </w:r>
    </w:p>
    <w:p w14:paraId="41104C8C">
      <w:pPr>
        <w:spacing w:line="360" w:lineRule="auto"/>
        <w:ind w:firstLine="482" w:firstLineChars="200"/>
        <w:rPr>
          <w:rFonts w:ascii="宋体" w:hAnsi="宋体" w:cs="宋体"/>
          <w:b/>
          <w:sz w:val="24"/>
          <w:highlight w:val="none"/>
        </w:rPr>
      </w:pPr>
      <w:r>
        <w:rPr>
          <w:rFonts w:hint="eastAsia" w:ascii="宋体" w:hAnsi="宋体" w:cs="宋体"/>
          <w:b/>
          <w:sz w:val="24"/>
          <w:highlight w:val="none"/>
        </w:rPr>
        <w:t>五）投标人网络安全责任和义务</w:t>
      </w:r>
    </w:p>
    <w:p w14:paraId="08C3429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（1）明确投标人法定代表人为合作事项网络安全第一责任人，具体承担合作事项的部门主要负责人为直接责任人。</w:t>
      </w:r>
    </w:p>
    <w:p w14:paraId="44FE83D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z w:val="24"/>
          <w:highlight w:val="none"/>
        </w:rPr>
        <w:t>不得将除非主体、非关键性的工作外的合同内容进行分包或转包</w:t>
      </w:r>
      <w:r>
        <w:rPr>
          <w:rFonts w:hint="eastAsia" w:ascii="宋体" w:hAnsi="宋体" w:cs="宋体"/>
          <w:kern w:val="0"/>
          <w:sz w:val="24"/>
          <w:highlight w:val="none"/>
        </w:rPr>
        <w:t>。</w:t>
      </w:r>
    </w:p>
    <w:p w14:paraId="54E30D5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（3）投标人应制订与合作事项相关的网络安全保障方案和网络安全事件应急预案。</w:t>
      </w:r>
    </w:p>
    <w:p w14:paraId="1126F9D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（4）投标人发现网络安全漏洞、缺陷或者其他严重网络安全风险，应10分钟内向采购人报告。</w:t>
      </w:r>
    </w:p>
    <w:p w14:paraId="1EE2A4E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（5）处理合作事项的信息平台应当采用安全可信的硬件和软件产品。</w:t>
      </w:r>
    </w:p>
    <w:p w14:paraId="3457384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（6）发生可能影响合作事项的网络安全重大事项，包括负责人及重要工作人员变更、业务转型、合并重组和投资并购等，投标人应提前向采购人报告。</w:t>
      </w:r>
    </w:p>
    <w:p w14:paraId="50AC7D3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（7）采用社会公共网络平台实施合作事项时，严禁涉及国家秘密和警务工作秘密。</w:t>
      </w:r>
    </w:p>
    <w:p w14:paraId="003D893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（8）投标人应2025年8月1日前向采购人提交一份网络安全报告。</w:t>
      </w:r>
    </w:p>
    <w:p w14:paraId="112AD09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（9）其他应当落实的网络安全责任和义务。</w:t>
      </w:r>
    </w:p>
    <w:p w14:paraId="76ED893C">
      <w:pPr>
        <w:spacing w:line="360" w:lineRule="auto"/>
        <w:ind w:firstLine="482" w:firstLineChars="200"/>
        <w:rPr>
          <w:rFonts w:ascii="宋体" w:hAnsi="宋体" w:cs="宋体"/>
          <w:b/>
          <w:sz w:val="24"/>
          <w:highlight w:val="none"/>
        </w:rPr>
      </w:pPr>
      <w:r>
        <w:rPr>
          <w:rFonts w:hint="eastAsia" w:ascii="宋体" w:hAnsi="宋体" w:cs="宋体"/>
          <w:b/>
          <w:sz w:val="24"/>
          <w:highlight w:val="none"/>
        </w:rPr>
        <w:t>六）保密条款：</w:t>
      </w:r>
    </w:p>
    <w:p w14:paraId="62814A3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采购人对投标人及工作人员开展常态化安全保密教育，组织签订安全保密承诺书，明确具体安全管理内容、安全保密义务和责任； 投标人及工作人员违反保密安全管理要求，构成违法犯罪的，采购人将及时报送本级政府采购和市场监督管理部门，提请列入政府采购严重违法失信行为记录名单、市场监督管理严重失信名单，并追究相关责任。</w:t>
      </w:r>
    </w:p>
    <w:p w14:paraId="7609EB0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严格按照采购人规定使用、存储、处理文档资料和数据。合同终止时，应当交还全部资料和数据。</w:t>
      </w:r>
    </w:p>
    <w:p w14:paraId="1D09A32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投标人需与采购人签署保密协议，投标人对在项目实施期间所获得的采购人的情报和资料有保密义务（包括但不限于合同服务期内），泄漏秘密应承担的责任。如有违反，按合同的违约条款向采购人支付违约金，造成采购人损失的应予赔偿，涉嫌犯罪的依法追究刑事责任。</w:t>
      </w:r>
    </w:p>
    <w:p w14:paraId="6D83550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若项目涉及分包的，投标人须按照以上保密要求，与分包供应商签订单位保密协议、个人保密承诺书、开展日常保密教育等措施，确保分包供应商严格落实各项保密规定。</w:t>
      </w:r>
    </w:p>
    <w:p w14:paraId="482F92AF">
      <w:pPr>
        <w:numPr>
          <w:ilvl w:val="0"/>
          <w:numId w:val="7"/>
        </w:numPr>
        <w:spacing w:line="360" w:lineRule="auto"/>
        <w:ind w:firstLine="482" w:firstLineChars="200"/>
        <w:rPr>
          <w:rFonts w:ascii="宋体" w:hAnsi="宋体" w:cs="宋体"/>
          <w:b/>
          <w:sz w:val="24"/>
          <w:highlight w:val="none"/>
        </w:rPr>
      </w:pPr>
      <w:r>
        <w:rPr>
          <w:rFonts w:hint="eastAsia" w:ascii="宋体" w:hAnsi="宋体" w:cs="宋体"/>
          <w:b/>
          <w:sz w:val="24"/>
          <w:highlight w:val="none"/>
        </w:rPr>
        <w:t>安全事故责任条款：</w:t>
      </w:r>
    </w:p>
    <w:p w14:paraId="1E5A0ABB">
      <w:pPr>
        <w:spacing w:line="360" w:lineRule="auto"/>
        <w:ind w:firstLine="480" w:firstLineChars="200"/>
        <w:rPr>
          <w:rFonts w:ascii="宋体" w:hAnsi="宋体" w:cs="宋体"/>
          <w:sz w:val="24"/>
          <w:highlight w:val="none"/>
        </w:rPr>
      </w:pPr>
      <w:r>
        <w:rPr>
          <w:rFonts w:hint="eastAsia" w:ascii="宋体" w:hAnsi="宋体" w:cs="宋体"/>
          <w:sz w:val="24"/>
          <w:highlight w:val="none"/>
        </w:rPr>
        <w:t>因投标人或投标人派遣人员工作过错造成的安全管理事故，投标人负全部责任及相关费用。</w:t>
      </w:r>
    </w:p>
    <w:p w14:paraId="47CC43B4">
      <w:pPr>
        <w:spacing w:line="360" w:lineRule="auto"/>
        <w:rPr>
          <w:rFonts w:ascii="宋体" w:hAnsi="宋体" w:cs="宋体"/>
          <w:sz w:val="24"/>
          <w:highlight w:val="none"/>
        </w:rPr>
      </w:pPr>
      <w:r>
        <w:rPr>
          <w:rFonts w:hint="eastAsia" w:ascii="宋体" w:hAnsi="宋体" w:cs="宋体"/>
          <w:sz w:val="24"/>
          <w:highlight w:val="none"/>
        </w:rPr>
        <w:t>（六）拟采购标的的商务要求</w:t>
      </w:r>
    </w:p>
    <w:p w14:paraId="797380CA">
      <w:pPr>
        <w:spacing w:line="360" w:lineRule="auto"/>
        <w:ind w:firstLine="480" w:firstLineChars="200"/>
        <w:rPr>
          <w:rFonts w:ascii="宋体" w:hAnsi="宋体" w:cs="宋体"/>
          <w:sz w:val="24"/>
          <w:highlight w:val="none"/>
        </w:rPr>
      </w:pPr>
      <w:r>
        <w:rPr>
          <w:rFonts w:hint="eastAsia" w:ascii="宋体" w:hAnsi="宋体" w:cs="宋体"/>
          <w:sz w:val="24"/>
          <w:highlight w:val="none"/>
        </w:rPr>
        <w:t>1.交付（实施）的时间（期限）：2024年8月1日-2025年7月31日</w:t>
      </w:r>
      <w:r>
        <w:rPr>
          <w:rFonts w:hint="eastAsia" w:ascii="宋体" w:hAnsi="宋体" w:cs="宋体"/>
          <w:sz w:val="24"/>
          <w:szCs w:val="24"/>
          <w:highlight w:val="none"/>
          <w:lang w:val="en-US" w:eastAsia="zh-CN"/>
        </w:rPr>
        <w:t>,服务空档期（即2024年8月1日至开始提供服务之前)由原供应商（2023年供应商）按照2024年需求提供服务，期间产生的费用由投标人，按照实际服务时间及2024年合同单价与原供应商按实结算。</w:t>
      </w:r>
    </w:p>
    <w:p w14:paraId="5D5216A6">
      <w:pPr>
        <w:spacing w:line="360" w:lineRule="auto"/>
        <w:ind w:firstLine="480" w:firstLineChars="200"/>
        <w:rPr>
          <w:rFonts w:ascii="宋体" w:hAnsi="宋体" w:cs="宋体"/>
          <w:sz w:val="24"/>
          <w:highlight w:val="none"/>
        </w:rPr>
      </w:pPr>
      <w:r>
        <w:rPr>
          <w:rFonts w:hint="eastAsia" w:ascii="宋体" w:hAnsi="宋体" w:cs="宋体"/>
          <w:sz w:val="24"/>
          <w:highlight w:val="none"/>
        </w:rPr>
        <w:t>2.交付（实施）的地点（范围）：杭州市公安局交通警察支队（杭州市拱墅区文晖路336号）。</w:t>
      </w:r>
    </w:p>
    <w:p w14:paraId="491E6563">
      <w:pPr>
        <w:spacing w:line="360" w:lineRule="auto"/>
        <w:ind w:firstLine="480" w:firstLineChars="200"/>
        <w:rPr>
          <w:rFonts w:ascii="宋体" w:hAnsi="宋体" w:cs="宋体"/>
          <w:sz w:val="24"/>
          <w:highlight w:val="none"/>
        </w:rPr>
      </w:pPr>
      <w:r>
        <w:rPr>
          <w:rFonts w:hint="eastAsia" w:ascii="宋体" w:hAnsi="宋体" w:cs="宋体"/>
          <w:sz w:val="24"/>
          <w:highlight w:val="none"/>
        </w:rPr>
        <w:t>3.付款条件（进度和方式）</w:t>
      </w:r>
    </w:p>
    <w:tbl>
      <w:tblPr>
        <w:tblStyle w:val="62"/>
        <w:tblW w:w="8285"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171"/>
        <w:gridCol w:w="5792"/>
        <w:gridCol w:w="1322"/>
      </w:tblGrid>
      <w:tr w14:paraId="796DDDD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1" w:type="dxa"/>
            <w:vAlign w:val="center"/>
          </w:tcPr>
          <w:p w14:paraId="18F3D2F7">
            <w:pPr>
              <w:spacing w:line="360" w:lineRule="auto"/>
              <w:jc w:val="center"/>
              <w:rPr>
                <w:rFonts w:ascii="宋体" w:hAnsi="宋体" w:cs="宋体"/>
                <w:sz w:val="24"/>
                <w:highlight w:val="none"/>
              </w:rPr>
            </w:pPr>
            <w:r>
              <w:rPr>
                <w:rFonts w:hint="eastAsia" w:ascii="宋体" w:hAnsi="宋体" w:cs="宋体"/>
                <w:sz w:val="24"/>
                <w:highlight w:val="none"/>
              </w:rPr>
              <w:t>序号</w:t>
            </w:r>
          </w:p>
        </w:tc>
        <w:tc>
          <w:tcPr>
            <w:tcW w:w="5792" w:type="dxa"/>
            <w:vAlign w:val="center"/>
          </w:tcPr>
          <w:p w14:paraId="22A2F01E">
            <w:pPr>
              <w:spacing w:line="360" w:lineRule="auto"/>
              <w:ind w:firstLine="480" w:firstLineChars="200"/>
              <w:jc w:val="center"/>
              <w:rPr>
                <w:rFonts w:ascii="宋体" w:hAnsi="宋体" w:cs="宋体"/>
                <w:sz w:val="24"/>
                <w:highlight w:val="none"/>
              </w:rPr>
            </w:pPr>
            <w:r>
              <w:rPr>
                <w:rFonts w:hint="eastAsia" w:ascii="宋体" w:hAnsi="宋体" w:cs="宋体"/>
                <w:sz w:val="24"/>
                <w:highlight w:val="none"/>
              </w:rPr>
              <w:t>付款比例（%）</w:t>
            </w:r>
          </w:p>
        </w:tc>
        <w:tc>
          <w:tcPr>
            <w:tcW w:w="1322" w:type="dxa"/>
            <w:vAlign w:val="center"/>
          </w:tcPr>
          <w:p w14:paraId="023169C5">
            <w:pPr>
              <w:spacing w:line="360" w:lineRule="auto"/>
              <w:jc w:val="center"/>
              <w:rPr>
                <w:rFonts w:ascii="宋体" w:hAnsi="宋体" w:cs="宋体"/>
                <w:sz w:val="24"/>
                <w:highlight w:val="none"/>
              </w:rPr>
            </w:pPr>
            <w:r>
              <w:rPr>
                <w:rFonts w:hint="eastAsia" w:ascii="宋体" w:hAnsi="宋体" w:cs="宋体"/>
                <w:sz w:val="24"/>
                <w:highlight w:val="none"/>
              </w:rPr>
              <w:t>付款方式</w:t>
            </w:r>
          </w:p>
        </w:tc>
      </w:tr>
      <w:tr w14:paraId="38D027C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1" w:type="dxa"/>
          </w:tcPr>
          <w:p w14:paraId="6554944E">
            <w:pPr>
              <w:spacing w:line="360" w:lineRule="auto"/>
              <w:ind w:firstLine="480" w:firstLineChars="200"/>
              <w:rPr>
                <w:rFonts w:ascii="宋体" w:hAnsi="宋体" w:cs="宋体"/>
                <w:sz w:val="24"/>
                <w:highlight w:val="none"/>
              </w:rPr>
            </w:pPr>
            <w:r>
              <w:rPr>
                <w:rFonts w:hint="eastAsia" w:ascii="宋体" w:hAnsi="宋体" w:cs="宋体"/>
                <w:sz w:val="24"/>
                <w:highlight w:val="none"/>
              </w:rPr>
              <w:t>1</w:t>
            </w:r>
          </w:p>
        </w:tc>
        <w:tc>
          <w:tcPr>
            <w:tcW w:w="5792" w:type="dxa"/>
            <w:vAlign w:val="center"/>
          </w:tcPr>
          <w:p w14:paraId="36913A76">
            <w:pPr>
              <w:spacing w:line="360" w:lineRule="auto"/>
              <w:ind w:firstLine="480" w:firstLineChars="200"/>
              <w:rPr>
                <w:rFonts w:ascii="宋体" w:hAnsi="宋体" w:cs="宋体"/>
                <w:sz w:val="24"/>
                <w:highlight w:val="none"/>
              </w:rPr>
            </w:pPr>
            <w:r>
              <w:rPr>
                <w:rFonts w:hint="eastAsia" w:ascii="宋体" w:hAnsi="宋体" w:cs="宋体"/>
                <w:sz w:val="24"/>
                <w:highlight w:val="none"/>
              </w:rPr>
              <w:t>第一期付款：合同签订后5个工作日内，项目具备实施条件后，采购人支付346.98万元，同时采购人收取履约保证金为合同总价1%。</w:t>
            </w:r>
          </w:p>
        </w:tc>
        <w:tc>
          <w:tcPr>
            <w:tcW w:w="1322" w:type="dxa"/>
            <w:vAlign w:val="center"/>
          </w:tcPr>
          <w:p w14:paraId="71AFAF3E">
            <w:pPr>
              <w:spacing w:line="360" w:lineRule="auto"/>
              <w:rPr>
                <w:rFonts w:ascii="宋体" w:hAnsi="宋体" w:cs="宋体"/>
                <w:sz w:val="24"/>
                <w:highlight w:val="none"/>
              </w:rPr>
            </w:pPr>
            <w:r>
              <w:rPr>
                <w:rFonts w:hint="eastAsia" w:ascii="宋体" w:hAnsi="宋体" w:cs="宋体"/>
                <w:sz w:val="24"/>
                <w:highlight w:val="none"/>
              </w:rPr>
              <w:t>国库转账支付</w:t>
            </w:r>
          </w:p>
        </w:tc>
      </w:tr>
      <w:tr w14:paraId="76F08E7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1" w:type="dxa"/>
          </w:tcPr>
          <w:p w14:paraId="5BE76FAE">
            <w:pPr>
              <w:spacing w:line="360" w:lineRule="auto"/>
              <w:ind w:firstLine="480" w:firstLineChars="200"/>
              <w:rPr>
                <w:rFonts w:ascii="宋体" w:hAnsi="宋体" w:cs="宋体"/>
                <w:sz w:val="24"/>
                <w:highlight w:val="none"/>
              </w:rPr>
            </w:pPr>
            <w:r>
              <w:rPr>
                <w:rFonts w:hint="eastAsia" w:ascii="宋体" w:hAnsi="宋体" w:cs="宋体"/>
                <w:sz w:val="24"/>
                <w:highlight w:val="none"/>
              </w:rPr>
              <w:t>2</w:t>
            </w:r>
          </w:p>
        </w:tc>
        <w:tc>
          <w:tcPr>
            <w:tcW w:w="5792" w:type="dxa"/>
            <w:vAlign w:val="center"/>
          </w:tcPr>
          <w:p w14:paraId="54B93A73">
            <w:pPr>
              <w:tabs>
                <w:tab w:val="left" w:pos="904"/>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第二期付款：服务至202</w:t>
            </w:r>
            <w:r>
              <w:rPr>
                <w:rFonts w:ascii="宋体" w:hAnsi="宋体" w:cs="宋体"/>
                <w:sz w:val="24"/>
                <w:highlight w:val="none"/>
              </w:rPr>
              <w:t>5</w:t>
            </w:r>
            <w:r>
              <w:rPr>
                <w:rFonts w:hint="eastAsia" w:ascii="宋体" w:hAnsi="宋体" w:cs="宋体"/>
                <w:sz w:val="24"/>
                <w:highlight w:val="none"/>
              </w:rPr>
              <w:t>年3月3</w:t>
            </w:r>
            <w:r>
              <w:rPr>
                <w:rFonts w:ascii="宋体" w:hAnsi="宋体" w:cs="宋体"/>
                <w:sz w:val="24"/>
                <w:highlight w:val="none"/>
              </w:rPr>
              <w:t>1</w:t>
            </w:r>
            <w:r>
              <w:rPr>
                <w:rFonts w:hint="eastAsia" w:ascii="宋体" w:hAnsi="宋体" w:cs="宋体"/>
                <w:sz w:val="24"/>
                <w:highlight w:val="none"/>
              </w:rPr>
              <w:t>日，无任何服务问题,凭双方签字盖章的验收意见、验收小组签字的验收报告、人员清单、学历证书、身份证、工作服务经验、人员变更申请（如有）、驻点人员每日钉钉考勤签到表、租赁设备清单、产品生产日期凭证、产品合格证、质保承诺书、服务方案、专网云平台监测报告、巡检报告、每月考核材料、数据接入清单、系统渗透测试报告、应急响应报告、重保期间安全日报、</w:t>
            </w:r>
            <w:r>
              <w:rPr>
                <w:rFonts w:hint="eastAsia" w:ascii="宋体" w:hAnsi="宋体" w:cs="宋体"/>
                <w:bCs/>
                <w:sz w:val="24"/>
                <w:highlight w:val="none"/>
              </w:rPr>
              <w:t>网络安全事件应急演练报告、网络安全事件应急预案、网络安全保障方案、</w:t>
            </w:r>
            <w:r>
              <w:rPr>
                <w:rFonts w:ascii="宋体" w:hAnsi="宋体" w:cs="宋体"/>
                <w:bCs/>
                <w:sz w:val="24"/>
                <w:highlight w:val="none"/>
              </w:rPr>
              <w:t>网络安全重大事项书面报告（如有）</w:t>
            </w:r>
            <w:r>
              <w:rPr>
                <w:rFonts w:hint="eastAsia" w:ascii="宋体" w:hAnsi="宋体" w:cs="宋体"/>
                <w:bCs/>
                <w:sz w:val="24"/>
                <w:highlight w:val="none"/>
              </w:rPr>
              <w:t>、</w:t>
            </w:r>
            <w:r>
              <w:rPr>
                <w:rFonts w:hint="eastAsia" w:ascii="宋体" w:hAnsi="宋体" w:cs="宋体"/>
                <w:sz w:val="24"/>
                <w:highlight w:val="none"/>
              </w:rPr>
              <w:t>网络安全风险书面报告（如有）、网络安全总结报告、验收报审表、个人保密承诺、单位保密协议、日常保密教育台账、培训材料、分包协议，最多支付至</w:t>
            </w:r>
            <w:r>
              <w:rPr>
                <w:rFonts w:ascii="宋体" w:hAnsi="宋体" w:cs="宋体"/>
                <w:sz w:val="24"/>
                <w:highlight w:val="none"/>
              </w:rPr>
              <w:t>合同总价的65%</w:t>
            </w:r>
            <w:r>
              <w:rPr>
                <w:rFonts w:hint="eastAsia" w:ascii="宋体" w:hAnsi="宋体" w:cs="宋体"/>
                <w:sz w:val="24"/>
                <w:highlight w:val="none"/>
              </w:rPr>
              <w:t>（已含采购人向投标人支付的第一期及第二期合同价款）</w:t>
            </w:r>
          </w:p>
        </w:tc>
        <w:tc>
          <w:tcPr>
            <w:tcW w:w="1322" w:type="dxa"/>
            <w:vAlign w:val="center"/>
          </w:tcPr>
          <w:p w14:paraId="2CC1B820">
            <w:pPr>
              <w:spacing w:line="360" w:lineRule="auto"/>
              <w:rPr>
                <w:rFonts w:ascii="宋体" w:hAnsi="宋体" w:cs="宋体"/>
                <w:sz w:val="24"/>
                <w:highlight w:val="none"/>
              </w:rPr>
            </w:pPr>
            <w:r>
              <w:rPr>
                <w:rFonts w:hint="eastAsia" w:ascii="宋体" w:hAnsi="宋体" w:cs="宋体"/>
                <w:sz w:val="24"/>
                <w:highlight w:val="none"/>
              </w:rPr>
              <w:t>国库转账支付</w:t>
            </w:r>
          </w:p>
        </w:tc>
      </w:tr>
      <w:tr w14:paraId="40C4108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1" w:type="dxa"/>
          </w:tcPr>
          <w:p w14:paraId="1F0C6B40">
            <w:pPr>
              <w:spacing w:line="360" w:lineRule="auto"/>
              <w:ind w:firstLine="480" w:firstLineChars="200"/>
              <w:rPr>
                <w:rFonts w:ascii="宋体" w:hAnsi="宋体" w:cs="宋体"/>
                <w:sz w:val="24"/>
                <w:highlight w:val="none"/>
              </w:rPr>
            </w:pPr>
            <w:r>
              <w:rPr>
                <w:rFonts w:hint="eastAsia" w:ascii="宋体" w:hAnsi="宋体" w:cs="宋体"/>
                <w:sz w:val="24"/>
                <w:highlight w:val="none"/>
              </w:rPr>
              <w:t>3</w:t>
            </w:r>
          </w:p>
        </w:tc>
        <w:tc>
          <w:tcPr>
            <w:tcW w:w="5792" w:type="dxa"/>
            <w:vAlign w:val="center"/>
          </w:tcPr>
          <w:p w14:paraId="59AA7935">
            <w:pPr>
              <w:spacing w:line="360" w:lineRule="auto"/>
              <w:ind w:firstLine="480" w:firstLineChars="200"/>
              <w:rPr>
                <w:rFonts w:ascii="宋体" w:hAnsi="宋体" w:cs="宋体"/>
                <w:sz w:val="24"/>
                <w:highlight w:val="none"/>
              </w:rPr>
            </w:pPr>
            <w:r>
              <w:rPr>
                <w:rFonts w:hint="eastAsia" w:ascii="宋体" w:hAnsi="宋体" w:cs="宋体"/>
                <w:sz w:val="24"/>
                <w:highlight w:val="none"/>
              </w:rPr>
              <w:t>第三期付款：服务期结束，无任何服务问题，凭双方签字盖章的验收意见、验收小组签字的验收报告、人员清单、学历证书、身份证、工作服务经验、人员变更申请（如有）、驻点人员每日钉钉考勤签到表、租赁设备清单、产品生产日期凭证、产品合格证、质保承诺书、服务方案、专网云平台监测报告、巡检报告、每月考核材料、数据接入清单、系统渗透测试报告、应急响应报告、重保期间安全日报、</w:t>
            </w:r>
            <w:r>
              <w:rPr>
                <w:rFonts w:hint="eastAsia" w:ascii="宋体" w:hAnsi="宋体" w:cs="宋体"/>
                <w:bCs/>
                <w:sz w:val="24"/>
                <w:highlight w:val="none"/>
              </w:rPr>
              <w:t>网络安全事件应急演练报告、网络安全事件应急预案、网络安全保障方案、</w:t>
            </w:r>
            <w:r>
              <w:rPr>
                <w:rFonts w:ascii="宋体" w:hAnsi="宋体" w:cs="宋体"/>
                <w:bCs/>
                <w:sz w:val="24"/>
                <w:highlight w:val="none"/>
              </w:rPr>
              <w:t>网络安全重大事项书面报告（如有）</w:t>
            </w:r>
            <w:r>
              <w:rPr>
                <w:rFonts w:hint="eastAsia" w:ascii="宋体" w:hAnsi="宋体" w:cs="宋体"/>
                <w:bCs/>
                <w:sz w:val="24"/>
                <w:highlight w:val="none"/>
              </w:rPr>
              <w:t>、</w:t>
            </w:r>
            <w:r>
              <w:rPr>
                <w:rFonts w:hint="eastAsia" w:ascii="宋体" w:hAnsi="宋体" w:cs="宋体"/>
                <w:sz w:val="24"/>
                <w:highlight w:val="none"/>
              </w:rPr>
              <w:t>网络安全风险书面报告（如有）、网络安全总结报告、满足信创要求的检测材料、验收报审表、个人保密承诺、单位保密协议、日常保密教育台账、培训材料、分包协议及公示截图等相关资料，经审计确认后（若有），根据合同单价、服务内容、服务天数按实结算剩余应付的合同款项，同时扣除投标人应向采购人支付的违约金。</w:t>
            </w:r>
          </w:p>
        </w:tc>
        <w:tc>
          <w:tcPr>
            <w:tcW w:w="1322" w:type="dxa"/>
          </w:tcPr>
          <w:p w14:paraId="49F92020">
            <w:pPr>
              <w:spacing w:line="360" w:lineRule="auto"/>
              <w:ind w:firstLine="480" w:firstLineChars="200"/>
              <w:rPr>
                <w:rFonts w:ascii="宋体" w:hAnsi="宋体" w:cs="宋体"/>
                <w:sz w:val="24"/>
                <w:highlight w:val="none"/>
              </w:rPr>
            </w:pPr>
            <w:r>
              <w:rPr>
                <w:rFonts w:hint="eastAsia" w:ascii="宋体" w:hAnsi="宋体" w:cs="宋体"/>
                <w:sz w:val="24"/>
                <w:highlight w:val="none"/>
              </w:rPr>
              <w:t>国库转账支付</w:t>
            </w:r>
          </w:p>
        </w:tc>
      </w:tr>
    </w:tbl>
    <w:p w14:paraId="236002FE">
      <w:pPr>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双方确认，采购人按前款结算并向供应商支付的款项总额不超过合同总价。</w:t>
      </w:r>
    </w:p>
    <w:p w14:paraId="58006B6C">
      <w:pPr>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前述采购人按供应商实际履行情况结算付款的方式不影响采购人向供应商再行收取因供应商未全面按照合同约定履行而产生的违约金。</w:t>
      </w:r>
    </w:p>
    <w:p w14:paraId="625C3263">
      <w:pPr>
        <w:spacing w:line="360" w:lineRule="auto"/>
        <w:ind w:firstLine="480" w:firstLineChars="200"/>
        <w:rPr>
          <w:rFonts w:ascii="宋体" w:hAnsi="宋体" w:cs="宋体"/>
          <w:sz w:val="24"/>
          <w:highlight w:val="none"/>
        </w:rPr>
      </w:pPr>
      <w:r>
        <w:rPr>
          <w:rFonts w:hint="eastAsia" w:ascii="宋体" w:hAnsi="宋体" w:cs="宋体"/>
          <w:sz w:val="24"/>
          <w:highlight w:val="none"/>
        </w:rPr>
        <w:t>4.售后服务要求：服务类，无售后服务。</w:t>
      </w:r>
    </w:p>
    <w:p w14:paraId="342A4A35">
      <w:pPr>
        <w:spacing w:line="360" w:lineRule="auto"/>
        <w:ind w:firstLine="480" w:firstLineChars="200"/>
        <w:rPr>
          <w:rFonts w:ascii="宋体" w:hAnsi="宋体" w:cs="宋体"/>
          <w:sz w:val="24"/>
          <w:highlight w:val="none"/>
        </w:rPr>
      </w:pPr>
      <w:r>
        <w:rPr>
          <w:rFonts w:hint="eastAsia" w:ascii="宋体" w:hAnsi="宋体" w:cs="宋体"/>
          <w:sz w:val="24"/>
          <w:highlight w:val="none"/>
        </w:rPr>
        <w:t>5.其他商务要求（包装和运输、保险等）</w:t>
      </w:r>
    </w:p>
    <w:p w14:paraId="1A524654">
      <w:pPr>
        <w:spacing w:line="360" w:lineRule="auto"/>
        <w:ind w:firstLine="480" w:firstLineChars="200"/>
        <w:rPr>
          <w:rFonts w:ascii="宋体" w:hAnsi="宋体" w:cs="宋体"/>
          <w:sz w:val="24"/>
          <w:highlight w:val="none"/>
        </w:rPr>
      </w:pPr>
      <w:r>
        <w:rPr>
          <w:rFonts w:hint="eastAsia" w:ascii="宋体" w:hAnsi="宋体" w:cs="宋体"/>
          <w:sz w:val="24"/>
          <w:highlight w:val="none"/>
        </w:rPr>
        <w:t>1）履约保证金退还：验收合格后，无任何质量问题，采购人于收到投标人退还履约保证金申请之日起5个工作日内凭双方签字盖章的验收意见，原额（无息）归还履约保证金。</w:t>
      </w:r>
    </w:p>
    <w:p w14:paraId="2C64D6FA">
      <w:pPr>
        <w:spacing w:line="360" w:lineRule="auto"/>
        <w:ind w:firstLine="480" w:firstLineChars="200"/>
        <w:rPr>
          <w:rFonts w:ascii="宋体" w:hAnsi="宋体" w:cs="宋体"/>
          <w:sz w:val="24"/>
          <w:highlight w:val="none"/>
        </w:rPr>
      </w:pPr>
      <w:r>
        <w:rPr>
          <w:rFonts w:hint="eastAsia" w:ascii="宋体" w:hAnsi="宋体" w:cs="宋体"/>
          <w:sz w:val="24"/>
          <w:highlight w:val="none"/>
        </w:rPr>
        <w:t>2）投标报价为综合单价，包含人员工资、加班费、《劳动合同法》规定的各类社保费用、办公费、交通费、食宿费、运行维护、技术支持和税金等为完成本项目各项服务可能发生的全部费用。</w:t>
      </w:r>
    </w:p>
    <w:p w14:paraId="7F9E6A1D">
      <w:pPr>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zh-CN"/>
        </w:rPr>
        <w:t>项目实施过程中如发生变更，应严格办理变更手续，采购人及投标人填写《信息化建设项目变更审批表》，说明变更理由和内容，并随附相关文件和监理公司意见，按采购人内控要求变更管理措施，否则该变更内容在款项结算时，采购人有权不予认可。</w:t>
      </w:r>
    </w:p>
    <w:p w14:paraId="573B44E8">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（七）采购项目的其他要求</w:t>
      </w:r>
    </w:p>
    <w:p w14:paraId="7CCD7691">
      <w:pPr>
        <w:spacing w:line="360" w:lineRule="auto"/>
        <w:ind w:firstLine="480" w:firstLineChars="200"/>
        <w:rPr>
          <w:rFonts w:ascii="宋体" w:hAnsi="宋体" w:cs="宋体"/>
          <w:sz w:val="24"/>
          <w:highlight w:val="none"/>
        </w:rPr>
      </w:pPr>
      <w:r>
        <w:rPr>
          <w:rFonts w:hint="eastAsia" w:ascii="宋体" w:hAnsi="宋体" w:cs="宋体"/>
          <w:sz w:val="24"/>
          <w:highlight w:val="none"/>
        </w:rPr>
        <w:t>一）履约验收</w:t>
      </w:r>
    </w:p>
    <w:p w14:paraId="66F6FA0C">
      <w:pPr>
        <w:spacing w:line="360" w:lineRule="auto"/>
        <w:jc w:val="left"/>
        <w:rPr>
          <w:rFonts w:ascii="宋体" w:hAnsi="宋体" w:cs="宋体"/>
          <w:sz w:val="24"/>
          <w:highlight w:val="none"/>
        </w:rPr>
      </w:pPr>
      <w:r>
        <w:rPr>
          <w:rFonts w:hint="eastAsia" w:ascii="宋体" w:hAnsi="宋体" w:cs="宋体"/>
          <w:sz w:val="24"/>
          <w:highlight w:val="none"/>
        </w:rPr>
        <w:t>1.履约验收主体</w:t>
      </w:r>
    </w:p>
    <w:p w14:paraId="4B4A6246">
      <w:pPr>
        <w:spacing w:line="360" w:lineRule="auto"/>
        <w:ind w:left="420" w:leftChars="200"/>
        <w:jc w:val="left"/>
        <w:rPr>
          <w:rFonts w:ascii="宋体" w:hAnsi="宋体" w:cs="宋体"/>
          <w:iCs/>
          <w:sz w:val="24"/>
          <w:highlight w:val="none"/>
          <w:u w:val="single"/>
        </w:rPr>
      </w:pPr>
      <w:r>
        <w:rPr>
          <w:rFonts w:hint="eastAsia" w:ascii="宋体" w:hAnsi="宋体" w:cs="宋体"/>
          <w:sz w:val="24"/>
          <w:highlight w:val="none"/>
        </w:rPr>
        <w:t>1）采购单位：杭州市公安局交通警察支队</w:t>
      </w:r>
    </w:p>
    <w:p w14:paraId="2A703FA1">
      <w:pPr>
        <w:spacing w:line="360" w:lineRule="auto"/>
        <w:ind w:left="420" w:leftChars="200"/>
        <w:jc w:val="left"/>
        <w:rPr>
          <w:rFonts w:ascii="宋体" w:hAnsi="宋体" w:cs="宋体"/>
          <w:sz w:val="24"/>
          <w:highlight w:val="none"/>
          <w:u w:val="single"/>
        </w:rPr>
      </w:pPr>
      <w:r>
        <w:rPr>
          <w:rFonts w:hint="eastAsia" w:ascii="宋体" w:hAnsi="宋体" w:cs="宋体"/>
          <w:sz w:val="24"/>
          <w:highlight w:val="none"/>
        </w:rPr>
        <w:t>2）是否选择代理机构：</w:t>
      </w:r>
      <w:r>
        <w:rPr>
          <w:rFonts w:hint="eastAsia" w:ascii="宋体" w:hAnsi="宋体" w:cs="宋体"/>
          <w:sz w:val="24"/>
          <w:highlight w:val="none"/>
        </w:rPr>
        <w:sym w:font="Wingdings" w:char="00FE"/>
      </w:r>
      <w:r>
        <w:rPr>
          <w:rFonts w:hint="eastAsia" w:ascii="宋体" w:hAnsi="宋体" w:cs="宋体"/>
          <w:sz w:val="24"/>
          <w:highlight w:val="none"/>
        </w:rPr>
        <w:t>是</w:t>
      </w:r>
      <w:r>
        <w:rPr>
          <w:rFonts w:hint="eastAsia" w:ascii="宋体" w:hAnsi="宋体" w:cs="宋体"/>
          <w:sz w:val="24"/>
          <w:highlight w:val="none"/>
        </w:rPr>
        <w:tab/>
      </w:r>
      <w:r>
        <w:rPr>
          <w:rFonts w:hint="eastAsia" w:ascii="宋体" w:hAnsi="宋体" w:cs="宋体"/>
          <w:sz w:val="24"/>
          <w:highlight w:val="none"/>
        </w:rPr>
        <w:sym w:font="Wingdings" w:char="00A8"/>
      </w:r>
      <w:r>
        <w:rPr>
          <w:rFonts w:hint="eastAsia" w:ascii="宋体" w:hAnsi="宋体" w:cs="宋体"/>
          <w:sz w:val="24"/>
          <w:highlight w:val="none"/>
        </w:rPr>
        <w:t>否</w:t>
      </w:r>
    </w:p>
    <w:p w14:paraId="16C760DF">
      <w:pPr>
        <w:spacing w:line="360" w:lineRule="auto"/>
        <w:ind w:left="420" w:leftChars="200"/>
        <w:jc w:val="left"/>
        <w:rPr>
          <w:rFonts w:ascii="宋体" w:hAnsi="宋体" w:cs="宋体"/>
          <w:sz w:val="24"/>
          <w:highlight w:val="none"/>
          <w:u w:val="single"/>
        </w:rPr>
      </w:pPr>
      <w:r>
        <w:rPr>
          <w:rFonts w:hint="eastAsia" w:ascii="宋体" w:hAnsi="宋体" w:cs="宋体"/>
          <w:sz w:val="24"/>
          <w:highlight w:val="none"/>
        </w:rPr>
        <w:t>3）是否邀请本项目的其他供应商：</w:t>
      </w:r>
      <w:r>
        <w:rPr>
          <w:rFonts w:hint="eastAsia" w:ascii="宋体" w:hAnsi="宋体" w:cs="宋体"/>
          <w:sz w:val="24"/>
          <w:highlight w:val="none"/>
        </w:rPr>
        <w:tab/>
      </w:r>
      <w:r>
        <w:rPr>
          <w:rFonts w:hint="eastAsia" w:ascii="宋体" w:hAnsi="宋体" w:cs="宋体"/>
          <w:sz w:val="24"/>
          <w:highlight w:val="none"/>
        </w:rPr>
        <w:sym w:font="Wingdings" w:char="00A8"/>
      </w:r>
      <w:r>
        <w:rPr>
          <w:rFonts w:hint="eastAsia" w:ascii="宋体" w:hAnsi="宋体" w:cs="宋体"/>
          <w:sz w:val="24"/>
          <w:highlight w:val="none"/>
        </w:rPr>
        <w:t>是</w:t>
      </w:r>
      <w:r>
        <w:rPr>
          <w:rFonts w:hint="eastAsia" w:ascii="宋体" w:hAnsi="宋体" w:cs="宋体"/>
          <w:sz w:val="24"/>
          <w:highlight w:val="none"/>
        </w:rPr>
        <w:tab/>
      </w:r>
      <w:r>
        <w:rPr>
          <w:rFonts w:hint="eastAsia" w:ascii="宋体" w:hAnsi="宋体" w:cs="宋体"/>
          <w:sz w:val="24"/>
          <w:highlight w:val="none"/>
        </w:rPr>
        <w:sym w:font="Wingdings" w:char="00FE"/>
      </w:r>
      <w:r>
        <w:rPr>
          <w:rFonts w:hint="eastAsia" w:ascii="宋体" w:hAnsi="宋体" w:cs="宋体"/>
          <w:sz w:val="24"/>
          <w:highlight w:val="none"/>
        </w:rPr>
        <w:t>否</w:t>
      </w:r>
    </w:p>
    <w:p w14:paraId="7775849D">
      <w:pPr>
        <w:spacing w:line="360" w:lineRule="auto"/>
        <w:ind w:left="420" w:leftChars="200"/>
        <w:jc w:val="left"/>
        <w:rPr>
          <w:rFonts w:ascii="宋体" w:hAnsi="宋体" w:cs="宋体"/>
          <w:sz w:val="24"/>
          <w:highlight w:val="none"/>
          <w:u w:val="single"/>
        </w:rPr>
      </w:pPr>
      <w:r>
        <w:rPr>
          <w:rFonts w:hint="eastAsia" w:ascii="宋体" w:hAnsi="宋体" w:cs="宋体"/>
          <w:sz w:val="24"/>
          <w:highlight w:val="none"/>
        </w:rPr>
        <w:t>4）是否邀请专家：</w:t>
      </w:r>
      <w:r>
        <w:rPr>
          <w:rFonts w:hint="eastAsia" w:ascii="宋体" w:hAnsi="宋体" w:cs="宋体"/>
          <w:sz w:val="24"/>
          <w:highlight w:val="none"/>
        </w:rPr>
        <w:tab/>
      </w:r>
      <w:r>
        <w:rPr>
          <w:rFonts w:hint="eastAsia" w:ascii="宋体" w:hAnsi="宋体" w:cs="宋体"/>
          <w:sz w:val="24"/>
          <w:highlight w:val="none"/>
        </w:rPr>
        <w:sym w:font="Wingdings" w:char="00FE"/>
      </w:r>
      <w:r>
        <w:rPr>
          <w:rFonts w:hint="eastAsia" w:ascii="宋体" w:hAnsi="宋体" w:cs="宋体"/>
          <w:sz w:val="24"/>
          <w:highlight w:val="none"/>
        </w:rPr>
        <w:t>是</w:t>
      </w:r>
      <w:r>
        <w:rPr>
          <w:rFonts w:hint="eastAsia" w:ascii="宋体" w:hAnsi="宋体" w:cs="宋体"/>
          <w:sz w:val="24"/>
          <w:highlight w:val="none"/>
        </w:rPr>
        <w:tab/>
      </w:r>
      <w:r>
        <w:rPr>
          <w:rFonts w:hint="eastAsia" w:ascii="宋体" w:hAnsi="宋体" w:cs="宋体"/>
          <w:sz w:val="24"/>
          <w:highlight w:val="none"/>
        </w:rPr>
        <w:sym w:font="Wingdings" w:char="00A8"/>
      </w:r>
      <w:r>
        <w:rPr>
          <w:rFonts w:hint="eastAsia" w:ascii="宋体" w:hAnsi="宋体" w:cs="宋体"/>
          <w:sz w:val="24"/>
          <w:highlight w:val="none"/>
        </w:rPr>
        <w:t>否</w:t>
      </w:r>
    </w:p>
    <w:p w14:paraId="5F9A6895">
      <w:pPr>
        <w:spacing w:line="360" w:lineRule="auto"/>
        <w:ind w:left="420" w:leftChars="200"/>
        <w:jc w:val="left"/>
        <w:rPr>
          <w:rFonts w:ascii="宋体" w:hAnsi="宋体" w:cs="宋体"/>
          <w:sz w:val="24"/>
          <w:highlight w:val="none"/>
        </w:rPr>
      </w:pPr>
      <w:r>
        <w:rPr>
          <w:rFonts w:hint="eastAsia" w:ascii="宋体" w:hAnsi="宋体" w:cs="宋体"/>
          <w:sz w:val="24"/>
          <w:highlight w:val="none"/>
        </w:rPr>
        <w:t xml:space="preserve">5）是否邀请服务对象： </w:t>
      </w:r>
      <w:r>
        <w:rPr>
          <w:rFonts w:hint="eastAsia" w:ascii="宋体" w:hAnsi="宋体" w:cs="宋体"/>
          <w:sz w:val="24"/>
          <w:highlight w:val="none"/>
        </w:rPr>
        <w:sym w:font="Wingdings" w:char="00A8"/>
      </w:r>
      <w:r>
        <w:rPr>
          <w:rFonts w:hint="eastAsia" w:ascii="宋体" w:hAnsi="宋体" w:cs="宋体"/>
          <w:sz w:val="24"/>
          <w:highlight w:val="none"/>
        </w:rPr>
        <w:t>是</w:t>
      </w:r>
      <w:r>
        <w:rPr>
          <w:rFonts w:hint="eastAsia" w:ascii="宋体" w:hAnsi="宋体" w:cs="宋体"/>
          <w:sz w:val="24"/>
          <w:highlight w:val="none"/>
        </w:rPr>
        <w:tab/>
      </w:r>
      <w:r>
        <w:rPr>
          <w:rFonts w:hint="eastAsia" w:ascii="宋体" w:hAnsi="宋体" w:cs="宋体"/>
          <w:sz w:val="24"/>
          <w:highlight w:val="none"/>
        </w:rPr>
        <w:sym w:font="Wingdings" w:char="00FE"/>
      </w:r>
      <w:r>
        <w:rPr>
          <w:rFonts w:hint="eastAsia" w:ascii="宋体" w:hAnsi="宋体" w:cs="宋体"/>
          <w:sz w:val="24"/>
          <w:highlight w:val="none"/>
        </w:rPr>
        <w:t>否</w:t>
      </w:r>
    </w:p>
    <w:p w14:paraId="7A464C50">
      <w:pPr>
        <w:spacing w:line="360" w:lineRule="auto"/>
        <w:ind w:firstLine="420"/>
        <w:jc w:val="left"/>
        <w:rPr>
          <w:rFonts w:ascii="宋体" w:hAnsi="宋体" w:cs="宋体"/>
          <w:sz w:val="24"/>
          <w:highlight w:val="none"/>
          <w:u w:val="single"/>
        </w:rPr>
      </w:pPr>
      <w:r>
        <w:rPr>
          <w:rFonts w:hint="eastAsia" w:ascii="宋体" w:hAnsi="宋体" w:cs="宋体"/>
          <w:sz w:val="24"/>
          <w:highlight w:val="none"/>
        </w:rPr>
        <w:t>6）其他：</w:t>
      </w:r>
      <w:r>
        <w:rPr>
          <w:rFonts w:hint="eastAsia" w:ascii="宋体" w:hAnsi="宋体" w:cs="宋体"/>
          <w:sz w:val="24"/>
          <w:highlight w:val="none"/>
          <w:u w:val="single"/>
        </w:rPr>
        <w:t>/。</w:t>
      </w:r>
    </w:p>
    <w:p w14:paraId="6C62982C">
      <w:pPr>
        <w:spacing w:line="360" w:lineRule="auto"/>
        <w:jc w:val="left"/>
        <w:rPr>
          <w:rFonts w:ascii="宋体" w:hAnsi="宋体" w:cs="宋体"/>
          <w:sz w:val="24"/>
          <w:highlight w:val="none"/>
          <w:u w:val="single"/>
        </w:rPr>
      </w:pPr>
      <w:r>
        <w:rPr>
          <w:rFonts w:hint="eastAsia" w:ascii="宋体" w:hAnsi="宋体" w:cs="宋体"/>
          <w:sz w:val="24"/>
          <w:highlight w:val="none"/>
        </w:rPr>
        <w:t>2.履约验收时间：第一次验收时间202</w:t>
      </w:r>
      <w:r>
        <w:rPr>
          <w:rFonts w:ascii="宋体" w:hAnsi="宋体" w:cs="宋体"/>
          <w:sz w:val="24"/>
          <w:highlight w:val="none"/>
        </w:rPr>
        <w:t>5</w:t>
      </w:r>
      <w:r>
        <w:rPr>
          <w:rFonts w:hint="eastAsia" w:ascii="宋体" w:hAnsi="宋体" w:cs="宋体"/>
          <w:sz w:val="24"/>
          <w:highlight w:val="none"/>
        </w:rPr>
        <w:t>年</w:t>
      </w:r>
      <w:r>
        <w:rPr>
          <w:rFonts w:ascii="宋体" w:hAnsi="宋体" w:cs="宋体"/>
          <w:sz w:val="24"/>
          <w:highlight w:val="none"/>
        </w:rPr>
        <w:t>3</w:t>
      </w:r>
      <w:r>
        <w:rPr>
          <w:rFonts w:hint="eastAsia" w:ascii="宋体" w:hAnsi="宋体" w:cs="宋体"/>
          <w:sz w:val="24"/>
          <w:highlight w:val="none"/>
        </w:rPr>
        <w:t>月3</w:t>
      </w:r>
      <w:r>
        <w:rPr>
          <w:rFonts w:ascii="宋体" w:hAnsi="宋体" w:cs="宋体"/>
          <w:sz w:val="24"/>
          <w:highlight w:val="none"/>
        </w:rPr>
        <w:t>1</w:t>
      </w:r>
      <w:r>
        <w:rPr>
          <w:rFonts w:hint="eastAsia" w:ascii="宋体" w:hAnsi="宋体" w:cs="宋体"/>
          <w:sz w:val="24"/>
          <w:highlight w:val="none"/>
        </w:rPr>
        <w:t>日后，第二次验收时间2025年7月31日服务结束后。</w:t>
      </w:r>
    </w:p>
    <w:p w14:paraId="3EA8656B">
      <w:pPr>
        <w:spacing w:line="360" w:lineRule="auto"/>
        <w:jc w:val="left"/>
        <w:rPr>
          <w:rFonts w:ascii="宋体" w:hAnsi="宋体" w:cs="宋体"/>
          <w:sz w:val="24"/>
          <w:highlight w:val="none"/>
        </w:rPr>
      </w:pPr>
      <w:r>
        <w:rPr>
          <w:rFonts w:hint="eastAsia" w:ascii="宋体" w:hAnsi="宋体" w:cs="宋体"/>
          <w:sz w:val="24"/>
          <w:highlight w:val="none"/>
        </w:rPr>
        <w:t>3.履约验收方式：</w:t>
      </w:r>
      <w:r>
        <w:rPr>
          <w:rFonts w:hint="eastAsia" w:ascii="宋体" w:hAnsi="宋体" w:cs="宋体"/>
          <w:sz w:val="24"/>
          <w:highlight w:val="none"/>
        </w:rPr>
        <w:tab/>
      </w:r>
      <w:r>
        <w:rPr>
          <w:rFonts w:hint="eastAsia" w:ascii="宋体" w:hAnsi="宋体" w:cs="宋体"/>
          <w:sz w:val="24"/>
          <w:highlight w:val="none"/>
        </w:rPr>
        <w:sym w:font="Wingdings" w:char="00A8"/>
      </w:r>
      <w:r>
        <w:rPr>
          <w:rFonts w:hint="eastAsia" w:ascii="宋体" w:hAnsi="宋体" w:cs="宋体"/>
          <w:sz w:val="24"/>
          <w:highlight w:val="none"/>
        </w:rPr>
        <w:t>简易程序</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sym w:font="Wingdings" w:char="00FE"/>
      </w:r>
      <w:r>
        <w:rPr>
          <w:rFonts w:hint="eastAsia" w:ascii="宋体" w:hAnsi="宋体" w:cs="宋体"/>
          <w:sz w:val="24"/>
          <w:highlight w:val="none"/>
        </w:rPr>
        <w:t>一般程序</w:t>
      </w:r>
    </w:p>
    <w:p w14:paraId="6C0A3F6A">
      <w:pPr>
        <w:spacing w:line="360" w:lineRule="auto"/>
        <w:jc w:val="left"/>
        <w:rPr>
          <w:rFonts w:ascii="宋体" w:hAnsi="宋体" w:cs="宋体"/>
          <w:sz w:val="24"/>
          <w:highlight w:val="none"/>
        </w:rPr>
      </w:pPr>
      <w:r>
        <w:rPr>
          <w:rFonts w:hint="eastAsia" w:ascii="宋体" w:hAnsi="宋体" w:cs="宋体"/>
          <w:sz w:val="24"/>
          <w:highlight w:val="none"/>
        </w:rPr>
        <w:t>4.履约验收程序：</w:t>
      </w:r>
      <w:r>
        <w:rPr>
          <w:rFonts w:hint="eastAsia" w:ascii="宋体" w:hAnsi="宋体" w:cs="宋体"/>
          <w:sz w:val="24"/>
          <w:highlight w:val="none"/>
        </w:rPr>
        <w:tab/>
      </w:r>
      <w:r>
        <w:rPr>
          <w:rFonts w:hint="eastAsia" w:ascii="宋体" w:hAnsi="宋体" w:cs="宋体"/>
          <w:sz w:val="24"/>
          <w:highlight w:val="none"/>
        </w:rPr>
        <w:sym w:font="Wingdings" w:char="00A8"/>
      </w:r>
      <w:r>
        <w:rPr>
          <w:rFonts w:hint="eastAsia" w:ascii="宋体" w:hAnsi="宋体" w:cs="宋体"/>
          <w:sz w:val="24"/>
          <w:highlight w:val="none"/>
        </w:rPr>
        <w:t>一次性验收</w:t>
      </w:r>
      <w:r>
        <w:rPr>
          <w:rFonts w:hint="eastAsia" w:ascii="宋体" w:hAnsi="宋体" w:cs="宋体"/>
          <w:sz w:val="24"/>
          <w:highlight w:val="none"/>
        </w:rPr>
        <w:tab/>
      </w:r>
      <w:r>
        <w:rPr>
          <w:rFonts w:hint="eastAsia" w:ascii="宋体" w:hAnsi="宋体" w:cs="宋体"/>
          <w:sz w:val="24"/>
          <w:highlight w:val="none"/>
        </w:rPr>
        <w:sym w:font="Wingdings" w:char="00A8"/>
      </w:r>
      <w:r>
        <w:rPr>
          <w:rFonts w:hint="eastAsia" w:ascii="宋体" w:hAnsi="宋体" w:cs="宋体"/>
          <w:sz w:val="24"/>
          <w:highlight w:val="none"/>
        </w:rPr>
        <w:t>分段验收</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sym w:font="Wingdings" w:char="00FE"/>
      </w:r>
      <w:r>
        <w:rPr>
          <w:rFonts w:hint="eastAsia" w:ascii="宋体" w:hAnsi="宋体" w:cs="宋体"/>
          <w:sz w:val="24"/>
          <w:highlight w:val="none"/>
        </w:rPr>
        <w:t>分期验收</w:t>
      </w:r>
    </w:p>
    <w:p w14:paraId="79A162C5">
      <w:pPr>
        <w:spacing w:line="360" w:lineRule="auto"/>
        <w:jc w:val="left"/>
        <w:rPr>
          <w:rFonts w:ascii="宋体" w:hAnsi="宋体" w:cs="宋体"/>
          <w:sz w:val="24"/>
          <w:highlight w:val="none"/>
        </w:rPr>
      </w:pPr>
      <w:r>
        <w:rPr>
          <w:rFonts w:hint="eastAsia" w:ascii="宋体" w:hAnsi="宋体" w:cs="宋体"/>
          <w:sz w:val="24"/>
          <w:highlight w:val="none"/>
        </w:rPr>
        <w:t>5.履约验收</w:t>
      </w:r>
    </w:p>
    <w:p w14:paraId="07EF86B5">
      <w:pPr>
        <w:spacing w:line="360" w:lineRule="auto"/>
        <w:ind w:firstLine="480" w:firstLineChars="200"/>
        <w:rPr>
          <w:rFonts w:ascii="宋体" w:hAnsi="宋体" w:cs="宋体"/>
          <w:sz w:val="24"/>
          <w:highlight w:val="none"/>
        </w:rPr>
      </w:pPr>
      <w:r>
        <w:rPr>
          <w:rFonts w:hint="eastAsia" w:ascii="宋体" w:hAnsi="宋体" w:cs="宋体"/>
          <w:sz w:val="24"/>
          <w:highlight w:val="none"/>
        </w:rPr>
        <w:t>1）采购人按照《杭州市政府采购履约验收暂行办法》（杭财采监[2019]10号）规定组织对供应商履约的验收。验收方成员应当在验收书上签字，并承担相应的法律责任。如果发现与合同中要求不符，供应商须承担由此发生的一切损失和费用，并接受相应的处理。</w:t>
      </w:r>
    </w:p>
    <w:p w14:paraId="2C54D4E8">
      <w:pPr>
        <w:spacing w:line="360" w:lineRule="auto"/>
        <w:ind w:firstLine="480" w:firstLineChars="200"/>
        <w:rPr>
          <w:rFonts w:ascii="宋体" w:hAnsi="宋体" w:cs="宋体"/>
          <w:sz w:val="24"/>
          <w:highlight w:val="none"/>
        </w:rPr>
      </w:pPr>
      <w:r>
        <w:rPr>
          <w:rFonts w:hint="eastAsia" w:ascii="宋体" w:hAnsi="宋体" w:cs="宋体"/>
          <w:sz w:val="24"/>
          <w:highlight w:val="none"/>
        </w:rPr>
        <w:t>2）本项目为信息化项目，根据采购人内控要求,信息化项目服务期满后,项目单位应向市公安局科信局提交《信息化建设项目验收表》及验收所需相应材料,由市公安局科信局按照市政府履约验收相关管理办法的程序,结合市局相关内控制度组织开展终验。</w:t>
      </w:r>
    </w:p>
    <w:p w14:paraId="04A8600B">
      <w:pPr>
        <w:spacing w:line="360" w:lineRule="auto"/>
        <w:ind w:firstLine="480" w:firstLineChars="200"/>
        <w:rPr>
          <w:rFonts w:ascii="宋体" w:hAnsi="宋体" w:cs="宋体"/>
          <w:sz w:val="24"/>
          <w:highlight w:val="none"/>
        </w:rPr>
      </w:pPr>
      <w:r>
        <w:rPr>
          <w:rFonts w:hint="eastAsia" w:ascii="宋体" w:hAnsi="宋体" w:cs="宋体"/>
          <w:sz w:val="24"/>
          <w:highlight w:val="none"/>
        </w:rPr>
        <w:t>3）严格按照采购合同开展履约验收。采购人委托第三方机构组织验收，成立验收小组（验收小组由5人组成：其中采购人1名，经政采云政企区平台相关专业随机抽取专家4名），按照采购合同的约定对供应商履约情况进行验收，验收时，按照采购合同的约定对每一项技术、服务、安全标准的履约情况进行确认，出具验收报告并经验收小组全体成员签字。采购人根据验收报告形成验收意见并经采购人与供应商签字盖章。验收结果与采购合同约定的资金支付及履约保证金返还条件挂钩。履约验收的各项资料应当存档备查。</w:t>
      </w:r>
    </w:p>
    <w:p w14:paraId="7B0043FE">
      <w:pPr>
        <w:spacing w:line="360" w:lineRule="auto"/>
        <w:ind w:firstLine="480" w:firstLineChars="200"/>
        <w:rPr>
          <w:rFonts w:ascii="宋体" w:hAnsi="宋体" w:cs="宋体"/>
          <w:sz w:val="24"/>
          <w:highlight w:val="none"/>
        </w:rPr>
      </w:pPr>
      <w:r>
        <w:rPr>
          <w:rFonts w:hint="eastAsia" w:ascii="宋体" w:hAnsi="宋体" w:cs="宋体"/>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1F0A6443">
      <w:pPr>
        <w:spacing w:line="360" w:lineRule="auto"/>
        <w:ind w:firstLine="480" w:firstLineChars="200"/>
        <w:rPr>
          <w:rFonts w:ascii="宋体" w:hAnsi="宋体" w:cs="宋体"/>
          <w:sz w:val="24"/>
          <w:highlight w:val="none"/>
        </w:rPr>
      </w:pPr>
      <w:r>
        <w:rPr>
          <w:rFonts w:hint="eastAsia" w:ascii="宋体" w:hAnsi="宋体" w:cs="宋体"/>
          <w:sz w:val="24"/>
          <w:highlight w:val="none"/>
        </w:rPr>
        <w:t>5）验收产生的费用首次验收费用由采购人承担，如首次验收不合格，后续验收费用由供应商支付。</w:t>
      </w:r>
    </w:p>
    <w:p w14:paraId="175C9A4C">
      <w:pPr>
        <w:spacing w:line="360" w:lineRule="auto"/>
        <w:ind w:firstLine="480" w:firstLineChars="200"/>
        <w:rPr>
          <w:rFonts w:ascii="宋体" w:hAnsi="宋体" w:cs="宋体"/>
          <w:sz w:val="24"/>
          <w:highlight w:val="none"/>
        </w:rPr>
      </w:pPr>
      <w:r>
        <w:rPr>
          <w:rFonts w:hint="eastAsia" w:ascii="宋体" w:hAnsi="宋体" w:cs="宋体"/>
          <w:sz w:val="24"/>
          <w:highlight w:val="none"/>
        </w:rPr>
        <w:t>6）验收内容</w:t>
      </w:r>
    </w:p>
    <w:tbl>
      <w:tblPr>
        <w:tblStyle w:val="62"/>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376"/>
        <w:gridCol w:w="5423"/>
      </w:tblGrid>
      <w:tr w14:paraId="51D31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14:paraId="7332EC59">
            <w:pPr>
              <w:spacing w:line="360" w:lineRule="auto"/>
              <w:rPr>
                <w:rFonts w:ascii="宋体" w:hAnsi="宋体" w:cs="宋体"/>
                <w:sz w:val="24"/>
                <w:highlight w:val="none"/>
              </w:rPr>
            </w:pPr>
            <w:r>
              <w:rPr>
                <w:rFonts w:hint="eastAsia" w:ascii="宋体" w:hAnsi="宋体" w:cs="宋体"/>
                <w:sz w:val="24"/>
                <w:highlight w:val="none"/>
              </w:rPr>
              <w:t>序号</w:t>
            </w:r>
          </w:p>
        </w:tc>
        <w:tc>
          <w:tcPr>
            <w:tcW w:w="2376" w:type="dxa"/>
            <w:vAlign w:val="center"/>
          </w:tcPr>
          <w:p w14:paraId="6DA2777C">
            <w:pPr>
              <w:spacing w:line="360" w:lineRule="auto"/>
              <w:rPr>
                <w:rFonts w:ascii="宋体" w:hAnsi="宋体" w:cs="宋体"/>
                <w:sz w:val="24"/>
                <w:highlight w:val="none"/>
              </w:rPr>
            </w:pPr>
            <w:r>
              <w:rPr>
                <w:rFonts w:hint="eastAsia" w:ascii="宋体" w:hAnsi="宋体" w:cs="宋体"/>
                <w:sz w:val="24"/>
                <w:highlight w:val="none"/>
              </w:rPr>
              <w:t>验收内容</w:t>
            </w:r>
          </w:p>
        </w:tc>
        <w:tc>
          <w:tcPr>
            <w:tcW w:w="5423" w:type="dxa"/>
            <w:vAlign w:val="center"/>
          </w:tcPr>
          <w:p w14:paraId="57E5AFC7">
            <w:pPr>
              <w:spacing w:line="360" w:lineRule="auto"/>
              <w:rPr>
                <w:rFonts w:ascii="宋体" w:hAnsi="宋体" w:cs="宋体"/>
                <w:sz w:val="24"/>
                <w:highlight w:val="none"/>
              </w:rPr>
            </w:pPr>
            <w:r>
              <w:rPr>
                <w:rFonts w:hint="eastAsia" w:ascii="宋体" w:hAnsi="宋体" w:cs="宋体"/>
                <w:sz w:val="24"/>
                <w:highlight w:val="none"/>
              </w:rPr>
              <w:t>验收标准</w:t>
            </w:r>
          </w:p>
        </w:tc>
      </w:tr>
      <w:tr w14:paraId="5F43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96" w:type="dxa"/>
            <w:vAlign w:val="center"/>
          </w:tcPr>
          <w:p w14:paraId="5EFEAA29">
            <w:pPr>
              <w:spacing w:line="360" w:lineRule="auto"/>
              <w:rPr>
                <w:rFonts w:ascii="宋体" w:hAnsi="宋体" w:cs="宋体"/>
                <w:sz w:val="24"/>
                <w:highlight w:val="none"/>
              </w:rPr>
            </w:pPr>
            <w:r>
              <w:rPr>
                <w:rFonts w:hint="eastAsia" w:ascii="宋体" w:hAnsi="宋体" w:cs="宋体"/>
                <w:sz w:val="24"/>
                <w:highlight w:val="none"/>
              </w:rPr>
              <w:t>1</w:t>
            </w:r>
          </w:p>
        </w:tc>
        <w:tc>
          <w:tcPr>
            <w:tcW w:w="2376" w:type="dxa"/>
            <w:vAlign w:val="center"/>
          </w:tcPr>
          <w:p w14:paraId="35B9E9F9">
            <w:pPr>
              <w:spacing w:line="360" w:lineRule="auto"/>
              <w:rPr>
                <w:rFonts w:ascii="宋体" w:hAnsi="宋体" w:cs="宋体"/>
                <w:sz w:val="24"/>
                <w:highlight w:val="none"/>
              </w:rPr>
            </w:pPr>
            <w:r>
              <w:rPr>
                <w:rFonts w:hint="eastAsia" w:ascii="宋体" w:hAnsi="宋体" w:cs="宋体"/>
                <w:sz w:val="24"/>
                <w:highlight w:val="none"/>
              </w:rPr>
              <w:t>质量</w:t>
            </w:r>
          </w:p>
        </w:tc>
        <w:tc>
          <w:tcPr>
            <w:tcW w:w="5423" w:type="dxa"/>
            <w:vAlign w:val="center"/>
          </w:tcPr>
          <w:p w14:paraId="042C265D">
            <w:pPr>
              <w:spacing w:line="360" w:lineRule="auto"/>
              <w:rPr>
                <w:rFonts w:ascii="宋体" w:hAnsi="宋体" w:cs="宋体"/>
                <w:sz w:val="24"/>
                <w:highlight w:val="none"/>
              </w:rPr>
            </w:pPr>
            <w:r>
              <w:rPr>
                <w:rFonts w:hint="eastAsia" w:ascii="宋体" w:hAnsi="宋体" w:cs="宋体"/>
                <w:sz w:val="24"/>
                <w:highlight w:val="none"/>
              </w:rPr>
              <w:t>投标人保证其提供的技术手段安全成熟，硬件、软件均有安全保障。租赁硬件满足采购需求要求。</w:t>
            </w:r>
          </w:p>
        </w:tc>
      </w:tr>
      <w:tr w14:paraId="591DE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14:paraId="2C741D16">
            <w:pPr>
              <w:spacing w:line="360" w:lineRule="auto"/>
              <w:rPr>
                <w:rFonts w:ascii="宋体" w:hAnsi="宋体" w:cs="宋体"/>
                <w:sz w:val="24"/>
                <w:highlight w:val="none"/>
              </w:rPr>
            </w:pPr>
            <w:r>
              <w:rPr>
                <w:rFonts w:hint="eastAsia" w:ascii="宋体" w:hAnsi="宋体" w:cs="宋体"/>
                <w:sz w:val="24"/>
                <w:highlight w:val="none"/>
              </w:rPr>
              <w:t>2</w:t>
            </w:r>
          </w:p>
        </w:tc>
        <w:tc>
          <w:tcPr>
            <w:tcW w:w="2376" w:type="dxa"/>
            <w:vAlign w:val="center"/>
          </w:tcPr>
          <w:p w14:paraId="5B4C2AE9">
            <w:pPr>
              <w:spacing w:line="360" w:lineRule="auto"/>
              <w:rPr>
                <w:rFonts w:ascii="宋体" w:hAnsi="宋体" w:cs="宋体"/>
                <w:sz w:val="24"/>
                <w:highlight w:val="none"/>
              </w:rPr>
            </w:pPr>
            <w:r>
              <w:rPr>
                <w:rFonts w:hint="eastAsia" w:ascii="宋体" w:hAnsi="宋体" w:cs="宋体"/>
                <w:sz w:val="24"/>
                <w:highlight w:val="none"/>
              </w:rPr>
              <w:t>进度</w:t>
            </w:r>
          </w:p>
        </w:tc>
        <w:tc>
          <w:tcPr>
            <w:tcW w:w="5423" w:type="dxa"/>
            <w:vAlign w:val="center"/>
          </w:tcPr>
          <w:p w14:paraId="64F9C416">
            <w:pPr>
              <w:spacing w:line="360" w:lineRule="auto"/>
              <w:rPr>
                <w:rFonts w:ascii="宋体" w:hAnsi="宋体" w:cs="宋体"/>
                <w:sz w:val="24"/>
                <w:highlight w:val="none"/>
              </w:rPr>
            </w:pPr>
            <w:r>
              <w:rPr>
                <w:rFonts w:hint="eastAsia" w:ascii="宋体" w:hAnsi="宋体" w:cs="宋体"/>
                <w:sz w:val="24"/>
                <w:highlight w:val="none"/>
              </w:rPr>
              <w:t>项目按合同要求服务时间、应急响应的时间等按响应文件落实到位。</w:t>
            </w:r>
          </w:p>
        </w:tc>
      </w:tr>
      <w:tr w14:paraId="276A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restart"/>
            <w:vAlign w:val="center"/>
          </w:tcPr>
          <w:p w14:paraId="1ADF8B83">
            <w:pPr>
              <w:spacing w:line="360" w:lineRule="auto"/>
              <w:rPr>
                <w:rFonts w:ascii="宋体" w:hAnsi="宋体" w:cs="宋体"/>
                <w:sz w:val="24"/>
                <w:highlight w:val="none"/>
              </w:rPr>
            </w:pPr>
            <w:r>
              <w:rPr>
                <w:rFonts w:hint="eastAsia" w:ascii="宋体" w:hAnsi="宋体" w:cs="宋体"/>
                <w:sz w:val="24"/>
                <w:highlight w:val="none"/>
              </w:rPr>
              <w:t>3</w:t>
            </w:r>
          </w:p>
        </w:tc>
        <w:tc>
          <w:tcPr>
            <w:tcW w:w="2376" w:type="dxa"/>
            <w:vMerge w:val="restart"/>
            <w:vAlign w:val="center"/>
          </w:tcPr>
          <w:p w14:paraId="72CB5696">
            <w:pPr>
              <w:spacing w:line="360" w:lineRule="auto"/>
              <w:rPr>
                <w:rFonts w:ascii="宋体" w:hAnsi="宋体" w:cs="宋体"/>
                <w:sz w:val="24"/>
                <w:highlight w:val="none"/>
              </w:rPr>
            </w:pPr>
            <w:r>
              <w:rPr>
                <w:rFonts w:hint="eastAsia" w:ascii="宋体" w:hAnsi="宋体" w:cs="宋体"/>
                <w:sz w:val="24"/>
                <w:highlight w:val="none"/>
              </w:rPr>
              <w:t>网络安全责任和保密</w:t>
            </w:r>
          </w:p>
        </w:tc>
        <w:tc>
          <w:tcPr>
            <w:tcW w:w="5423" w:type="dxa"/>
            <w:vAlign w:val="center"/>
          </w:tcPr>
          <w:p w14:paraId="6D4B2A33">
            <w:pPr>
              <w:spacing w:line="360" w:lineRule="auto"/>
              <w:rPr>
                <w:rFonts w:ascii="宋体" w:hAnsi="宋体" w:cs="宋体"/>
                <w:sz w:val="24"/>
                <w:highlight w:val="none"/>
              </w:rPr>
            </w:pPr>
            <w:r>
              <w:rPr>
                <w:rFonts w:hint="eastAsia" w:ascii="宋体" w:hAnsi="宋体" w:cs="宋体"/>
                <w:kern w:val="0"/>
                <w:sz w:val="24"/>
                <w:highlight w:val="none"/>
              </w:rPr>
              <w:t>制定网络安全保障方案和网络安全事件应急预案，减少网络安全风险等。</w:t>
            </w:r>
          </w:p>
        </w:tc>
      </w:tr>
      <w:tr w14:paraId="5334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96" w:type="dxa"/>
            <w:vMerge w:val="continue"/>
            <w:vAlign w:val="center"/>
          </w:tcPr>
          <w:p w14:paraId="7D72B81D">
            <w:pPr>
              <w:spacing w:line="360" w:lineRule="auto"/>
              <w:rPr>
                <w:rFonts w:ascii="宋体" w:hAnsi="宋体" w:cs="宋体"/>
                <w:sz w:val="24"/>
                <w:highlight w:val="none"/>
              </w:rPr>
            </w:pPr>
          </w:p>
        </w:tc>
        <w:tc>
          <w:tcPr>
            <w:tcW w:w="2376" w:type="dxa"/>
            <w:vMerge w:val="continue"/>
            <w:vAlign w:val="center"/>
          </w:tcPr>
          <w:p w14:paraId="523843D6">
            <w:pPr>
              <w:spacing w:line="360" w:lineRule="auto"/>
              <w:rPr>
                <w:rFonts w:ascii="宋体" w:hAnsi="宋体" w:cs="宋体"/>
                <w:sz w:val="24"/>
                <w:highlight w:val="none"/>
              </w:rPr>
            </w:pPr>
          </w:p>
        </w:tc>
        <w:tc>
          <w:tcPr>
            <w:tcW w:w="5423" w:type="dxa"/>
            <w:vAlign w:val="center"/>
          </w:tcPr>
          <w:p w14:paraId="727E3392">
            <w:pPr>
              <w:spacing w:line="360" w:lineRule="auto"/>
              <w:rPr>
                <w:rFonts w:ascii="宋体" w:hAnsi="宋体" w:cs="宋体"/>
                <w:sz w:val="24"/>
                <w:highlight w:val="none"/>
              </w:rPr>
            </w:pPr>
            <w:r>
              <w:rPr>
                <w:rFonts w:hint="eastAsia" w:ascii="宋体" w:hAnsi="宋体" w:cs="宋体"/>
                <w:sz w:val="24"/>
                <w:highlight w:val="none"/>
              </w:rPr>
              <w:t>服务人员签订保密协议，安全管理制度完善。未发生重大数据丢失和泄漏问题。对项目人员进行保密教育培训并签订保密承诺书，并在项目验收时作为相关资料，一并提交验收小组审核。</w:t>
            </w:r>
          </w:p>
        </w:tc>
      </w:tr>
      <w:tr w14:paraId="78BB1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restart"/>
            <w:vAlign w:val="center"/>
          </w:tcPr>
          <w:p w14:paraId="49D7740E">
            <w:pPr>
              <w:spacing w:line="360" w:lineRule="auto"/>
              <w:rPr>
                <w:rFonts w:ascii="宋体" w:hAnsi="宋体" w:cs="宋体"/>
                <w:sz w:val="24"/>
                <w:highlight w:val="none"/>
              </w:rPr>
            </w:pPr>
            <w:r>
              <w:rPr>
                <w:rFonts w:hint="eastAsia" w:ascii="宋体" w:hAnsi="宋体" w:cs="宋体"/>
                <w:sz w:val="24"/>
                <w:highlight w:val="none"/>
              </w:rPr>
              <w:t>4</w:t>
            </w:r>
          </w:p>
        </w:tc>
        <w:tc>
          <w:tcPr>
            <w:tcW w:w="2376" w:type="dxa"/>
            <w:vMerge w:val="restart"/>
            <w:vAlign w:val="center"/>
          </w:tcPr>
          <w:p w14:paraId="5E006BE5">
            <w:pPr>
              <w:spacing w:line="360" w:lineRule="auto"/>
              <w:rPr>
                <w:rFonts w:ascii="宋体" w:hAnsi="宋体" w:cs="宋体"/>
                <w:sz w:val="24"/>
                <w:highlight w:val="none"/>
              </w:rPr>
            </w:pPr>
            <w:r>
              <w:rPr>
                <w:rFonts w:hint="eastAsia" w:ascii="宋体" w:hAnsi="宋体" w:cs="宋体"/>
                <w:sz w:val="24"/>
                <w:highlight w:val="none"/>
              </w:rPr>
              <w:t>服务</w:t>
            </w:r>
          </w:p>
        </w:tc>
        <w:tc>
          <w:tcPr>
            <w:tcW w:w="5423" w:type="dxa"/>
            <w:vAlign w:val="center"/>
          </w:tcPr>
          <w:p w14:paraId="0EF2DBC1">
            <w:pPr>
              <w:spacing w:line="360" w:lineRule="auto"/>
              <w:rPr>
                <w:rFonts w:ascii="宋体" w:hAnsi="宋体" w:cs="宋体"/>
                <w:sz w:val="24"/>
                <w:highlight w:val="none"/>
              </w:rPr>
            </w:pPr>
            <w:r>
              <w:rPr>
                <w:rFonts w:hint="eastAsia" w:ascii="宋体" w:hAnsi="宋体" w:cs="宋体"/>
                <w:sz w:val="24"/>
                <w:highlight w:val="none"/>
              </w:rPr>
              <w:t>在服务期间，按公安网数据治理服务、专网云平台系统运行及数据治理服务、安全加固服务及应用迁移改造服务、货运导数据及运营保障、安全防控风险预警服务方案实施专业服务。</w:t>
            </w:r>
          </w:p>
        </w:tc>
      </w:tr>
      <w:tr w14:paraId="0A04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96" w:type="dxa"/>
            <w:vMerge w:val="continue"/>
            <w:vAlign w:val="center"/>
          </w:tcPr>
          <w:p w14:paraId="63237B07">
            <w:pPr>
              <w:spacing w:line="360" w:lineRule="auto"/>
              <w:rPr>
                <w:rFonts w:ascii="宋体" w:hAnsi="宋体" w:cs="宋体"/>
                <w:sz w:val="24"/>
                <w:highlight w:val="none"/>
              </w:rPr>
            </w:pPr>
          </w:p>
        </w:tc>
        <w:tc>
          <w:tcPr>
            <w:tcW w:w="2376" w:type="dxa"/>
            <w:vMerge w:val="continue"/>
            <w:vAlign w:val="center"/>
          </w:tcPr>
          <w:p w14:paraId="331B77B4">
            <w:pPr>
              <w:spacing w:line="360" w:lineRule="auto"/>
              <w:rPr>
                <w:rFonts w:ascii="宋体" w:hAnsi="宋体" w:cs="宋体"/>
                <w:sz w:val="24"/>
                <w:highlight w:val="none"/>
              </w:rPr>
            </w:pPr>
          </w:p>
        </w:tc>
        <w:tc>
          <w:tcPr>
            <w:tcW w:w="5423" w:type="dxa"/>
            <w:vAlign w:val="center"/>
          </w:tcPr>
          <w:p w14:paraId="57989908">
            <w:pPr>
              <w:spacing w:line="360" w:lineRule="auto"/>
              <w:jc w:val="left"/>
              <w:rPr>
                <w:rFonts w:ascii="宋体" w:hAnsi="宋体" w:cs="宋体"/>
                <w:sz w:val="24"/>
                <w:highlight w:val="none"/>
              </w:rPr>
            </w:pPr>
            <w:r>
              <w:rPr>
                <w:rFonts w:hint="eastAsia" w:ascii="宋体" w:hAnsi="宋体" w:cs="宋体"/>
                <w:sz w:val="24"/>
                <w:highlight w:val="none"/>
              </w:rPr>
              <w:t>在服务期间，投标人的项目组人员对系统运行情况每天进行巡检，并建立巡检台账。</w:t>
            </w:r>
          </w:p>
        </w:tc>
      </w:tr>
      <w:tr w14:paraId="6C18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14:paraId="26DE82B4">
            <w:pPr>
              <w:spacing w:line="360" w:lineRule="auto"/>
              <w:rPr>
                <w:rFonts w:ascii="宋体" w:hAnsi="宋体" w:cs="宋体"/>
                <w:sz w:val="24"/>
                <w:highlight w:val="none"/>
              </w:rPr>
            </w:pPr>
            <w:r>
              <w:rPr>
                <w:rFonts w:hint="eastAsia" w:ascii="宋体" w:hAnsi="宋体" w:cs="宋体"/>
                <w:sz w:val="24"/>
                <w:highlight w:val="none"/>
              </w:rPr>
              <w:t>5</w:t>
            </w:r>
          </w:p>
        </w:tc>
        <w:tc>
          <w:tcPr>
            <w:tcW w:w="2376" w:type="dxa"/>
            <w:vAlign w:val="center"/>
          </w:tcPr>
          <w:p w14:paraId="72BB12BC">
            <w:pPr>
              <w:spacing w:line="360" w:lineRule="auto"/>
              <w:rPr>
                <w:rFonts w:ascii="宋体" w:hAnsi="宋体" w:cs="宋体"/>
                <w:sz w:val="24"/>
                <w:highlight w:val="none"/>
              </w:rPr>
            </w:pPr>
            <w:r>
              <w:rPr>
                <w:rFonts w:hint="eastAsia" w:ascii="宋体" w:hAnsi="宋体" w:cs="宋体"/>
                <w:sz w:val="24"/>
                <w:highlight w:val="none"/>
              </w:rPr>
              <w:t>人员管理</w:t>
            </w:r>
          </w:p>
        </w:tc>
        <w:tc>
          <w:tcPr>
            <w:tcW w:w="5423" w:type="dxa"/>
            <w:vAlign w:val="center"/>
          </w:tcPr>
          <w:p w14:paraId="6CDAD285">
            <w:pPr>
              <w:spacing w:line="360" w:lineRule="auto"/>
              <w:rPr>
                <w:rFonts w:ascii="宋体" w:hAnsi="宋体" w:cs="宋体"/>
                <w:sz w:val="24"/>
                <w:highlight w:val="none"/>
              </w:rPr>
            </w:pPr>
            <w:r>
              <w:rPr>
                <w:rFonts w:hint="eastAsia" w:ascii="宋体" w:hAnsi="宋体" w:cs="宋体"/>
                <w:sz w:val="24"/>
                <w:highlight w:val="none"/>
              </w:rPr>
              <w:t>在服务期间，按合同和投标文件投入相应资质的项目管理和技术人员。按合同和投标文件投入相应资质的项目管理和技术人员。</w:t>
            </w:r>
          </w:p>
        </w:tc>
      </w:tr>
      <w:tr w14:paraId="0CA83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14:paraId="1820C5BD">
            <w:pPr>
              <w:spacing w:line="360" w:lineRule="auto"/>
              <w:rPr>
                <w:rFonts w:ascii="宋体" w:hAnsi="宋体" w:cs="宋体"/>
                <w:sz w:val="24"/>
                <w:highlight w:val="none"/>
              </w:rPr>
            </w:pPr>
            <w:r>
              <w:rPr>
                <w:rFonts w:hint="eastAsia" w:ascii="宋体" w:hAnsi="宋体" w:cs="宋体"/>
                <w:sz w:val="24"/>
                <w:highlight w:val="none"/>
              </w:rPr>
              <w:t>6</w:t>
            </w:r>
          </w:p>
        </w:tc>
        <w:tc>
          <w:tcPr>
            <w:tcW w:w="2376" w:type="dxa"/>
            <w:vAlign w:val="center"/>
          </w:tcPr>
          <w:p w14:paraId="4E68E790">
            <w:pPr>
              <w:spacing w:line="360" w:lineRule="auto"/>
              <w:rPr>
                <w:rFonts w:ascii="宋体" w:hAnsi="宋体" w:cs="宋体"/>
                <w:sz w:val="24"/>
                <w:highlight w:val="none"/>
              </w:rPr>
            </w:pPr>
            <w:r>
              <w:rPr>
                <w:rFonts w:hint="eastAsia" w:ascii="宋体" w:hAnsi="宋体" w:cs="宋体"/>
                <w:sz w:val="24"/>
                <w:highlight w:val="none"/>
              </w:rPr>
              <w:t>培训</w:t>
            </w:r>
          </w:p>
        </w:tc>
        <w:tc>
          <w:tcPr>
            <w:tcW w:w="5423" w:type="dxa"/>
            <w:vAlign w:val="center"/>
          </w:tcPr>
          <w:p w14:paraId="6545CFE0">
            <w:pPr>
              <w:spacing w:line="360" w:lineRule="auto"/>
              <w:rPr>
                <w:rFonts w:ascii="宋体" w:hAnsi="宋体" w:cs="宋体"/>
                <w:sz w:val="24"/>
                <w:highlight w:val="none"/>
              </w:rPr>
            </w:pPr>
            <w:r>
              <w:rPr>
                <w:rFonts w:hint="eastAsia" w:ascii="宋体" w:hAnsi="宋体" w:cs="宋体"/>
                <w:sz w:val="24"/>
                <w:highlight w:val="none"/>
              </w:rPr>
              <w:t>按合同要求对采购人系统操作人员、系统管理人员、系统运维人员进行培训，形成相应培训记录。</w:t>
            </w:r>
          </w:p>
        </w:tc>
      </w:tr>
      <w:tr w14:paraId="085DC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14:paraId="362CEF73">
            <w:pPr>
              <w:spacing w:line="360" w:lineRule="auto"/>
              <w:rPr>
                <w:rFonts w:ascii="宋体" w:hAnsi="宋体" w:cs="宋体"/>
                <w:sz w:val="24"/>
                <w:highlight w:val="none"/>
              </w:rPr>
            </w:pPr>
            <w:r>
              <w:rPr>
                <w:rFonts w:hint="eastAsia" w:ascii="宋体" w:hAnsi="宋体" w:cs="宋体"/>
                <w:sz w:val="24"/>
                <w:highlight w:val="none"/>
              </w:rPr>
              <w:t>7</w:t>
            </w:r>
          </w:p>
        </w:tc>
        <w:tc>
          <w:tcPr>
            <w:tcW w:w="2376" w:type="dxa"/>
            <w:vAlign w:val="center"/>
          </w:tcPr>
          <w:p w14:paraId="364AC1AC">
            <w:pPr>
              <w:spacing w:line="360" w:lineRule="auto"/>
              <w:rPr>
                <w:rFonts w:ascii="宋体" w:hAnsi="宋体" w:cs="宋体"/>
                <w:sz w:val="24"/>
                <w:highlight w:val="none"/>
              </w:rPr>
            </w:pPr>
            <w:r>
              <w:rPr>
                <w:rFonts w:hint="eastAsia" w:ascii="宋体" w:hAnsi="宋体" w:cs="宋体"/>
                <w:sz w:val="24"/>
                <w:highlight w:val="none"/>
              </w:rPr>
              <w:t>台帐</w:t>
            </w:r>
          </w:p>
        </w:tc>
        <w:tc>
          <w:tcPr>
            <w:tcW w:w="5423" w:type="dxa"/>
            <w:vAlign w:val="center"/>
          </w:tcPr>
          <w:p w14:paraId="758FF53D">
            <w:pPr>
              <w:spacing w:line="360" w:lineRule="auto"/>
              <w:rPr>
                <w:rFonts w:ascii="宋体" w:hAnsi="宋体" w:cs="宋体"/>
                <w:sz w:val="24"/>
                <w:highlight w:val="none"/>
              </w:rPr>
            </w:pPr>
            <w:r>
              <w:rPr>
                <w:rFonts w:hint="eastAsia" w:ascii="宋体" w:hAnsi="宋体" w:cs="宋体"/>
                <w:sz w:val="24"/>
                <w:highlight w:val="none"/>
              </w:rPr>
              <w:t>要做好日常的台帐记录，做到记录及时、完整。每周巡检记录、租赁总结报告。</w:t>
            </w:r>
          </w:p>
        </w:tc>
      </w:tr>
      <w:tr w14:paraId="510B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14:paraId="565E5167">
            <w:pPr>
              <w:spacing w:line="360" w:lineRule="auto"/>
              <w:rPr>
                <w:rFonts w:ascii="宋体" w:hAnsi="宋体" w:cs="宋体"/>
                <w:sz w:val="24"/>
                <w:highlight w:val="none"/>
              </w:rPr>
            </w:pPr>
            <w:r>
              <w:rPr>
                <w:rFonts w:hint="eastAsia" w:ascii="宋体" w:hAnsi="宋体" w:cs="宋体"/>
                <w:sz w:val="24"/>
                <w:highlight w:val="none"/>
              </w:rPr>
              <w:t>8</w:t>
            </w:r>
          </w:p>
        </w:tc>
        <w:tc>
          <w:tcPr>
            <w:tcW w:w="2376" w:type="dxa"/>
            <w:vAlign w:val="center"/>
          </w:tcPr>
          <w:p w14:paraId="5C6D9ED0">
            <w:pPr>
              <w:spacing w:line="360" w:lineRule="auto"/>
              <w:rPr>
                <w:rFonts w:ascii="宋体" w:hAnsi="宋体" w:cs="宋体"/>
                <w:sz w:val="24"/>
                <w:highlight w:val="none"/>
              </w:rPr>
            </w:pPr>
            <w:r>
              <w:rPr>
                <w:rFonts w:hint="eastAsia" w:ascii="宋体" w:hAnsi="宋体" w:cs="宋体"/>
                <w:sz w:val="24"/>
                <w:highlight w:val="none"/>
              </w:rPr>
              <w:t>其他工作</w:t>
            </w:r>
          </w:p>
        </w:tc>
        <w:tc>
          <w:tcPr>
            <w:tcW w:w="5423" w:type="dxa"/>
            <w:vAlign w:val="center"/>
          </w:tcPr>
          <w:p w14:paraId="54BA72E3">
            <w:pPr>
              <w:spacing w:line="360" w:lineRule="auto"/>
              <w:rPr>
                <w:rFonts w:ascii="宋体" w:hAnsi="宋体" w:cs="宋体"/>
                <w:sz w:val="24"/>
                <w:highlight w:val="none"/>
              </w:rPr>
            </w:pPr>
            <w:r>
              <w:rPr>
                <w:rFonts w:hint="eastAsia" w:ascii="宋体" w:hAnsi="宋体" w:cs="宋体"/>
                <w:sz w:val="24"/>
                <w:highlight w:val="none"/>
              </w:rPr>
              <w:t>履行项目采购文件、投标文件、合同条款中涉及的其他承诺的情况。</w:t>
            </w:r>
          </w:p>
        </w:tc>
      </w:tr>
    </w:tbl>
    <w:p w14:paraId="14594F68">
      <w:pPr>
        <w:spacing w:line="360" w:lineRule="auto"/>
        <w:ind w:firstLine="480" w:firstLineChars="200"/>
        <w:rPr>
          <w:rFonts w:ascii="宋体" w:hAnsi="宋体" w:cs="宋体"/>
          <w:sz w:val="24"/>
          <w:highlight w:val="none"/>
        </w:rPr>
      </w:pPr>
      <w:r>
        <w:rPr>
          <w:rFonts w:hint="eastAsia" w:ascii="宋体" w:hAnsi="宋体" w:cs="宋体"/>
          <w:sz w:val="24"/>
          <w:highlight w:val="none"/>
        </w:rPr>
        <w:t>7）验收资料：</w:t>
      </w:r>
    </w:p>
    <w:p w14:paraId="338D8430">
      <w:pPr>
        <w:spacing w:line="360" w:lineRule="auto"/>
        <w:ind w:firstLine="480" w:firstLineChars="200"/>
        <w:rPr>
          <w:rFonts w:ascii="宋体" w:hAnsi="宋体" w:cs="宋体"/>
          <w:sz w:val="24"/>
          <w:highlight w:val="none"/>
        </w:rPr>
      </w:pPr>
      <w:r>
        <w:rPr>
          <w:rFonts w:hint="eastAsia" w:ascii="宋体" w:hAnsi="宋体" w:cs="宋体"/>
          <w:sz w:val="24"/>
          <w:highlight w:val="none"/>
        </w:rPr>
        <w:t>验收资料和文件是项目验收的重要依据，投标人从项目实施开始就应完整地积累和保管，验收时在职能部门的指导、配合下按照采购人有关要求编目建档。</w:t>
      </w:r>
    </w:p>
    <w:p w14:paraId="46E3C95F">
      <w:pPr>
        <w:numPr>
          <w:ilvl w:val="0"/>
          <w:numId w:val="8"/>
        </w:numPr>
        <w:tabs>
          <w:tab w:val="left" w:pos="904"/>
        </w:tabs>
        <w:adjustRightInd/>
        <w:snapToGrid w:val="0"/>
        <w:spacing w:line="360" w:lineRule="auto"/>
        <w:jc w:val="left"/>
        <w:rPr>
          <w:rFonts w:ascii="宋体" w:hAnsi="宋体" w:cs="宋体"/>
          <w:sz w:val="24"/>
          <w:highlight w:val="none"/>
        </w:rPr>
      </w:pPr>
      <w:r>
        <w:rPr>
          <w:rFonts w:hint="eastAsia" w:ascii="宋体" w:hAnsi="宋体" w:cs="宋体"/>
          <w:sz w:val="24"/>
          <w:highlight w:val="none"/>
        </w:rPr>
        <w:t>采购文件</w:t>
      </w:r>
    </w:p>
    <w:p w14:paraId="560D6F99">
      <w:pPr>
        <w:numPr>
          <w:ilvl w:val="0"/>
          <w:numId w:val="8"/>
        </w:numPr>
        <w:tabs>
          <w:tab w:val="left" w:pos="904"/>
        </w:tabs>
        <w:adjustRightInd/>
        <w:snapToGrid w:val="0"/>
        <w:spacing w:line="360" w:lineRule="auto"/>
        <w:jc w:val="left"/>
        <w:rPr>
          <w:rFonts w:ascii="宋体" w:hAnsi="宋体" w:cs="宋体"/>
          <w:sz w:val="24"/>
          <w:highlight w:val="none"/>
        </w:rPr>
      </w:pPr>
      <w:r>
        <w:rPr>
          <w:rFonts w:hint="eastAsia" w:ascii="宋体" w:hAnsi="宋体" w:cs="宋体"/>
          <w:sz w:val="24"/>
          <w:highlight w:val="none"/>
        </w:rPr>
        <w:t>投标文件</w:t>
      </w:r>
    </w:p>
    <w:p w14:paraId="0A293A24">
      <w:pPr>
        <w:numPr>
          <w:ilvl w:val="0"/>
          <w:numId w:val="8"/>
        </w:numPr>
        <w:tabs>
          <w:tab w:val="left" w:pos="904"/>
        </w:tabs>
        <w:adjustRightInd/>
        <w:snapToGrid w:val="0"/>
        <w:spacing w:line="360" w:lineRule="auto"/>
        <w:jc w:val="left"/>
        <w:rPr>
          <w:rFonts w:ascii="宋体" w:hAnsi="宋体" w:cs="宋体"/>
          <w:sz w:val="24"/>
          <w:highlight w:val="none"/>
        </w:rPr>
      </w:pPr>
      <w:r>
        <w:rPr>
          <w:rFonts w:hint="eastAsia" w:ascii="宋体" w:hAnsi="宋体" w:cs="宋体"/>
          <w:sz w:val="24"/>
          <w:highlight w:val="none"/>
        </w:rPr>
        <w:t>采购合同</w:t>
      </w:r>
    </w:p>
    <w:p w14:paraId="6C4E0AAE">
      <w:pPr>
        <w:numPr>
          <w:ilvl w:val="0"/>
          <w:numId w:val="8"/>
        </w:numPr>
        <w:tabs>
          <w:tab w:val="left" w:pos="904"/>
        </w:tabs>
        <w:adjustRightInd/>
        <w:snapToGrid w:val="0"/>
        <w:spacing w:line="360" w:lineRule="auto"/>
        <w:jc w:val="left"/>
        <w:rPr>
          <w:rFonts w:ascii="宋体" w:hAnsi="宋体" w:cs="宋体"/>
          <w:sz w:val="24"/>
          <w:highlight w:val="none"/>
        </w:rPr>
      </w:pPr>
      <w:r>
        <w:rPr>
          <w:rFonts w:hint="eastAsia" w:ascii="宋体" w:hAnsi="宋体" w:cs="宋体"/>
          <w:sz w:val="24"/>
          <w:highlight w:val="none"/>
        </w:rPr>
        <w:t>人员清单、学历证书、身份证、工作服务经验、人员变更申请（如有）；</w:t>
      </w:r>
    </w:p>
    <w:p w14:paraId="3DF2CE4F">
      <w:pPr>
        <w:numPr>
          <w:ilvl w:val="0"/>
          <w:numId w:val="8"/>
        </w:numPr>
        <w:tabs>
          <w:tab w:val="left" w:pos="904"/>
        </w:tabs>
        <w:adjustRightInd/>
        <w:snapToGrid w:val="0"/>
        <w:spacing w:line="360" w:lineRule="auto"/>
        <w:jc w:val="left"/>
        <w:rPr>
          <w:rFonts w:ascii="宋体" w:hAnsi="宋体" w:cs="宋体"/>
          <w:sz w:val="24"/>
          <w:highlight w:val="none"/>
        </w:rPr>
      </w:pPr>
      <w:r>
        <w:rPr>
          <w:rFonts w:hint="eastAsia" w:ascii="宋体" w:hAnsi="宋体" w:cs="宋体"/>
          <w:sz w:val="24"/>
          <w:highlight w:val="none"/>
        </w:rPr>
        <w:t>驻点人员每日钉钉考勤签到表：需采购人经办人、复核人、投标人签字并盖章</w:t>
      </w:r>
    </w:p>
    <w:p w14:paraId="1FC73625">
      <w:pPr>
        <w:numPr>
          <w:ilvl w:val="0"/>
          <w:numId w:val="8"/>
        </w:numPr>
        <w:tabs>
          <w:tab w:val="left" w:pos="904"/>
        </w:tabs>
        <w:adjustRightInd/>
        <w:snapToGrid w:val="0"/>
        <w:spacing w:line="360" w:lineRule="auto"/>
        <w:jc w:val="left"/>
        <w:rPr>
          <w:rFonts w:ascii="宋体" w:hAnsi="宋体" w:cs="宋体"/>
          <w:sz w:val="24"/>
          <w:highlight w:val="none"/>
        </w:rPr>
      </w:pPr>
      <w:r>
        <w:rPr>
          <w:rFonts w:hint="eastAsia" w:ascii="宋体" w:hAnsi="宋体" w:cs="宋体"/>
          <w:sz w:val="24"/>
          <w:highlight w:val="none"/>
        </w:rPr>
        <w:t>租赁设备清单、产品生产日期凭证、产品合格证、质保承诺书；</w:t>
      </w:r>
    </w:p>
    <w:p w14:paraId="0581A986">
      <w:pPr>
        <w:numPr>
          <w:ilvl w:val="0"/>
          <w:numId w:val="8"/>
        </w:numPr>
        <w:tabs>
          <w:tab w:val="left" w:pos="904"/>
        </w:tabs>
        <w:adjustRightInd/>
        <w:snapToGrid w:val="0"/>
        <w:spacing w:line="360" w:lineRule="auto"/>
        <w:jc w:val="left"/>
        <w:rPr>
          <w:rFonts w:ascii="宋体" w:hAnsi="宋体" w:cs="宋体"/>
          <w:sz w:val="24"/>
          <w:highlight w:val="none"/>
        </w:rPr>
      </w:pPr>
      <w:r>
        <w:rPr>
          <w:rFonts w:hint="eastAsia" w:ascii="宋体" w:hAnsi="宋体" w:cs="宋体"/>
          <w:sz w:val="24"/>
          <w:highlight w:val="none"/>
        </w:rPr>
        <w:t>服务方案；</w:t>
      </w:r>
    </w:p>
    <w:p w14:paraId="4B66ADEE">
      <w:pPr>
        <w:numPr>
          <w:ilvl w:val="0"/>
          <w:numId w:val="8"/>
        </w:numPr>
        <w:tabs>
          <w:tab w:val="left" w:pos="904"/>
        </w:tabs>
        <w:adjustRightInd/>
        <w:snapToGrid w:val="0"/>
        <w:spacing w:line="360" w:lineRule="auto"/>
        <w:jc w:val="left"/>
        <w:rPr>
          <w:rFonts w:ascii="宋体" w:hAnsi="宋体" w:cs="宋体"/>
          <w:sz w:val="24"/>
          <w:highlight w:val="none"/>
        </w:rPr>
      </w:pPr>
      <w:r>
        <w:rPr>
          <w:rFonts w:hint="eastAsia" w:ascii="宋体" w:hAnsi="宋体" w:cs="宋体"/>
          <w:sz w:val="24"/>
          <w:highlight w:val="none"/>
        </w:rPr>
        <w:t>专网云平台监测报告、巡检报告；</w:t>
      </w:r>
    </w:p>
    <w:p w14:paraId="073E04D1">
      <w:pPr>
        <w:numPr>
          <w:ilvl w:val="0"/>
          <w:numId w:val="8"/>
        </w:numPr>
        <w:tabs>
          <w:tab w:val="left" w:pos="904"/>
        </w:tabs>
        <w:adjustRightInd/>
        <w:snapToGrid w:val="0"/>
        <w:spacing w:line="360" w:lineRule="auto"/>
        <w:jc w:val="left"/>
        <w:rPr>
          <w:rFonts w:ascii="宋体" w:hAnsi="宋体" w:cs="宋体"/>
          <w:sz w:val="24"/>
          <w:highlight w:val="none"/>
        </w:rPr>
      </w:pPr>
      <w:r>
        <w:rPr>
          <w:rFonts w:hint="eastAsia" w:ascii="宋体" w:hAnsi="宋体" w:cs="宋体"/>
          <w:sz w:val="24"/>
          <w:highlight w:val="none"/>
        </w:rPr>
        <w:t>每月考核材料；</w:t>
      </w:r>
    </w:p>
    <w:p w14:paraId="13F96C2E">
      <w:pPr>
        <w:numPr>
          <w:ilvl w:val="0"/>
          <w:numId w:val="8"/>
        </w:numPr>
        <w:tabs>
          <w:tab w:val="left" w:pos="904"/>
        </w:tabs>
        <w:adjustRightInd/>
        <w:snapToGrid w:val="0"/>
        <w:spacing w:line="360" w:lineRule="auto"/>
        <w:jc w:val="left"/>
        <w:rPr>
          <w:rFonts w:ascii="宋体" w:hAnsi="宋体" w:cs="宋体"/>
          <w:sz w:val="24"/>
          <w:highlight w:val="none"/>
        </w:rPr>
      </w:pPr>
      <w:r>
        <w:rPr>
          <w:rFonts w:hint="eastAsia" w:ascii="宋体" w:hAnsi="宋体" w:cs="宋体"/>
          <w:sz w:val="24"/>
          <w:highlight w:val="none"/>
        </w:rPr>
        <w:t>数据接入清单；</w:t>
      </w:r>
    </w:p>
    <w:p w14:paraId="1CF03105">
      <w:pPr>
        <w:numPr>
          <w:ilvl w:val="0"/>
          <w:numId w:val="8"/>
        </w:numPr>
        <w:tabs>
          <w:tab w:val="left" w:pos="904"/>
        </w:tabs>
        <w:adjustRightInd/>
        <w:snapToGrid w:val="0"/>
        <w:spacing w:line="360" w:lineRule="auto"/>
        <w:jc w:val="left"/>
        <w:rPr>
          <w:rFonts w:ascii="宋体" w:hAnsi="宋体" w:cs="宋体"/>
          <w:sz w:val="24"/>
          <w:highlight w:val="none"/>
        </w:rPr>
      </w:pPr>
      <w:r>
        <w:rPr>
          <w:rFonts w:hint="eastAsia" w:ascii="宋体" w:hAnsi="宋体" w:cs="宋体"/>
          <w:sz w:val="24"/>
          <w:highlight w:val="none"/>
        </w:rPr>
        <w:t>验收报审表；</w:t>
      </w:r>
    </w:p>
    <w:p w14:paraId="5537BE92">
      <w:pPr>
        <w:numPr>
          <w:ilvl w:val="0"/>
          <w:numId w:val="8"/>
        </w:numPr>
        <w:tabs>
          <w:tab w:val="left" w:pos="904"/>
        </w:tabs>
        <w:adjustRightInd/>
        <w:snapToGrid w:val="0"/>
        <w:spacing w:line="360" w:lineRule="auto"/>
        <w:jc w:val="left"/>
        <w:rPr>
          <w:rFonts w:ascii="宋体" w:hAnsi="宋体" w:cs="宋体"/>
          <w:sz w:val="24"/>
          <w:highlight w:val="none"/>
        </w:rPr>
      </w:pPr>
      <w:r>
        <w:rPr>
          <w:rFonts w:hint="eastAsia" w:ascii="宋体" w:hAnsi="宋体" w:cs="宋体"/>
          <w:sz w:val="24"/>
          <w:highlight w:val="none"/>
        </w:rPr>
        <w:t>系统渗透测试报告；</w:t>
      </w:r>
    </w:p>
    <w:p w14:paraId="16EE0200">
      <w:pPr>
        <w:numPr>
          <w:ilvl w:val="0"/>
          <w:numId w:val="8"/>
        </w:numPr>
        <w:tabs>
          <w:tab w:val="left" w:pos="904"/>
        </w:tabs>
        <w:adjustRightInd/>
        <w:snapToGrid w:val="0"/>
        <w:spacing w:line="360" w:lineRule="auto"/>
        <w:jc w:val="left"/>
        <w:rPr>
          <w:rFonts w:ascii="宋体" w:hAnsi="宋体" w:cs="宋体"/>
          <w:sz w:val="24"/>
          <w:highlight w:val="none"/>
        </w:rPr>
      </w:pPr>
      <w:r>
        <w:rPr>
          <w:rFonts w:hint="eastAsia" w:ascii="宋体" w:hAnsi="宋体" w:cs="宋体"/>
          <w:sz w:val="24"/>
          <w:highlight w:val="none"/>
        </w:rPr>
        <w:t>应急响应报告；</w:t>
      </w:r>
    </w:p>
    <w:p w14:paraId="1BBB9E45">
      <w:pPr>
        <w:numPr>
          <w:ilvl w:val="0"/>
          <w:numId w:val="8"/>
        </w:numPr>
        <w:tabs>
          <w:tab w:val="left" w:pos="904"/>
        </w:tabs>
        <w:adjustRightInd/>
        <w:snapToGrid w:val="0"/>
        <w:spacing w:line="360" w:lineRule="auto"/>
        <w:jc w:val="left"/>
        <w:rPr>
          <w:rFonts w:ascii="宋体" w:hAnsi="宋体" w:cs="宋体"/>
          <w:sz w:val="24"/>
          <w:highlight w:val="none"/>
        </w:rPr>
      </w:pPr>
      <w:r>
        <w:rPr>
          <w:rFonts w:hint="eastAsia" w:ascii="宋体" w:hAnsi="宋体" w:cs="宋体"/>
          <w:sz w:val="24"/>
          <w:highlight w:val="none"/>
        </w:rPr>
        <w:t>网络安全事件应急预案；</w:t>
      </w:r>
    </w:p>
    <w:p w14:paraId="4716A0E3">
      <w:pPr>
        <w:numPr>
          <w:ilvl w:val="0"/>
          <w:numId w:val="8"/>
        </w:numPr>
        <w:tabs>
          <w:tab w:val="left" w:pos="904"/>
        </w:tabs>
        <w:adjustRightInd/>
        <w:snapToGrid w:val="0"/>
        <w:spacing w:line="360" w:lineRule="auto"/>
        <w:jc w:val="left"/>
        <w:rPr>
          <w:rFonts w:ascii="宋体" w:hAnsi="宋体" w:cs="宋体"/>
          <w:sz w:val="24"/>
          <w:highlight w:val="none"/>
        </w:rPr>
      </w:pPr>
      <w:r>
        <w:rPr>
          <w:rFonts w:hint="eastAsia" w:ascii="宋体" w:hAnsi="宋体" w:cs="宋体"/>
          <w:sz w:val="24"/>
          <w:highlight w:val="none"/>
        </w:rPr>
        <w:t>网络安全事件应急演练报告；</w:t>
      </w:r>
    </w:p>
    <w:p w14:paraId="401958A0">
      <w:pPr>
        <w:numPr>
          <w:ilvl w:val="0"/>
          <w:numId w:val="8"/>
        </w:numPr>
        <w:tabs>
          <w:tab w:val="left" w:pos="904"/>
        </w:tabs>
        <w:adjustRightInd/>
        <w:snapToGrid w:val="0"/>
        <w:spacing w:line="360" w:lineRule="auto"/>
        <w:jc w:val="left"/>
        <w:rPr>
          <w:rFonts w:ascii="宋体" w:hAnsi="宋体" w:cs="宋体"/>
          <w:sz w:val="24"/>
          <w:highlight w:val="none"/>
        </w:rPr>
      </w:pPr>
      <w:r>
        <w:rPr>
          <w:rFonts w:hint="eastAsia" w:ascii="宋体" w:hAnsi="宋体" w:cs="宋体"/>
          <w:sz w:val="24"/>
          <w:highlight w:val="none"/>
        </w:rPr>
        <w:t>重保期间安全日报；</w:t>
      </w:r>
    </w:p>
    <w:p w14:paraId="14B6581D">
      <w:pPr>
        <w:numPr>
          <w:ilvl w:val="0"/>
          <w:numId w:val="8"/>
        </w:numPr>
        <w:tabs>
          <w:tab w:val="left" w:pos="904"/>
        </w:tabs>
        <w:adjustRightInd/>
        <w:snapToGrid w:val="0"/>
        <w:spacing w:line="360" w:lineRule="auto"/>
        <w:jc w:val="left"/>
        <w:rPr>
          <w:rFonts w:ascii="宋体" w:hAnsi="宋体" w:cs="宋体"/>
          <w:sz w:val="24"/>
          <w:highlight w:val="none"/>
        </w:rPr>
      </w:pPr>
      <w:r>
        <w:rPr>
          <w:rFonts w:hint="eastAsia" w:ascii="宋体" w:hAnsi="宋体" w:cs="宋体"/>
          <w:sz w:val="24"/>
          <w:highlight w:val="none"/>
        </w:rPr>
        <w:t>网络安全保障方案、网络安全风险书面报告（如有）、网络安全重大事项书面报告（如有）、网络安全总结报告；</w:t>
      </w:r>
    </w:p>
    <w:p w14:paraId="070BA9C6">
      <w:pPr>
        <w:numPr>
          <w:ilvl w:val="0"/>
          <w:numId w:val="8"/>
        </w:numPr>
        <w:tabs>
          <w:tab w:val="left" w:pos="904"/>
        </w:tabs>
        <w:adjustRightInd/>
        <w:snapToGrid w:val="0"/>
        <w:spacing w:line="360" w:lineRule="auto"/>
        <w:jc w:val="left"/>
        <w:rPr>
          <w:rFonts w:ascii="宋体" w:hAnsi="宋体" w:cs="宋体"/>
          <w:sz w:val="24"/>
          <w:highlight w:val="none"/>
        </w:rPr>
      </w:pPr>
      <w:r>
        <w:rPr>
          <w:rFonts w:hint="eastAsia" w:ascii="宋体" w:hAnsi="宋体" w:cs="宋体"/>
          <w:sz w:val="24"/>
          <w:highlight w:val="none"/>
        </w:rPr>
        <w:t>满足信创要求的检测材料；</w:t>
      </w:r>
    </w:p>
    <w:p w14:paraId="4DFBF388">
      <w:pPr>
        <w:numPr>
          <w:ilvl w:val="0"/>
          <w:numId w:val="8"/>
        </w:numPr>
        <w:tabs>
          <w:tab w:val="left" w:pos="904"/>
        </w:tabs>
        <w:adjustRightInd/>
        <w:snapToGrid w:val="0"/>
        <w:spacing w:line="360" w:lineRule="auto"/>
        <w:jc w:val="left"/>
        <w:rPr>
          <w:rFonts w:ascii="宋体" w:hAnsi="宋体" w:cs="宋体"/>
          <w:sz w:val="24"/>
          <w:highlight w:val="none"/>
        </w:rPr>
      </w:pPr>
      <w:r>
        <w:rPr>
          <w:rFonts w:hint="eastAsia" w:ascii="宋体" w:hAnsi="宋体" w:cs="宋体"/>
          <w:sz w:val="24"/>
          <w:highlight w:val="none"/>
        </w:rPr>
        <w:t>其他相关材料：培训材料、分包协议、单位保密协议、个人保密承诺、日常保密教育台账等。</w:t>
      </w:r>
    </w:p>
    <w:p w14:paraId="112326FA">
      <w:pPr>
        <w:spacing w:line="360" w:lineRule="auto"/>
        <w:ind w:firstLine="480" w:firstLineChars="200"/>
        <w:rPr>
          <w:rFonts w:ascii="宋体" w:hAnsi="宋体" w:cs="宋体"/>
          <w:sz w:val="24"/>
          <w:highlight w:val="none"/>
        </w:rPr>
      </w:pPr>
      <w:r>
        <w:rPr>
          <w:rFonts w:hint="eastAsia" w:ascii="宋体" w:hAnsi="宋体" w:cs="宋体"/>
          <w:sz w:val="24"/>
          <w:highlight w:val="none"/>
        </w:rPr>
        <w:t>6.履约验收标准</w:t>
      </w:r>
    </w:p>
    <w:p w14:paraId="15D61520">
      <w:pPr>
        <w:spacing w:line="360" w:lineRule="auto"/>
        <w:ind w:firstLine="480" w:firstLineChars="200"/>
        <w:rPr>
          <w:rFonts w:ascii="宋体" w:hAnsi="宋体" w:cs="宋体"/>
          <w:sz w:val="24"/>
          <w:highlight w:val="none"/>
        </w:rPr>
      </w:pPr>
      <w:r>
        <w:rPr>
          <w:rFonts w:hint="eastAsia" w:ascii="宋体" w:hAnsi="宋体" w:cs="宋体"/>
          <w:sz w:val="24"/>
          <w:highlight w:val="none"/>
        </w:rPr>
        <w:t>根据采购文件确定的技术指标或者服务要求确定验收指标和标准。未进行相应约定的，应当符合国家强制性规定、政策要求、安全标准、行业或企业有关标准等。</w:t>
      </w:r>
    </w:p>
    <w:p w14:paraId="51DFC8AE">
      <w:pPr>
        <w:spacing w:line="360" w:lineRule="auto"/>
        <w:ind w:firstLine="480" w:firstLineChars="200"/>
        <w:rPr>
          <w:rFonts w:ascii="宋体" w:hAnsi="宋体" w:cs="宋体"/>
          <w:sz w:val="24"/>
          <w:highlight w:val="none"/>
        </w:rPr>
      </w:pPr>
      <w:r>
        <w:rPr>
          <w:rFonts w:hint="eastAsia" w:ascii="宋体" w:hAnsi="宋体" w:cs="宋体"/>
          <w:sz w:val="24"/>
          <w:highlight w:val="none"/>
        </w:rPr>
        <w:t>7.履约验收其他事项:无。</w:t>
      </w:r>
    </w:p>
    <w:p w14:paraId="23F29BC4">
      <w:pPr>
        <w:spacing w:line="360" w:lineRule="auto"/>
        <w:ind w:firstLine="480" w:firstLineChars="200"/>
        <w:rPr>
          <w:rFonts w:ascii="宋体" w:hAnsi="宋体" w:cs="宋体"/>
          <w:sz w:val="24"/>
          <w:highlight w:val="none"/>
        </w:rPr>
      </w:pPr>
      <w:r>
        <w:rPr>
          <w:rFonts w:hint="eastAsia" w:ascii="宋体" w:hAnsi="宋体" w:cs="宋体"/>
          <w:sz w:val="24"/>
          <w:highlight w:val="none"/>
        </w:rPr>
        <w:t>二）考核</w:t>
      </w:r>
    </w:p>
    <w:p w14:paraId="0D81B276">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sz w:val="24"/>
          <w:highlight w:val="none"/>
          <w:u w:val="single"/>
          <w:lang w:val="zh-CN"/>
        </w:rPr>
        <w:t>采购人负责对本项目的管理指导、验收考核等职责，督促中标人履行合同。采购人委托监理单位对中标人服务工作进行考核，考核结果由采购人经办人、审核人、监理单位、中标人签字盖章。如考核周期内重复出现相同扣分情形，累计计算扣除分值。</w:t>
      </w:r>
    </w:p>
    <w:p w14:paraId="19487EC8">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sz w:val="24"/>
          <w:highlight w:val="none"/>
          <w:u w:val="single"/>
          <w:lang w:val="zh-CN"/>
        </w:rPr>
        <w:t>本考核以月为考核周期，采用百分制计分方式，采购人根据逐条考核事项及对应扣分对投标人（人员）进行计分。投标人每被扣1分，扣除违约金</w:t>
      </w:r>
      <w:r>
        <w:rPr>
          <w:rFonts w:hint="eastAsia" w:ascii="宋体" w:hAnsi="宋体" w:cs="宋体"/>
          <w:sz w:val="24"/>
          <w:highlight w:val="none"/>
          <w:u w:val="single"/>
        </w:rPr>
        <w:t>10</w:t>
      </w:r>
      <w:r>
        <w:rPr>
          <w:rFonts w:hint="eastAsia" w:ascii="宋体" w:hAnsi="宋体" w:cs="宋体"/>
          <w:sz w:val="24"/>
          <w:highlight w:val="none"/>
          <w:u w:val="single"/>
          <w:lang w:val="zh-CN"/>
        </w:rPr>
        <w:t>00元，违约金在结算合同尾款时扣除。考核分值高于90分（含90分）视为合格，90分以下视为不合格；如投标人经采购人考评连续两次均为不合格，采购人有权无条件终止合同,并没收投标人全部履约保证金。如给采购人造成损失的有权向投标人提出索赔。</w:t>
      </w:r>
    </w:p>
    <w:p w14:paraId="21F7E0AD">
      <w:pPr>
        <w:spacing w:before="120" w:line="360" w:lineRule="auto"/>
        <w:ind w:firstLine="480" w:firstLineChars="200"/>
        <w:jc w:val="center"/>
        <w:rPr>
          <w:rFonts w:ascii="宋体" w:hAnsi="宋体" w:cs="宋体"/>
          <w:sz w:val="24"/>
          <w:highlight w:val="none"/>
        </w:rPr>
      </w:pPr>
      <w:r>
        <w:rPr>
          <w:rFonts w:hint="eastAsia" w:ascii="宋体" w:hAnsi="宋体" w:cs="宋体"/>
          <w:sz w:val="24"/>
          <w:highlight w:val="none"/>
        </w:rPr>
        <w:t>每月考核表（2024年  月）</w:t>
      </w:r>
    </w:p>
    <w:tbl>
      <w:tblPr>
        <w:tblStyle w:val="62"/>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401"/>
        <w:gridCol w:w="799"/>
        <w:gridCol w:w="4764"/>
        <w:gridCol w:w="928"/>
        <w:gridCol w:w="925"/>
      </w:tblGrid>
      <w:tr w14:paraId="31377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862" w:type="dxa"/>
            <w:gridSpan w:val="3"/>
            <w:vAlign w:val="center"/>
          </w:tcPr>
          <w:p w14:paraId="0C315466">
            <w:pPr>
              <w:spacing w:before="120"/>
              <w:rPr>
                <w:sz w:val="24"/>
                <w:highlight w:val="none"/>
              </w:rPr>
            </w:pPr>
            <w:r>
              <w:rPr>
                <w:rFonts w:hint="eastAsia"/>
                <w:sz w:val="24"/>
                <w:highlight w:val="none"/>
              </w:rPr>
              <w:t>中标单位</w:t>
            </w:r>
          </w:p>
        </w:tc>
        <w:tc>
          <w:tcPr>
            <w:tcW w:w="6617" w:type="dxa"/>
            <w:gridSpan w:val="3"/>
            <w:vAlign w:val="center"/>
          </w:tcPr>
          <w:p w14:paraId="13697F11">
            <w:pPr>
              <w:spacing w:before="120" w:line="360" w:lineRule="auto"/>
              <w:ind w:firstLine="420" w:firstLineChars="200"/>
              <w:outlineLvl w:val="3"/>
              <w:rPr>
                <w:rFonts w:ascii="宋体" w:hAnsi="宋体" w:cs="宋体"/>
                <w:szCs w:val="21"/>
                <w:highlight w:val="none"/>
              </w:rPr>
            </w:pPr>
          </w:p>
        </w:tc>
      </w:tr>
      <w:tr w14:paraId="0E242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Align w:val="center"/>
          </w:tcPr>
          <w:p w14:paraId="494BB0FE">
            <w:pPr>
              <w:spacing w:before="120"/>
              <w:jc w:val="center"/>
              <w:rPr>
                <w:sz w:val="24"/>
                <w:highlight w:val="none"/>
              </w:rPr>
            </w:pPr>
            <w:r>
              <w:rPr>
                <w:rFonts w:hint="eastAsia"/>
                <w:sz w:val="24"/>
                <w:highlight w:val="none"/>
              </w:rPr>
              <w:t>序号</w:t>
            </w:r>
          </w:p>
        </w:tc>
        <w:tc>
          <w:tcPr>
            <w:tcW w:w="6964" w:type="dxa"/>
            <w:gridSpan w:val="3"/>
            <w:vAlign w:val="center"/>
          </w:tcPr>
          <w:p w14:paraId="7233A42C">
            <w:pPr>
              <w:spacing w:before="120"/>
              <w:jc w:val="center"/>
              <w:rPr>
                <w:sz w:val="24"/>
                <w:highlight w:val="none"/>
              </w:rPr>
            </w:pPr>
            <w:r>
              <w:rPr>
                <w:rFonts w:hint="eastAsia"/>
                <w:sz w:val="24"/>
                <w:highlight w:val="none"/>
              </w:rPr>
              <w:t>考核内容</w:t>
            </w:r>
          </w:p>
        </w:tc>
        <w:tc>
          <w:tcPr>
            <w:tcW w:w="928" w:type="dxa"/>
            <w:vAlign w:val="center"/>
          </w:tcPr>
          <w:p w14:paraId="174462EC">
            <w:pPr>
              <w:spacing w:before="120" w:line="360" w:lineRule="auto"/>
              <w:jc w:val="center"/>
              <w:outlineLvl w:val="3"/>
              <w:rPr>
                <w:rFonts w:ascii="宋体" w:hAnsi="宋体" w:cs="宋体"/>
                <w:sz w:val="24"/>
                <w:highlight w:val="none"/>
              </w:rPr>
            </w:pPr>
            <w:r>
              <w:rPr>
                <w:rFonts w:hint="eastAsia" w:ascii="宋体" w:hAnsi="宋体" w:cs="宋体"/>
                <w:sz w:val="24"/>
                <w:highlight w:val="none"/>
              </w:rPr>
              <w:t>考核 扣分</w:t>
            </w:r>
          </w:p>
        </w:tc>
        <w:tc>
          <w:tcPr>
            <w:tcW w:w="925" w:type="dxa"/>
            <w:vAlign w:val="center"/>
          </w:tcPr>
          <w:p w14:paraId="5ED370D5">
            <w:pPr>
              <w:spacing w:before="120" w:line="360" w:lineRule="auto"/>
              <w:jc w:val="center"/>
              <w:outlineLvl w:val="3"/>
              <w:rPr>
                <w:rFonts w:ascii="宋体" w:hAnsi="宋体" w:cs="宋体"/>
                <w:sz w:val="24"/>
                <w:highlight w:val="none"/>
              </w:rPr>
            </w:pPr>
            <w:r>
              <w:rPr>
                <w:rFonts w:hint="eastAsia" w:ascii="宋体" w:hAnsi="宋体" w:cs="宋体"/>
                <w:sz w:val="24"/>
                <w:highlight w:val="none"/>
              </w:rPr>
              <w:t>备注</w:t>
            </w:r>
          </w:p>
        </w:tc>
      </w:tr>
      <w:tr w14:paraId="4F8E5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Align w:val="center"/>
          </w:tcPr>
          <w:p w14:paraId="375568B4">
            <w:pPr>
              <w:spacing w:before="120"/>
              <w:rPr>
                <w:sz w:val="24"/>
                <w:highlight w:val="none"/>
              </w:rPr>
            </w:pPr>
            <w:r>
              <w:rPr>
                <w:sz w:val="24"/>
                <w:highlight w:val="none"/>
              </w:rPr>
              <w:t>1</w:t>
            </w:r>
          </w:p>
        </w:tc>
        <w:tc>
          <w:tcPr>
            <w:tcW w:w="1401" w:type="dxa"/>
            <w:vAlign w:val="center"/>
          </w:tcPr>
          <w:p w14:paraId="3383758B">
            <w:pPr>
              <w:spacing w:before="120"/>
              <w:rPr>
                <w:sz w:val="24"/>
                <w:highlight w:val="none"/>
              </w:rPr>
            </w:pPr>
            <w:r>
              <w:rPr>
                <w:rFonts w:hint="eastAsia"/>
                <w:sz w:val="24"/>
                <w:highlight w:val="none"/>
              </w:rPr>
              <w:t>交通管理数据全生命周期运营服务</w:t>
            </w:r>
          </w:p>
        </w:tc>
        <w:tc>
          <w:tcPr>
            <w:tcW w:w="5563" w:type="dxa"/>
            <w:gridSpan w:val="2"/>
            <w:vAlign w:val="center"/>
          </w:tcPr>
          <w:p w14:paraId="758C7C34">
            <w:pPr>
              <w:rPr>
                <w:sz w:val="24"/>
                <w:highlight w:val="none"/>
              </w:rPr>
            </w:pPr>
            <w:r>
              <w:rPr>
                <w:rFonts w:hint="eastAsia"/>
                <w:sz w:val="24"/>
                <w:highlight w:val="none"/>
              </w:rPr>
              <w:t>按采购人实际需求完成当月交通管理数据全生命周期运营服务所要求的内容及数量（不限于采购人电话、微信、钉钉、短信等交办的），服务未达到当月要求的，每发生一次扣10分。</w:t>
            </w:r>
          </w:p>
        </w:tc>
        <w:tc>
          <w:tcPr>
            <w:tcW w:w="928" w:type="dxa"/>
            <w:vAlign w:val="center"/>
          </w:tcPr>
          <w:p w14:paraId="05036BBC">
            <w:pPr>
              <w:spacing w:before="120" w:line="360" w:lineRule="auto"/>
              <w:ind w:firstLine="420" w:firstLineChars="200"/>
              <w:outlineLvl w:val="3"/>
              <w:rPr>
                <w:rFonts w:ascii="宋体" w:hAnsi="宋体" w:cs="宋体"/>
                <w:szCs w:val="21"/>
                <w:highlight w:val="none"/>
              </w:rPr>
            </w:pPr>
          </w:p>
        </w:tc>
        <w:tc>
          <w:tcPr>
            <w:tcW w:w="925" w:type="dxa"/>
            <w:vAlign w:val="center"/>
          </w:tcPr>
          <w:p w14:paraId="48DDE26D">
            <w:pPr>
              <w:spacing w:before="120" w:line="360" w:lineRule="auto"/>
              <w:ind w:firstLine="420" w:firstLineChars="200"/>
              <w:outlineLvl w:val="3"/>
              <w:rPr>
                <w:rFonts w:ascii="宋体" w:hAnsi="宋体" w:cs="宋体"/>
                <w:szCs w:val="21"/>
                <w:highlight w:val="none"/>
              </w:rPr>
            </w:pPr>
          </w:p>
        </w:tc>
      </w:tr>
      <w:tr w14:paraId="273A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Align w:val="center"/>
          </w:tcPr>
          <w:p w14:paraId="1FEEE107">
            <w:pPr>
              <w:spacing w:before="120"/>
              <w:rPr>
                <w:sz w:val="24"/>
                <w:highlight w:val="none"/>
              </w:rPr>
            </w:pPr>
            <w:r>
              <w:rPr>
                <w:sz w:val="24"/>
                <w:highlight w:val="none"/>
              </w:rPr>
              <w:t>2</w:t>
            </w:r>
          </w:p>
        </w:tc>
        <w:tc>
          <w:tcPr>
            <w:tcW w:w="1401" w:type="dxa"/>
            <w:vAlign w:val="center"/>
          </w:tcPr>
          <w:p w14:paraId="34F79C9F">
            <w:pPr>
              <w:spacing w:before="120"/>
              <w:rPr>
                <w:sz w:val="24"/>
                <w:highlight w:val="none"/>
              </w:rPr>
            </w:pPr>
            <w:r>
              <w:rPr>
                <w:rFonts w:hint="eastAsia"/>
                <w:sz w:val="24"/>
                <w:highlight w:val="none"/>
              </w:rPr>
              <w:t>安全加固及应用迁移改造服务</w:t>
            </w:r>
          </w:p>
        </w:tc>
        <w:tc>
          <w:tcPr>
            <w:tcW w:w="5563" w:type="dxa"/>
            <w:gridSpan w:val="2"/>
            <w:vAlign w:val="center"/>
          </w:tcPr>
          <w:p w14:paraId="37882B40">
            <w:pPr>
              <w:rPr>
                <w:sz w:val="24"/>
                <w:highlight w:val="none"/>
              </w:rPr>
            </w:pPr>
            <w:r>
              <w:rPr>
                <w:rFonts w:hint="eastAsia"/>
                <w:sz w:val="24"/>
                <w:highlight w:val="none"/>
              </w:rPr>
              <w:t>按采购人实际需求完成安全加固及应用迁移改造服务所要求的内容及数量（不限于采购人电话、微信、钉钉、短信等交办的），服务未达到当月要求的，每发生一次扣10分。在服务周期中，如因未按照合同要求进行服务或工作失误，导致发生重大安全事故并被上级部门通报的，每发生一次扣10分。</w:t>
            </w:r>
          </w:p>
        </w:tc>
        <w:tc>
          <w:tcPr>
            <w:tcW w:w="928" w:type="dxa"/>
            <w:vAlign w:val="center"/>
          </w:tcPr>
          <w:p w14:paraId="24B070AA">
            <w:pPr>
              <w:spacing w:before="120" w:line="360" w:lineRule="auto"/>
              <w:ind w:firstLine="420" w:firstLineChars="200"/>
              <w:outlineLvl w:val="3"/>
              <w:rPr>
                <w:rFonts w:ascii="宋体" w:hAnsi="宋体" w:cs="宋体"/>
                <w:szCs w:val="21"/>
                <w:highlight w:val="none"/>
              </w:rPr>
            </w:pPr>
          </w:p>
        </w:tc>
        <w:tc>
          <w:tcPr>
            <w:tcW w:w="925" w:type="dxa"/>
            <w:vAlign w:val="center"/>
          </w:tcPr>
          <w:p w14:paraId="14EE3E61">
            <w:pPr>
              <w:spacing w:before="120" w:line="360" w:lineRule="auto"/>
              <w:ind w:firstLine="420" w:firstLineChars="200"/>
              <w:outlineLvl w:val="3"/>
              <w:rPr>
                <w:rFonts w:ascii="宋体" w:hAnsi="宋体" w:cs="宋体"/>
                <w:szCs w:val="21"/>
                <w:highlight w:val="none"/>
              </w:rPr>
            </w:pPr>
          </w:p>
        </w:tc>
      </w:tr>
      <w:tr w14:paraId="1D2C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62" w:type="dxa"/>
            <w:vAlign w:val="center"/>
          </w:tcPr>
          <w:p w14:paraId="4CC364A3">
            <w:pPr>
              <w:spacing w:before="120"/>
              <w:rPr>
                <w:sz w:val="24"/>
                <w:highlight w:val="none"/>
              </w:rPr>
            </w:pPr>
            <w:r>
              <w:rPr>
                <w:sz w:val="24"/>
                <w:highlight w:val="none"/>
              </w:rPr>
              <w:t>3</w:t>
            </w:r>
          </w:p>
        </w:tc>
        <w:tc>
          <w:tcPr>
            <w:tcW w:w="1401" w:type="dxa"/>
            <w:vAlign w:val="center"/>
          </w:tcPr>
          <w:p w14:paraId="141664B7">
            <w:pPr>
              <w:spacing w:before="120"/>
              <w:rPr>
                <w:sz w:val="24"/>
                <w:highlight w:val="none"/>
              </w:rPr>
            </w:pPr>
            <w:r>
              <w:rPr>
                <w:rFonts w:hint="eastAsia"/>
                <w:sz w:val="24"/>
                <w:highlight w:val="none"/>
              </w:rPr>
              <w:t>货运导航数据及运营保障服务</w:t>
            </w:r>
          </w:p>
        </w:tc>
        <w:tc>
          <w:tcPr>
            <w:tcW w:w="5563" w:type="dxa"/>
            <w:gridSpan w:val="2"/>
            <w:vAlign w:val="center"/>
          </w:tcPr>
          <w:p w14:paraId="32CAB430">
            <w:pPr>
              <w:rPr>
                <w:sz w:val="24"/>
                <w:highlight w:val="none"/>
              </w:rPr>
            </w:pPr>
            <w:r>
              <w:rPr>
                <w:rFonts w:hint="eastAsia"/>
                <w:sz w:val="24"/>
                <w:highlight w:val="none"/>
              </w:rPr>
              <w:t>按采购人实际需求完成货运导航数据及运营保障服务所要求的内容及数量（不限于采购人电话、微信、钉钉、短信等交办的），服务未达到当月要求的，每发生一次扣10分。</w:t>
            </w:r>
          </w:p>
        </w:tc>
        <w:tc>
          <w:tcPr>
            <w:tcW w:w="928" w:type="dxa"/>
            <w:vAlign w:val="center"/>
          </w:tcPr>
          <w:p w14:paraId="434686EF">
            <w:pPr>
              <w:spacing w:before="120" w:line="360" w:lineRule="auto"/>
              <w:ind w:firstLine="420" w:firstLineChars="200"/>
              <w:outlineLvl w:val="3"/>
              <w:rPr>
                <w:rFonts w:ascii="宋体" w:hAnsi="宋体" w:cs="宋体"/>
                <w:szCs w:val="21"/>
                <w:highlight w:val="none"/>
              </w:rPr>
            </w:pPr>
          </w:p>
        </w:tc>
        <w:tc>
          <w:tcPr>
            <w:tcW w:w="925" w:type="dxa"/>
            <w:vAlign w:val="center"/>
          </w:tcPr>
          <w:p w14:paraId="15391F21">
            <w:pPr>
              <w:spacing w:before="120" w:line="360" w:lineRule="auto"/>
              <w:ind w:firstLine="420" w:firstLineChars="200"/>
              <w:outlineLvl w:val="3"/>
              <w:rPr>
                <w:rFonts w:ascii="宋体" w:hAnsi="宋体" w:cs="宋体"/>
                <w:szCs w:val="21"/>
                <w:highlight w:val="none"/>
              </w:rPr>
            </w:pPr>
          </w:p>
        </w:tc>
      </w:tr>
      <w:tr w14:paraId="5903D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62" w:type="dxa"/>
            <w:vAlign w:val="center"/>
          </w:tcPr>
          <w:p w14:paraId="22F63E94">
            <w:pPr>
              <w:spacing w:before="120"/>
              <w:rPr>
                <w:sz w:val="24"/>
                <w:highlight w:val="none"/>
              </w:rPr>
            </w:pPr>
            <w:r>
              <w:rPr>
                <w:sz w:val="24"/>
                <w:highlight w:val="none"/>
              </w:rPr>
              <w:t>4</w:t>
            </w:r>
          </w:p>
        </w:tc>
        <w:tc>
          <w:tcPr>
            <w:tcW w:w="1401" w:type="dxa"/>
            <w:vAlign w:val="center"/>
          </w:tcPr>
          <w:p w14:paraId="50BFC359">
            <w:pPr>
              <w:spacing w:before="120"/>
              <w:rPr>
                <w:sz w:val="24"/>
                <w:highlight w:val="none"/>
              </w:rPr>
            </w:pPr>
            <w:r>
              <w:rPr>
                <w:rFonts w:hint="eastAsia"/>
                <w:sz w:val="24"/>
                <w:highlight w:val="none"/>
              </w:rPr>
              <w:t>安全防控风险预警服务</w:t>
            </w:r>
          </w:p>
        </w:tc>
        <w:tc>
          <w:tcPr>
            <w:tcW w:w="5563" w:type="dxa"/>
            <w:gridSpan w:val="2"/>
            <w:vAlign w:val="center"/>
          </w:tcPr>
          <w:p w14:paraId="0FAAD6FD">
            <w:pPr>
              <w:rPr>
                <w:sz w:val="24"/>
                <w:highlight w:val="none"/>
              </w:rPr>
            </w:pPr>
            <w:r>
              <w:rPr>
                <w:rFonts w:hint="eastAsia"/>
                <w:sz w:val="24"/>
                <w:highlight w:val="none"/>
              </w:rPr>
              <w:t>按采购人实际需求完成安全防控风险预警服务所要求的内容及数量（不限于采购人电话、微信、钉钉、短信等交办的），服务未达到当月要求的，每发生一次扣10分。</w:t>
            </w:r>
          </w:p>
        </w:tc>
        <w:tc>
          <w:tcPr>
            <w:tcW w:w="928" w:type="dxa"/>
            <w:vAlign w:val="center"/>
          </w:tcPr>
          <w:p w14:paraId="6E94CCE1">
            <w:pPr>
              <w:spacing w:before="120" w:line="360" w:lineRule="auto"/>
              <w:ind w:firstLine="420" w:firstLineChars="200"/>
              <w:outlineLvl w:val="3"/>
              <w:rPr>
                <w:rFonts w:ascii="宋体" w:hAnsi="宋体" w:cs="宋体"/>
                <w:szCs w:val="21"/>
                <w:highlight w:val="none"/>
              </w:rPr>
            </w:pPr>
          </w:p>
        </w:tc>
        <w:tc>
          <w:tcPr>
            <w:tcW w:w="925" w:type="dxa"/>
            <w:vAlign w:val="center"/>
          </w:tcPr>
          <w:p w14:paraId="7C2911E3">
            <w:pPr>
              <w:spacing w:before="120" w:line="360" w:lineRule="auto"/>
              <w:ind w:firstLine="420" w:firstLineChars="200"/>
              <w:outlineLvl w:val="3"/>
              <w:rPr>
                <w:rFonts w:ascii="宋体" w:hAnsi="宋体" w:cs="宋体"/>
                <w:szCs w:val="21"/>
                <w:highlight w:val="none"/>
              </w:rPr>
            </w:pPr>
          </w:p>
        </w:tc>
      </w:tr>
      <w:tr w14:paraId="6D13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62" w:type="dxa"/>
            <w:vAlign w:val="center"/>
          </w:tcPr>
          <w:p w14:paraId="10D2B0EF">
            <w:pPr>
              <w:spacing w:before="120"/>
              <w:rPr>
                <w:sz w:val="24"/>
                <w:highlight w:val="none"/>
              </w:rPr>
            </w:pPr>
            <w:r>
              <w:rPr>
                <w:rFonts w:hint="eastAsia"/>
                <w:sz w:val="24"/>
                <w:highlight w:val="none"/>
              </w:rPr>
              <w:t>5</w:t>
            </w:r>
          </w:p>
        </w:tc>
        <w:tc>
          <w:tcPr>
            <w:tcW w:w="1401" w:type="dxa"/>
            <w:vAlign w:val="center"/>
          </w:tcPr>
          <w:p w14:paraId="09648DF8">
            <w:pPr>
              <w:spacing w:before="120"/>
              <w:rPr>
                <w:sz w:val="24"/>
                <w:highlight w:val="none"/>
              </w:rPr>
            </w:pPr>
            <w:r>
              <w:rPr>
                <w:rFonts w:hint="eastAsia"/>
                <w:sz w:val="24"/>
                <w:highlight w:val="none"/>
              </w:rPr>
              <w:t>租赁设备符合情况</w:t>
            </w:r>
          </w:p>
        </w:tc>
        <w:tc>
          <w:tcPr>
            <w:tcW w:w="5563" w:type="dxa"/>
            <w:gridSpan w:val="2"/>
            <w:vAlign w:val="center"/>
          </w:tcPr>
          <w:p w14:paraId="210FBE56">
            <w:pPr>
              <w:rPr>
                <w:sz w:val="24"/>
                <w:highlight w:val="none"/>
              </w:rPr>
            </w:pPr>
            <w:r>
              <w:rPr>
                <w:rFonts w:hint="eastAsia"/>
                <w:sz w:val="24"/>
                <w:highlight w:val="none"/>
              </w:rPr>
              <w:t>未按照要求提供设备的，每发生一次扣10分。</w:t>
            </w:r>
          </w:p>
        </w:tc>
        <w:tc>
          <w:tcPr>
            <w:tcW w:w="928" w:type="dxa"/>
            <w:vAlign w:val="center"/>
          </w:tcPr>
          <w:p w14:paraId="7200CC8E">
            <w:pPr>
              <w:spacing w:before="120" w:line="360" w:lineRule="auto"/>
              <w:ind w:firstLine="420" w:firstLineChars="200"/>
              <w:outlineLvl w:val="3"/>
              <w:rPr>
                <w:rFonts w:ascii="宋体" w:hAnsi="宋体" w:cs="宋体"/>
                <w:szCs w:val="21"/>
                <w:highlight w:val="none"/>
              </w:rPr>
            </w:pPr>
          </w:p>
        </w:tc>
        <w:tc>
          <w:tcPr>
            <w:tcW w:w="925" w:type="dxa"/>
            <w:vAlign w:val="center"/>
          </w:tcPr>
          <w:p w14:paraId="3351D410">
            <w:pPr>
              <w:spacing w:before="120" w:line="360" w:lineRule="auto"/>
              <w:ind w:firstLine="420" w:firstLineChars="200"/>
              <w:outlineLvl w:val="3"/>
              <w:rPr>
                <w:rFonts w:ascii="宋体" w:hAnsi="宋体" w:cs="宋体"/>
                <w:szCs w:val="21"/>
                <w:highlight w:val="none"/>
              </w:rPr>
            </w:pPr>
          </w:p>
        </w:tc>
      </w:tr>
      <w:tr w14:paraId="640DC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62" w:type="dxa"/>
            <w:vAlign w:val="center"/>
          </w:tcPr>
          <w:p w14:paraId="5C3966EB">
            <w:pPr>
              <w:spacing w:before="120"/>
              <w:rPr>
                <w:sz w:val="24"/>
                <w:highlight w:val="none"/>
              </w:rPr>
            </w:pPr>
            <w:r>
              <w:rPr>
                <w:rFonts w:hint="eastAsia"/>
                <w:sz w:val="24"/>
                <w:highlight w:val="none"/>
              </w:rPr>
              <w:t>6</w:t>
            </w:r>
          </w:p>
        </w:tc>
        <w:tc>
          <w:tcPr>
            <w:tcW w:w="1401" w:type="dxa"/>
            <w:vAlign w:val="center"/>
          </w:tcPr>
          <w:p w14:paraId="53CBF74E">
            <w:pPr>
              <w:spacing w:before="120"/>
              <w:rPr>
                <w:sz w:val="24"/>
                <w:highlight w:val="none"/>
              </w:rPr>
            </w:pPr>
            <w:r>
              <w:rPr>
                <w:rFonts w:hint="eastAsia"/>
                <w:sz w:val="24"/>
                <w:highlight w:val="none"/>
              </w:rPr>
              <w:t>服务响应时间</w:t>
            </w:r>
          </w:p>
        </w:tc>
        <w:tc>
          <w:tcPr>
            <w:tcW w:w="5563" w:type="dxa"/>
            <w:gridSpan w:val="2"/>
            <w:vAlign w:val="center"/>
          </w:tcPr>
          <w:p w14:paraId="7F3FE981">
            <w:pPr>
              <w:rPr>
                <w:sz w:val="24"/>
                <w:highlight w:val="none"/>
              </w:rPr>
            </w:pPr>
            <w:r>
              <w:rPr>
                <w:rFonts w:hint="eastAsia"/>
                <w:sz w:val="24"/>
                <w:highlight w:val="none"/>
              </w:rPr>
              <w:t>提供</w:t>
            </w:r>
            <w:r>
              <w:rPr>
                <w:sz w:val="24"/>
                <w:highlight w:val="none"/>
              </w:rPr>
              <w:t>7*24</w:t>
            </w:r>
            <w:r>
              <w:rPr>
                <w:rFonts w:hint="eastAsia"/>
                <w:sz w:val="24"/>
                <w:highlight w:val="none"/>
              </w:rPr>
              <w:t>小时响应服务。接到采购人通知后应于</w:t>
            </w:r>
            <w:r>
              <w:rPr>
                <w:sz w:val="24"/>
                <w:highlight w:val="none"/>
              </w:rPr>
              <w:t>30</w:t>
            </w:r>
            <w:r>
              <w:rPr>
                <w:rFonts w:hint="eastAsia"/>
                <w:sz w:val="24"/>
                <w:highlight w:val="none"/>
              </w:rPr>
              <w:t>分钟内响应，</w:t>
            </w:r>
            <w:r>
              <w:rPr>
                <w:sz w:val="24"/>
                <w:highlight w:val="none"/>
              </w:rPr>
              <w:t>2</w:t>
            </w:r>
            <w:r>
              <w:rPr>
                <w:rFonts w:hint="eastAsia"/>
                <w:sz w:val="24"/>
                <w:highlight w:val="none"/>
              </w:rPr>
              <w:t>小时内解决问题；如现场驻点人员无法解决需投标人公司提供技术支持的，技术支持人员需</w:t>
            </w:r>
            <w:r>
              <w:rPr>
                <w:sz w:val="24"/>
                <w:highlight w:val="none"/>
              </w:rPr>
              <w:t>3</w:t>
            </w:r>
            <w:r>
              <w:rPr>
                <w:rFonts w:hint="eastAsia"/>
                <w:sz w:val="24"/>
                <w:highlight w:val="none"/>
              </w:rPr>
              <w:t>小时内到达现场，</w:t>
            </w:r>
            <w:r>
              <w:rPr>
                <w:sz w:val="24"/>
                <w:highlight w:val="none"/>
              </w:rPr>
              <w:t>48</w:t>
            </w:r>
            <w:r>
              <w:rPr>
                <w:rFonts w:hint="eastAsia"/>
                <w:sz w:val="24"/>
                <w:highlight w:val="none"/>
              </w:rPr>
              <w:t>小时内解决问题。不满足要求的，每发生一次扣</w:t>
            </w:r>
            <w:r>
              <w:rPr>
                <w:sz w:val="24"/>
                <w:highlight w:val="none"/>
              </w:rPr>
              <w:t>3</w:t>
            </w:r>
            <w:r>
              <w:rPr>
                <w:rFonts w:hint="eastAsia"/>
                <w:sz w:val="24"/>
                <w:highlight w:val="none"/>
              </w:rPr>
              <w:t>分。</w:t>
            </w:r>
          </w:p>
        </w:tc>
        <w:tc>
          <w:tcPr>
            <w:tcW w:w="928" w:type="dxa"/>
            <w:vAlign w:val="center"/>
          </w:tcPr>
          <w:p w14:paraId="6345DD2C">
            <w:pPr>
              <w:spacing w:before="120" w:line="360" w:lineRule="auto"/>
              <w:ind w:firstLine="420" w:firstLineChars="200"/>
              <w:outlineLvl w:val="3"/>
              <w:rPr>
                <w:rFonts w:ascii="宋体" w:hAnsi="宋体" w:cs="宋体"/>
                <w:szCs w:val="21"/>
                <w:highlight w:val="none"/>
              </w:rPr>
            </w:pPr>
          </w:p>
        </w:tc>
        <w:tc>
          <w:tcPr>
            <w:tcW w:w="925" w:type="dxa"/>
            <w:vAlign w:val="center"/>
          </w:tcPr>
          <w:p w14:paraId="05A25F9A">
            <w:pPr>
              <w:spacing w:before="120" w:line="360" w:lineRule="auto"/>
              <w:ind w:firstLine="420" w:firstLineChars="200"/>
              <w:outlineLvl w:val="3"/>
              <w:rPr>
                <w:rFonts w:ascii="宋体" w:hAnsi="宋体" w:cs="宋体"/>
                <w:szCs w:val="21"/>
                <w:highlight w:val="none"/>
              </w:rPr>
            </w:pPr>
          </w:p>
        </w:tc>
      </w:tr>
      <w:tr w14:paraId="7D61A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62" w:type="dxa"/>
            <w:vAlign w:val="center"/>
          </w:tcPr>
          <w:p w14:paraId="14BF20A9">
            <w:pPr>
              <w:spacing w:before="120"/>
              <w:rPr>
                <w:sz w:val="24"/>
                <w:highlight w:val="none"/>
              </w:rPr>
            </w:pPr>
            <w:r>
              <w:rPr>
                <w:rFonts w:hint="eastAsia"/>
                <w:sz w:val="24"/>
                <w:highlight w:val="none"/>
              </w:rPr>
              <w:t>7</w:t>
            </w:r>
          </w:p>
        </w:tc>
        <w:tc>
          <w:tcPr>
            <w:tcW w:w="1401" w:type="dxa"/>
            <w:vMerge w:val="restart"/>
            <w:vAlign w:val="center"/>
          </w:tcPr>
          <w:p w14:paraId="3C5D39A9">
            <w:pPr>
              <w:spacing w:before="120"/>
              <w:rPr>
                <w:sz w:val="24"/>
                <w:highlight w:val="none"/>
              </w:rPr>
            </w:pPr>
            <w:r>
              <w:rPr>
                <w:rFonts w:hint="eastAsia"/>
                <w:sz w:val="24"/>
                <w:highlight w:val="none"/>
              </w:rPr>
              <w:t>人员要求</w:t>
            </w:r>
          </w:p>
        </w:tc>
        <w:tc>
          <w:tcPr>
            <w:tcW w:w="5563" w:type="dxa"/>
            <w:gridSpan w:val="2"/>
            <w:vAlign w:val="center"/>
          </w:tcPr>
          <w:p w14:paraId="653A09B2">
            <w:pPr>
              <w:rPr>
                <w:sz w:val="24"/>
                <w:highlight w:val="none"/>
              </w:rPr>
            </w:pPr>
            <w:r>
              <w:rPr>
                <w:rFonts w:hint="eastAsia"/>
                <w:sz w:val="24"/>
                <w:highlight w:val="none"/>
              </w:rPr>
              <w:t>驻点人员数量不符合采购要求的，每发生一次扣</w:t>
            </w:r>
            <w:r>
              <w:rPr>
                <w:sz w:val="24"/>
                <w:highlight w:val="none"/>
              </w:rPr>
              <w:t>5</w:t>
            </w:r>
            <w:r>
              <w:rPr>
                <w:rFonts w:hint="eastAsia"/>
                <w:sz w:val="24"/>
                <w:highlight w:val="none"/>
              </w:rPr>
              <w:t>分。</w:t>
            </w:r>
          </w:p>
        </w:tc>
        <w:tc>
          <w:tcPr>
            <w:tcW w:w="928" w:type="dxa"/>
            <w:vAlign w:val="center"/>
          </w:tcPr>
          <w:p w14:paraId="27648461">
            <w:pPr>
              <w:spacing w:before="120" w:line="360" w:lineRule="auto"/>
              <w:ind w:firstLine="420" w:firstLineChars="200"/>
              <w:outlineLvl w:val="3"/>
              <w:rPr>
                <w:rFonts w:ascii="宋体" w:hAnsi="宋体" w:cs="宋体"/>
                <w:szCs w:val="21"/>
                <w:highlight w:val="none"/>
              </w:rPr>
            </w:pPr>
          </w:p>
        </w:tc>
        <w:tc>
          <w:tcPr>
            <w:tcW w:w="925" w:type="dxa"/>
            <w:vAlign w:val="center"/>
          </w:tcPr>
          <w:p w14:paraId="40EB2848">
            <w:pPr>
              <w:spacing w:before="120" w:line="360" w:lineRule="auto"/>
              <w:ind w:firstLine="420" w:firstLineChars="200"/>
              <w:outlineLvl w:val="3"/>
              <w:rPr>
                <w:rFonts w:ascii="宋体" w:hAnsi="宋体" w:cs="宋体"/>
                <w:szCs w:val="21"/>
                <w:highlight w:val="none"/>
              </w:rPr>
            </w:pPr>
          </w:p>
        </w:tc>
      </w:tr>
      <w:tr w14:paraId="3608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Align w:val="center"/>
          </w:tcPr>
          <w:p w14:paraId="4AF8E47E">
            <w:pPr>
              <w:spacing w:before="120"/>
              <w:rPr>
                <w:sz w:val="24"/>
                <w:highlight w:val="none"/>
              </w:rPr>
            </w:pPr>
            <w:r>
              <w:rPr>
                <w:rFonts w:hint="eastAsia"/>
                <w:sz w:val="24"/>
                <w:highlight w:val="none"/>
              </w:rPr>
              <w:t>8</w:t>
            </w:r>
          </w:p>
        </w:tc>
        <w:tc>
          <w:tcPr>
            <w:tcW w:w="1401" w:type="dxa"/>
            <w:vMerge w:val="continue"/>
            <w:vAlign w:val="center"/>
          </w:tcPr>
          <w:p w14:paraId="6914EFDC">
            <w:pPr>
              <w:spacing w:before="120"/>
              <w:rPr>
                <w:sz w:val="24"/>
                <w:highlight w:val="none"/>
              </w:rPr>
            </w:pPr>
          </w:p>
        </w:tc>
        <w:tc>
          <w:tcPr>
            <w:tcW w:w="5563" w:type="dxa"/>
            <w:gridSpan w:val="2"/>
            <w:vAlign w:val="center"/>
          </w:tcPr>
          <w:p w14:paraId="0CA98765">
            <w:pPr>
              <w:rPr>
                <w:sz w:val="24"/>
                <w:highlight w:val="none"/>
              </w:rPr>
            </w:pPr>
            <w:r>
              <w:rPr>
                <w:rFonts w:hint="eastAsia"/>
                <w:sz w:val="24"/>
                <w:highlight w:val="none"/>
              </w:rPr>
              <w:t>驻点人员发生变动时未按采购要求提前通知采购人的，每发生一次扣</w:t>
            </w:r>
            <w:r>
              <w:rPr>
                <w:sz w:val="24"/>
                <w:highlight w:val="none"/>
              </w:rPr>
              <w:t>2</w:t>
            </w:r>
            <w:r>
              <w:rPr>
                <w:rFonts w:hint="eastAsia"/>
                <w:sz w:val="24"/>
                <w:highlight w:val="none"/>
              </w:rPr>
              <w:t>分。</w:t>
            </w:r>
          </w:p>
        </w:tc>
        <w:tc>
          <w:tcPr>
            <w:tcW w:w="928" w:type="dxa"/>
            <w:vAlign w:val="center"/>
          </w:tcPr>
          <w:p w14:paraId="06A6C047">
            <w:pPr>
              <w:spacing w:before="120" w:line="360" w:lineRule="auto"/>
              <w:ind w:firstLine="420" w:firstLineChars="200"/>
              <w:outlineLvl w:val="3"/>
              <w:rPr>
                <w:rFonts w:ascii="宋体" w:hAnsi="宋体" w:cs="宋体"/>
                <w:szCs w:val="21"/>
                <w:highlight w:val="none"/>
              </w:rPr>
            </w:pPr>
          </w:p>
        </w:tc>
        <w:tc>
          <w:tcPr>
            <w:tcW w:w="925" w:type="dxa"/>
            <w:vAlign w:val="center"/>
          </w:tcPr>
          <w:p w14:paraId="446E0E28">
            <w:pPr>
              <w:spacing w:before="120" w:line="360" w:lineRule="auto"/>
              <w:ind w:firstLine="420" w:firstLineChars="200"/>
              <w:outlineLvl w:val="3"/>
              <w:rPr>
                <w:rFonts w:ascii="宋体" w:hAnsi="宋体" w:cs="宋体"/>
                <w:szCs w:val="21"/>
                <w:highlight w:val="none"/>
              </w:rPr>
            </w:pPr>
          </w:p>
        </w:tc>
      </w:tr>
      <w:tr w14:paraId="4250B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Align w:val="center"/>
          </w:tcPr>
          <w:p w14:paraId="2D953BE7">
            <w:pPr>
              <w:spacing w:before="120"/>
              <w:rPr>
                <w:sz w:val="24"/>
                <w:highlight w:val="none"/>
              </w:rPr>
            </w:pPr>
            <w:r>
              <w:rPr>
                <w:rFonts w:hint="eastAsia"/>
                <w:sz w:val="24"/>
                <w:highlight w:val="none"/>
              </w:rPr>
              <w:t>9</w:t>
            </w:r>
          </w:p>
        </w:tc>
        <w:tc>
          <w:tcPr>
            <w:tcW w:w="1401" w:type="dxa"/>
            <w:vAlign w:val="center"/>
          </w:tcPr>
          <w:p w14:paraId="3E6180BA">
            <w:pPr>
              <w:spacing w:before="120"/>
              <w:rPr>
                <w:sz w:val="24"/>
                <w:highlight w:val="none"/>
              </w:rPr>
            </w:pPr>
            <w:r>
              <w:rPr>
                <w:rFonts w:hint="eastAsia"/>
                <w:sz w:val="24"/>
                <w:highlight w:val="none"/>
              </w:rPr>
              <w:t>培训要求</w:t>
            </w:r>
          </w:p>
        </w:tc>
        <w:tc>
          <w:tcPr>
            <w:tcW w:w="5563" w:type="dxa"/>
            <w:gridSpan w:val="2"/>
            <w:vAlign w:val="center"/>
          </w:tcPr>
          <w:p w14:paraId="208452A3">
            <w:pPr>
              <w:rPr>
                <w:sz w:val="24"/>
                <w:highlight w:val="none"/>
              </w:rPr>
            </w:pPr>
            <w:r>
              <w:rPr>
                <w:rFonts w:hint="eastAsia"/>
                <w:sz w:val="24"/>
                <w:highlight w:val="none"/>
              </w:rPr>
              <w:t>未按采购人要求进行培训的，每发生一次扣</w:t>
            </w:r>
            <w:r>
              <w:rPr>
                <w:sz w:val="24"/>
                <w:highlight w:val="none"/>
              </w:rPr>
              <w:t>3</w:t>
            </w:r>
            <w:r>
              <w:rPr>
                <w:rFonts w:hint="eastAsia"/>
                <w:sz w:val="24"/>
                <w:highlight w:val="none"/>
              </w:rPr>
              <w:t>分。</w:t>
            </w:r>
          </w:p>
        </w:tc>
        <w:tc>
          <w:tcPr>
            <w:tcW w:w="928" w:type="dxa"/>
            <w:vAlign w:val="center"/>
          </w:tcPr>
          <w:p w14:paraId="1DB8238A">
            <w:pPr>
              <w:spacing w:before="120" w:line="360" w:lineRule="auto"/>
              <w:ind w:firstLine="420" w:firstLineChars="200"/>
              <w:outlineLvl w:val="3"/>
              <w:rPr>
                <w:rFonts w:ascii="宋体" w:hAnsi="宋体" w:cs="宋体"/>
                <w:szCs w:val="21"/>
                <w:highlight w:val="none"/>
              </w:rPr>
            </w:pPr>
          </w:p>
        </w:tc>
        <w:tc>
          <w:tcPr>
            <w:tcW w:w="925" w:type="dxa"/>
            <w:vAlign w:val="center"/>
          </w:tcPr>
          <w:p w14:paraId="33E11583">
            <w:pPr>
              <w:spacing w:before="120" w:line="360" w:lineRule="auto"/>
              <w:ind w:firstLine="420" w:firstLineChars="200"/>
              <w:outlineLvl w:val="3"/>
              <w:rPr>
                <w:rFonts w:ascii="宋体" w:hAnsi="宋体" w:cs="宋体"/>
                <w:szCs w:val="21"/>
                <w:highlight w:val="none"/>
              </w:rPr>
            </w:pPr>
          </w:p>
        </w:tc>
      </w:tr>
      <w:tr w14:paraId="60137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Merge w:val="restart"/>
            <w:vAlign w:val="center"/>
          </w:tcPr>
          <w:p w14:paraId="14E1905A">
            <w:pPr>
              <w:spacing w:before="120"/>
              <w:rPr>
                <w:sz w:val="24"/>
                <w:highlight w:val="none"/>
              </w:rPr>
            </w:pPr>
            <w:r>
              <w:rPr>
                <w:rFonts w:hint="eastAsia"/>
                <w:sz w:val="24"/>
                <w:highlight w:val="none"/>
              </w:rPr>
              <w:t>10</w:t>
            </w:r>
          </w:p>
        </w:tc>
        <w:tc>
          <w:tcPr>
            <w:tcW w:w="1401" w:type="dxa"/>
            <w:vMerge w:val="restart"/>
            <w:vAlign w:val="center"/>
          </w:tcPr>
          <w:p w14:paraId="07D7333C">
            <w:pPr>
              <w:spacing w:before="120"/>
              <w:rPr>
                <w:sz w:val="24"/>
                <w:highlight w:val="none"/>
              </w:rPr>
            </w:pPr>
            <w:r>
              <w:rPr>
                <w:rFonts w:hint="eastAsia"/>
                <w:sz w:val="24"/>
                <w:highlight w:val="none"/>
              </w:rPr>
              <w:t>网络安全及保密</w:t>
            </w:r>
          </w:p>
        </w:tc>
        <w:tc>
          <w:tcPr>
            <w:tcW w:w="5563" w:type="dxa"/>
            <w:gridSpan w:val="2"/>
            <w:vAlign w:val="center"/>
          </w:tcPr>
          <w:p w14:paraId="4F964407">
            <w:pPr>
              <w:rPr>
                <w:sz w:val="24"/>
                <w:highlight w:val="none"/>
              </w:rPr>
            </w:pPr>
            <w:r>
              <w:rPr>
                <w:rFonts w:hint="eastAsia"/>
                <w:sz w:val="24"/>
                <w:highlight w:val="none"/>
              </w:rPr>
              <w:t>未按网络安全履行责任和义务的，每发生一次扣除违约金</w:t>
            </w:r>
            <w:r>
              <w:rPr>
                <w:sz w:val="24"/>
                <w:highlight w:val="none"/>
              </w:rPr>
              <w:t>10000</w:t>
            </w:r>
            <w:r>
              <w:rPr>
                <w:rFonts w:hint="eastAsia"/>
                <w:sz w:val="24"/>
                <w:highlight w:val="none"/>
              </w:rPr>
              <w:t>元。</w:t>
            </w:r>
          </w:p>
        </w:tc>
        <w:tc>
          <w:tcPr>
            <w:tcW w:w="928" w:type="dxa"/>
            <w:vAlign w:val="center"/>
          </w:tcPr>
          <w:p w14:paraId="04B6391C">
            <w:pPr>
              <w:spacing w:before="120" w:line="360" w:lineRule="auto"/>
              <w:ind w:firstLine="420" w:firstLineChars="200"/>
              <w:outlineLvl w:val="3"/>
              <w:rPr>
                <w:rFonts w:ascii="宋体" w:hAnsi="宋体" w:cs="宋体"/>
                <w:szCs w:val="21"/>
                <w:highlight w:val="none"/>
              </w:rPr>
            </w:pPr>
          </w:p>
        </w:tc>
        <w:tc>
          <w:tcPr>
            <w:tcW w:w="925" w:type="dxa"/>
            <w:vAlign w:val="center"/>
          </w:tcPr>
          <w:p w14:paraId="057A756A">
            <w:pPr>
              <w:spacing w:before="120" w:line="360" w:lineRule="auto"/>
              <w:ind w:firstLine="420" w:firstLineChars="200"/>
              <w:outlineLvl w:val="3"/>
              <w:rPr>
                <w:rFonts w:ascii="宋体" w:hAnsi="宋体" w:cs="宋体"/>
                <w:szCs w:val="21"/>
                <w:highlight w:val="none"/>
              </w:rPr>
            </w:pPr>
          </w:p>
        </w:tc>
      </w:tr>
      <w:tr w14:paraId="46BB7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Merge w:val="continue"/>
            <w:vAlign w:val="center"/>
          </w:tcPr>
          <w:p w14:paraId="50E3B417">
            <w:pPr>
              <w:spacing w:before="120"/>
              <w:rPr>
                <w:sz w:val="24"/>
                <w:highlight w:val="none"/>
              </w:rPr>
            </w:pPr>
          </w:p>
        </w:tc>
        <w:tc>
          <w:tcPr>
            <w:tcW w:w="1401" w:type="dxa"/>
            <w:vMerge w:val="continue"/>
            <w:vAlign w:val="center"/>
          </w:tcPr>
          <w:p w14:paraId="36D8FFFD">
            <w:pPr>
              <w:spacing w:before="120"/>
              <w:rPr>
                <w:sz w:val="24"/>
                <w:highlight w:val="none"/>
              </w:rPr>
            </w:pPr>
          </w:p>
        </w:tc>
        <w:tc>
          <w:tcPr>
            <w:tcW w:w="5563" w:type="dxa"/>
            <w:gridSpan w:val="2"/>
            <w:vAlign w:val="center"/>
          </w:tcPr>
          <w:p w14:paraId="593CDD44">
            <w:pPr>
              <w:rPr>
                <w:sz w:val="24"/>
                <w:highlight w:val="none"/>
              </w:rPr>
            </w:pPr>
            <w:r>
              <w:rPr>
                <w:rFonts w:hint="eastAsia"/>
                <w:sz w:val="24"/>
                <w:highlight w:val="none"/>
              </w:rPr>
              <w:t>投标人未按保密管理条款规定执行的，每发现一次处违约金10000元，如发生泄密事件，除赔偿采购人损失外，还应承担全部法律责任。</w:t>
            </w:r>
          </w:p>
        </w:tc>
        <w:tc>
          <w:tcPr>
            <w:tcW w:w="928" w:type="dxa"/>
            <w:vAlign w:val="center"/>
          </w:tcPr>
          <w:p w14:paraId="669CC4AC">
            <w:pPr>
              <w:spacing w:before="120" w:line="360" w:lineRule="auto"/>
              <w:ind w:firstLine="420" w:firstLineChars="200"/>
              <w:outlineLvl w:val="3"/>
              <w:rPr>
                <w:rFonts w:ascii="宋体" w:hAnsi="宋体" w:cs="宋体"/>
                <w:szCs w:val="21"/>
                <w:highlight w:val="none"/>
              </w:rPr>
            </w:pPr>
          </w:p>
        </w:tc>
        <w:tc>
          <w:tcPr>
            <w:tcW w:w="925" w:type="dxa"/>
            <w:vAlign w:val="center"/>
          </w:tcPr>
          <w:p w14:paraId="1273D879">
            <w:pPr>
              <w:spacing w:before="120" w:line="360" w:lineRule="auto"/>
              <w:ind w:firstLine="420" w:firstLineChars="200"/>
              <w:outlineLvl w:val="3"/>
              <w:rPr>
                <w:rFonts w:ascii="宋体" w:hAnsi="宋体" w:cs="宋体"/>
                <w:szCs w:val="21"/>
                <w:highlight w:val="none"/>
              </w:rPr>
            </w:pPr>
          </w:p>
        </w:tc>
      </w:tr>
      <w:tr w14:paraId="7B313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14:paraId="6E5435B2">
            <w:pPr>
              <w:spacing w:before="120"/>
              <w:rPr>
                <w:sz w:val="24"/>
                <w:highlight w:val="none"/>
              </w:rPr>
            </w:pPr>
            <w:r>
              <w:rPr>
                <w:sz w:val="24"/>
                <w:highlight w:val="none"/>
              </w:rPr>
              <w:t>1</w:t>
            </w:r>
            <w:r>
              <w:rPr>
                <w:rFonts w:hint="eastAsia"/>
                <w:sz w:val="24"/>
                <w:highlight w:val="none"/>
              </w:rPr>
              <w:t>1</w:t>
            </w:r>
          </w:p>
        </w:tc>
        <w:tc>
          <w:tcPr>
            <w:tcW w:w="1401" w:type="dxa"/>
            <w:tcBorders>
              <w:top w:val="single" w:color="auto" w:sz="4" w:space="0"/>
              <w:left w:val="single" w:color="auto" w:sz="4" w:space="0"/>
              <w:bottom w:val="single" w:color="auto" w:sz="4" w:space="0"/>
              <w:right w:val="single" w:color="auto" w:sz="4" w:space="0"/>
            </w:tcBorders>
            <w:vAlign w:val="center"/>
          </w:tcPr>
          <w:p w14:paraId="4F5A8DFF">
            <w:pPr>
              <w:spacing w:before="120"/>
              <w:rPr>
                <w:sz w:val="24"/>
                <w:highlight w:val="none"/>
              </w:rPr>
            </w:pPr>
            <w:r>
              <w:rPr>
                <w:rFonts w:hint="eastAsia"/>
                <w:sz w:val="24"/>
                <w:highlight w:val="none"/>
              </w:rPr>
              <w:t>其他</w:t>
            </w:r>
          </w:p>
        </w:tc>
        <w:tc>
          <w:tcPr>
            <w:tcW w:w="5563" w:type="dxa"/>
            <w:gridSpan w:val="2"/>
            <w:tcBorders>
              <w:top w:val="single" w:color="auto" w:sz="4" w:space="0"/>
              <w:left w:val="single" w:color="auto" w:sz="4" w:space="0"/>
              <w:bottom w:val="single" w:color="auto" w:sz="4" w:space="0"/>
              <w:right w:val="single" w:color="auto" w:sz="4" w:space="0"/>
            </w:tcBorders>
            <w:vAlign w:val="center"/>
          </w:tcPr>
          <w:p w14:paraId="0F9539E7">
            <w:pPr>
              <w:rPr>
                <w:sz w:val="24"/>
                <w:highlight w:val="none"/>
              </w:rPr>
            </w:pPr>
            <w:r>
              <w:rPr>
                <w:rFonts w:hint="eastAsia"/>
                <w:sz w:val="24"/>
                <w:highlight w:val="none"/>
              </w:rPr>
              <w:t>其他服务未满足采购人要求的，每发生一次扣</w:t>
            </w:r>
            <w:r>
              <w:rPr>
                <w:sz w:val="24"/>
                <w:highlight w:val="none"/>
              </w:rPr>
              <w:t>1</w:t>
            </w:r>
            <w:r>
              <w:rPr>
                <w:rFonts w:hint="eastAsia"/>
                <w:sz w:val="24"/>
                <w:highlight w:val="none"/>
              </w:rPr>
              <w:t>分。</w:t>
            </w:r>
          </w:p>
        </w:tc>
        <w:tc>
          <w:tcPr>
            <w:tcW w:w="928" w:type="dxa"/>
            <w:tcBorders>
              <w:top w:val="single" w:color="auto" w:sz="4" w:space="0"/>
              <w:left w:val="single" w:color="auto" w:sz="4" w:space="0"/>
              <w:bottom w:val="single" w:color="auto" w:sz="4" w:space="0"/>
              <w:right w:val="single" w:color="auto" w:sz="4" w:space="0"/>
            </w:tcBorders>
            <w:vAlign w:val="center"/>
          </w:tcPr>
          <w:p w14:paraId="348AC8A9">
            <w:pPr>
              <w:spacing w:before="120" w:line="360" w:lineRule="auto"/>
              <w:ind w:firstLine="420" w:firstLineChars="200"/>
              <w:outlineLvl w:val="3"/>
              <w:rPr>
                <w:rFonts w:ascii="宋体" w:hAnsi="宋体" w:cs="宋体"/>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5A63591B">
            <w:pPr>
              <w:spacing w:before="120" w:line="360" w:lineRule="auto"/>
              <w:ind w:firstLine="420" w:firstLineChars="200"/>
              <w:outlineLvl w:val="3"/>
              <w:rPr>
                <w:rFonts w:ascii="宋体" w:hAnsi="宋体" w:cs="宋体"/>
                <w:szCs w:val="21"/>
                <w:highlight w:val="none"/>
              </w:rPr>
            </w:pPr>
          </w:p>
        </w:tc>
      </w:tr>
      <w:tr w14:paraId="157B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626" w:type="dxa"/>
            <w:gridSpan w:val="4"/>
            <w:vAlign w:val="center"/>
          </w:tcPr>
          <w:p w14:paraId="61AACAE9">
            <w:pPr>
              <w:spacing w:before="120"/>
              <w:rPr>
                <w:sz w:val="24"/>
                <w:highlight w:val="none"/>
              </w:rPr>
            </w:pPr>
            <w:r>
              <w:rPr>
                <w:rFonts w:hint="eastAsia"/>
                <w:sz w:val="24"/>
                <w:highlight w:val="none"/>
              </w:rPr>
              <w:t>小计</w:t>
            </w:r>
          </w:p>
        </w:tc>
        <w:tc>
          <w:tcPr>
            <w:tcW w:w="928" w:type="dxa"/>
            <w:vAlign w:val="center"/>
          </w:tcPr>
          <w:p w14:paraId="37BD699E">
            <w:pPr>
              <w:spacing w:before="120" w:line="360" w:lineRule="auto"/>
              <w:ind w:firstLine="420" w:firstLineChars="200"/>
              <w:outlineLvl w:val="3"/>
              <w:rPr>
                <w:rFonts w:ascii="宋体" w:hAnsi="宋体" w:cs="宋体"/>
                <w:szCs w:val="21"/>
                <w:highlight w:val="none"/>
              </w:rPr>
            </w:pPr>
          </w:p>
        </w:tc>
        <w:tc>
          <w:tcPr>
            <w:tcW w:w="925" w:type="dxa"/>
            <w:vAlign w:val="center"/>
          </w:tcPr>
          <w:p w14:paraId="10EA5194">
            <w:pPr>
              <w:spacing w:before="120" w:line="360" w:lineRule="auto"/>
              <w:ind w:firstLine="420" w:firstLineChars="200"/>
              <w:outlineLvl w:val="3"/>
              <w:rPr>
                <w:rFonts w:ascii="宋体" w:hAnsi="宋体" w:cs="宋体"/>
                <w:szCs w:val="21"/>
                <w:highlight w:val="none"/>
              </w:rPr>
            </w:pPr>
          </w:p>
        </w:tc>
      </w:tr>
      <w:tr w14:paraId="34CC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9" w:type="dxa"/>
            <w:gridSpan w:val="6"/>
            <w:vAlign w:val="center"/>
          </w:tcPr>
          <w:p w14:paraId="3749FB42">
            <w:pPr>
              <w:rPr>
                <w:sz w:val="24"/>
                <w:highlight w:val="none"/>
              </w:rPr>
            </w:pPr>
            <w:r>
              <w:rPr>
                <w:rFonts w:hint="eastAsia"/>
                <w:sz w:val="24"/>
                <w:highlight w:val="none"/>
              </w:rPr>
              <w:t>采购人项目经办人（签字）：监理人签字（盖章）：</w:t>
            </w:r>
          </w:p>
          <w:p w14:paraId="5769A135">
            <w:pPr>
              <w:rPr>
                <w:sz w:val="24"/>
                <w:highlight w:val="none"/>
              </w:rPr>
            </w:pPr>
            <w:r>
              <w:rPr>
                <w:rFonts w:hint="eastAsia"/>
                <w:sz w:val="24"/>
                <w:highlight w:val="none"/>
              </w:rPr>
              <w:t>采购人项目审核人（签字、盖章）：投标人项目负责人（签字、盖章）：</w:t>
            </w:r>
          </w:p>
          <w:p w14:paraId="1E1F4EE5">
            <w:pPr>
              <w:spacing w:before="120"/>
              <w:rPr>
                <w:sz w:val="24"/>
                <w:highlight w:val="none"/>
              </w:rPr>
            </w:pPr>
            <w:r>
              <w:rPr>
                <w:rFonts w:hint="eastAsia"/>
                <w:sz w:val="24"/>
                <w:highlight w:val="none"/>
              </w:rPr>
              <w:t>日期：日期：</w:t>
            </w:r>
          </w:p>
        </w:tc>
      </w:tr>
    </w:tbl>
    <w:p w14:paraId="26C34F5C">
      <w:pPr>
        <w:spacing w:line="360" w:lineRule="auto"/>
        <w:jc w:val="center"/>
        <w:outlineLvl w:val="0"/>
        <w:rPr>
          <w:rFonts w:ascii="宋体" w:hAnsi="宋体" w:cs="宋体"/>
          <w:b/>
          <w:sz w:val="36"/>
          <w:szCs w:val="36"/>
          <w:highlight w:val="none"/>
        </w:rPr>
      </w:pPr>
      <w:r>
        <w:rPr>
          <w:rFonts w:hint="eastAsia" w:ascii="宋体" w:hAnsi="宋体" w:cs="宋体"/>
          <w:b/>
          <w:sz w:val="24"/>
          <w:highlight w:val="none"/>
        </w:rPr>
        <w:br w:type="page"/>
      </w:r>
      <w:r>
        <w:rPr>
          <w:rFonts w:hint="eastAsia" w:ascii="宋体" w:hAnsi="宋体" w:cs="宋体"/>
          <w:b/>
          <w:sz w:val="36"/>
          <w:szCs w:val="36"/>
          <w:highlight w:val="none"/>
        </w:rPr>
        <w:t xml:space="preserve">第四部分   </w:t>
      </w:r>
      <w:bookmarkStart w:id="48" w:name="_Toc184313239"/>
      <w:bookmarkEnd w:id="48"/>
      <w:bookmarkStart w:id="49" w:name="_Toc184308101"/>
      <w:bookmarkEnd w:id="49"/>
      <w:bookmarkStart w:id="50" w:name="_Toc184313283"/>
      <w:bookmarkEnd w:id="50"/>
      <w:bookmarkStart w:id="51" w:name="_Toc184308074"/>
      <w:bookmarkEnd w:id="51"/>
      <w:bookmarkStart w:id="52" w:name="_Toc184308070"/>
      <w:bookmarkEnd w:id="52"/>
      <w:bookmarkStart w:id="53" w:name="_Toc184312079"/>
      <w:bookmarkEnd w:id="53"/>
      <w:bookmarkStart w:id="54" w:name="_Toc184314424"/>
      <w:bookmarkEnd w:id="54"/>
      <w:bookmarkStart w:id="55" w:name="_Toc184312138"/>
      <w:bookmarkEnd w:id="55"/>
      <w:bookmarkStart w:id="56" w:name="_Toc184312122"/>
      <w:bookmarkEnd w:id="56"/>
      <w:bookmarkStart w:id="57" w:name="_Toc184310334"/>
      <w:bookmarkEnd w:id="57"/>
      <w:bookmarkStart w:id="58" w:name="_Toc184314427"/>
      <w:bookmarkEnd w:id="58"/>
      <w:bookmarkStart w:id="59" w:name="_Toc184314437"/>
      <w:bookmarkEnd w:id="59"/>
      <w:bookmarkStart w:id="60" w:name="_Toc184312111"/>
      <w:bookmarkEnd w:id="60"/>
      <w:bookmarkStart w:id="61" w:name="_Toc184310285"/>
      <w:bookmarkEnd w:id="61"/>
      <w:bookmarkStart w:id="62" w:name="_Toc184310280"/>
      <w:bookmarkEnd w:id="62"/>
      <w:bookmarkStart w:id="63" w:name="_Toc184312096"/>
      <w:bookmarkEnd w:id="63"/>
      <w:bookmarkStart w:id="64" w:name="_Toc184314468"/>
      <w:bookmarkEnd w:id="64"/>
      <w:bookmarkStart w:id="65" w:name="_Toc184310288"/>
      <w:bookmarkEnd w:id="65"/>
      <w:bookmarkStart w:id="66" w:name="_Toc184313240"/>
      <w:bookmarkEnd w:id="66"/>
      <w:bookmarkStart w:id="67" w:name="_Toc184313259"/>
      <w:bookmarkEnd w:id="67"/>
      <w:bookmarkStart w:id="68" w:name="_Toc184314413"/>
      <w:bookmarkEnd w:id="68"/>
      <w:bookmarkStart w:id="69" w:name="_Toc184310331"/>
      <w:bookmarkEnd w:id="69"/>
      <w:bookmarkStart w:id="70" w:name="_Toc184310309"/>
      <w:bookmarkEnd w:id="70"/>
      <w:bookmarkStart w:id="71" w:name="_Toc184308056"/>
      <w:bookmarkEnd w:id="71"/>
      <w:bookmarkStart w:id="72" w:name="_Toc184314450"/>
      <w:bookmarkEnd w:id="72"/>
      <w:bookmarkStart w:id="73" w:name="_Toc184308106"/>
      <w:bookmarkEnd w:id="73"/>
      <w:bookmarkStart w:id="74" w:name="_Toc184310275"/>
      <w:bookmarkEnd w:id="74"/>
      <w:bookmarkStart w:id="75" w:name="_Toc184314415"/>
      <w:bookmarkEnd w:id="75"/>
      <w:bookmarkStart w:id="76" w:name="_Toc184313247"/>
      <w:bookmarkEnd w:id="76"/>
      <w:bookmarkStart w:id="77" w:name="_Toc184314464"/>
      <w:bookmarkEnd w:id="77"/>
      <w:bookmarkStart w:id="78" w:name="_Toc184314479"/>
      <w:bookmarkEnd w:id="78"/>
      <w:bookmarkStart w:id="79" w:name="_Toc184308107"/>
      <w:bookmarkEnd w:id="79"/>
      <w:bookmarkStart w:id="80" w:name="_Toc184310338"/>
      <w:bookmarkEnd w:id="80"/>
      <w:bookmarkStart w:id="81" w:name="_Toc184308108"/>
      <w:bookmarkEnd w:id="81"/>
      <w:bookmarkStart w:id="82" w:name="_Toc184308076"/>
      <w:bookmarkEnd w:id="82"/>
      <w:bookmarkStart w:id="83" w:name="_Toc184314471"/>
      <w:bookmarkEnd w:id="83"/>
      <w:bookmarkStart w:id="84" w:name="_Toc184310340"/>
      <w:bookmarkEnd w:id="84"/>
      <w:bookmarkStart w:id="85" w:name="_Toc184310307"/>
      <w:bookmarkEnd w:id="85"/>
      <w:bookmarkStart w:id="86" w:name="_Toc184310324"/>
      <w:bookmarkEnd w:id="86"/>
      <w:bookmarkStart w:id="87" w:name="_Toc184310332"/>
      <w:bookmarkEnd w:id="87"/>
      <w:bookmarkStart w:id="88" w:name="_Toc184308092"/>
      <w:bookmarkEnd w:id="88"/>
      <w:bookmarkStart w:id="89" w:name="_Toc184308038"/>
      <w:bookmarkEnd w:id="89"/>
      <w:bookmarkStart w:id="90" w:name="_Toc184312134"/>
      <w:bookmarkEnd w:id="90"/>
      <w:bookmarkStart w:id="91" w:name="_Toc184308052"/>
      <w:bookmarkEnd w:id="91"/>
      <w:bookmarkStart w:id="92" w:name="_Toc184314461"/>
      <w:bookmarkEnd w:id="92"/>
      <w:bookmarkStart w:id="93" w:name="_Toc184308065"/>
      <w:bookmarkEnd w:id="93"/>
      <w:bookmarkStart w:id="94" w:name="_Toc184310306"/>
      <w:bookmarkEnd w:id="94"/>
      <w:bookmarkStart w:id="95" w:name="_Toc184310325"/>
      <w:bookmarkEnd w:id="95"/>
      <w:bookmarkStart w:id="96" w:name="_Toc184310294"/>
      <w:bookmarkEnd w:id="96"/>
      <w:bookmarkStart w:id="97" w:name="_Toc184314435"/>
      <w:bookmarkEnd w:id="97"/>
      <w:bookmarkStart w:id="98" w:name="_Toc184313295"/>
      <w:bookmarkEnd w:id="98"/>
      <w:bookmarkStart w:id="99" w:name="_Toc184310312"/>
      <w:bookmarkEnd w:id="99"/>
      <w:bookmarkStart w:id="100" w:name="_Toc184312088"/>
      <w:bookmarkEnd w:id="100"/>
      <w:bookmarkStart w:id="101" w:name="_Toc184310308"/>
      <w:bookmarkEnd w:id="101"/>
      <w:bookmarkStart w:id="102" w:name="_Toc184308079"/>
      <w:bookmarkEnd w:id="102"/>
      <w:bookmarkStart w:id="103" w:name="_Toc184310341"/>
      <w:bookmarkEnd w:id="103"/>
      <w:bookmarkStart w:id="104" w:name="_Toc184310321"/>
      <w:bookmarkEnd w:id="104"/>
      <w:bookmarkStart w:id="105" w:name="_Toc184312119"/>
      <w:bookmarkEnd w:id="105"/>
      <w:bookmarkStart w:id="106" w:name="_Toc184313308"/>
      <w:bookmarkEnd w:id="106"/>
      <w:bookmarkStart w:id="107" w:name="_Toc184310284"/>
      <w:bookmarkEnd w:id="107"/>
      <w:bookmarkStart w:id="108" w:name="_Toc184312112"/>
      <w:bookmarkEnd w:id="108"/>
      <w:bookmarkStart w:id="109" w:name="_Toc184308044"/>
      <w:bookmarkEnd w:id="109"/>
      <w:bookmarkStart w:id="110" w:name="_Toc184312110"/>
      <w:bookmarkEnd w:id="110"/>
      <w:bookmarkStart w:id="111" w:name="_Toc184313291"/>
      <w:bookmarkEnd w:id="111"/>
      <w:bookmarkStart w:id="112" w:name="_Toc184310274"/>
      <w:bookmarkEnd w:id="112"/>
      <w:bookmarkStart w:id="113" w:name="_Toc184313290"/>
      <w:bookmarkEnd w:id="113"/>
      <w:bookmarkStart w:id="114" w:name="_Toc184308071"/>
      <w:bookmarkEnd w:id="114"/>
      <w:bookmarkStart w:id="115" w:name="_Toc184312124"/>
      <w:bookmarkEnd w:id="115"/>
      <w:bookmarkStart w:id="116" w:name="_Toc184313261"/>
      <w:bookmarkEnd w:id="116"/>
      <w:bookmarkStart w:id="117" w:name="_Toc184312136"/>
      <w:bookmarkEnd w:id="117"/>
      <w:bookmarkStart w:id="118" w:name="_Toc184310330"/>
      <w:bookmarkEnd w:id="118"/>
      <w:bookmarkStart w:id="119" w:name="_Toc184313288"/>
      <w:bookmarkEnd w:id="119"/>
      <w:bookmarkStart w:id="120" w:name="_Toc184310295"/>
      <w:bookmarkEnd w:id="120"/>
      <w:bookmarkStart w:id="121" w:name="_Toc184313281"/>
      <w:bookmarkEnd w:id="121"/>
      <w:bookmarkStart w:id="122" w:name="_Toc184314467"/>
      <w:bookmarkEnd w:id="122"/>
      <w:bookmarkStart w:id="123" w:name="_Toc184310323"/>
      <w:bookmarkEnd w:id="123"/>
      <w:bookmarkStart w:id="124" w:name="_Toc184310299"/>
      <w:bookmarkEnd w:id="124"/>
      <w:bookmarkStart w:id="125" w:name="_Toc184308089"/>
      <w:bookmarkEnd w:id="125"/>
      <w:bookmarkStart w:id="126" w:name="_Toc184308088"/>
      <w:bookmarkEnd w:id="126"/>
      <w:bookmarkStart w:id="127" w:name="_Toc184312114"/>
      <w:bookmarkEnd w:id="127"/>
      <w:bookmarkStart w:id="128" w:name="_Toc184312085"/>
      <w:bookmarkEnd w:id="128"/>
      <w:bookmarkStart w:id="129" w:name="_Toc184310311"/>
      <w:bookmarkEnd w:id="129"/>
      <w:bookmarkStart w:id="130" w:name="_Toc184312073"/>
      <w:bookmarkEnd w:id="130"/>
      <w:bookmarkStart w:id="131" w:name="_Toc184312128"/>
      <w:bookmarkEnd w:id="131"/>
      <w:bookmarkStart w:id="132" w:name="_Toc184314428"/>
      <w:bookmarkEnd w:id="132"/>
      <w:bookmarkStart w:id="133" w:name="_Toc184313263"/>
      <w:bookmarkEnd w:id="133"/>
      <w:bookmarkStart w:id="134" w:name="_Toc184308104"/>
      <w:bookmarkEnd w:id="134"/>
      <w:bookmarkStart w:id="135" w:name="_Toc184308055"/>
      <w:bookmarkEnd w:id="135"/>
      <w:bookmarkStart w:id="136" w:name="_Toc184313248"/>
      <w:bookmarkEnd w:id="136"/>
      <w:bookmarkStart w:id="137" w:name="_Toc184308039"/>
      <w:bookmarkEnd w:id="137"/>
      <w:bookmarkStart w:id="138" w:name="_Toc184312107"/>
      <w:bookmarkEnd w:id="138"/>
      <w:bookmarkStart w:id="139" w:name="_Toc184313289"/>
      <w:bookmarkEnd w:id="139"/>
      <w:bookmarkStart w:id="140" w:name="_Toc184313271"/>
      <w:bookmarkEnd w:id="140"/>
      <w:bookmarkStart w:id="141" w:name="_Toc184312097"/>
      <w:bookmarkEnd w:id="141"/>
      <w:bookmarkStart w:id="142" w:name="_Toc184308094"/>
      <w:bookmarkEnd w:id="142"/>
      <w:bookmarkStart w:id="143" w:name="_Toc184312083"/>
      <w:bookmarkEnd w:id="143"/>
      <w:bookmarkStart w:id="144" w:name="_Toc184312117"/>
      <w:bookmarkEnd w:id="144"/>
      <w:bookmarkStart w:id="145" w:name="_Toc184310344"/>
      <w:bookmarkEnd w:id="145"/>
      <w:bookmarkStart w:id="146" w:name="_Toc184314477"/>
      <w:bookmarkEnd w:id="146"/>
      <w:bookmarkStart w:id="147" w:name="_Toc184312072"/>
      <w:bookmarkEnd w:id="147"/>
      <w:bookmarkStart w:id="148" w:name="_Toc184313280"/>
      <w:bookmarkEnd w:id="148"/>
      <w:bookmarkStart w:id="149" w:name="_Toc184310317"/>
      <w:bookmarkEnd w:id="149"/>
      <w:bookmarkStart w:id="150" w:name="_Toc184314416"/>
      <w:bookmarkEnd w:id="150"/>
      <w:bookmarkStart w:id="151" w:name="_Toc184308097"/>
      <w:bookmarkEnd w:id="151"/>
      <w:bookmarkStart w:id="152" w:name="_Toc184308062"/>
      <w:bookmarkEnd w:id="152"/>
      <w:bookmarkStart w:id="153" w:name="_Toc184312127"/>
      <w:bookmarkEnd w:id="153"/>
      <w:bookmarkStart w:id="154" w:name="_Toc184314480"/>
      <w:bookmarkEnd w:id="154"/>
      <w:bookmarkStart w:id="155" w:name="_Toc184310335"/>
      <w:bookmarkEnd w:id="155"/>
      <w:bookmarkStart w:id="156" w:name="_Toc184312074"/>
      <w:bookmarkEnd w:id="156"/>
      <w:bookmarkStart w:id="157" w:name="_Toc184308036"/>
      <w:bookmarkEnd w:id="157"/>
      <w:bookmarkStart w:id="158" w:name="_Toc184312130"/>
      <w:bookmarkEnd w:id="158"/>
      <w:bookmarkStart w:id="159" w:name="_Toc184312092"/>
      <w:bookmarkEnd w:id="159"/>
      <w:bookmarkStart w:id="160" w:name="_Toc184310283"/>
      <w:bookmarkEnd w:id="160"/>
      <w:bookmarkStart w:id="161" w:name="_Toc184312101"/>
      <w:bookmarkEnd w:id="161"/>
      <w:bookmarkStart w:id="162" w:name="_Toc184310277"/>
      <w:bookmarkEnd w:id="162"/>
      <w:bookmarkStart w:id="163" w:name="_Toc184313244"/>
      <w:bookmarkEnd w:id="163"/>
      <w:bookmarkStart w:id="164" w:name="_Toc184314476"/>
      <w:bookmarkEnd w:id="164"/>
      <w:bookmarkStart w:id="165" w:name="_Toc184310272"/>
      <w:bookmarkEnd w:id="165"/>
      <w:bookmarkStart w:id="166" w:name="_Toc184312118"/>
      <w:bookmarkEnd w:id="166"/>
      <w:bookmarkStart w:id="167" w:name="_Toc184313256"/>
      <w:bookmarkEnd w:id="167"/>
      <w:bookmarkStart w:id="168" w:name="_Toc184308086"/>
      <w:bookmarkEnd w:id="168"/>
      <w:bookmarkStart w:id="169" w:name="_Toc184313296"/>
      <w:bookmarkEnd w:id="169"/>
      <w:bookmarkStart w:id="170" w:name="_Toc184308048"/>
      <w:bookmarkEnd w:id="170"/>
      <w:bookmarkStart w:id="171" w:name="_Toc184308073"/>
      <w:bookmarkEnd w:id="171"/>
      <w:bookmarkStart w:id="172" w:name="_Toc184314442"/>
      <w:bookmarkEnd w:id="172"/>
      <w:bookmarkStart w:id="173" w:name="_Toc184310333"/>
      <w:bookmarkEnd w:id="173"/>
      <w:bookmarkStart w:id="174" w:name="_Toc184310292"/>
      <w:bookmarkEnd w:id="174"/>
      <w:bookmarkStart w:id="175" w:name="_Toc184313252"/>
      <w:bookmarkEnd w:id="175"/>
      <w:bookmarkStart w:id="176" w:name="_Toc184313273"/>
      <w:bookmarkEnd w:id="176"/>
      <w:bookmarkStart w:id="177" w:name="_Toc184314425"/>
      <w:bookmarkEnd w:id="177"/>
      <w:bookmarkStart w:id="178" w:name="_Toc184313238"/>
      <w:bookmarkEnd w:id="178"/>
      <w:bookmarkStart w:id="179" w:name="_Toc184314458"/>
      <w:bookmarkEnd w:id="179"/>
      <w:bookmarkStart w:id="180" w:name="_Toc184308069"/>
      <w:bookmarkEnd w:id="180"/>
      <w:bookmarkStart w:id="181" w:name="_Toc184310305"/>
      <w:bookmarkEnd w:id="181"/>
      <w:bookmarkStart w:id="182" w:name="_Toc184308093"/>
      <w:bookmarkEnd w:id="182"/>
      <w:bookmarkStart w:id="183" w:name="_Toc184308078"/>
      <w:bookmarkEnd w:id="183"/>
      <w:bookmarkStart w:id="184" w:name="_Toc184314463"/>
      <w:bookmarkEnd w:id="184"/>
      <w:bookmarkStart w:id="185" w:name="_Toc184314460"/>
      <w:bookmarkEnd w:id="185"/>
      <w:bookmarkStart w:id="186" w:name="_Toc184312106"/>
      <w:bookmarkEnd w:id="186"/>
      <w:bookmarkStart w:id="187" w:name="_Toc184314457"/>
      <w:bookmarkEnd w:id="187"/>
      <w:bookmarkStart w:id="188" w:name="_Toc184310287"/>
      <w:bookmarkEnd w:id="188"/>
      <w:bookmarkStart w:id="189" w:name="_Toc184314482"/>
      <w:bookmarkEnd w:id="189"/>
      <w:bookmarkStart w:id="190" w:name="_Toc184313251"/>
      <w:bookmarkEnd w:id="190"/>
      <w:bookmarkStart w:id="191" w:name="_Toc184310302"/>
      <w:bookmarkEnd w:id="191"/>
      <w:bookmarkStart w:id="192" w:name="_Toc184308085"/>
      <w:bookmarkEnd w:id="192"/>
      <w:bookmarkStart w:id="193" w:name="_Toc184314430"/>
      <w:bookmarkEnd w:id="193"/>
      <w:bookmarkStart w:id="194" w:name="_Toc184308077"/>
      <w:bookmarkEnd w:id="194"/>
      <w:bookmarkStart w:id="195" w:name="_Toc184312069"/>
      <w:bookmarkEnd w:id="195"/>
      <w:bookmarkStart w:id="196" w:name="_Toc184310319"/>
      <w:bookmarkEnd w:id="196"/>
      <w:bookmarkStart w:id="197" w:name="_Toc184308105"/>
      <w:bookmarkEnd w:id="197"/>
      <w:bookmarkStart w:id="198" w:name="_Toc184313260"/>
      <w:bookmarkEnd w:id="198"/>
      <w:bookmarkStart w:id="199" w:name="_Toc184308082"/>
      <w:bookmarkEnd w:id="199"/>
      <w:bookmarkStart w:id="200" w:name="_Toc184312076"/>
      <w:bookmarkEnd w:id="200"/>
      <w:bookmarkStart w:id="201" w:name="_Toc184312086"/>
      <w:bookmarkEnd w:id="201"/>
      <w:bookmarkStart w:id="202" w:name="_Toc184313264"/>
      <w:bookmarkEnd w:id="202"/>
      <w:bookmarkStart w:id="203" w:name="_Toc184312091"/>
      <w:bookmarkEnd w:id="203"/>
      <w:bookmarkStart w:id="204" w:name="_Toc184308063"/>
      <w:bookmarkEnd w:id="204"/>
      <w:bookmarkStart w:id="205" w:name="_Toc184314443"/>
      <w:bookmarkEnd w:id="205"/>
      <w:bookmarkStart w:id="206" w:name="_Toc184310326"/>
      <w:bookmarkEnd w:id="206"/>
      <w:bookmarkStart w:id="207" w:name="_Toc184313302"/>
      <w:bookmarkEnd w:id="207"/>
      <w:bookmarkStart w:id="208" w:name="_Toc184313300"/>
      <w:bookmarkEnd w:id="208"/>
      <w:bookmarkStart w:id="209" w:name="_Toc184312090"/>
      <w:bookmarkEnd w:id="209"/>
      <w:bookmarkStart w:id="210" w:name="_Toc184308053"/>
      <w:bookmarkEnd w:id="210"/>
      <w:bookmarkStart w:id="211" w:name="_Toc184312131"/>
      <w:bookmarkEnd w:id="211"/>
      <w:bookmarkStart w:id="212" w:name="_Toc184308061"/>
      <w:bookmarkEnd w:id="212"/>
      <w:bookmarkStart w:id="213" w:name="_Toc184313241"/>
      <w:bookmarkEnd w:id="213"/>
      <w:bookmarkStart w:id="214" w:name="_Toc184313282"/>
      <w:bookmarkEnd w:id="214"/>
      <w:bookmarkStart w:id="215" w:name="_Toc184313278"/>
      <w:bookmarkEnd w:id="215"/>
      <w:bookmarkStart w:id="216" w:name="_Toc184313245"/>
      <w:bookmarkEnd w:id="216"/>
      <w:bookmarkStart w:id="217" w:name="_Toc184314417"/>
      <w:bookmarkEnd w:id="217"/>
      <w:bookmarkStart w:id="218" w:name="_Toc184314456"/>
      <w:bookmarkEnd w:id="218"/>
      <w:bookmarkStart w:id="219" w:name="_Toc184312125"/>
      <w:bookmarkEnd w:id="219"/>
      <w:bookmarkStart w:id="220" w:name="_Toc184308059"/>
      <w:bookmarkEnd w:id="220"/>
      <w:bookmarkStart w:id="221" w:name="_Toc184308050"/>
      <w:bookmarkEnd w:id="221"/>
      <w:bookmarkStart w:id="222" w:name="_Toc184310286"/>
      <w:bookmarkEnd w:id="222"/>
      <w:bookmarkStart w:id="223" w:name="_Toc184310316"/>
      <w:bookmarkEnd w:id="223"/>
      <w:bookmarkStart w:id="224" w:name="_Toc184312078"/>
      <w:bookmarkEnd w:id="224"/>
      <w:bookmarkStart w:id="225" w:name="_Toc184312084"/>
      <w:bookmarkEnd w:id="225"/>
      <w:bookmarkStart w:id="226" w:name="_Toc184314459"/>
      <w:bookmarkEnd w:id="226"/>
      <w:bookmarkStart w:id="227" w:name="_Toc184312094"/>
      <w:bookmarkEnd w:id="227"/>
      <w:bookmarkStart w:id="228" w:name="_Toc184313268"/>
      <w:bookmarkEnd w:id="228"/>
      <w:bookmarkStart w:id="229" w:name="_Toc184308072"/>
      <w:bookmarkEnd w:id="229"/>
      <w:bookmarkStart w:id="230" w:name="_Toc184314475"/>
      <w:bookmarkEnd w:id="230"/>
      <w:bookmarkStart w:id="231" w:name="_Toc184310327"/>
      <w:bookmarkEnd w:id="231"/>
      <w:bookmarkStart w:id="232" w:name="_Toc184308064"/>
      <w:bookmarkEnd w:id="232"/>
      <w:bookmarkStart w:id="233" w:name="_Toc184312121"/>
      <w:bookmarkEnd w:id="233"/>
      <w:bookmarkStart w:id="234" w:name="_Toc184314423"/>
      <w:bookmarkEnd w:id="234"/>
      <w:bookmarkStart w:id="235" w:name="_Toc184308043"/>
      <w:bookmarkEnd w:id="235"/>
      <w:bookmarkStart w:id="236" w:name="_Toc184313297"/>
      <w:bookmarkEnd w:id="236"/>
      <w:bookmarkStart w:id="237" w:name="_Toc184313255"/>
      <w:bookmarkEnd w:id="237"/>
      <w:bookmarkStart w:id="238" w:name="_Toc184314470"/>
      <w:bookmarkEnd w:id="238"/>
      <w:bookmarkStart w:id="239" w:name="_Toc184310314"/>
      <w:bookmarkEnd w:id="239"/>
      <w:bookmarkStart w:id="240" w:name="_Toc184313269"/>
      <w:bookmarkEnd w:id="240"/>
      <w:bookmarkStart w:id="241" w:name="_Toc184312070"/>
      <w:bookmarkEnd w:id="241"/>
      <w:bookmarkStart w:id="242" w:name="_Toc184312115"/>
      <w:bookmarkEnd w:id="242"/>
      <w:bookmarkStart w:id="243" w:name="_Toc184312071"/>
      <w:bookmarkEnd w:id="243"/>
      <w:bookmarkStart w:id="244" w:name="_Toc184308037"/>
      <w:bookmarkEnd w:id="244"/>
      <w:bookmarkStart w:id="245" w:name="_Toc184310290"/>
      <w:bookmarkEnd w:id="245"/>
      <w:bookmarkStart w:id="246" w:name="_Toc184308098"/>
      <w:bookmarkEnd w:id="246"/>
      <w:bookmarkStart w:id="247" w:name="_Toc184314426"/>
      <w:bookmarkEnd w:id="247"/>
      <w:bookmarkStart w:id="248" w:name="_Toc184312113"/>
      <w:bookmarkEnd w:id="248"/>
      <w:bookmarkStart w:id="249" w:name="_Toc184314446"/>
      <w:bookmarkEnd w:id="249"/>
      <w:bookmarkStart w:id="250" w:name="_Toc184310296"/>
      <w:bookmarkEnd w:id="250"/>
      <w:bookmarkStart w:id="251" w:name="_Toc184310313"/>
      <w:bookmarkEnd w:id="251"/>
      <w:bookmarkStart w:id="252" w:name="_Toc184313254"/>
      <w:bookmarkEnd w:id="252"/>
      <w:bookmarkStart w:id="253" w:name="_Toc184310276"/>
      <w:bookmarkEnd w:id="253"/>
      <w:bookmarkStart w:id="254" w:name="_Toc184310281"/>
      <w:bookmarkEnd w:id="254"/>
      <w:bookmarkStart w:id="255" w:name="_Toc184313294"/>
      <w:bookmarkEnd w:id="255"/>
      <w:bookmarkStart w:id="256" w:name="_Toc184314421"/>
      <w:bookmarkEnd w:id="256"/>
      <w:bookmarkStart w:id="257" w:name="_Toc184313293"/>
      <w:bookmarkEnd w:id="257"/>
      <w:bookmarkStart w:id="258" w:name="_Toc184313253"/>
      <w:bookmarkEnd w:id="258"/>
      <w:bookmarkStart w:id="259" w:name="_Toc184314431"/>
      <w:bookmarkEnd w:id="259"/>
      <w:bookmarkStart w:id="260" w:name="_Toc184308047"/>
      <w:bookmarkEnd w:id="260"/>
      <w:bookmarkStart w:id="261" w:name="_Toc184314420"/>
      <w:bookmarkEnd w:id="261"/>
      <w:bookmarkStart w:id="262" w:name="_Toc184314419"/>
      <w:bookmarkEnd w:id="262"/>
      <w:bookmarkStart w:id="263" w:name="_Toc184310301"/>
      <w:bookmarkEnd w:id="263"/>
      <w:bookmarkStart w:id="264" w:name="_Toc184314444"/>
      <w:bookmarkEnd w:id="264"/>
      <w:bookmarkStart w:id="265" w:name="_Toc184313257"/>
      <w:bookmarkEnd w:id="265"/>
      <w:bookmarkStart w:id="266" w:name="_Toc184313246"/>
      <w:bookmarkEnd w:id="266"/>
      <w:bookmarkStart w:id="267" w:name="_Toc184308091"/>
      <w:bookmarkEnd w:id="267"/>
      <w:bookmarkStart w:id="268" w:name="_Toc184313258"/>
      <w:bookmarkEnd w:id="268"/>
      <w:bookmarkStart w:id="269" w:name="_Toc184310329"/>
      <w:bookmarkEnd w:id="269"/>
      <w:bookmarkStart w:id="270" w:name="_Toc184314466"/>
      <w:bookmarkEnd w:id="270"/>
      <w:bookmarkStart w:id="271" w:name="_Toc184310293"/>
      <w:bookmarkEnd w:id="271"/>
      <w:bookmarkStart w:id="272" w:name="_Toc184310339"/>
      <w:bookmarkEnd w:id="272"/>
      <w:bookmarkStart w:id="273" w:name="_Toc184314472"/>
      <w:bookmarkEnd w:id="273"/>
      <w:bookmarkStart w:id="274" w:name="_Toc184312109"/>
      <w:bookmarkEnd w:id="274"/>
      <w:bookmarkStart w:id="275" w:name="_Toc184313301"/>
      <w:bookmarkEnd w:id="275"/>
      <w:bookmarkStart w:id="276" w:name="_Toc184314411"/>
      <w:bookmarkEnd w:id="276"/>
      <w:bookmarkStart w:id="277" w:name="_Toc184313276"/>
      <w:bookmarkEnd w:id="277"/>
      <w:bookmarkStart w:id="278" w:name="_Toc184313243"/>
      <w:bookmarkEnd w:id="278"/>
      <w:bookmarkStart w:id="279" w:name="_Toc184314445"/>
      <w:bookmarkEnd w:id="279"/>
      <w:bookmarkStart w:id="280" w:name="_Toc184308060"/>
      <w:bookmarkEnd w:id="280"/>
      <w:bookmarkStart w:id="281" w:name="_Toc184310328"/>
      <w:bookmarkEnd w:id="281"/>
      <w:bookmarkStart w:id="282" w:name="_Toc184308041"/>
      <w:bookmarkEnd w:id="282"/>
      <w:bookmarkStart w:id="283" w:name="_Toc184312093"/>
      <w:bookmarkEnd w:id="283"/>
      <w:bookmarkStart w:id="284" w:name="_Toc184308040"/>
      <w:bookmarkEnd w:id="284"/>
      <w:bookmarkStart w:id="285" w:name="_Toc184313249"/>
      <w:bookmarkEnd w:id="285"/>
      <w:bookmarkStart w:id="286" w:name="_Toc184314462"/>
      <w:bookmarkEnd w:id="286"/>
      <w:bookmarkStart w:id="287" w:name="_Toc184308075"/>
      <w:bookmarkEnd w:id="287"/>
      <w:bookmarkStart w:id="288" w:name="_Toc184313250"/>
      <w:bookmarkEnd w:id="288"/>
      <w:bookmarkStart w:id="289" w:name="_Toc184312104"/>
      <w:bookmarkEnd w:id="289"/>
      <w:bookmarkStart w:id="290" w:name="_Toc184313307"/>
      <w:bookmarkEnd w:id="290"/>
      <w:bookmarkStart w:id="291" w:name="_Toc184312116"/>
      <w:bookmarkEnd w:id="291"/>
      <w:bookmarkStart w:id="292" w:name="_Toc184314433"/>
      <w:bookmarkEnd w:id="292"/>
      <w:bookmarkStart w:id="293" w:name="_Toc184308102"/>
      <w:bookmarkEnd w:id="293"/>
      <w:bookmarkStart w:id="294" w:name="_Toc184308067"/>
      <w:bookmarkEnd w:id="294"/>
      <w:bookmarkStart w:id="295" w:name="_Toc184308049"/>
      <w:bookmarkEnd w:id="295"/>
      <w:bookmarkStart w:id="296" w:name="_Toc184314453"/>
      <w:bookmarkEnd w:id="296"/>
      <w:bookmarkStart w:id="297" w:name="_Toc184308051"/>
      <w:bookmarkEnd w:id="297"/>
      <w:bookmarkStart w:id="298" w:name="_Toc184313285"/>
      <w:bookmarkEnd w:id="298"/>
      <w:bookmarkStart w:id="299" w:name="_Toc184313306"/>
      <w:bookmarkEnd w:id="299"/>
      <w:bookmarkStart w:id="300" w:name="_Toc184313277"/>
      <w:bookmarkEnd w:id="300"/>
      <w:bookmarkStart w:id="301" w:name="_Toc184308066"/>
      <w:bookmarkEnd w:id="301"/>
      <w:bookmarkStart w:id="302" w:name="_Toc184308045"/>
      <w:bookmarkEnd w:id="302"/>
      <w:bookmarkStart w:id="303" w:name="_Toc184312075"/>
      <w:bookmarkEnd w:id="303"/>
      <w:bookmarkStart w:id="304" w:name="_Toc184314429"/>
      <w:bookmarkEnd w:id="304"/>
      <w:bookmarkStart w:id="305" w:name="_Toc184310342"/>
      <w:bookmarkEnd w:id="305"/>
      <w:bookmarkStart w:id="306" w:name="_Toc184314439"/>
      <w:bookmarkEnd w:id="306"/>
      <w:bookmarkStart w:id="307" w:name="_Toc184313305"/>
      <w:bookmarkEnd w:id="307"/>
      <w:bookmarkStart w:id="308" w:name="_Toc184308084"/>
      <w:bookmarkEnd w:id="308"/>
      <w:bookmarkStart w:id="309" w:name="_Toc184313242"/>
      <w:bookmarkEnd w:id="309"/>
      <w:bookmarkStart w:id="310" w:name="_Toc184313298"/>
      <w:bookmarkEnd w:id="310"/>
      <w:bookmarkStart w:id="311" w:name="_Toc184312067"/>
      <w:bookmarkEnd w:id="311"/>
      <w:bookmarkStart w:id="312" w:name="_Toc184312137"/>
      <w:bookmarkEnd w:id="312"/>
      <w:bookmarkStart w:id="313" w:name="_Toc184313266"/>
      <w:bookmarkEnd w:id="313"/>
      <w:bookmarkStart w:id="314" w:name="_Toc184308058"/>
      <w:bookmarkEnd w:id="314"/>
      <w:bookmarkStart w:id="315" w:name="_Toc184314481"/>
      <w:bookmarkEnd w:id="315"/>
      <w:bookmarkStart w:id="316" w:name="_Toc184314465"/>
      <w:bookmarkEnd w:id="316"/>
      <w:bookmarkStart w:id="317" w:name="_Toc184310289"/>
      <w:bookmarkEnd w:id="317"/>
      <w:bookmarkStart w:id="318" w:name="_Toc184314414"/>
      <w:bookmarkEnd w:id="318"/>
      <w:bookmarkStart w:id="319" w:name="_Toc184310298"/>
      <w:bookmarkEnd w:id="319"/>
      <w:bookmarkStart w:id="320" w:name="_Toc184314454"/>
      <w:bookmarkEnd w:id="320"/>
      <w:bookmarkStart w:id="321" w:name="_Toc184314452"/>
      <w:bookmarkEnd w:id="321"/>
      <w:bookmarkStart w:id="322" w:name="_Toc184310343"/>
      <w:bookmarkEnd w:id="322"/>
      <w:bookmarkStart w:id="323" w:name="_Toc184313265"/>
      <w:bookmarkEnd w:id="323"/>
      <w:bookmarkStart w:id="324" w:name="_Toc184310304"/>
      <w:bookmarkEnd w:id="324"/>
      <w:bookmarkStart w:id="325" w:name="_Toc184314447"/>
      <w:bookmarkEnd w:id="325"/>
      <w:bookmarkStart w:id="326" w:name="_Toc184310322"/>
      <w:bookmarkEnd w:id="326"/>
      <w:bookmarkStart w:id="327" w:name="_Toc184312095"/>
      <w:bookmarkEnd w:id="327"/>
      <w:bookmarkStart w:id="328" w:name="_Toc184312099"/>
      <w:bookmarkEnd w:id="328"/>
      <w:bookmarkStart w:id="329" w:name="_Toc184312133"/>
      <w:bookmarkEnd w:id="329"/>
      <w:bookmarkStart w:id="330" w:name="_Toc184310318"/>
      <w:bookmarkEnd w:id="330"/>
      <w:bookmarkStart w:id="331" w:name="_Toc184313279"/>
      <w:bookmarkEnd w:id="331"/>
      <w:bookmarkStart w:id="332" w:name="_Toc184314448"/>
      <w:bookmarkEnd w:id="332"/>
      <w:bookmarkStart w:id="333" w:name="_Toc184313267"/>
      <w:bookmarkEnd w:id="333"/>
      <w:bookmarkStart w:id="334" w:name="_Toc184310279"/>
      <w:bookmarkEnd w:id="334"/>
      <w:bookmarkStart w:id="335" w:name="_Toc184310297"/>
      <w:bookmarkEnd w:id="335"/>
      <w:bookmarkStart w:id="336" w:name="_Toc184312068"/>
      <w:bookmarkEnd w:id="336"/>
      <w:bookmarkStart w:id="337" w:name="_Toc184312087"/>
      <w:bookmarkEnd w:id="337"/>
      <w:bookmarkStart w:id="338" w:name="_Toc184313303"/>
      <w:bookmarkEnd w:id="338"/>
      <w:bookmarkStart w:id="339" w:name="_Toc184308096"/>
      <w:bookmarkEnd w:id="339"/>
      <w:bookmarkStart w:id="340" w:name="_Toc184312089"/>
      <w:bookmarkEnd w:id="340"/>
      <w:bookmarkStart w:id="341" w:name="_Toc184314449"/>
      <w:bookmarkEnd w:id="341"/>
      <w:bookmarkStart w:id="342" w:name="_Toc184312098"/>
      <w:bookmarkEnd w:id="342"/>
      <w:bookmarkStart w:id="343" w:name="_Toc184312123"/>
      <w:bookmarkEnd w:id="343"/>
      <w:bookmarkStart w:id="344" w:name="_Toc184312120"/>
      <w:bookmarkEnd w:id="344"/>
      <w:bookmarkStart w:id="345" w:name="_Toc184308068"/>
      <w:bookmarkEnd w:id="345"/>
      <w:bookmarkStart w:id="346" w:name="_Toc184313310"/>
      <w:bookmarkEnd w:id="346"/>
      <w:bookmarkStart w:id="347" w:name="_Toc184308100"/>
      <w:bookmarkEnd w:id="347"/>
      <w:bookmarkStart w:id="348" w:name="_Toc184313287"/>
      <w:bookmarkEnd w:id="348"/>
      <w:bookmarkStart w:id="349" w:name="_Toc184314418"/>
      <w:bookmarkEnd w:id="349"/>
      <w:bookmarkStart w:id="350" w:name="_Toc184313270"/>
      <w:bookmarkEnd w:id="350"/>
      <w:bookmarkStart w:id="351" w:name="_Toc184310273"/>
      <w:bookmarkEnd w:id="351"/>
      <w:bookmarkStart w:id="352" w:name="_Toc184310336"/>
      <w:bookmarkEnd w:id="352"/>
      <w:bookmarkStart w:id="353" w:name="_Toc184310278"/>
      <w:bookmarkEnd w:id="353"/>
      <w:bookmarkStart w:id="354" w:name="_Toc184312139"/>
      <w:bookmarkEnd w:id="354"/>
      <w:bookmarkStart w:id="355" w:name="_Toc184310303"/>
      <w:bookmarkEnd w:id="355"/>
      <w:bookmarkStart w:id="356" w:name="_Toc184310315"/>
      <w:bookmarkEnd w:id="356"/>
      <w:bookmarkStart w:id="357" w:name="_Toc184314441"/>
      <w:bookmarkEnd w:id="357"/>
      <w:bookmarkStart w:id="358" w:name="_Toc184314410"/>
      <w:bookmarkEnd w:id="358"/>
      <w:bookmarkStart w:id="359" w:name="_Toc184308042"/>
      <w:bookmarkEnd w:id="359"/>
      <w:bookmarkStart w:id="360" w:name="_Toc184308081"/>
      <w:bookmarkEnd w:id="360"/>
      <w:bookmarkStart w:id="361" w:name="_Toc184314478"/>
      <w:bookmarkEnd w:id="361"/>
      <w:bookmarkStart w:id="362" w:name="_Toc184313272"/>
      <w:bookmarkEnd w:id="362"/>
      <w:bookmarkStart w:id="363" w:name="_Toc184312102"/>
      <w:bookmarkEnd w:id="363"/>
      <w:bookmarkStart w:id="364" w:name="_Toc184310291"/>
      <w:bookmarkEnd w:id="364"/>
      <w:bookmarkStart w:id="365" w:name="_Toc184313304"/>
      <w:bookmarkEnd w:id="365"/>
      <w:bookmarkStart w:id="366" w:name="_Toc184312082"/>
      <w:bookmarkEnd w:id="366"/>
      <w:bookmarkStart w:id="367" w:name="_Toc184314412"/>
      <w:bookmarkEnd w:id="367"/>
      <w:bookmarkStart w:id="368" w:name="_Toc184308099"/>
      <w:bookmarkEnd w:id="368"/>
      <w:bookmarkStart w:id="369" w:name="_Toc184312077"/>
      <w:bookmarkEnd w:id="369"/>
      <w:bookmarkStart w:id="370" w:name="_Toc184314473"/>
      <w:bookmarkEnd w:id="370"/>
      <w:bookmarkStart w:id="371" w:name="_Toc184312108"/>
      <w:bookmarkEnd w:id="371"/>
      <w:bookmarkStart w:id="372" w:name="_Toc184313275"/>
      <w:bookmarkEnd w:id="372"/>
      <w:bookmarkStart w:id="373" w:name="_Toc184314422"/>
      <w:bookmarkEnd w:id="373"/>
      <w:bookmarkStart w:id="374" w:name="_Toc184314432"/>
      <w:bookmarkEnd w:id="374"/>
      <w:bookmarkStart w:id="375" w:name="_Toc184314474"/>
      <w:bookmarkEnd w:id="375"/>
      <w:bookmarkStart w:id="376" w:name="_Toc184308083"/>
      <w:bookmarkEnd w:id="376"/>
      <w:bookmarkStart w:id="377" w:name="_Toc184313299"/>
      <w:bookmarkEnd w:id="377"/>
      <w:bookmarkStart w:id="378" w:name="_Toc184312105"/>
      <w:bookmarkEnd w:id="378"/>
      <w:bookmarkStart w:id="379" w:name="_Toc184313309"/>
      <w:bookmarkEnd w:id="379"/>
      <w:bookmarkStart w:id="380" w:name="_Toc184308087"/>
      <w:bookmarkEnd w:id="380"/>
      <w:bookmarkStart w:id="381" w:name="_Toc184312135"/>
      <w:bookmarkEnd w:id="381"/>
      <w:bookmarkStart w:id="382" w:name="_Toc184312100"/>
      <w:bookmarkEnd w:id="382"/>
      <w:bookmarkStart w:id="383" w:name="_Toc184314436"/>
      <w:bookmarkEnd w:id="383"/>
      <w:bookmarkStart w:id="384" w:name="_Toc184308095"/>
      <w:bookmarkEnd w:id="384"/>
      <w:bookmarkStart w:id="385" w:name="_Toc184308080"/>
      <w:bookmarkEnd w:id="385"/>
      <w:bookmarkStart w:id="386" w:name="_Toc184313274"/>
      <w:bookmarkEnd w:id="386"/>
      <w:bookmarkStart w:id="387" w:name="_Toc184310300"/>
      <w:bookmarkEnd w:id="387"/>
      <w:bookmarkStart w:id="388" w:name="_Toc184314438"/>
      <w:bookmarkEnd w:id="388"/>
      <w:bookmarkStart w:id="389" w:name="_Toc184312132"/>
      <w:bookmarkEnd w:id="389"/>
      <w:bookmarkStart w:id="390" w:name="_Toc184312103"/>
      <w:bookmarkEnd w:id="390"/>
      <w:bookmarkStart w:id="391" w:name="_Toc184308054"/>
      <w:bookmarkEnd w:id="391"/>
      <w:bookmarkStart w:id="392" w:name="_Toc184310320"/>
      <w:bookmarkEnd w:id="392"/>
      <w:bookmarkStart w:id="393" w:name="_Toc184314455"/>
      <w:bookmarkEnd w:id="393"/>
      <w:bookmarkStart w:id="394" w:name="_Toc184314434"/>
      <w:bookmarkEnd w:id="394"/>
      <w:bookmarkStart w:id="395" w:name="_Toc184314451"/>
      <w:bookmarkEnd w:id="395"/>
      <w:bookmarkStart w:id="396" w:name="_Toc184308057"/>
      <w:bookmarkEnd w:id="396"/>
      <w:bookmarkStart w:id="397" w:name="_Toc184312080"/>
      <w:bookmarkEnd w:id="397"/>
      <w:bookmarkStart w:id="398" w:name="_Toc184313262"/>
      <w:bookmarkEnd w:id="398"/>
      <w:bookmarkStart w:id="399" w:name="_Toc184312129"/>
      <w:bookmarkEnd w:id="399"/>
      <w:bookmarkStart w:id="400" w:name="_Toc184312081"/>
      <w:bookmarkEnd w:id="400"/>
      <w:bookmarkStart w:id="401" w:name="_Toc184313286"/>
      <w:bookmarkEnd w:id="401"/>
      <w:bookmarkStart w:id="402" w:name="_Toc184314440"/>
      <w:bookmarkEnd w:id="402"/>
      <w:bookmarkStart w:id="403" w:name="_Toc184308103"/>
      <w:bookmarkEnd w:id="403"/>
      <w:bookmarkStart w:id="404" w:name="_Toc184310282"/>
      <w:bookmarkEnd w:id="404"/>
      <w:bookmarkStart w:id="405" w:name="_Toc184312126"/>
      <w:bookmarkEnd w:id="405"/>
      <w:bookmarkStart w:id="406" w:name="_Toc184313284"/>
      <w:bookmarkEnd w:id="406"/>
      <w:bookmarkStart w:id="407" w:name="_Toc184310310"/>
      <w:bookmarkEnd w:id="407"/>
      <w:bookmarkStart w:id="408" w:name="_Toc184310337"/>
      <w:bookmarkEnd w:id="408"/>
      <w:bookmarkStart w:id="409" w:name="_Toc184313292"/>
      <w:bookmarkEnd w:id="409"/>
      <w:bookmarkStart w:id="410" w:name="_Toc184314469"/>
      <w:bookmarkEnd w:id="410"/>
      <w:bookmarkStart w:id="411" w:name="_Toc184308046"/>
      <w:bookmarkEnd w:id="411"/>
      <w:bookmarkStart w:id="412" w:name="_Toc184308090"/>
      <w:bookmarkEnd w:id="412"/>
      <w:r>
        <w:rPr>
          <w:rFonts w:hint="eastAsia" w:ascii="宋体" w:hAnsi="宋体" w:cs="宋体"/>
          <w:b/>
          <w:sz w:val="36"/>
          <w:szCs w:val="36"/>
          <w:highlight w:val="none"/>
        </w:rPr>
        <w:t>评标办法</w:t>
      </w:r>
    </w:p>
    <w:p w14:paraId="0DAA2FBC">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2"/>
        <w:tblpPr w:leftFromText="180" w:rightFromText="180" w:vertAnchor="text" w:horzAnchor="page" w:tblpX="1031" w:tblpY="126"/>
        <w:tblW w:w="9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5400"/>
        <w:gridCol w:w="723"/>
        <w:gridCol w:w="983"/>
        <w:gridCol w:w="1731"/>
      </w:tblGrid>
      <w:tr w14:paraId="15BB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834" w:type="dxa"/>
            <w:vAlign w:val="center"/>
          </w:tcPr>
          <w:p w14:paraId="51EE783D">
            <w:pPr>
              <w:spacing w:line="360" w:lineRule="auto"/>
              <w:jc w:val="center"/>
              <w:outlineLvl w:val="0"/>
              <w:rPr>
                <w:rFonts w:ascii="宋体" w:hAnsi="宋体" w:cs="仿宋"/>
                <w:bCs/>
                <w:sz w:val="24"/>
                <w:highlight w:val="none"/>
              </w:rPr>
            </w:pPr>
            <w:r>
              <w:rPr>
                <w:rFonts w:hint="eastAsia" w:ascii="宋体" w:hAnsi="宋体" w:cs="仿宋"/>
                <w:bCs/>
                <w:sz w:val="24"/>
                <w:highlight w:val="none"/>
              </w:rPr>
              <w:t>序号</w:t>
            </w:r>
          </w:p>
        </w:tc>
        <w:tc>
          <w:tcPr>
            <w:tcW w:w="5400" w:type="dxa"/>
            <w:vAlign w:val="center"/>
          </w:tcPr>
          <w:p w14:paraId="784A7014">
            <w:pPr>
              <w:spacing w:line="360" w:lineRule="auto"/>
              <w:ind w:firstLine="1560" w:firstLineChars="650"/>
              <w:outlineLvl w:val="0"/>
              <w:rPr>
                <w:rFonts w:ascii="宋体" w:hAnsi="宋体" w:cs="仿宋"/>
                <w:bCs/>
                <w:sz w:val="24"/>
                <w:highlight w:val="none"/>
              </w:rPr>
            </w:pPr>
            <w:r>
              <w:rPr>
                <w:rFonts w:hint="eastAsia" w:ascii="宋体" w:hAnsi="宋体" w:cs="仿宋"/>
                <w:bCs/>
                <w:sz w:val="24"/>
                <w:highlight w:val="none"/>
              </w:rPr>
              <w:t>评标标准</w:t>
            </w:r>
          </w:p>
        </w:tc>
        <w:tc>
          <w:tcPr>
            <w:tcW w:w="723" w:type="dxa"/>
            <w:vAlign w:val="center"/>
          </w:tcPr>
          <w:p w14:paraId="6F078D2F">
            <w:pPr>
              <w:spacing w:line="360" w:lineRule="auto"/>
              <w:outlineLvl w:val="0"/>
              <w:rPr>
                <w:rFonts w:ascii="宋体" w:hAnsi="宋体" w:cs="仿宋"/>
                <w:bCs/>
                <w:sz w:val="24"/>
                <w:highlight w:val="none"/>
              </w:rPr>
            </w:pPr>
            <w:r>
              <w:rPr>
                <w:rFonts w:hint="eastAsia" w:ascii="宋体" w:hAnsi="宋体" w:cs="仿宋"/>
                <w:bCs/>
                <w:sz w:val="24"/>
                <w:highlight w:val="none"/>
              </w:rPr>
              <w:t>权重</w:t>
            </w:r>
            <w:r>
              <w:rPr>
                <w:rFonts w:ascii="宋体" w:hAnsi="宋体" w:cs="仿宋"/>
                <w:bCs/>
                <w:sz w:val="24"/>
                <w:highlight w:val="none"/>
              </w:rPr>
              <w:t>/分值</w:t>
            </w:r>
          </w:p>
        </w:tc>
        <w:tc>
          <w:tcPr>
            <w:tcW w:w="983" w:type="dxa"/>
            <w:vAlign w:val="center"/>
          </w:tcPr>
          <w:p w14:paraId="6025C2E9">
            <w:pPr>
              <w:spacing w:line="360" w:lineRule="auto"/>
              <w:jc w:val="center"/>
              <w:outlineLvl w:val="0"/>
              <w:rPr>
                <w:rFonts w:ascii="宋体" w:hAnsi="宋体" w:cs="仿宋"/>
                <w:bCs/>
                <w:sz w:val="24"/>
                <w:highlight w:val="none"/>
              </w:rPr>
            </w:pPr>
            <w:r>
              <w:rPr>
                <w:rFonts w:hint="eastAsia" w:ascii="宋体" w:hAnsi="宋体" w:cs="仿宋"/>
                <w:bCs/>
                <w:sz w:val="24"/>
                <w:highlight w:val="none"/>
              </w:rPr>
              <w:t>主观分</w:t>
            </w:r>
            <w:r>
              <w:rPr>
                <w:rFonts w:ascii="宋体" w:hAnsi="宋体" w:cs="仿宋"/>
                <w:bCs/>
                <w:sz w:val="24"/>
                <w:highlight w:val="none"/>
              </w:rPr>
              <w:t>/客观分属性</w:t>
            </w:r>
          </w:p>
        </w:tc>
        <w:tc>
          <w:tcPr>
            <w:tcW w:w="1731" w:type="dxa"/>
          </w:tcPr>
          <w:p w14:paraId="69F04729">
            <w:pPr>
              <w:spacing w:line="360" w:lineRule="auto"/>
              <w:outlineLvl w:val="0"/>
              <w:rPr>
                <w:rFonts w:ascii="宋体" w:hAnsi="宋体" w:cs="仿宋"/>
                <w:bCs/>
                <w:sz w:val="24"/>
                <w:highlight w:val="none"/>
              </w:rPr>
            </w:pPr>
            <w:r>
              <w:rPr>
                <w:rFonts w:hint="eastAsia" w:ascii="宋体" w:hAnsi="宋体" w:cs="仿宋"/>
                <w:bCs/>
                <w:sz w:val="24"/>
                <w:highlight w:val="none"/>
              </w:rPr>
              <w:t>投标文件中评标标准相应的商务技术资料目录</w:t>
            </w:r>
            <w:r>
              <w:rPr>
                <w:rFonts w:ascii="宋体" w:hAnsi="宋体" w:cs="Calibri"/>
                <w:sz w:val="24"/>
                <w:highlight w:val="none"/>
                <w:shd w:val="clear" w:color="auto" w:fill="FFFFFF"/>
              </w:rPr>
              <w:t> </w:t>
            </w:r>
            <w:r>
              <w:rPr>
                <w:rFonts w:ascii="宋体" w:hAnsi="宋体" w:cs="仿宋"/>
                <w:sz w:val="24"/>
                <w:highlight w:val="none"/>
                <w:shd w:val="clear" w:color="auto" w:fill="FFFFFF"/>
              </w:rPr>
              <w:t>*</w:t>
            </w:r>
          </w:p>
        </w:tc>
      </w:tr>
      <w:tr w14:paraId="77D88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34" w:type="dxa"/>
            <w:vAlign w:val="center"/>
          </w:tcPr>
          <w:p w14:paraId="34DF851D">
            <w:pPr>
              <w:spacing w:line="360" w:lineRule="auto"/>
              <w:jc w:val="center"/>
              <w:outlineLvl w:val="0"/>
              <w:rPr>
                <w:rFonts w:ascii="宋体" w:hAnsi="宋体" w:cs="仿宋"/>
                <w:sz w:val="24"/>
                <w:highlight w:val="none"/>
              </w:rPr>
            </w:pPr>
            <w:r>
              <w:rPr>
                <w:rFonts w:hint="eastAsia" w:ascii="宋体" w:hAnsi="宋体" w:cs="仿宋"/>
                <w:sz w:val="24"/>
                <w:highlight w:val="none"/>
              </w:rPr>
              <w:t>一</w:t>
            </w:r>
          </w:p>
        </w:tc>
        <w:tc>
          <w:tcPr>
            <w:tcW w:w="8837" w:type="dxa"/>
            <w:gridSpan w:val="4"/>
            <w:vAlign w:val="center"/>
          </w:tcPr>
          <w:p w14:paraId="6F0474C3">
            <w:pPr>
              <w:widowControl/>
              <w:shd w:val="clear" w:color="auto" w:fill="FFFFFF"/>
              <w:snapToGrid w:val="0"/>
              <w:spacing w:line="360" w:lineRule="auto"/>
              <w:rPr>
                <w:rFonts w:ascii="宋体" w:hAnsi="宋体" w:cs="仿宋"/>
                <w:bCs/>
                <w:sz w:val="24"/>
                <w:highlight w:val="none"/>
              </w:rPr>
            </w:pPr>
            <w:r>
              <w:rPr>
                <w:rFonts w:hint="eastAsia" w:ascii="宋体" w:hAnsi="宋体" w:cs="仿宋"/>
                <w:b/>
                <w:bCs/>
                <w:sz w:val="24"/>
                <w:highlight w:val="none"/>
              </w:rPr>
              <w:t>技术和服务方案</w:t>
            </w:r>
            <w:r>
              <w:rPr>
                <w:rFonts w:ascii="宋体" w:hAnsi="宋体" w:cs="仿宋"/>
                <w:b/>
                <w:sz w:val="24"/>
                <w:highlight w:val="none"/>
              </w:rPr>
              <w:t>78</w:t>
            </w:r>
            <w:r>
              <w:rPr>
                <w:rFonts w:hint="eastAsia" w:ascii="宋体" w:hAnsi="宋体" w:cs="仿宋"/>
                <w:b/>
                <w:sz w:val="24"/>
                <w:highlight w:val="none"/>
              </w:rPr>
              <w:t>分</w:t>
            </w:r>
          </w:p>
        </w:tc>
      </w:tr>
      <w:tr w14:paraId="566F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Align w:val="center"/>
          </w:tcPr>
          <w:p w14:paraId="61E4F6F0">
            <w:pPr>
              <w:spacing w:line="360" w:lineRule="auto"/>
              <w:jc w:val="center"/>
              <w:outlineLvl w:val="0"/>
              <w:rPr>
                <w:rFonts w:ascii="宋体" w:hAnsi="宋体" w:cs="仿宋"/>
                <w:sz w:val="24"/>
                <w:highlight w:val="none"/>
              </w:rPr>
            </w:pPr>
            <w:r>
              <w:rPr>
                <w:rFonts w:ascii="宋体" w:hAnsi="宋体" w:cs="仿宋"/>
                <w:sz w:val="24"/>
                <w:highlight w:val="none"/>
              </w:rPr>
              <w:t>1</w:t>
            </w:r>
          </w:p>
        </w:tc>
        <w:tc>
          <w:tcPr>
            <w:tcW w:w="5400" w:type="dxa"/>
            <w:vAlign w:val="center"/>
          </w:tcPr>
          <w:p w14:paraId="0D43E2C9">
            <w:pPr>
              <w:widowControl/>
              <w:shd w:val="clear" w:color="auto" w:fill="FFFFFF"/>
              <w:snapToGrid w:val="0"/>
              <w:spacing w:line="360" w:lineRule="auto"/>
              <w:rPr>
                <w:rFonts w:ascii="宋体" w:hAnsi="宋体" w:cs="仿宋"/>
                <w:sz w:val="24"/>
                <w:highlight w:val="none"/>
              </w:rPr>
            </w:pPr>
            <w:r>
              <w:rPr>
                <w:rFonts w:ascii="宋体" w:hAnsi="宋体" w:cs="仿宋"/>
                <w:sz w:val="24"/>
                <w:highlight w:val="none"/>
              </w:rPr>
              <w:t>1、</w:t>
            </w:r>
            <w:r>
              <w:rPr>
                <w:rFonts w:hint="eastAsia" w:ascii="宋体" w:hAnsi="宋体" w:cs="仿宋"/>
                <w:sz w:val="24"/>
                <w:highlight w:val="none"/>
              </w:rPr>
              <w:t>交通管理数据安全生命周期运营服务方案应包括①专网云平台系统运行及数据治理；②公安网数据治理，每项方案详细、合理，满足采购需求的得</w:t>
            </w:r>
            <w:r>
              <w:rPr>
                <w:rFonts w:ascii="宋体" w:hAnsi="宋体" w:cs="仿宋"/>
                <w:sz w:val="24"/>
                <w:highlight w:val="none"/>
              </w:rPr>
              <w:t>2分，方案不详细、合理，不符合采购需求的不得分</w:t>
            </w:r>
            <w:r>
              <w:rPr>
                <w:rFonts w:hint="eastAsia" w:ascii="宋体" w:hAnsi="宋体" w:cs="仿宋"/>
                <w:sz w:val="24"/>
                <w:highlight w:val="none"/>
              </w:rPr>
              <w:t>，</w:t>
            </w:r>
            <w:r>
              <w:rPr>
                <w:rFonts w:hint="eastAsia" w:ascii="宋体" w:hAnsi="宋体" w:cs="仿宋"/>
                <w:b/>
                <w:sz w:val="24"/>
                <w:highlight w:val="none"/>
              </w:rPr>
              <w:t>最高得</w:t>
            </w:r>
            <w:r>
              <w:rPr>
                <w:rFonts w:ascii="宋体" w:hAnsi="宋体" w:cs="仿宋"/>
                <w:b/>
                <w:sz w:val="24"/>
                <w:highlight w:val="none"/>
              </w:rPr>
              <w:t>4分。</w:t>
            </w:r>
          </w:p>
          <w:p w14:paraId="582F71E7">
            <w:pPr>
              <w:widowControl/>
              <w:shd w:val="clear" w:color="auto" w:fill="FFFFFF"/>
              <w:snapToGrid w:val="0"/>
              <w:spacing w:line="360" w:lineRule="auto"/>
              <w:rPr>
                <w:rFonts w:ascii="宋体" w:hAnsi="宋体" w:cs="仿宋"/>
                <w:b/>
                <w:sz w:val="24"/>
                <w:highlight w:val="none"/>
              </w:rPr>
            </w:pPr>
            <w:r>
              <w:rPr>
                <w:rFonts w:ascii="宋体" w:hAnsi="宋体" w:cs="仿宋"/>
                <w:sz w:val="24"/>
                <w:highlight w:val="none"/>
              </w:rPr>
              <w:t>2、</w:t>
            </w:r>
            <w:r>
              <w:rPr>
                <w:rFonts w:hint="eastAsia" w:ascii="宋体" w:hAnsi="宋体" w:cs="仿宋"/>
                <w:sz w:val="24"/>
                <w:highlight w:val="none"/>
              </w:rPr>
              <w:t>安全加固及应用迁移改造服务方案应包括①网络安全服务；②关键业务安全迁移及改造，每项方案详细、合理，满足采购需求的得2分，方案不详细、合理，不符合采购需求的不得分，</w:t>
            </w:r>
            <w:r>
              <w:rPr>
                <w:rFonts w:hint="eastAsia" w:ascii="宋体" w:hAnsi="宋体" w:cs="仿宋"/>
                <w:b/>
                <w:sz w:val="24"/>
                <w:highlight w:val="none"/>
              </w:rPr>
              <w:t>最高得</w:t>
            </w:r>
            <w:r>
              <w:rPr>
                <w:rFonts w:ascii="宋体" w:hAnsi="宋体" w:cs="仿宋"/>
                <w:b/>
                <w:sz w:val="24"/>
                <w:highlight w:val="none"/>
              </w:rPr>
              <w:t>4分。</w:t>
            </w:r>
          </w:p>
          <w:p w14:paraId="7EBB6C9D">
            <w:pPr>
              <w:widowControl/>
              <w:shd w:val="clear" w:color="auto" w:fill="FFFFFF"/>
              <w:snapToGrid w:val="0"/>
              <w:spacing w:line="360" w:lineRule="auto"/>
              <w:rPr>
                <w:rFonts w:ascii="宋体" w:hAnsi="宋体" w:cs="仿宋"/>
                <w:b/>
                <w:sz w:val="24"/>
                <w:highlight w:val="none"/>
              </w:rPr>
            </w:pPr>
            <w:r>
              <w:rPr>
                <w:rFonts w:ascii="宋体" w:hAnsi="宋体" w:cs="仿宋"/>
                <w:sz w:val="24"/>
                <w:highlight w:val="none"/>
              </w:rPr>
              <w:t>3、</w:t>
            </w:r>
            <w:r>
              <w:rPr>
                <w:rFonts w:hint="eastAsia" w:ascii="宋体" w:hAnsi="宋体" w:cs="仿宋"/>
                <w:sz w:val="24"/>
                <w:highlight w:val="none"/>
              </w:rPr>
              <w:t>货运导航数据及运营保障服务方案应包括①互联网地图导航基础服务；②城市货运导航数据运营服务，每项方案详细、合理，满足采购需求的得2分，方案不详细、合理，不符合采购需求的不得分，</w:t>
            </w:r>
            <w:r>
              <w:rPr>
                <w:rFonts w:hint="eastAsia" w:ascii="宋体" w:hAnsi="宋体" w:cs="仿宋"/>
                <w:b/>
                <w:sz w:val="24"/>
                <w:highlight w:val="none"/>
              </w:rPr>
              <w:t>最高得4分。</w:t>
            </w:r>
          </w:p>
          <w:p w14:paraId="6BABC44F">
            <w:pPr>
              <w:widowControl/>
              <w:shd w:val="clear" w:color="auto" w:fill="FFFFFF"/>
              <w:snapToGrid w:val="0"/>
              <w:spacing w:line="360" w:lineRule="auto"/>
              <w:rPr>
                <w:rFonts w:ascii="宋体" w:hAnsi="宋体"/>
                <w:highlight w:val="none"/>
              </w:rPr>
            </w:pPr>
            <w:r>
              <w:rPr>
                <w:rFonts w:ascii="宋体" w:hAnsi="宋体" w:cs="仿宋"/>
                <w:sz w:val="24"/>
                <w:highlight w:val="none"/>
              </w:rPr>
              <w:t>4、</w:t>
            </w:r>
            <w:r>
              <w:rPr>
                <w:rFonts w:hint="eastAsia" w:ascii="宋体" w:hAnsi="宋体" w:cs="仿宋"/>
                <w:sz w:val="24"/>
                <w:highlight w:val="none"/>
              </w:rPr>
              <w:t>安全防控风险预警服务方案应包括①</w:t>
            </w:r>
            <w:r>
              <w:rPr>
                <w:rFonts w:hint="eastAsia" w:ascii="宋体" w:hAnsi="宋体" w:cs="宋体"/>
                <w:sz w:val="24"/>
                <w:highlight w:val="none"/>
              </w:rPr>
              <w:t>“波次统一行动”预警；②事故与违法查处趋势分析；③亡人事故地图；④违法查处数据轻应用</w:t>
            </w:r>
            <w:r>
              <w:rPr>
                <w:rFonts w:hint="eastAsia" w:ascii="宋体" w:hAnsi="宋体" w:cs="仿宋"/>
                <w:sz w:val="24"/>
                <w:highlight w:val="none"/>
              </w:rPr>
              <w:t>每项方案详细、合理，满足采购需求的得2分，方案不详细、合理，不符合采购需求的不得分，</w:t>
            </w:r>
            <w:r>
              <w:rPr>
                <w:rFonts w:hint="eastAsia" w:ascii="宋体" w:hAnsi="宋体" w:cs="仿宋"/>
                <w:b/>
                <w:sz w:val="24"/>
                <w:highlight w:val="none"/>
              </w:rPr>
              <w:t>最高得8分。</w:t>
            </w:r>
          </w:p>
        </w:tc>
        <w:tc>
          <w:tcPr>
            <w:tcW w:w="723" w:type="dxa"/>
            <w:vAlign w:val="center"/>
          </w:tcPr>
          <w:p w14:paraId="7CD0DB40">
            <w:pPr>
              <w:spacing w:line="360" w:lineRule="auto"/>
              <w:jc w:val="center"/>
              <w:outlineLvl w:val="0"/>
              <w:rPr>
                <w:rFonts w:ascii="宋体" w:hAnsi="宋体" w:cs="仿宋"/>
                <w:sz w:val="24"/>
                <w:highlight w:val="none"/>
              </w:rPr>
            </w:pPr>
            <w:r>
              <w:rPr>
                <w:rFonts w:hint="eastAsia" w:ascii="宋体" w:hAnsi="宋体" w:cs="仿宋"/>
                <w:sz w:val="24"/>
                <w:highlight w:val="none"/>
              </w:rPr>
              <w:t>20</w:t>
            </w:r>
          </w:p>
        </w:tc>
        <w:tc>
          <w:tcPr>
            <w:tcW w:w="983" w:type="dxa"/>
            <w:vAlign w:val="center"/>
          </w:tcPr>
          <w:p w14:paraId="07DAB956">
            <w:pPr>
              <w:spacing w:line="360" w:lineRule="auto"/>
              <w:jc w:val="center"/>
              <w:outlineLvl w:val="0"/>
              <w:rPr>
                <w:rFonts w:ascii="宋体" w:hAnsi="宋体" w:cs="仿宋"/>
                <w:sz w:val="24"/>
                <w:highlight w:val="none"/>
              </w:rPr>
            </w:pPr>
            <w:r>
              <w:rPr>
                <w:rFonts w:hint="eastAsia" w:ascii="宋体" w:hAnsi="宋体" w:cs="仿宋"/>
                <w:sz w:val="24"/>
                <w:highlight w:val="none"/>
              </w:rPr>
              <w:t>主观</w:t>
            </w:r>
            <w:r>
              <w:rPr>
                <w:rFonts w:ascii="宋体" w:hAnsi="宋体" w:cs="仿宋"/>
                <w:sz w:val="24"/>
                <w:highlight w:val="none"/>
              </w:rPr>
              <w:t>分</w:t>
            </w:r>
          </w:p>
        </w:tc>
        <w:tc>
          <w:tcPr>
            <w:tcW w:w="1731" w:type="dxa"/>
            <w:vAlign w:val="center"/>
          </w:tcPr>
          <w:p w14:paraId="2984999D">
            <w:pPr>
              <w:spacing w:line="360" w:lineRule="auto"/>
              <w:jc w:val="center"/>
              <w:outlineLvl w:val="0"/>
              <w:rPr>
                <w:rFonts w:ascii="宋体" w:hAnsi="宋体" w:cs="仿宋"/>
                <w:sz w:val="24"/>
                <w:highlight w:val="none"/>
              </w:rPr>
            </w:pPr>
            <w:r>
              <w:rPr>
                <w:rFonts w:hint="eastAsia" w:ascii="宋体" w:hAnsi="宋体" w:cs="仿宋"/>
                <w:sz w:val="24"/>
                <w:highlight w:val="none"/>
              </w:rPr>
              <w:t>（一）服务方案（20分）</w:t>
            </w:r>
          </w:p>
        </w:tc>
      </w:tr>
      <w:tr w14:paraId="5CBC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4" w:type="dxa"/>
            <w:vAlign w:val="center"/>
          </w:tcPr>
          <w:p w14:paraId="2E3E1324">
            <w:pPr>
              <w:spacing w:line="360" w:lineRule="auto"/>
              <w:jc w:val="center"/>
              <w:outlineLvl w:val="0"/>
              <w:rPr>
                <w:rFonts w:ascii="宋体" w:hAnsi="宋体" w:cs="仿宋"/>
                <w:sz w:val="24"/>
                <w:highlight w:val="none"/>
              </w:rPr>
            </w:pPr>
            <w:r>
              <w:rPr>
                <w:rFonts w:hint="eastAsia" w:ascii="宋体" w:hAnsi="宋体" w:cs="仿宋"/>
                <w:sz w:val="24"/>
                <w:highlight w:val="none"/>
              </w:rPr>
              <w:t>2</w:t>
            </w:r>
          </w:p>
        </w:tc>
        <w:tc>
          <w:tcPr>
            <w:tcW w:w="5400" w:type="dxa"/>
            <w:vAlign w:val="center"/>
          </w:tcPr>
          <w:p w14:paraId="255C08B5">
            <w:pPr>
              <w:snapToGrid w:val="0"/>
              <w:spacing w:line="360" w:lineRule="auto"/>
              <w:rPr>
                <w:rFonts w:ascii="宋体" w:hAnsi="宋体" w:cs="仿宋"/>
                <w:sz w:val="24"/>
                <w:highlight w:val="none"/>
              </w:rPr>
            </w:pPr>
            <w:r>
              <w:rPr>
                <w:rFonts w:hint="eastAsia" w:ascii="宋体" w:hAnsi="宋体" w:cs="仿宋"/>
                <w:kern w:val="0"/>
                <w:sz w:val="24"/>
                <w:szCs w:val="20"/>
                <w:highlight w:val="none"/>
              </w:rPr>
              <w:t>投标人提供的分布式存储、交换机硬件设备</w:t>
            </w:r>
            <w:r>
              <w:rPr>
                <w:rFonts w:hint="eastAsia" w:ascii="宋体" w:hAnsi="宋体" w:cs="仿宋"/>
                <w:sz w:val="24"/>
                <w:highlight w:val="none"/>
              </w:rPr>
              <w:t>与需求的吻合程度：投标产品的基本功能、技术指标与需求的吻合程度和偏差情况，标*项参数以第三方检测机构出具的具备CMA标识的检测报告等为准（并加盖生产厂家公章），技术指标低于需求技术要求或未提供依据的每一项扣减1分，</w:t>
            </w:r>
            <w:r>
              <w:rPr>
                <w:rFonts w:hint="eastAsia" w:ascii="宋体" w:hAnsi="宋体" w:cs="仿宋"/>
                <w:b/>
                <w:sz w:val="24"/>
                <w:highlight w:val="none"/>
              </w:rPr>
              <w:t>本项总计7</w:t>
            </w:r>
            <w:r>
              <w:rPr>
                <w:rFonts w:ascii="宋体" w:hAnsi="宋体" w:cs="仿宋"/>
                <w:b/>
                <w:sz w:val="24"/>
                <w:highlight w:val="none"/>
              </w:rPr>
              <w:t>分，扣完为止。</w:t>
            </w:r>
          </w:p>
        </w:tc>
        <w:tc>
          <w:tcPr>
            <w:tcW w:w="723" w:type="dxa"/>
            <w:vAlign w:val="center"/>
          </w:tcPr>
          <w:p w14:paraId="3F8832A5">
            <w:pPr>
              <w:spacing w:line="360" w:lineRule="auto"/>
              <w:jc w:val="center"/>
              <w:outlineLvl w:val="0"/>
              <w:rPr>
                <w:rFonts w:ascii="宋体" w:hAnsi="宋体" w:cs="仿宋"/>
                <w:sz w:val="24"/>
                <w:highlight w:val="none"/>
              </w:rPr>
            </w:pPr>
            <w:r>
              <w:rPr>
                <w:rFonts w:hint="eastAsia" w:ascii="宋体" w:hAnsi="宋体" w:cs="仿宋"/>
                <w:sz w:val="24"/>
                <w:highlight w:val="none"/>
              </w:rPr>
              <w:t>7</w:t>
            </w:r>
          </w:p>
        </w:tc>
        <w:tc>
          <w:tcPr>
            <w:tcW w:w="983" w:type="dxa"/>
            <w:vAlign w:val="center"/>
          </w:tcPr>
          <w:p w14:paraId="125F8B3B">
            <w:pPr>
              <w:spacing w:line="360" w:lineRule="auto"/>
              <w:jc w:val="center"/>
              <w:outlineLvl w:val="0"/>
              <w:rPr>
                <w:rFonts w:ascii="宋体" w:hAnsi="宋体" w:cs="仿宋"/>
                <w:sz w:val="24"/>
                <w:highlight w:val="none"/>
              </w:rPr>
            </w:pPr>
            <w:r>
              <w:rPr>
                <w:rFonts w:hint="eastAsia" w:ascii="宋体" w:hAnsi="宋体" w:cs="仿宋"/>
                <w:sz w:val="24"/>
                <w:highlight w:val="none"/>
              </w:rPr>
              <w:t>客观分</w:t>
            </w:r>
          </w:p>
        </w:tc>
        <w:tc>
          <w:tcPr>
            <w:tcW w:w="1731" w:type="dxa"/>
            <w:vAlign w:val="center"/>
          </w:tcPr>
          <w:p w14:paraId="034492FA">
            <w:pPr>
              <w:spacing w:line="360" w:lineRule="auto"/>
              <w:jc w:val="center"/>
              <w:outlineLvl w:val="0"/>
              <w:rPr>
                <w:rFonts w:ascii="宋体" w:hAnsi="宋体" w:cs="仿宋"/>
                <w:sz w:val="24"/>
                <w:highlight w:val="none"/>
              </w:rPr>
            </w:pPr>
            <w:r>
              <w:rPr>
                <w:rFonts w:hint="eastAsia" w:ascii="宋体" w:hAnsi="宋体" w:cs="仿宋"/>
                <w:sz w:val="24"/>
                <w:highlight w:val="none"/>
              </w:rPr>
              <w:t>（二）投标人提供产品的性能与需求吻合程度(7分)</w:t>
            </w:r>
          </w:p>
        </w:tc>
      </w:tr>
      <w:tr w14:paraId="6A58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4" w:type="dxa"/>
            <w:vAlign w:val="center"/>
          </w:tcPr>
          <w:p w14:paraId="501C33FF">
            <w:pPr>
              <w:spacing w:line="360" w:lineRule="auto"/>
              <w:jc w:val="center"/>
              <w:outlineLvl w:val="0"/>
              <w:rPr>
                <w:rFonts w:ascii="宋体" w:hAnsi="宋体" w:cs="仿宋"/>
                <w:sz w:val="24"/>
                <w:highlight w:val="none"/>
              </w:rPr>
            </w:pPr>
            <w:r>
              <w:rPr>
                <w:rFonts w:hint="eastAsia" w:ascii="宋体" w:hAnsi="宋体" w:cs="仿宋"/>
                <w:sz w:val="24"/>
                <w:highlight w:val="none"/>
              </w:rPr>
              <w:t>3</w:t>
            </w:r>
          </w:p>
        </w:tc>
        <w:tc>
          <w:tcPr>
            <w:tcW w:w="5400" w:type="dxa"/>
            <w:vAlign w:val="center"/>
          </w:tcPr>
          <w:p w14:paraId="549F06D0">
            <w:pPr>
              <w:numPr>
                <w:ilvl w:val="0"/>
                <w:numId w:val="9"/>
              </w:numPr>
              <w:snapToGrid w:val="0"/>
              <w:spacing w:line="360" w:lineRule="auto"/>
              <w:rPr>
                <w:rFonts w:ascii="宋体" w:hAnsi="宋体" w:cs="仿宋"/>
                <w:sz w:val="24"/>
                <w:highlight w:val="none"/>
              </w:rPr>
            </w:pPr>
            <w:r>
              <w:rPr>
                <w:rFonts w:hint="eastAsia" w:ascii="宋体" w:hAnsi="宋体" w:cs="仿宋"/>
                <w:sz w:val="24"/>
                <w:szCs w:val="20"/>
                <w:highlight w:val="none"/>
              </w:rPr>
              <w:t>投标人</w:t>
            </w:r>
            <w:r>
              <w:rPr>
                <w:rFonts w:hint="eastAsia" w:ascii="宋体" w:hAnsi="宋体" w:cs="仿宋"/>
                <w:sz w:val="24"/>
                <w:highlight w:val="none"/>
              </w:rPr>
              <w:t>承诺采购需求中部分内容（货运导航数据及运营保障服务中的城市货运导航数据运营服务）满足采购需求的得2分，未承诺或不提供的不得分。</w:t>
            </w:r>
          </w:p>
          <w:p w14:paraId="539A93EE">
            <w:pPr>
              <w:numPr>
                <w:ilvl w:val="0"/>
                <w:numId w:val="9"/>
              </w:numPr>
              <w:snapToGrid w:val="0"/>
              <w:spacing w:line="360" w:lineRule="auto"/>
              <w:rPr>
                <w:rFonts w:ascii="宋体" w:hAnsi="宋体" w:cs="宋体"/>
                <w:bCs/>
                <w:sz w:val="24"/>
                <w:highlight w:val="none"/>
              </w:rPr>
            </w:pPr>
            <w:r>
              <w:rPr>
                <w:rFonts w:hint="eastAsia" w:ascii="宋体" w:hAnsi="宋体" w:cs="仿宋"/>
                <w:sz w:val="24"/>
                <w:highlight w:val="none"/>
              </w:rPr>
              <w:t>投标人所承诺的合同期内，货运导航数据及运营保障服务中的城市货运导航数据运营服务未按承诺履行的扣款金额情况。单次违约金金额不低于5万元且不高于20万元；</w:t>
            </w:r>
          </w:p>
          <w:p w14:paraId="5262A099">
            <w:pPr>
              <w:snapToGrid w:val="0"/>
              <w:spacing w:line="360" w:lineRule="auto"/>
              <w:rPr>
                <w:rFonts w:ascii="宋体" w:hAnsi="宋体" w:cs="宋体"/>
                <w:bCs/>
                <w:sz w:val="24"/>
                <w:highlight w:val="none"/>
              </w:rPr>
            </w:pPr>
            <w:r>
              <w:rPr>
                <w:rFonts w:hint="eastAsia" w:ascii="宋体" w:hAnsi="宋体" w:cs="仿宋"/>
                <w:sz w:val="24"/>
                <w:highlight w:val="none"/>
              </w:rPr>
              <w:t>得分计算方式：投标人承诺的有效扣款金额的最高额作为评审基准，其最高额为满分；按［扣款金额得分=（承诺的扣款金额/评审基准）×6］的计算公式计算。四舍五入保留2位小数。</w:t>
            </w:r>
          </w:p>
        </w:tc>
        <w:tc>
          <w:tcPr>
            <w:tcW w:w="723" w:type="dxa"/>
            <w:vAlign w:val="center"/>
          </w:tcPr>
          <w:p w14:paraId="18163692">
            <w:pPr>
              <w:spacing w:line="360" w:lineRule="auto"/>
              <w:jc w:val="center"/>
              <w:outlineLvl w:val="0"/>
              <w:rPr>
                <w:rFonts w:ascii="宋体" w:hAnsi="宋体" w:cs="仿宋"/>
                <w:sz w:val="24"/>
                <w:highlight w:val="none"/>
              </w:rPr>
            </w:pPr>
            <w:r>
              <w:rPr>
                <w:rFonts w:hint="eastAsia" w:ascii="宋体" w:hAnsi="宋体" w:cs="仿宋"/>
                <w:sz w:val="24"/>
                <w:highlight w:val="none"/>
              </w:rPr>
              <w:t>8</w:t>
            </w:r>
          </w:p>
        </w:tc>
        <w:tc>
          <w:tcPr>
            <w:tcW w:w="983" w:type="dxa"/>
            <w:vAlign w:val="center"/>
          </w:tcPr>
          <w:p w14:paraId="70E0C3F0">
            <w:pPr>
              <w:spacing w:line="360" w:lineRule="auto"/>
              <w:jc w:val="center"/>
              <w:outlineLvl w:val="0"/>
              <w:rPr>
                <w:rFonts w:ascii="宋体" w:hAnsi="宋体" w:cs="仿宋"/>
                <w:sz w:val="24"/>
                <w:highlight w:val="none"/>
              </w:rPr>
            </w:pPr>
            <w:r>
              <w:rPr>
                <w:rFonts w:hint="eastAsia" w:ascii="宋体" w:hAnsi="宋体" w:cs="仿宋"/>
                <w:sz w:val="24"/>
                <w:szCs w:val="20"/>
                <w:highlight w:val="none"/>
              </w:rPr>
              <w:t>客观分</w:t>
            </w:r>
          </w:p>
        </w:tc>
        <w:tc>
          <w:tcPr>
            <w:tcW w:w="1731" w:type="dxa"/>
            <w:vAlign w:val="center"/>
          </w:tcPr>
          <w:p w14:paraId="261B6A2A">
            <w:pPr>
              <w:spacing w:line="360" w:lineRule="auto"/>
              <w:jc w:val="center"/>
              <w:outlineLvl w:val="0"/>
              <w:rPr>
                <w:rFonts w:ascii="宋体" w:hAnsi="宋体" w:cs="仿宋"/>
                <w:sz w:val="24"/>
                <w:highlight w:val="none"/>
              </w:rPr>
            </w:pPr>
            <w:r>
              <w:rPr>
                <w:rFonts w:hint="eastAsia" w:ascii="宋体" w:hAnsi="宋体" w:cs="仿宋"/>
                <w:sz w:val="24"/>
                <w:szCs w:val="20"/>
                <w:highlight w:val="none"/>
              </w:rPr>
              <w:t>（三）投标人提供产品证明材料（</w:t>
            </w:r>
            <w:r>
              <w:rPr>
                <w:rFonts w:hint="eastAsia" w:ascii="宋体" w:hAnsi="宋体" w:cs="仿宋"/>
                <w:sz w:val="24"/>
                <w:highlight w:val="none"/>
              </w:rPr>
              <w:t>8</w:t>
            </w:r>
            <w:r>
              <w:rPr>
                <w:rFonts w:hint="eastAsia" w:ascii="宋体" w:hAnsi="宋体" w:cs="仿宋"/>
                <w:sz w:val="24"/>
                <w:szCs w:val="20"/>
                <w:highlight w:val="none"/>
              </w:rPr>
              <w:t>分）</w:t>
            </w:r>
          </w:p>
        </w:tc>
      </w:tr>
      <w:tr w14:paraId="05A0E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34" w:type="dxa"/>
            <w:vAlign w:val="center"/>
          </w:tcPr>
          <w:p w14:paraId="3341AE58">
            <w:pPr>
              <w:spacing w:line="360" w:lineRule="auto"/>
              <w:jc w:val="center"/>
              <w:outlineLvl w:val="0"/>
              <w:rPr>
                <w:rFonts w:ascii="宋体" w:hAnsi="宋体" w:cs="仿宋"/>
                <w:sz w:val="24"/>
                <w:highlight w:val="none"/>
              </w:rPr>
            </w:pPr>
            <w:r>
              <w:rPr>
                <w:rFonts w:hint="eastAsia" w:ascii="宋体" w:hAnsi="宋体" w:cs="仿宋"/>
                <w:sz w:val="24"/>
                <w:highlight w:val="none"/>
              </w:rPr>
              <w:t>4</w:t>
            </w:r>
          </w:p>
        </w:tc>
        <w:tc>
          <w:tcPr>
            <w:tcW w:w="5400" w:type="dxa"/>
            <w:vAlign w:val="center"/>
          </w:tcPr>
          <w:p w14:paraId="596CC930">
            <w:pPr>
              <w:widowControl/>
              <w:shd w:val="clear" w:color="auto" w:fill="FFFFFF"/>
              <w:snapToGrid w:val="0"/>
              <w:spacing w:line="360" w:lineRule="auto"/>
              <w:rPr>
                <w:rFonts w:ascii="宋体" w:hAnsi="宋体" w:cs="宋体"/>
                <w:sz w:val="24"/>
                <w:highlight w:val="none"/>
              </w:rPr>
            </w:pPr>
            <w:r>
              <w:rPr>
                <w:rFonts w:ascii="宋体" w:hAnsi="宋体" w:cs="宋体"/>
                <w:bCs/>
                <w:sz w:val="24"/>
                <w:highlight w:val="none"/>
              </w:rPr>
              <w:t>1</w:t>
            </w:r>
            <w:r>
              <w:rPr>
                <w:rFonts w:hint="eastAsia" w:ascii="宋体" w:hAnsi="宋体" w:cs="宋体"/>
                <w:sz w:val="24"/>
                <w:highlight w:val="none"/>
              </w:rPr>
              <w:t>、承诺服务期内提供《应急响应报告》不少于</w:t>
            </w:r>
            <w:r>
              <w:rPr>
                <w:rFonts w:ascii="宋体" w:hAnsi="宋体" w:cs="宋体"/>
                <w:sz w:val="24"/>
                <w:highlight w:val="none"/>
              </w:rPr>
              <w:t>4</w:t>
            </w:r>
            <w:r>
              <w:rPr>
                <w:rFonts w:hint="eastAsia" w:ascii="宋体" w:hAnsi="宋体" w:cs="宋体"/>
                <w:sz w:val="24"/>
                <w:highlight w:val="none"/>
              </w:rPr>
              <w:t>份，满足采购需求的得2</w:t>
            </w:r>
            <w:r>
              <w:rPr>
                <w:rFonts w:ascii="宋体" w:hAnsi="宋体" w:cs="宋体"/>
                <w:sz w:val="24"/>
                <w:highlight w:val="none"/>
              </w:rPr>
              <w:t>分，不满足不得分。</w:t>
            </w:r>
          </w:p>
          <w:p w14:paraId="63BD7ED8">
            <w:pPr>
              <w:widowControl/>
              <w:shd w:val="clear" w:color="auto" w:fill="FFFFFF"/>
              <w:snapToGrid w:val="0"/>
              <w:spacing w:line="360" w:lineRule="auto"/>
              <w:rPr>
                <w:rFonts w:ascii="宋体" w:hAnsi="宋体" w:cs="宋体"/>
                <w:sz w:val="24"/>
                <w:highlight w:val="none"/>
              </w:rPr>
            </w:pPr>
            <w:r>
              <w:rPr>
                <w:rFonts w:ascii="宋体" w:hAnsi="宋体" w:cs="宋体"/>
                <w:sz w:val="24"/>
                <w:highlight w:val="none"/>
              </w:rPr>
              <w:t>2、</w:t>
            </w:r>
            <w:r>
              <w:rPr>
                <w:rFonts w:hint="eastAsia" w:ascii="宋体" w:hAnsi="宋体" w:cs="宋体"/>
                <w:sz w:val="24"/>
                <w:highlight w:val="none"/>
              </w:rPr>
              <w:t>承诺服务期内提供《渗透测试报告》不少于</w:t>
            </w:r>
            <w:r>
              <w:rPr>
                <w:rFonts w:ascii="宋体" w:hAnsi="宋体" w:cs="宋体"/>
                <w:sz w:val="24"/>
                <w:highlight w:val="none"/>
              </w:rPr>
              <w:t>20</w:t>
            </w:r>
            <w:r>
              <w:rPr>
                <w:rFonts w:hint="eastAsia" w:ascii="宋体" w:hAnsi="宋体" w:cs="宋体"/>
                <w:sz w:val="24"/>
                <w:highlight w:val="none"/>
              </w:rPr>
              <w:t>份，满足采购需求的得2</w:t>
            </w:r>
            <w:r>
              <w:rPr>
                <w:rFonts w:ascii="宋体" w:hAnsi="宋体" w:cs="宋体"/>
                <w:sz w:val="24"/>
                <w:highlight w:val="none"/>
              </w:rPr>
              <w:t>分，不满足不得分。</w:t>
            </w:r>
          </w:p>
          <w:p w14:paraId="1E2FFED2">
            <w:pPr>
              <w:widowControl/>
              <w:shd w:val="clear" w:color="auto" w:fill="FFFFFF"/>
              <w:snapToGrid w:val="0"/>
              <w:spacing w:line="360" w:lineRule="auto"/>
              <w:rPr>
                <w:rFonts w:ascii="宋体" w:hAnsi="宋体" w:cs="宋体"/>
                <w:sz w:val="24"/>
                <w:highlight w:val="none"/>
              </w:rPr>
            </w:pPr>
            <w:r>
              <w:rPr>
                <w:rFonts w:hint="eastAsia" w:ascii="宋体" w:hAnsi="宋体" w:cs="宋体"/>
                <w:sz w:val="24"/>
                <w:highlight w:val="none"/>
              </w:rPr>
              <w:t>3、承诺服务期内提供《重保期间安全日报》不少于</w:t>
            </w:r>
            <w:r>
              <w:rPr>
                <w:rFonts w:ascii="宋体" w:hAnsi="宋体" w:cs="宋体"/>
                <w:sz w:val="24"/>
                <w:highlight w:val="none"/>
              </w:rPr>
              <w:t>4份，满足</w:t>
            </w:r>
            <w:r>
              <w:rPr>
                <w:rFonts w:hint="eastAsia" w:ascii="宋体" w:hAnsi="宋体" w:cs="宋体"/>
                <w:sz w:val="24"/>
                <w:highlight w:val="none"/>
              </w:rPr>
              <w:t>采购需求的</w:t>
            </w:r>
            <w:r>
              <w:rPr>
                <w:rFonts w:ascii="宋体" w:hAnsi="宋体" w:cs="宋体"/>
                <w:sz w:val="24"/>
                <w:highlight w:val="none"/>
              </w:rPr>
              <w:t>得</w:t>
            </w:r>
            <w:r>
              <w:rPr>
                <w:rFonts w:hint="eastAsia" w:ascii="宋体" w:hAnsi="宋体" w:cs="宋体"/>
                <w:sz w:val="24"/>
                <w:highlight w:val="none"/>
              </w:rPr>
              <w:t>2</w:t>
            </w:r>
            <w:r>
              <w:rPr>
                <w:rFonts w:ascii="宋体" w:hAnsi="宋体" w:cs="宋体"/>
                <w:sz w:val="24"/>
                <w:highlight w:val="none"/>
              </w:rPr>
              <w:t>分，不满足不得分。</w:t>
            </w:r>
          </w:p>
          <w:p w14:paraId="595C5387">
            <w:pPr>
              <w:widowControl/>
              <w:shd w:val="clear" w:color="auto" w:fill="FFFFFF"/>
              <w:snapToGrid w:val="0"/>
              <w:spacing w:line="360" w:lineRule="auto"/>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承诺服务期内提供《网络安全事件应急演练报告》不少于</w:t>
            </w:r>
            <w:r>
              <w:rPr>
                <w:rFonts w:ascii="宋体" w:hAnsi="宋体" w:cs="宋体"/>
                <w:sz w:val="24"/>
                <w:highlight w:val="none"/>
              </w:rPr>
              <w:t>1</w:t>
            </w:r>
            <w:r>
              <w:rPr>
                <w:rFonts w:hint="eastAsia" w:ascii="宋体" w:hAnsi="宋体" w:cs="宋体"/>
                <w:sz w:val="24"/>
                <w:highlight w:val="none"/>
              </w:rPr>
              <w:t>份，满足采购需求的得2</w:t>
            </w:r>
            <w:r>
              <w:rPr>
                <w:rFonts w:ascii="宋体" w:hAnsi="宋体" w:cs="宋体"/>
                <w:sz w:val="24"/>
                <w:highlight w:val="none"/>
              </w:rPr>
              <w:t>分，不满足不得分。</w:t>
            </w:r>
          </w:p>
          <w:p w14:paraId="06712D83">
            <w:pPr>
              <w:snapToGrid w:val="0"/>
              <w:spacing w:line="360" w:lineRule="auto"/>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承诺服务期内提供《网络安全事件应急预案》不少于1</w:t>
            </w:r>
            <w:r>
              <w:rPr>
                <w:rFonts w:ascii="宋体" w:hAnsi="宋体" w:cs="宋体"/>
                <w:sz w:val="24"/>
                <w:highlight w:val="none"/>
              </w:rPr>
              <w:t>份，满足</w:t>
            </w:r>
            <w:r>
              <w:rPr>
                <w:rFonts w:hint="eastAsia" w:ascii="宋体" w:hAnsi="宋体" w:cs="宋体"/>
                <w:sz w:val="24"/>
                <w:highlight w:val="none"/>
              </w:rPr>
              <w:t>采购需求的</w:t>
            </w:r>
            <w:r>
              <w:rPr>
                <w:rFonts w:ascii="宋体" w:hAnsi="宋体" w:cs="宋体"/>
                <w:sz w:val="24"/>
                <w:highlight w:val="none"/>
              </w:rPr>
              <w:t>得</w:t>
            </w:r>
            <w:r>
              <w:rPr>
                <w:rFonts w:hint="eastAsia" w:ascii="宋体" w:hAnsi="宋体" w:cs="宋体"/>
                <w:sz w:val="24"/>
                <w:highlight w:val="none"/>
              </w:rPr>
              <w:t>2</w:t>
            </w:r>
            <w:r>
              <w:rPr>
                <w:rFonts w:ascii="宋体" w:hAnsi="宋体" w:cs="宋体"/>
                <w:sz w:val="24"/>
                <w:highlight w:val="none"/>
              </w:rPr>
              <w:t>分，不满足不得分。</w:t>
            </w:r>
          </w:p>
          <w:p w14:paraId="1D56D0F1">
            <w:pPr>
              <w:snapToGrid w:val="0"/>
              <w:spacing w:line="360" w:lineRule="auto"/>
              <w:rPr>
                <w:rFonts w:ascii="宋体" w:hAnsi="宋体" w:cs="宋体"/>
                <w:sz w:val="24"/>
                <w:highlight w:val="none"/>
              </w:rPr>
            </w:pPr>
            <w:r>
              <w:rPr>
                <w:rFonts w:hint="eastAsia" w:ascii="宋体" w:hAnsi="宋体" w:cs="宋体"/>
                <w:bCs/>
                <w:sz w:val="24"/>
                <w:highlight w:val="none"/>
              </w:rPr>
              <w:t>6、承诺服务期结束后提供《网络安全总结报告》1份，</w:t>
            </w:r>
            <w:r>
              <w:rPr>
                <w:rFonts w:hint="eastAsia" w:ascii="宋体" w:hAnsi="宋体" w:cs="宋体"/>
                <w:sz w:val="24"/>
                <w:highlight w:val="none"/>
              </w:rPr>
              <w:t>满足采购需求的得2分，不满足不得分。</w:t>
            </w:r>
          </w:p>
          <w:p w14:paraId="18AD19C6">
            <w:pPr>
              <w:snapToGrid w:val="0"/>
              <w:spacing w:line="360" w:lineRule="auto"/>
              <w:rPr>
                <w:rFonts w:ascii="宋体" w:hAnsi="宋体" w:cs="宋体"/>
                <w:bCs/>
                <w:sz w:val="24"/>
                <w:highlight w:val="none"/>
              </w:rPr>
            </w:pPr>
            <w:r>
              <w:rPr>
                <w:rFonts w:hint="eastAsia" w:ascii="宋体" w:hAnsi="宋体" w:cs="宋体"/>
                <w:sz w:val="24"/>
                <w:highlight w:val="none"/>
              </w:rPr>
              <w:t>7、</w:t>
            </w:r>
            <w:r>
              <w:rPr>
                <w:rFonts w:hint="eastAsia" w:ascii="宋体" w:hAnsi="宋体" w:cs="仿宋"/>
                <w:sz w:val="24"/>
                <w:highlight w:val="none"/>
              </w:rPr>
              <w:t>承诺</w:t>
            </w:r>
            <w:r>
              <w:rPr>
                <w:rFonts w:hint="eastAsia" w:ascii="宋体" w:hAnsi="宋体" w:cs="宋体"/>
                <w:bCs/>
                <w:sz w:val="24"/>
                <w:highlight w:val="none"/>
              </w:rPr>
              <w:t>对于本项目中提供的软硬件，需根据信创要求，完成信创测评，如因投标人原因未符合要求的，需负责整改到位，</w:t>
            </w:r>
            <w:r>
              <w:rPr>
                <w:rFonts w:hint="eastAsia" w:ascii="宋体" w:hAnsi="宋体" w:cs="宋体"/>
                <w:sz w:val="24"/>
                <w:highlight w:val="none"/>
              </w:rPr>
              <w:t>满足采购需求的得6分，不满足不得分。</w:t>
            </w:r>
          </w:p>
        </w:tc>
        <w:tc>
          <w:tcPr>
            <w:tcW w:w="723" w:type="dxa"/>
            <w:vAlign w:val="center"/>
          </w:tcPr>
          <w:p w14:paraId="5AB11628">
            <w:pPr>
              <w:spacing w:line="360" w:lineRule="auto"/>
              <w:jc w:val="center"/>
              <w:outlineLvl w:val="0"/>
              <w:rPr>
                <w:rFonts w:ascii="宋体" w:hAnsi="宋体" w:cs="仿宋"/>
                <w:sz w:val="24"/>
                <w:highlight w:val="none"/>
              </w:rPr>
            </w:pPr>
            <w:r>
              <w:rPr>
                <w:rFonts w:hint="eastAsia" w:ascii="宋体" w:hAnsi="宋体" w:cs="仿宋"/>
                <w:sz w:val="24"/>
                <w:highlight w:val="none"/>
              </w:rPr>
              <w:t>18</w:t>
            </w:r>
          </w:p>
        </w:tc>
        <w:tc>
          <w:tcPr>
            <w:tcW w:w="983" w:type="dxa"/>
            <w:vAlign w:val="center"/>
          </w:tcPr>
          <w:p w14:paraId="2F63F39D">
            <w:pPr>
              <w:spacing w:line="360" w:lineRule="auto"/>
              <w:jc w:val="center"/>
              <w:outlineLvl w:val="0"/>
              <w:rPr>
                <w:rFonts w:ascii="宋体" w:hAnsi="宋体" w:cs="仿宋"/>
                <w:sz w:val="24"/>
                <w:highlight w:val="none"/>
              </w:rPr>
            </w:pPr>
            <w:r>
              <w:rPr>
                <w:rFonts w:ascii="宋体" w:hAnsi="宋体" w:cs="仿宋"/>
                <w:sz w:val="24"/>
                <w:highlight w:val="none"/>
              </w:rPr>
              <w:t>客观分</w:t>
            </w:r>
          </w:p>
        </w:tc>
        <w:tc>
          <w:tcPr>
            <w:tcW w:w="1731" w:type="dxa"/>
            <w:vAlign w:val="center"/>
          </w:tcPr>
          <w:p w14:paraId="3470EDC5">
            <w:pPr>
              <w:spacing w:line="360" w:lineRule="auto"/>
              <w:jc w:val="center"/>
              <w:outlineLvl w:val="0"/>
              <w:rPr>
                <w:rFonts w:ascii="宋体" w:hAnsi="宋体" w:cs="仿宋"/>
                <w:sz w:val="24"/>
                <w:highlight w:val="none"/>
              </w:rPr>
            </w:pPr>
            <w:r>
              <w:rPr>
                <w:rFonts w:hint="eastAsia" w:ascii="宋体" w:hAnsi="宋体" w:cs="仿宋"/>
                <w:sz w:val="24"/>
                <w:highlight w:val="none"/>
              </w:rPr>
              <w:t>（四）服务承诺（18分）</w:t>
            </w:r>
          </w:p>
        </w:tc>
      </w:tr>
      <w:tr w14:paraId="48170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34" w:type="dxa"/>
            <w:vAlign w:val="center"/>
          </w:tcPr>
          <w:p w14:paraId="5228F5E0">
            <w:pPr>
              <w:spacing w:line="360" w:lineRule="auto"/>
              <w:jc w:val="center"/>
              <w:outlineLvl w:val="0"/>
              <w:rPr>
                <w:rFonts w:ascii="宋体" w:hAnsi="宋体" w:cs="仿宋"/>
                <w:sz w:val="24"/>
                <w:highlight w:val="none"/>
              </w:rPr>
            </w:pPr>
            <w:r>
              <w:rPr>
                <w:rFonts w:hint="eastAsia" w:ascii="宋体" w:hAnsi="宋体" w:cs="仿宋"/>
                <w:sz w:val="24"/>
                <w:highlight w:val="none"/>
              </w:rPr>
              <w:t>5</w:t>
            </w:r>
          </w:p>
        </w:tc>
        <w:tc>
          <w:tcPr>
            <w:tcW w:w="5400" w:type="dxa"/>
            <w:vAlign w:val="center"/>
          </w:tcPr>
          <w:p w14:paraId="1315DEFB">
            <w:pPr>
              <w:snapToGrid w:val="0"/>
              <w:spacing w:line="360" w:lineRule="auto"/>
              <w:jc w:val="left"/>
              <w:rPr>
                <w:rFonts w:ascii="宋体" w:hAnsi="宋体" w:cs="宋体"/>
                <w:b/>
                <w:sz w:val="24"/>
                <w:highlight w:val="none"/>
              </w:rPr>
            </w:pPr>
            <w:r>
              <w:rPr>
                <w:rFonts w:ascii="宋体" w:hAnsi="宋体" w:cs="宋体"/>
                <w:b/>
                <w:sz w:val="24"/>
                <w:szCs w:val="20"/>
                <w:highlight w:val="none"/>
              </w:rPr>
              <w:t>1、</w:t>
            </w:r>
            <w:r>
              <w:rPr>
                <w:rFonts w:hint="eastAsia" w:ascii="宋体" w:hAnsi="宋体" w:cs="宋体"/>
                <w:b/>
                <w:sz w:val="24"/>
                <w:szCs w:val="20"/>
                <w:highlight w:val="none"/>
              </w:rPr>
              <w:t>年龄：</w:t>
            </w:r>
          </w:p>
          <w:p w14:paraId="2D87413D">
            <w:pPr>
              <w:snapToGrid w:val="0"/>
              <w:spacing w:line="360" w:lineRule="auto"/>
              <w:jc w:val="left"/>
              <w:rPr>
                <w:rFonts w:ascii="宋体" w:hAnsi="宋体" w:cs="宋体"/>
                <w:bCs/>
                <w:sz w:val="24"/>
                <w:highlight w:val="none"/>
              </w:rPr>
            </w:pPr>
            <w:r>
              <w:rPr>
                <w:rFonts w:hint="eastAsia" w:ascii="宋体" w:hAnsi="宋体" w:cs="宋体"/>
                <w:bCs/>
                <w:sz w:val="24"/>
                <w:szCs w:val="20"/>
                <w:highlight w:val="none"/>
              </w:rPr>
              <w:t>①</w:t>
            </w:r>
            <w:r>
              <w:rPr>
                <w:rFonts w:ascii="宋体" w:hAnsi="宋体" w:cs="宋体"/>
                <w:bCs/>
                <w:sz w:val="24"/>
                <w:szCs w:val="20"/>
                <w:highlight w:val="none"/>
              </w:rPr>
              <w:t>.</w:t>
            </w:r>
            <w:r>
              <w:rPr>
                <w:rFonts w:hint="eastAsia" w:ascii="宋体" w:hAnsi="宋体" w:cs="宋体"/>
                <w:bCs/>
                <w:sz w:val="24"/>
                <w:szCs w:val="20"/>
                <w:highlight w:val="none"/>
              </w:rPr>
              <w:t>项目负责人</w:t>
            </w:r>
            <w:r>
              <w:rPr>
                <w:rFonts w:ascii="宋体" w:hAnsi="宋体" w:cs="宋体"/>
                <w:bCs/>
                <w:sz w:val="24"/>
                <w:szCs w:val="20"/>
                <w:highlight w:val="none"/>
              </w:rPr>
              <w:t>满足年龄55周岁（含）以下</w:t>
            </w:r>
            <w:r>
              <w:rPr>
                <w:rFonts w:hint="eastAsia" w:ascii="宋体" w:hAnsi="宋体" w:cs="宋体"/>
                <w:bCs/>
                <w:sz w:val="24"/>
                <w:szCs w:val="20"/>
                <w:highlight w:val="none"/>
              </w:rPr>
              <w:t>的，得</w:t>
            </w:r>
            <w:r>
              <w:rPr>
                <w:rFonts w:hint="eastAsia" w:ascii="宋体" w:hAnsi="宋体" w:cs="宋体"/>
                <w:bCs/>
                <w:sz w:val="24"/>
                <w:highlight w:val="none"/>
              </w:rPr>
              <w:t>0.5</w:t>
            </w:r>
            <w:r>
              <w:rPr>
                <w:rFonts w:hint="eastAsia" w:ascii="宋体" w:hAnsi="宋体" w:cs="宋体"/>
                <w:bCs/>
                <w:sz w:val="24"/>
                <w:szCs w:val="20"/>
                <w:highlight w:val="none"/>
              </w:rPr>
              <w:t>分，不满足不得分。（</w:t>
            </w:r>
            <w:r>
              <w:rPr>
                <w:rFonts w:ascii="宋体" w:hAnsi="宋体" w:cs="宋体"/>
                <w:bCs/>
                <w:sz w:val="24"/>
                <w:szCs w:val="20"/>
                <w:highlight w:val="none"/>
              </w:rPr>
              <w:t>提供</w:t>
            </w:r>
            <w:r>
              <w:rPr>
                <w:rFonts w:hint="eastAsia" w:ascii="宋体" w:hAnsi="宋体" w:cs="宋体"/>
                <w:bCs/>
                <w:sz w:val="24"/>
                <w:szCs w:val="20"/>
                <w:highlight w:val="none"/>
              </w:rPr>
              <w:t>项目负责人身份证、社保证明）；</w:t>
            </w:r>
          </w:p>
          <w:p w14:paraId="4A3ACA4C">
            <w:pPr>
              <w:snapToGrid w:val="0"/>
              <w:spacing w:line="360" w:lineRule="auto"/>
              <w:jc w:val="left"/>
              <w:rPr>
                <w:rFonts w:ascii="宋体" w:hAnsi="宋体" w:cs="宋体"/>
                <w:bCs/>
                <w:sz w:val="24"/>
                <w:highlight w:val="none"/>
              </w:rPr>
            </w:pPr>
            <w:r>
              <w:rPr>
                <w:rFonts w:hint="eastAsia" w:ascii="宋体" w:hAnsi="宋体" w:cs="宋体"/>
                <w:bCs/>
                <w:sz w:val="24"/>
                <w:szCs w:val="20"/>
                <w:highlight w:val="none"/>
              </w:rPr>
              <w:t>②．</w:t>
            </w:r>
            <w:r>
              <w:rPr>
                <w:rFonts w:ascii="宋体" w:hAnsi="宋体" w:cs="宋体"/>
                <w:bCs/>
                <w:sz w:val="24"/>
                <w:szCs w:val="20"/>
                <w:highlight w:val="none"/>
              </w:rPr>
              <w:t>驻点人员满足年龄55周岁（含）以下</w:t>
            </w:r>
            <w:r>
              <w:rPr>
                <w:rFonts w:hint="eastAsia" w:ascii="宋体" w:hAnsi="宋体" w:cs="宋体"/>
                <w:bCs/>
                <w:sz w:val="24"/>
                <w:szCs w:val="20"/>
                <w:highlight w:val="none"/>
              </w:rPr>
              <w:t>的，每满足</w:t>
            </w:r>
            <w:r>
              <w:rPr>
                <w:rFonts w:ascii="宋体" w:hAnsi="宋体" w:cs="宋体"/>
                <w:bCs/>
                <w:sz w:val="24"/>
                <w:szCs w:val="20"/>
                <w:highlight w:val="none"/>
              </w:rPr>
              <w:t>1人</w:t>
            </w:r>
            <w:r>
              <w:rPr>
                <w:rFonts w:hint="eastAsia" w:ascii="宋体" w:hAnsi="宋体" w:cs="宋体"/>
                <w:bCs/>
                <w:sz w:val="24"/>
                <w:szCs w:val="20"/>
                <w:highlight w:val="none"/>
              </w:rPr>
              <w:t>得</w:t>
            </w:r>
            <w:r>
              <w:rPr>
                <w:rFonts w:hint="eastAsia" w:ascii="宋体" w:hAnsi="宋体" w:cs="宋体"/>
                <w:bCs/>
                <w:sz w:val="24"/>
                <w:highlight w:val="none"/>
              </w:rPr>
              <w:t>0.5</w:t>
            </w:r>
            <w:r>
              <w:rPr>
                <w:rFonts w:hint="eastAsia" w:ascii="宋体" w:hAnsi="宋体" w:cs="宋体"/>
                <w:bCs/>
                <w:sz w:val="24"/>
                <w:szCs w:val="20"/>
                <w:highlight w:val="none"/>
              </w:rPr>
              <w:t>分，最多得</w:t>
            </w:r>
            <w:r>
              <w:rPr>
                <w:rFonts w:hint="eastAsia" w:ascii="宋体" w:hAnsi="宋体" w:cs="宋体"/>
                <w:bCs/>
                <w:sz w:val="24"/>
                <w:highlight w:val="none"/>
              </w:rPr>
              <w:t>5.5</w:t>
            </w:r>
            <w:r>
              <w:rPr>
                <w:rFonts w:hint="eastAsia" w:ascii="宋体" w:hAnsi="宋体" w:cs="宋体"/>
                <w:bCs/>
                <w:sz w:val="24"/>
                <w:szCs w:val="20"/>
                <w:highlight w:val="none"/>
              </w:rPr>
              <w:t>分，不满足不得分。（</w:t>
            </w:r>
            <w:r>
              <w:rPr>
                <w:rFonts w:ascii="宋体" w:hAnsi="宋体" w:cs="宋体"/>
                <w:bCs/>
                <w:sz w:val="24"/>
                <w:szCs w:val="20"/>
                <w:highlight w:val="none"/>
              </w:rPr>
              <w:t>提供</w:t>
            </w:r>
            <w:r>
              <w:rPr>
                <w:rFonts w:hint="eastAsia" w:ascii="宋体" w:hAnsi="宋体" w:cs="宋体"/>
                <w:bCs/>
                <w:sz w:val="24"/>
                <w:szCs w:val="20"/>
                <w:highlight w:val="none"/>
              </w:rPr>
              <w:t>驻点人员身份证、社保证明）；</w:t>
            </w:r>
          </w:p>
          <w:p w14:paraId="47C56AB3">
            <w:pPr>
              <w:snapToGrid w:val="0"/>
              <w:spacing w:line="360" w:lineRule="auto"/>
              <w:jc w:val="left"/>
              <w:rPr>
                <w:rFonts w:ascii="宋体" w:hAnsi="宋体" w:cs="宋体"/>
                <w:b/>
                <w:sz w:val="24"/>
                <w:highlight w:val="none"/>
              </w:rPr>
            </w:pPr>
            <w:r>
              <w:rPr>
                <w:rFonts w:ascii="宋体" w:hAnsi="宋体" w:cs="宋体"/>
                <w:b/>
                <w:sz w:val="24"/>
                <w:szCs w:val="20"/>
                <w:highlight w:val="none"/>
              </w:rPr>
              <w:t>2、学历：</w:t>
            </w:r>
          </w:p>
          <w:p w14:paraId="2E452793">
            <w:pPr>
              <w:snapToGrid w:val="0"/>
              <w:spacing w:line="360" w:lineRule="auto"/>
              <w:jc w:val="left"/>
              <w:rPr>
                <w:rFonts w:ascii="宋体" w:hAnsi="宋体" w:cs="宋体"/>
                <w:bCs/>
                <w:sz w:val="24"/>
                <w:highlight w:val="none"/>
              </w:rPr>
            </w:pPr>
            <w:r>
              <w:rPr>
                <w:rFonts w:hint="eastAsia" w:ascii="宋体" w:hAnsi="宋体" w:cs="宋体"/>
                <w:bCs/>
                <w:sz w:val="24"/>
                <w:szCs w:val="20"/>
                <w:highlight w:val="none"/>
              </w:rPr>
              <w:t>①</w:t>
            </w:r>
            <w:r>
              <w:rPr>
                <w:rFonts w:ascii="宋体" w:hAnsi="宋体" w:cs="宋体"/>
                <w:bCs/>
                <w:sz w:val="24"/>
                <w:szCs w:val="20"/>
                <w:highlight w:val="none"/>
              </w:rPr>
              <w:t>.项目负责人具有本科及以上学历的，得</w:t>
            </w:r>
            <w:r>
              <w:rPr>
                <w:rFonts w:hint="eastAsia" w:ascii="宋体" w:hAnsi="宋体" w:cs="宋体"/>
                <w:bCs/>
                <w:sz w:val="24"/>
                <w:highlight w:val="none"/>
              </w:rPr>
              <w:t>0.5</w:t>
            </w:r>
            <w:r>
              <w:rPr>
                <w:rFonts w:hint="eastAsia" w:ascii="宋体" w:hAnsi="宋体" w:cs="宋体"/>
                <w:bCs/>
                <w:sz w:val="24"/>
                <w:szCs w:val="20"/>
                <w:highlight w:val="none"/>
              </w:rPr>
              <w:t>分，不满足不得分。（提供学历证书）；</w:t>
            </w:r>
          </w:p>
          <w:p w14:paraId="288E628F">
            <w:pPr>
              <w:snapToGrid w:val="0"/>
              <w:spacing w:line="360" w:lineRule="auto"/>
              <w:jc w:val="left"/>
              <w:rPr>
                <w:rFonts w:ascii="宋体" w:hAnsi="宋体" w:cs="宋体"/>
                <w:bCs/>
                <w:sz w:val="24"/>
                <w:highlight w:val="none"/>
              </w:rPr>
            </w:pPr>
            <w:r>
              <w:rPr>
                <w:rFonts w:hint="eastAsia" w:ascii="宋体" w:hAnsi="宋体" w:cs="宋体"/>
                <w:bCs/>
                <w:sz w:val="24"/>
                <w:szCs w:val="20"/>
                <w:highlight w:val="none"/>
              </w:rPr>
              <w:t>②．驻点人员具有大专及以上学历的，每满足一人得</w:t>
            </w:r>
            <w:r>
              <w:rPr>
                <w:rFonts w:hint="eastAsia" w:ascii="宋体" w:hAnsi="宋体" w:cs="宋体"/>
                <w:bCs/>
                <w:sz w:val="24"/>
                <w:highlight w:val="none"/>
              </w:rPr>
              <w:t>0.5</w:t>
            </w:r>
            <w:r>
              <w:rPr>
                <w:rFonts w:hint="eastAsia" w:ascii="宋体" w:hAnsi="宋体" w:cs="宋体"/>
                <w:bCs/>
                <w:sz w:val="24"/>
                <w:szCs w:val="20"/>
                <w:highlight w:val="none"/>
              </w:rPr>
              <w:t>分，最多得</w:t>
            </w:r>
            <w:r>
              <w:rPr>
                <w:rFonts w:hint="eastAsia" w:ascii="宋体" w:hAnsi="宋体" w:cs="宋体"/>
                <w:bCs/>
                <w:sz w:val="24"/>
                <w:highlight w:val="none"/>
              </w:rPr>
              <w:t>5.5</w:t>
            </w:r>
            <w:r>
              <w:rPr>
                <w:rFonts w:hint="eastAsia" w:ascii="宋体" w:hAnsi="宋体" w:cs="宋体"/>
                <w:bCs/>
                <w:sz w:val="24"/>
                <w:szCs w:val="20"/>
                <w:highlight w:val="none"/>
              </w:rPr>
              <w:t>分，不满足不得分。（提供学历证书）；</w:t>
            </w:r>
          </w:p>
          <w:p w14:paraId="10D7F612">
            <w:pPr>
              <w:snapToGrid w:val="0"/>
              <w:spacing w:line="360" w:lineRule="auto"/>
              <w:jc w:val="left"/>
              <w:rPr>
                <w:rFonts w:ascii="宋体" w:hAnsi="宋体" w:cs="宋体"/>
                <w:b/>
                <w:sz w:val="24"/>
                <w:highlight w:val="none"/>
              </w:rPr>
            </w:pPr>
            <w:r>
              <w:rPr>
                <w:rFonts w:ascii="宋体" w:hAnsi="宋体" w:cs="宋体"/>
                <w:b/>
                <w:sz w:val="24"/>
                <w:szCs w:val="20"/>
                <w:highlight w:val="none"/>
              </w:rPr>
              <w:t>3、类似工作经验：</w:t>
            </w:r>
          </w:p>
          <w:p w14:paraId="4253C3A8">
            <w:pPr>
              <w:snapToGrid w:val="0"/>
              <w:spacing w:line="360" w:lineRule="auto"/>
              <w:jc w:val="left"/>
              <w:rPr>
                <w:rFonts w:ascii="宋体" w:hAnsi="宋体" w:cs="宋体"/>
                <w:bCs/>
                <w:sz w:val="24"/>
                <w:highlight w:val="none"/>
              </w:rPr>
            </w:pPr>
            <w:r>
              <w:rPr>
                <w:rFonts w:hint="eastAsia" w:ascii="宋体" w:hAnsi="宋体" w:cs="宋体"/>
                <w:bCs/>
                <w:sz w:val="24"/>
                <w:szCs w:val="20"/>
                <w:highlight w:val="none"/>
              </w:rPr>
              <w:t>①</w:t>
            </w:r>
            <w:r>
              <w:rPr>
                <w:rFonts w:ascii="宋体" w:hAnsi="宋体" w:cs="宋体"/>
                <w:bCs/>
                <w:sz w:val="24"/>
                <w:szCs w:val="20"/>
                <w:highlight w:val="none"/>
              </w:rPr>
              <w:t>.项目负责人</w:t>
            </w:r>
            <w:r>
              <w:rPr>
                <w:rFonts w:hint="eastAsia" w:ascii="宋体" w:hAnsi="宋体" w:cs="宋体"/>
                <w:bCs/>
                <w:sz w:val="24"/>
                <w:szCs w:val="20"/>
                <w:highlight w:val="none"/>
              </w:rPr>
              <w:t>具有信息化软硬件运维工作服务经验的得</w:t>
            </w:r>
            <w:r>
              <w:rPr>
                <w:rFonts w:ascii="宋体" w:hAnsi="宋体" w:cs="宋体"/>
                <w:bCs/>
                <w:sz w:val="24"/>
                <w:szCs w:val="20"/>
                <w:highlight w:val="none"/>
              </w:rPr>
              <w:t>1分，不满足不得分。（提供类似业绩合同或业主证明材料）</w:t>
            </w:r>
            <w:r>
              <w:rPr>
                <w:rFonts w:hint="eastAsia" w:ascii="宋体" w:hAnsi="宋体" w:cs="宋体"/>
                <w:bCs/>
                <w:sz w:val="24"/>
                <w:szCs w:val="20"/>
                <w:highlight w:val="none"/>
              </w:rPr>
              <w:t>；</w:t>
            </w:r>
          </w:p>
          <w:p w14:paraId="4D8495A2">
            <w:pPr>
              <w:snapToGrid w:val="0"/>
              <w:spacing w:line="360" w:lineRule="auto"/>
              <w:rPr>
                <w:rFonts w:ascii="宋体" w:hAnsi="宋体" w:cs="宋体"/>
                <w:bCs/>
                <w:sz w:val="24"/>
                <w:highlight w:val="none"/>
              </w:rPr>
            </w:pPr>
            <w:r>
              <w:rPr>
                <w:rFonts w:hint="eastAsia" w:ascii="宋体" w:hAnsi="宋体" w:cs="宋体"/>
                <w:bCs/>
                <w:sz w:val="24"/>
                <w:szCs w:val="20"/>
                <w:highlight w:val="none"/>
              </w:rPr>
              <w:t>②</w:t>
            </w:r>
            <w:r>
              <w:rPr>
                <w:rFonts w:ascii="宋体" w:hAnsi="宋体" w:cs="宋体"/>
                <w:bCs/>
                <w:sz w:val="24"/>
                <w:szCs w:val="20"/>
                <w:highlight w:val="none"/>
              </w:rPr>
              <w:t>.驻点人员</w:t>
            </w:r>
            <w:r>
              <w:rPr>
                <w:rFonts w:hint="eastAsia" w:ascii="宋体" w:hAnsi="宋体" w:cs="宋体"/>
                <w:bCs/>
                <w:sz w:val="24"/>
                <w:szCs w:val="20"/>
                <w:highlight w:val="none"/>
              </w:rPr>
              <w:t>具有信息化软硬件运维工作服务经验的，每满足一</w:t>
            </w:r>
            <w:r>
              <w:rPr>
                <w:rFonts w:ascii="宋体" w:hAnsi="宋体" w:cs="宋体"/>
                <w:bCs/>
                <w:sz w:val="24"/>
                <w:szCs w:val="20"/>
                <w:highlight w:val="none"/>
              </w:rPr>
              <w:t>人得1分，最高得11分</w:t>
            </w:r>
            <w:r>
              <w:rPr>
                <w:rFonts w:hint="eastAsia" w:ascii="宋体" w:hAnsi="宋体" w:cs="宋体"/>
                <w:bCs/>
                <w:sz w:val="24"/>
                <w:szCs w:val="20"/>
                <w:highlight w:val="none"/>
              </w:rPr>
              <w:t>，不满足不得分。</w:t>
            </w:r>
            <w:r>
              <w:rPr>
                <w:rFonts w:ascii="宋体" w:hAnsi="宋体" w:cs="宋体"/>
                <w:bCs/>
                <w:sz w:val="24"/>
                <w:szCs w:val="20"/>
                <w:highlight w:val="none"/>
              </w:rPr>
              <w:t>（提供类似业绩合同或业主证明材料）</w:t>
            </w:r>
          </w:p>
          <w:p w14:paraId="2A041261">
            <w:pPr>
              <w:snapToGrid w:val="0"/>
              <w:spacing w:line="360" w:lineRule="auto"/>
              <w:jc w:val="left"/>
              <w:rPr>
                <w:rFonts w:ascii="宋体" w:hAnsi="宋体" w:cs="宋体"/>
                <w:bCs/>
                <w:sz w:val="24"/>
                <w:highlight w:val="none"/>
              </w:rPr>
            </w:pPr>
            <w:r>
              <w:rPr>
                <w:rFonts w:hint="eastAsia" w:ascii="宋体" w:hAnsi="宋体" w:cs="宋体"/>
                <w:bCs/>
                <w:sz w:val="24"/>
                <w:highlight w:val="none"/>
              </w:rPr>
              <w:t>4</w:t>
            </w:r>
            <w:r>
              <w:rPr>
                <w:rFonts w:ascii="宋体" w:hAnsi="宋体" w:cs="宋体"/>
                <w:bCs/>
                <w:sz w:val="24"/>
                <w:szCs w:val="20"/>
                <w:highlight w:val="none"/>
              </w:rPr>
              <w:t>、</w:t>
            </w:r>
            <w:r>
              <w:rPr>
                <w:rFonts w:hint="eastAsia" w:ascii="宋体" w:hAnsi="宋体" w:cs="宋体"/>
                <w:bCs/>
                <w:sz w:val="24"/>
                <w:szCs w:val="20"/>
                <w:highlight w:val="none"/>
              </w:rPr>
              <w:t>承诺非驻点服务人员根据采购人实际要求进行安排，满足采购需求的得</w:t>
            </w:r>
            <w:r>
              <w:rPr>
                <w:rFonts w:hint="eastAsia" w:ascii="宋体" w:hAnsi="宋体" w:cs="宋体"/>
                <w:bCs/>
                <w:sz w:val="24"/>
                <w:highlight w:val="none"/>
              </w:rPr>
              <w:t>2</w:t>
            </w:r>
            <w:r>
              <w:rPr>
                <w:rFonts w:hint="eastAsia" w:ascii="宋体" w:hAnsi="宋体" w:cs="宋体"/>
                <w:bCs/>
                <w:sz w:val="24"/>
                <w:szCs w:val="20"/>
                <w:highlight w:val="none"/>
              </w:rPr>
              <w:t>分，不满足不得分。</w:t>
            </w:r>
          </w:p>
          <w:p w14:paraId="3CAF5576">
            <w:pPr>
              <w:snapToGrid w:val="0"/>
              <w:spacing w:line="360" w:lineRule="auto"/>
              <w:jc w:val="left"/>
              <w:rPr>
                <w:rFonts w:ascii="宋体" w:hAnsi="宋体" w:cs="宋体"/>
                <w:bCs/>
                <w:sz w:val="24"/>
                <w:highlight w:val="none"/>
              </w:rPr>
            </w:pPr>
            <w:r>
              <w:rPr>
                <w:rFonts w:hint="eastAsia" w:ascii="宋体" w:hAnsi="宋体" w:cs="宋体"/>
                <w:bCs/>
                <w:sz w:val="24"/>
                <w:highlight w:val="none"/>
              </w:rPr>
              <w:t>5</w:t>
            </w:r>
            <w:r>
              <w:rPr>
                <w:rFonts w:ascii="宋体" w:hAnsi="宋体" w:cs="宋体"/>
                <w:bCs/>
                <w:sz w:val="24"/>
                <w:szCs w:val="20"/>
                <w:highlight w:val="none"/>
              </w:rPr>
              <w:t>、承诺服务人员的工作时间、工作地点满足</w:t>
            </w:r>
            <w:r>
              <w:rPr>
                <w:rFonts w:hint="eastAsia" w:ascii="宋体" w:hAnsi="宋体" w:cs="宋体"/>
                <w:bCs/>
                <w:sz w:val="24"/>
                <w:szCs w:val="20"/>
                <w:highlight w:val="none"/>
              </w:rPr>
              <w:t>，采购需求的得</w:t>
            </w:r>
            <w:r>
              <w:rPr>
                <w:rFonts w:hint="eastAsia" w:ascii="宋体" w:hAnsi="宋体" w:cs="宋体"/>
                <w:bCs/>
                <w:sz w:val="24"/>
                <w:highlight w:val="none"/>
              </w:rPr>
              <w:t>2</w:t>
            </w:r>
            <w:r>
              <w:rPr>
                <w:rFonts w:ascii="宋体" w:hAnsi="宋体" w:cs="宋体"/>
                <w:bCs/>
                <w:sz w:val="24"/>
                <w:szCs w:val="20"/>
                <w:highlight w:val="none"/>
              </w:rPr>
              <w:t>分，不满足不得分。</w:t>
            </w:r>
          </w:p>
          <w:p w14:paraId="4C828B33">
            <w:pPr>
              <w:spacing w:line="360" w:lineRule="auto"/>
              <w:jc w:val="left"/>
              <w:rPr>
                <w:rFonts w:ascii="宋体" w:hAnsi="宋体" w:cs="宋体"/>
                <w:sz w:val="24"/>
                <w:highlight w:val="none"/>
              </w:rPr>
            </w:pPr>
            <w:r>
              <w:rPr>
                <w:rFonts w:hint="eastAsia" w:ascii="宋体" w:hAnsi="宋体" w:cs="宋体"/>
                <w:bCs/>
                <w:sz w:val="24"/>
                <w:highlight w:val="none"/>
              </w:rPr>
              <w:t>6</w:t>
            </w:r>
            <w:r>
              <w:rPr>
                <w:rFonts w:ascii="宋体" w:hAnsi="宋体" w:cs="宋体"/>
                <w:bCs/>
                <w:sz w:val="24"/>
                <w:szCs w:val="20"/>
                <w:highlight w:val="none"/>
              </w:rPr>
              <w:t>、承诺服务人员的工作内容均能达到</w:t>
            </w:r>
            <w:r>
              <w:rPr>
                <w:rFonts w:hint="eastAsia" w:ascii="宋体" w:hAnsi="宋体" w:cs="宋体"/>
                <w:bCs/>
                <w:sz w:val="24"/>
                <w:szCs w:val="20"/>
                <w:highlight w:val="none"/>
              </w:rPr>
              <w:t>采购需求</w:t>
            </w:r>
            <w:r>
              <w:rPr>
                <w:rFonts w:ascii="宋体" w:hAnsi="宋体" w:cs="宋体"/>
                <w:bCs/>
                <w:sz w:val="24"/>
                <w:szCs w:val="20"/>
                <w:highlight w:val="none"/>
              </w:rPr>
              <w:t>的得</w:t>
            </w:r>
            <w:r>
              <w:rPr>
                <w:rFonts w:hint="eastAsia" w:ascii="宋体" w:hAnsi="宋体" w:cs="宋体"/>
                <w:bCs/>
                <w:sz w:val="24"/>
                <w:highlight w:val="none"/>
              </w:rPr>
              <w:t>2</w:t>
            </w:r>
            <w:r>
              <w:rPr>
                <w:rFonts w:ascii="宋体" w:hAnsi="宋体" w:cs="宋体"/>
                <w:bCs/>
                <w:sz w:val="24"/>
                <w:szCs w:val="20"/>
                <w:highlight w:val="none"/>
              </w:rPr>
              <w:t>分，不满足不得分。</w:t>
            </w:r>
          </w:p>
        </w:tc>
        <w:tc>
          <w:tcPr>
            <w:tcW w:w="723" w:type="dxa"/>
            <w:vAlign w:val="center"/>
          </w:tcPr>
          <w:p w14:paraId="2EF237C9">
            <w:pPr>
              <w:spacing w:line="360" w:lineRule="auto"/>
              <w:jc w:val="center"/>
              <w:rPr>
                <w:rFonts w:ascii="宋体" w:hAnsi="宋体" w:cs="仿宋"/>
                <w:sz w:val="24"/>
                <w:highlight w:val="none"/>
              </w:rPr>
            </w:pPr>
            <w:r>
              <w:rPr>
                <w:rFonts w:hint="eastAsia" w:ascii="宋体" w:hAnsi="宋体" w:cs="仿宋"/>
                <w:sz w:val="24"/>
                <w:highlight w:val="none"/>
              </w:rPr>
              <w:t>30</w:t>
            </w:r>
          </w:p>
        </w:tc>
        <w:tc>
          <w:tcPr>
            <w:tcW w:w="983" w:type="dxa"/>
            <w:vAlign w:val="center"/>
          </w:tcPr>
          <w:p w14:paraId="0C783E87">
            <w:pPr>
              <w:spacing w:beforeAutospacing="1" w:afterAutospacing="1"/>
              <w:jc w:val="center"/>
              <w:outlineLvl w:val="0"/>
              <w:rPr>
                <w:rFonts w:ascii="宋体" w:hAnsi="宋体" w:cs="仿宋"/>
                <w:sz w:val="24"/>
                <w:highlight w:val="none"/>
              </w:rPr>
            </w:pPr>
            <w:r>
              <w:rPr>
                <w:rFonts w:ascii="宋体" w:hAnsi="宋体" w:cs="仿宋"/>
                <w:sz w:val="24"/>
                <w:highlight w:val="none"/>
              </w:rPr>
              <w:t>客观分</w:t>
            </w:r>
          </w:p>
        </w:tc>
        <w:tc>
          <w:tcPr>
            <w:tcW w:w="1731" w:type="dxa"/>
            <w:vAlign w:val="center"/>
          </w:tcPr>
          <w:p w14:paraId="02611220">
            <w:pPr>
              <w:spacing w:beforeAutospacing="1" w:afterAutospacing="1"/>
              <w:jc w:val="center"/>
              <w:outlineLvl w:val="0"/>
              <w:rPr>
                <w:rFonts w:ascii="宋体" w:hAnsi="宋体" w:cs="仿宋"/>
                <w:sz w:val="24"/>
                <w:highlight w:val="none"/>
              </w:rPr>
            </w:pPr>
            <w:r>
              <w:rPr>
                <w:rFonts w:hint="eastAsia" w:ascii="宋体" w:hAnsi="宋体" w:cs="仿宋"/>
                <w:sz w:val="24"/>
                <w:highlight w:val="none"/>
              </w:rPr>
              <w:t>（五）服务人员情况（30分）</w:t>
            </w:r>
          </w:p>
        </w:tc>
      </w:tr>
      <w:tr w14:paraId="1332D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Align w:val="center"/>
          </w:tcPr>
          <w:p w14:paraId="07D18B96">
            <w:pPr>
              <w:spacing w:line="360" w:lineRule="auto"/>
              <w:jc w:val="center"/>
              <w:outlineLvl w:val="0"/>
              <w:rPr>
                <w:rFonts w:ascii="宋体" w:hAnsi="宋体" w:cs="仿宋"/>
                <w:sz w:val="24"/>
                <w:highlight w:val="none"/>
              </w:rPr>
            </w:pPr>
            <w:r>
              <w:rPr>
                <w:rFonts w:hint="eastAsia" w:ascii="宋体" w:hAnsi="宋体" w:cs="仿宋"/>
                <w:sz w:val="24"/>
                <w:highlight w:val="none"/>
              </w:rPr>
              <w:t>6</w:t>
            </w:r>
          </w:p>
        </w:tc>
        <w:tc>
          <w:tcPr>
            <w:tcW w:w="5400" w:type="dxa"/>
            <w:vAlign w:val="center"/>
          </w:tcPr>
          <w:p w14:paraId="67F02B7B">
            <w:pPr>
              <w:spacing w:line="360" w:lineRule="auto"/>
              <w:rPr>
                <w:rFonts w:ascii="宋体" w:hAnsi="宋体" w:cs="仿宋"/>
                <w:sz w:val="24"/>
                <w:highlight w:val="none"/>
              </w:rPr>
            </w:pPr>
            <w:r>
              <w:rPr>
                <w:rFonts w:ascii="宋体" w:hAnsi="宋体" w:cs="仿宋"/>
                <w:sz w:val="24"/>
                <w:highlight w:val="none"/>
              </w:rPr>
              <w:t>承诺培训服务满足</w:t>
            </w:r>
            <w:r>
              <w:rPr>
                <w:rFonts w:hint="eastAsia" w:ascii="宋体" w:hAnsi="宋体" w:cs="宋体"/>
                <w:sz w:val="24"/>
                <w:highlight w:val="none"/>
              </w:rPr>
              <w:t>采购需求</w:t>
            </w:r>
            <w:r>
              <w:rPr>
                <w:rFonts w:ascii="宋体" w:hAnsi="宋体" w:cs="仿宋"/>
                <w:sz w:val="24"/>
                <w:highlight w:val="none"/>
              </w:rPr>
              <w:t>的得</w:t>
            </w:r>
            <w:r>
              <w:rPr>
                <w:rFonts w:hint="eastAsia" w:ascii="宋体" w:hAnsi="宋体" w:cs="仿宋"/>
                <w:sz w:val="24"/>
                <w:highlight w:val="none"/>
              </w:rPr>
              <w:t>2分，不满足不得分。</w:t>
            </w:r>
          </w:p>
        </w:tc>
        <w:tc>
          <w:tcPr>
            <w:tcW w:w="723" w:type="dxa"/>
            <w:vAlign w:val="center"/>
          </w:tcPr>
          <w:p w14:paraId="30945332">
            <w:pPr>
              <w:spacing w:line="360" w:lineRule="auto"/>
              <w:jc w:val="center"/>
              <w:rPr>
                <w:rFonts w:ascii="宋体" w:hAnsi="宋体" w:cs="仿宋"/>
                <w:sz w:val="24"/>
                <w:highlight w:val="none"/>
              </w:rPr>
            </w:pPr>
            <w:r>
              <w:rPr>
                <w:rFonts w:hint="eastAsia" w:ascii="宋体" w:hAnsi="宋体" w:cs="仿宋"/>
                <w:sz w:val="24"/>
                <w:highlight w:val="none"/>
              </w:rPr>
              <w:t>2</w:t>
            </w:r>
          </w:p>
        </w:tc>
        <w:tc>
          <w:tcPr>
            <w:tcW w:w="983" w:type="dxa"/>
            <w:vAlign w:val="center"/>
          </w:tcPr>
          <w:p w14:paraId="111498EB">
            <w:pPr>
              <w:spacing w:beforeAutospacing="1" w:afterAutospacing="1"/>
              <w:jc w:val="center"/>
              <w:outlineLvl w:val="0"/>
              <w:rPr>
                <w:rFonts w:ascii="宋体" w:hAnsi="宋体" w:cs="仿宋"/>
                <w:sz w:val="24"/>
                <w:highlight w:val="none"/>
              </w:rPr>
            </w:pPr>
            <w:r>
              <w:rPr>
                <w:rFonts w:ascii="宋体" w:hAnsi="宋体" w:cs="仿宋"/>
                <w:sz w:val="24"/>
                <w:highlight w:val="none"/>
              </w:rPr>
              <w:t>客观分</w:t>
            </w:r>
          </w:p>
        </w:tc>
        <w:tc>
          <w:tcPr>
            <w:tcW w:w="1731" w:type="dxa"/>
            <w:vAlign w:val="center"/>
          </w:tcPr>
          <w:p w14:paraId="793CC1DD">
            <w:pPr>
              <w:spacing w:beforeAutospacing="1" w:afterAutospacing="1"/>
              <w:jc w:val="center"/>
              <w:outlineLvl w:val="0"/>
              <w:rPr>
                <w:rFonts w:ascii="宋体" w:hAnsi="宋体" w:cs="仿宋"/>
                <w:sz w:val="24"/>
                <w:highlight w:val="none"/>
              </w:rPr>
            </w:pPr>
            <w:r>
              <w:rPr>
                <w:rFonts w:hint="eastAsia" w:ascii="宋体" w:hAnsi="宋体" w:cs="仿宋"/>
                <w:sz w:val="24"/>
                <w:highlight w:val="none"/>
              </w:rPr>
              <w:t>（六）培训服务（2分）</w:t>
            </w:r>
          </w:p>
        </w:tc>
      </w:tr>
      <w:tr w14:paraId="5924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834" w:type="dxa"/>
            <w:vAlign w:val="center"/>
          </w:tcPr>
          <w:p w14:paraId="75D52073">
            <w:pPr>
              <w:spacing w:line="360" w:lineRule="auto"/>
              <w:ind w:firstLine="240" w:firstLineChars="100"/>
              <w:outlineLvl w:val="0"/>
              <w:rPr>
                <w:rFonts w:ascii="宋体" w:hAnsi="宋体" w:cs="仿宋"/>
                <w:sz w:val="24"/>
                <w:highlight w:val="none"/>
              </w:rPr>
            </w:pPr>
            <w:r>
              <w:rPr>
                <w:rFonts w:hint="eastAsia" w:ascii="宋体" w:hAnsi="宋体" w:cs="仿宋"/>
                <w:sz w:val="24"/>
                <w:highlight w:val="none"/>
              </w:rPr>
              <w:t>7</w:t>
            </w:r>
          </w:p>
        </w:tc>
        <w:tc>
          <w:tcPr>
            <w:tcW w:w="5400" w:type="dxa"/>
            <w:vAlign w:val="center"/>
          </w:tcPr>
          <w:p w14:paraId="7A94521E">
            <w:pPr>
              <w:snapToGrid w:val="0"/>
              <w:spacing w:line="360" w:lineRule="auto"/>
              <w:rPr>
                <w:rFonts w:ascii="宋体" w:hAnsi="宋体" w:cs="宋体"/>
                <w:kern w:val="0"/>
                <w:sz w:val="24"/>
                <w:highlight w:val="none"/>
              </w:rPr>
            </w:pPr>
            <w:r>
              <w:rPr>
                <w:rFonts w:hint="eastAsia" w:ascii="宋体" w:hAnsi="宋体" w:cs="宋体"/>
                <w:kern w:val="0"/>
                <w:sz w:val="24"/>
                <w:highlight w:val="none"/>
              </w:rPr>
              <w:t>投标</w:t>
            </w:r>
            <w:r>
              <w:rPr>
                <w:rFonts w:ascii="宋体" w:hAnsi="宋体" w:cs="宋体"/>
                <w:kern w:val="0"/>
                <w:sz w:val="24"/>
                <w:highlight w:val="none"/>
              </w:rPr>
              <w:t>人承诺网络</w:t>
            </w:r>
            <w:r>
              <w:rPr>
                <w:rFonts w:hint="eastAsia" w:ascii="宋体" w:hAnsi="宋体" w:cs="宋体"/>
                <w:kern w:val="0"/>
                <w:sz w:val="24"/>
                <w:highlight w:val="none"/>
              </w:rPr>
              <w:t>安</w:t>
            </w:r>
            <w:r>
              <w:rPr>
                <w:rFonts w:ascii="宋体" w:hAnsi="宋体" w:cs="宋体"/>
                <w:kern w:val="0"/>
                <w:sz w:val="24"/>
                <w:highlight w:val="none"/>
              </w:rPr>
              <w:t>全</w:t>
            </w:r>
            <w:r>
              <w:rPr>
                <w:rFonts w:hint="eastAsia" w:ascii="宋体" w:hAnsi="宋体" w:cs="宋体"/>
                <w:kern w:val="0"/>
                <w:sz w:val="24"/>
                <w:highlight w:val="none"/>
              </w:rPr>
              <w:t>责任</w:t>
            </w:r>
            <w:r>
              <w:rPr>
                <w:rFonts w:ascii="宋体" w:hAnsi="宋体" w:cs="宋体"/>
                <w:kern w:val="0"/>
                <w:sz w:val="24"/>
                <w:highlight w:val="none"/>
              </w:rPr>
              <w:t>满足采购需求的得</w:t>
            </w:r>
            <w:r>
              <w:rPr>
                <w:rFonts w:hint="eastAsia" w:ascii="宋体" w:hAnsi="宋体" w:cs="宋体"/>
                <w:kern w:val="0"/>
                <w:sz w:val="24"/>
                <w:highlight w:val="none"/>
              </w:rPr>
              <w:t>2</w:t>
            </w:r>
            <w:r>
              <w:rPr>
                <w:rFonts w:ascii="宋体" w:hAnsi="宋体" w:cs="宋体"/>
                <w:kern w:val="0"/>
                <w:sz w:val="24"/>
                <w:highlight w:val="none"/>
              </w:rPr>
              <w:t>分，不满足不得分。</w:t>
            </w:r>
          </w:p>
        </w:tc>
        <w:tc>
          <w:tcPr>
            <w:tcW w:w="723" w:type="dxa"/>
            <w:vAlign w:val="center"/>
          </w:tcPr>
          <w:p w14:paraId="3301B1E6">
            <w:pPr>
              <w:spacing w:line="360" w:lineRule="auto"/>
              <w:jc w:val="center"/>
              <w:rPr>
                <w:rFonts w:ascii="宋体" w:hAnsi="宋体" w:cs="仿宋"/>
                <w:sz w:val="24"/>
                <w:highlight w:val="none"/>
              </w:rPr>
            </w:pPr>
            <w:r>
              <w:rPr>
                <w:rFonts w:hint="eastAsia" w:ascii="宋体" w:hAnsi="宋体" w:cs="仿宋"/>
                <w:sz w:val="24"/>
                <w:highlight w:val="none"/>
              </w:rPr>
              <w:t>2</w:t>
            </w:r>
          </w:p>
        </w:tc>
        <w:tc>
          <w:tcPr>
            <w:tcW w:w="983" w:type="dxa"/>
            <w:vAlign w:val="center"/>
          </w:tcPr>
          <w:p w14:paraId="1888E092">
            <w:pPr>
              <w:spacing w:beforeAutospacing="1" w:afterAutospacing="1"/>
              <w:jc w:val="center"/>
              <w:outlineLvl w:val="0"/>
              <w:rPr>
                <w:rFonts w:ascii="宋体" w:hAnsi="宋体" w:cs="仿宋"/>
                <w:sz w:val="24"/>
                <w:highlight w:val="none"/>
              </w:rPr>
            </w:pPr>
            <w:r>
              <w:rPr>
                <w:rFonts w:ascii="宋体" w:hAnsi="宋体" w:cs="仿宋"/>
                <w:sz w:val="24"/>
                <w:highlight w:val="none"/>
              </w:rPr>
              <w:t>客观分</w:t>
            </w:r>
          </w:p>
        </w:tc>
        <w:tc>
          <w:tcPr>
            <w:tcW w:w="1731" w:type="dxa"/>
            <w:vAlign w:val="center"/>
          </w:tcPr>
          <w:p w14:paraId="1E62D9EA">
            <w:pPr>
              <w:spacing w:beforeAutospacing="1" w:afterAutospacing="1"/>
              <w:jc w:val="center"/>
              <w:outlineLvl w:val="0"/>
              <w:rPr>
                <w:rFonts w:ascii="宋体" w:hAnsi="宋体" w:cs="仿宋"/>
                <w:sz w:val="24"/>
                <w:highlight w:val="none"/>
              </w:rPr>
            </w:pPr>
            <w:r>
              <w:rPr>
                <w:rFonts w:hint="eastAsia" w:ascii="宋体" w:hAnsi="宋体" w:cs="仿宋"/>
                <w:sz w:val="24"/>
                <w:highlight w:val="none"/>
              </w:rPr>
              <w:t>（七）网络安全责任（2</w:t>
            </w:r>
            <w:r>
              <w:rPr>
                <w:rFonts w:ascii="宋体" w:hAnsi="宋体" w:cs="仿宋"/>
                <w:sz w:val="24"/>
                <w:highlight w:val="none"/>
              </w:rPr>
              <w:t>分）</w:t>
            </w:r>
          </w:p>
        </w:tc>
      </w:tr>
      <w:tr w14:paraId="1722D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34" w:type="dxa"/>
            <w:vAlign w:val="center"/>
          </w:tcPr>
          <w:p w14:paraId="0852DB13">
            <w:pPr>
              <w:spacing w:line="360" w:lineRule="auto"/>
              <w:ind w:firstLine="240" w:firstLineChars="100"/>
              <w:outlineLvl w:val="0"/>
              <w:rPr>
                <w:rFonts w:ascii="宋体" w:hAnsi="宋体" w:cs="仿宋"/>
                <w:sz w:val="24"/>
                <w:highlight w:val="none"/>
              </w:rPr>
            </w:pPr>
            <w:r>
              <w:rPr>
                <w:rFonts w:hint="eastAsia" w:ascii="宋体" w:hAnsi="宋体" w:cs="仿宋"/>
                <w:sz w:val="24"/>
                <w:highlight w:val="none"/>
              </w:rPr>
              <w:t>8</w:t>
            </w:r>
          </w:p>
        </w:tc>
        <w:tc>
          <w:tcPr>
            <w:tcW w:w="5400" w:type="dxa"/>
            <w:vAlign w:val="center"/>
          </w:tcPr>
          <w:p w14:paraId="0E0EB90E">
            <w:pPr>
              <w:snapToGrid w:val="0"/>
              <w:spacing w:line="360" w:lineRule="auto"/>
              <w:rPr>
                <w:rFonts w:ascii="宋体" w:hAnsi="宋体" w:cs="宋体"/>
                <w:kern w:val="0"/>
                <w:sz w:val="24"/>
                <w:highlight w:val="none"/>
              </w:rPr>
            </w:pPr>
            <w:r>
              <w:rPr>
                <w:rFonts w:hint="eastAsia" w:ascii="宋体" w:hAnsi="宋体" w:cs="宋体"/>
                <w:kern w:val="0"/>
                <w:sz w:val="24"/>
                <w:highlight w:val="none"/>
              </w:rPr>
              <w:t>投标</w:t>
            </w:r>
            <w:r>
              <w:rPr>
                <w:rFonts w:ascii="宋体" w:hAnsi="宋体" w:cs="宋体"/>
                <w:kern w:val="0"/>
                <w:sz w:val="24"/>
                <w:highlight w:val="none"/>
              </w:rPr>
              <w:t>人承诺保密工作满足采购需求的得</w:t>
            </w:r>
            <w:r>
              <w:rPr>
                <w:rFonts w:hint="eastAsia" w:ascii="宋体" w:hAnsi="宋体" w:cs="宋体"/>
                <w:kern w:val="0"/>
                <w:sz w:val="24"/>
                <w:highlight w:val="none"/>
              </w:rPr>
              <w:t>2</w:t>
            </w:r>
            <w:r>
              <w:rPr>
                <w:rFonts w:ascii="宋体" w:hAnsi="宋体" w:cs="宋体"/>
                <w:kern w:val="0"/>
                <w:sz w:val="24"/>
                <w:highlight w:val="none"/>
              </w:rPr>
              <w:t>分，不满足不得分。</w:t>
            </w:r>
          </w:p>
        </w:tc>
        <w:tc>
          <w:tcPr>
            <w:tcW w:w="723" w:type="dxa"/>
            <w:vAlign w:val="center"/>
          </w:tcPr>
          <w:p w14:paraId="0EBDE736">
            <w:pPr>
              <w:spacing w:line="360" w:lineRule="auto"/>
              <w:jc w:val="center"/>
              <w:rPr>
                <w:rFonts w:ascii="宋体" w:hAnsi="宋体" w:cs="仿宋"/>
                <w:sz w:val="24"/>
                <w:highlight w:val="none"/>
              </w:rPr>
            </w:pPr>
            <w:r>
              <w:rPr>
                <w:rFonts w:hint="eastAsia" w:ascii="宋体" w:hAnsi="宋体" w:cs="仿宋"/>
                <w:sz w:val="24"/>
                <w:highlight w:val="none"/>
              </w:rPr>
              <w:t>2</w:t>
            </w:r>
          </w:p>
        </w:tc>
        <w:tc>
          <w:tcPr>
            <w:tcW w:w="983" w:type="dxa"/>
            <w:vAlign w:val="center"/>
          </w:tcPr>
          <w:p w14:paraId="3B143CD5">
            <w:pPr>
              <w:spacing w:beforeAutospacing="1" w:afterAutospacing="1"/>
              <w:jc w:val="center"/>
              <w:outlineLvl w:val="0"/>
              <w:rPr>
                <w:rFonts w:ascii="宋体" w:hAnsi="宋体" w:cs="仿宋"/>
                <w:sz w:val="24"/>
                <w:highlight w:val="none"/>
              </w:rPr>
            </w:pPr>
            <w:r>
              <w:rPr>
                <w:rFonts w:ascii="宋体" w:hAnsi="宋体" w:cs="仿宋"/>
                <w:sz w:val="24"/>
                <w:highlight w:val="none"/>
              </w:rPr>
              <w:t>客观分</w:t>
            </w:r>
          </w:p>
        </w:tc>
        <w:tc>
          <w:tcPr>
            <w:tcW w:w="1731" w:type="dxa"/>
            <w:vAlign w:val="center"/>
          </w:tcPr>
          <w:p w14:paraId="6C8AB6D8">
            <w:pPr>
              <w:spacing w:beforeAutospacing="1" w:afterAutospacing="1"/>
              <w:jc w:val="center"/>
              <w:outlineLvl w:val="0"/>
              <w:rPr>
                <w:rFonts w:ascii="宋体" w:hAnsi="宋体" w:cs="仿宋"/>
                <w:sz w:val="24"/>
                <w:highlight w:val="none"/>
              </w:rPr>
            </w:pPr>
            <w:r>
              <w:rPr>
                <w:rFonts w:hint="eastAsia" w:ascii="宋体" w:hAnsi="宋体" w:cs="仿宋"/>
                <w:sz w:val="24"/>
                <w:highlight w:val="none"/>
              </w:rPr>
              <w:t>（八）保密服务（2</w:t>
            </w:r>
            <w:r>
              <w:rPr>
                <w:rFonts w:ascii="宋体" w:hAnsi="宋体" w:cs="仿宋"/>
                <w:sz w:val="24"/>
                <w:highlight w:val="none"/>
              </w:rPr>
              <w:t>分）</w:t>
            </w:r>
          </w:p>
        </w:tc>
      </w:tr>
      <w:tr w14:paraId="71C6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34" w:type="dxa"/>
            <w:vAlign w:val="center"/>
          </w:tcPr>
          <w:p w14:paraId="20B7305C">
            <w:pPr>
              <w:spacing w:line="360" w:lineRule="auto"/>
              <w:ind w:firstLine="240" w:firstLineChars="100"/>
              <w:outlineLvl w:val="0"/>
              <w:rPr>
                <w:rFonts w:ascii="宋体" w:hAnsi="宋体" w:cs="仿宋"/>
                <w:sz w:val="24"/>
                <w:highlight w:val="none"/>
              </w:rPr>
            </w:pPr>
            <w:r>
              <w:rPr>
                <w:rFonts w:hint="eastAsia" w:ascii="宋体" w:hAnsi="宋体" w:cs="仿宋"/>
                <w:sz w:val="24"/>
                <w:highlight w:val="none"/>
              </w:rPr>
              <w:t>9</w:t>
            </w:r>
          </w:p>
        </w:tc>
        <w:tc>
          <w:tcPr>
            <w:tcW w:w="5400" w:type="dxa"/>
            <w:vAlign w:val="center"/>
          </w:tcPr>
          <w:p w14:paraId="140A2A2F">
            <w:pPr>
              <w:snapToGrid w:val="0"/>
              <w:spacing w:line="360" w:lineRule="auto"/>
              <w:rPr>
                <w:rFonts w:ascii="宋体" w:hAnsi="宋体" w:cs="仿宋"/>
                <w:sz w:val="24"/>
                <w:highlight w:val="none"/>
              </w:rPr>
            </w:pPr>
            <w:r>
              <w:rPr>
                <w:rFonts w:hint="eastAsia" w:ascii="宋体" w:hAnsi="宋体" w:cs="仿宋"/>
                <w:sz w:val="24"/>
                <w:highlight w:val="none"/>
              </w:rPr>
              <w:t>至投标截止时间前三年以来，供应商承担类似网络数据安全运维或信息化平台或软件集成项目的成功经验情况，结合已完成的项目案例和用户反应情况，供应商同时提供的合同、用户验收报告或业主证明作为证明资料，每个案例（以合同签定时间为准）得0.5</w:t>
            </w:r>
            <w:r>
              <w:rPr>
                <w:rFonts w:ascii="宋体" w:hAnsi="宋体" w:cs="仿宋"/>
                <w:sz w:val="24"/>
                <w:highlight w:val="none"/>
              </w:rPr>
              <w:t>分，最高得1分。（1分）</w:t>
            </w:r>
          </w:p>
        </w:tc>
        <w:tc>
          <w:tcPr>
            <w:tcW w:w="723" w:type="dxa"/>
            <w:vAlign w:val="center"/>
          </w:tcPr>
          <w:p w14:paraId="003AADBB">
            <w:pPr>
              <w:spacing w:line="360" w:lineRule="auto"/>
              <w:ind w:firstLine="120" w:firstLineChars="50"/>
              <w:jc w:val="center"/>
              <w:outlineLvl w:val="0"/>
              <w:rPr>
                <w:rFonts w:ascii="宋体" w:hAnsi="宋体" w:cs="仿宋"/>
                <w:sz w:val="24"/>
                <w:highlight w:val="none"/>
              </w:rPr>
            </w:pPr>
            <w:r>
              <w:rPr>
                <w:rFonts w:ascii="宋体" w:hAnsi="宋体" w:cs="仿宋"/>
                <w:sz w:val="24"/>
                <w:highlight w:val="none"/>
              </w:rPr>
              <w:t>1</w:t>
            </w:r>
          </w:p>
        </w:tc>
        <w:tc>
          <w:tcPr>
            <w:tcW w:w="983" w:type="dxa"/>
            <w:vAlign w:val="center"/>
          </w:tcPr>
          <w:p w14:paraId="1D74D41D">
            <w:pPr>
              <w:spacing w:beforeAutospacing="1" w:afterAutospacing="1"/>
              <w:jc w:val="center"/>
              <w:outlineLvl w:val="0"/>
              <w:rPr>
                <w:rFonts w:ascii="宋体" w:hAnsi="宋体" w:cs="仿宋"/>
                <w:sz w:val="24"/>
                <w:highlight w:val="none"/>
              </w:rPr>
            </w:pPr>
            <w:r>
              <w:rPr>
                <w:rFonts w:ascii="宋体" w:hAnsi="宋体" w:cs="仿宋"/>
                <w:sz w:val="24"/>
                <w:highlight w:val="none"/>
              </w:rPr>
              <w:t>客观分</w:t>
            </w:r>
          </w:p>
        </w:tc>
        <w:tc>
          <w:tcPr>
            <w:tcW w:w="1731" w:type="dxa"/>
            <w:vAlign w:val="center"/>
          </w:tcPr>
          <w:p w14:paraId="6C8447FC">
            <w:pPr>
              <w:spacing w:beforeAutospacing="1" w:afterAutospacing="1"/>
              <w:jc w:val="center"/>
              <w:outlineLvl w:val="0"/>
              <w:rPr>
                <w:rFonts w:ascii="宋体" w:hAnsi="宋体" w:cs="仿宋"/>
                <w:sz w:val="24"/>
                <w:highlight w:val="none"/>
              </w:rPr>
            </w:pPr>
            <w:r>
              <w:rPr>
                <w:rFonts w:hint="eastAsia" w:ascii="宋体" w:hAnsi="宋体" w:cs="仿宋"/>
                <w:sz w:val="24"/>
                <w:highlight w:val="none"/>
              </w:rPr>
              <w:t>（九）业绩分（</w:t>
            </w:r>
            <w:r>
              <w:rPr>
                <w:rFonts w:ascii="宋体" w:hAnsi="宋体" w:cs="仿宋"/>
                <w:sz w:val="24"/>
                <w:highlight w:val="none"/>
              </w:rPr>
              <w:t>1</w:t>
            </w:r>
            <w:r>
              <w:rPr>
                <w:rFonts w:hint="eastAsia" w:ascii="宋体" w:hAnsi="宋体" w:cs="仿宋"/>
                <w:sz w:val="24"/>
                <w:highlight w:val="none"/>
              </w:rPr>
              <w:t>分）</w:t>
            </w:r>
          </w:p>
        </w:tc>
      </w:tr>
      <w:tr w14:paraId="3507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834" w:type="dxa"/>
            <w:vAlign w:val="center"/>
          </w:tcPr>
          <w:p w14:paraId="002D562E">
            <w:pPr>
              <w:spacing w:line="360" w:lineRule="auto"/>
              <w:ind w:firstLine="240" w:firstLineChars="100"/>
              <w:outlineLvl w:val="0"/>
              <w:rPr>
                <w:rFonts w:ascii="宋体" w:hAnsi="宋体" w:cs="仿宋"/>
                <w:sz w:val="24"/>
                <w:highlight w:val="none"/>
              </w:rPr>
            </w:pPr>
            <w:r>
              <w:rPr>
                <w:rFonts w:hint="eastAsia" w:ascii="宋体" w:hAnsi="宋体" w:cs="仿宋"/>
                <w:sz w:val="24"/>
                <w:highlight w:val="none"/>
              </w:rPr>
              <w:t>10</w:t>
            </w:r>
          </w:p>
        </w:tc>
        <w:tc>
          <w:tcPr>
            <w:tcW w:w="5400" w:type="dxa"/>
          </w:tcPr>
          <w:p w14:paraId="08DD17AA">
            <w:pPr>
              <w:spacing w:line="360" w:lineRule="auto"/>
              <w:outlineLvl w:val="0"/>
              <w:rPr>
                <w:rFonts w:ascii="宋体" w:hAnsi="宋体" w:cs="仿宋"/>
                <w:sz w:val="24"/>
                <w:highlight w:val="none"/>
              </w:rPr>
            </w:pPr>
            <w:r>
              <w:rPr>
                <w:rFonts w:hint="eastAsia" w:ascii="宋体" w:hAnsi="宋体" w:cs="仿宋"/>
                <w:sz w:val="24"/>
                <w:highlight w:val="none"/>
              </w:rPr>
              <w:t>有效投标报价的最低价作为评标基准价，其最低报价为满分；按［投标报价得分</w:t>
            </w:r>
            <w:r>
              <w:rPr>
                <w:rFonts w:ascii="宋体" w:hAnsi="宋体" w:cs="仿宋"/>
                <w:sz w:val="24"/>
                <w:highlight w:val="none"/>
              </w:rPr>
              <w:t>=（评标基准价/投标报价）*10］的计算公式计算。评标过程中，不得去掉报价中的最高报价和最低报价。</w:t>
            </w:r>
          </w:p>
          <w:p w14:paraId="4FDC68E0">
            <w:pPr>
              <w:spacing w:line="360" w:lineRule="auto"/>
              <w:outlineLvl w:val="0"/>
              <w:rPr>
                <w:rFonts w:ascii="宋体" w:hAnsi="宋体"/>
                <w:highlight w:val="none"/>
              </w:rPr>
            </w:pPr>
            <w:r>
              <w:rPr>
                <w:rFonts w:hint="eastAsia" w:ascii="宋体" w:hAnsi="宋体" w:cs="宋体"/>
                <w:sz w:val="24"/>
                <w:highlight w:val="none"/>
              </w:rPr>
              <w:t>对于未预留份额专门面向中小企业的政府采购货物或服务项目，以及预留份额政府采购货物或服务项目中的非预留部分标项，对小型和微型企业的投标报价给予</w:t>
            </w:r>
            <w:r>
              <w:rPr>
                <w:rFonts w:ascii="宋体" w:hAnsi="宋体" w:cs="宋体"/>
                <w:sz w:val="24"/>
                <w:highlight w:val="none"/>
              </w:rPr>
              <w:t>20%的扣除，用扣除后的价格参与评审。接受大中型企业与小微企业组成联合体或者允许大中型企业向一家或者多家小微企业分包的</w:t>
            </w:r>
            <w:r>
              <w:rPr>
                <w:rFonts w:hint="eastAsia" w:ascii="宋体" w:hAnsi="宋体" w:cs="宋体"/>
                <w:sz w:val="24"/>
                <w:highlight w:val="none"/>
              </w:rPr>
              <w:t>政府</w:t>
            </w:r>
            <w:r>
              <w:rPr>
                <w:rFonts w:ascii="宋体" w:hAnsi="宋体" w:cs="宋体"/>
                <w:sz w:val="24"/>
                <w:highlight w:val="none"/>
              </w:rPr>
              <w:t>采购</w:t>
            </w:r>
            <w:r>
              <w:rPr>
                <w:rFonts w:hint="eastAsia" w:ascii="宋体" w:hAnsi="宋体" w:cs="宋体"/>
                <w:sz w:val="24"/>
                <w:highlight w:val="none"/>
              </w:rPr>
              <w:t>货物或服务</w:t>
            </w:r>
            <w:r>
              <w:rPr>
                <w:rFonts w:ascii="宋体" w:hAnsi="宋体" w:cs="宋体"/>
                <w:sz w:val="24"/>
                <w:highlight w:val="none"/>
              </w:rPr>
              <w:t>项目，对于联合协议或者分包意向协议约定小微企业的合同份额占到合同总金额30%以上的，对联合体或者大中型企业的报价给予6%的扣除，用扣除后的价格参加评审。</w:t>
            </w:r>
          </w:p>
        </w:tc>
        <w:tc>
          <w:tcPr>
            <w:tcW w:w="723" w:type="dxa"/>
            <w:vAlign w:val="center"/>
          </w:tcPr>
          <w:p w14:paraId="57B37B96">
            <w:pPr>
              <w:spacing w:line="360" w:lineRule="auto"/>
              <w:ind w:firstLine="120" w:firstLineChars="50"/>
              <w:outlineLvl w:val="0"/>
              <w:rPr>
                <w:rFonts w:ascii="宋体" w:hAnsi="宋体" w:cs="仿宋"/>
                <w:sz w:val="24"/>
                <w:highlight w:val="none"/>
              </w:rPr>
            </w:pPr>
            <w:r>
              <w:rPr>
                <w:rFonts w:ascii="宋体" w:hAnsi="宋体" w:cs="仿宋"/>
                <w:sz w:val="24"/>
                <w:highlight w:val="none"/>
              </w:rPr>
              <w:t>10</w:t>
            </w:r>
          </w:p>
        </w:tc>
        <w:tc>
          <w:tcPr>
            <w:tcW w:w="983" w:type="dxa"/>
            <w:vAlign w:val="center"/>
          </w:tcPr>
          <w:p w14:paraId="00E5B1D6">
            <w:pPr>
              <w:keepNext/>
              <w:keepLines/>
              <w:spacing w:before="260" w:after="260" w:line="360" w:lineRule="auto"/>
              <w:jc w:val="center"/>
              <w:outlineLvl w:val="0"/>
              <w:rPr>
                <w:rFonts w:ascii="宋体" w:hAnsi="宋体" w:cs="仿宋"/>
                <w:sz w:val="24"/>
                <w:highlight w:val="none"/>
              </w:rPr>
            </w:pPr>
            <w:r>
              <w:rPr>
                <w:rFonts w:ascii="宋体" w:hAnsi="宋体" w:cs="仿宋"/>
                <w:sz w:val="24"/>
                <w:highlight w:val="none"/>
              </w:rPr>
              <w:t>客观分</w:t>
            </w:r>
          </w:p>
        </w:tc>
        <w:tc>
          <w:tcPr>
            <w:tcW w:w="1731" w:type="dxa"/>
            <w:vAlign w:val="center"/>
          </w:tcPr>
          <w:p w14:paraId="24F957E0">
            <w:pPr>
              <w:spacing w:line="360" w:lineRule="auto"/>
              <w:jc w:val="center"/>
              <w:outlineLvl w:val="0"/>
              <w:rPr>
                <w:rFonts w:ascii="宋体" w:hAnsi="宋体" w:cs="仿宋"/>
                <w:sz w:val="24"/>
                <w:highlight w:val="none"/>
              </w:rPr>
            </w:pPr>
            <w:r>
              <w:rPr>
                <w:rFonts w:hint="eastAsia" w:ascii="宋体" w:hAnsi="宋体" w:cs="仿宋"/>
                <w:sz w:val="24"/>
                <w:highlight w:val="none"/>
              </w:rPr>
              <w:t>（十）报价得分（</w:t>
            </w:r>
            <w:r>
              <w:rPr>
                <w:rFonts w:ascii="宋体" w:hAnsi="宋体" w:cs="仿宋"/>
                <w:sz w:val="24"/>
                <w:highlight w:val="none"/>
              </w:rPr>
              <w:t>10分）</w:t>
            </w:r>
          </w:p>
        </w:tc>
      </w:tr>
    </w:tbl>
    <w:p w14:paraId="6789FB20">
      <w:pPr>
        <w:snapToGrid w:val="0"/>
        <w:spacing w:line="360" w:lineRule="auto"/>
        <w:rPr>
          <w:rFonts w:ascii="宋体" w:hAnsi="宋体" w:cs="宋体"/>
          <w:b/>
          <w:sz w:val="24"/>
          <w:highlight w:val="none"/>
        </w:rPr>
      </w:pP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14:paraId="4348BD86">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14:paraId="413A0ED9">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26B688A6">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14:paraId="424DAB1D">
      <w:pPr>
        <w:spacing w:line="360" w:lineRule="auto"/>
        <w:ind w:firstLine="472" w:firstLineChars="196"/>
        <w:rPr>
          <w:rFonts w:ascii="宋体" w:hAnsi="宋体" w:cs="宋体"/>
          <w:b/>
          <w:sz w:val="24"/>
          <w:highlight w:val="none"/>
        </w:rPr>
      </w:pPr>
      <w:r>
        <w:rPr>
          <w:rFonts w:hint="eastAsia" w:ascii="宋体" w:hAnsi="宋体" w:cs="宋体"/>
          <w:b/>
          <w:sz w:val="24"/>
          <w:highlight w:val="none"/>
        </w:rPr>
        <w:t>2.评标标准：</w:t>
      </w:r>
      <w:r>
        <w:rPr>
          <w:rFonts w:hint="eastAsia" w:ascii="宋体" w:hAnsi="宋体" w:cs="宋体"/>
          <w:kern w:val="0"/>
          <w:sz w:val="24"/>
          <w:highlight w:val="none"/>
        </w:rPr>
        <w:t>见评标办法前附表。</w:t>
      </w:r>
    </w:p>
    <w:p w14:paraId="2BB16E23">
      <w:pPr>
        <w:spacing w:line="360" w:lineRule="auto"/>
        <w:outlineLvl w:val="0"/>
        <w:rPr>
          <w:rFonts w:ascii="宋体" w:hAnsi="宋体" w:cs="宋体"/>
          <w:b/>
          <w:sz w:val="36"/>
          <w:szCs w:val="36"/>
          <w:highlight w:val="none"/>
        </w:rPr>
      </w:pPr>
      <w:r>
        <w:rPr>
          <w:rFonts w:hint="eastAsia" w:ascii="宋体" w:hAnsi="宋体" w:cs="宋体"/>
          <w:b/>
          <w:sz w:val="36"/>
          <w:szCs w:val="36"/>
          <w:highlight w:val="none"/>
        </w:rPr>
        <w:t>三、评标程序</w:t>
      </w:r>
    </w:p>
    <w:p w14:paraId="410173A6">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48FA71E6">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69B6A93D">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1964C255">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41D8FABF">
      <w:pPr>
        <w:pStyle w:val="86"/>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07EBEF9A">
      <w:pPr>
        <w:pStyle w:val="86"/>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61338821">
      <w:pPr>
        <w:pStyle w:val="86"/>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2BB65997">
      <w:pPr>
        <w:pStyle w:val="86"/>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45D83055">
      <w:pPr>
        <w:pStyle w:val="86"/>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399031D3">
      <w:pPr>
        <w:pStyle w:val="86"/>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B7A4B71">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1967A0FE">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7A7B7E44">
      <w:pPr>
        <w:pStyle w:val="86"/>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90777B8">
      <w:pPr>
        <w:pStyle w:val="86"/>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highlight w:val="none"/>
        </w:rPr>
        <w:t>20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14:paraId="3144307E">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EABC815">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B206BDD">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E60F5AD">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14:paraId="2B0666AA">
      <w:pPr>
        <w:pStyle w:val="86"/>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A760480">
      <w:pPr>
        <w:pStyle w:val="24"/>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197D0A4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6490996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13F5F44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567374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141CD38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33D05A27">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36584A0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5CA4DF89">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14FC1C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2AB6370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14:paraId="17299CEB">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14:paraId="12D1D1C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761C9BE6">
      <w:pPr>
        <w:pStyle w:val="3"/>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投标文件不满足招标文件的其它实质性要求的；</w:t>
      </w:r>
    </w:p>
    <w:p w14:paraId="602AB84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14:paraId="0370BEF2">
      <w:pPr>
        <w:pStyle w:val="24"/>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05DBDD7C">
      <w:pPr>
        <w:pStyle w:val="24"/>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45428524">
      <w:pPr>
        <w:pStyle w:val="24"/>
        <w:snapToGrid w:val="0"/>
        <w:spacing w:line="360" w:lineRule="auto"/>
        <w:rPr>
          <w:rFonts w:cs="宋体"/>
          <w:highlight w:val="none"/>
        </w:rPr>
      </w:pPr>
      <w:r>
        <w:rPr>
          <w:rFonts w:hint="eastAsia" w:cs="宋体"/>
          <w:highlight w:val="none"/>
        </w:rPr>
        <w:t>5.2出现影响采购公正的违法、违规行为的；</w:t>
      </w:r>
    </w:p>
    <w:p w14:paraId="51EDF6A6">
      <w:pPr>
        <w:pStyle w:val="24"/>
        <w:snapToGrid w:val="0"/>
        <w:spacing w:line="360" w:lineRule="auto"/>
        <w:rPr>
          <w:rFonts w:cs="宋体"/>
          <w:highlight w:val="none"/>
        </w:rPr>
      </w:pPr>
      <w:r>
        <w:rPr>
          <w:rFonts w:hint="eastAsia" w:cs="宋体"/>
          <w:highlight w:val="none"/>
        </w:rPr>
        <w:t>5.3投标人的报价均超过了采购预算，采购人不能支付的；</w:t>
      </w:r>
    </w:p>
    <w:p w14:paraId="63395FC6">
      <w:pPr>
        <w:pStyle w:val="24"/>
        <w:snapToGrid w:val="0"/>
        <w:spacing w:line="360" w:lineRule="auto"/>
        <w:rPr>
          <w:rFonts w:cs="宋体"/>
          <w:highlight w:val="none"/>
        </w:rPr>
      </w:pPr>
      <w:r>
        <w:rPr>
          <w:rFonts w:hint="eastAsia" w:cs="宋体"/>
          <w:highlight w:val="none"/>
        </w:rPr>
        <w:t>5.4因重大变故，采购任务取消的。</w:t>
      </w:r>
    </w:p>
    <w:p w14:paraId="3934F910">
      <w:pPr>
        <w:pStyle w:val="24"/>
        <w:snapToGrid w:val="0"/>
        <w:spacing w:line="360" w:lineRule="auto"/>
        <w:rPr>
          <w:rFonts w:cs="宋体"/>
          <w:highlight w:val="none"/>
        </w:rPr>
      </w:pPr>
      <w:r>
        <w:rPr>
          <w:rFonts w:hint="eastAsia" w:cs="宋体"/>
          <w:highlight w:val="none"/>
        </w:rPr>
        <w:t>废标后，采购代理机构应当将废标理由通知所有投标人。</w:t>
      </w:r>
    </w:p>
    <w:p w14:paraId="7BBE6903">
      <w:pPr>
        <w:pStyle w:val="24"/>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E4DAF67">
      <w:pPr>
        <w:pStyle w:val="24"/>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67792A7E">
      <w:pPr>
        <w:pStyle w:val="24"/>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75E243D9">
      <w:pPr>
        <w:pStyle w:val="24"/>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267D8133">
      <w:pPr>
        <w:pStyle w:val="24"/>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0A30CA8F">
      <w:pPr>
        <w:pStyle w:val="24"/>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156C5115">
      <w:pPr>
        <w:pStyle w:val="24"/>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2795BE92">
      <w:pPr>
        <w:spacing w:line="360" w:lineRule="auto"/>
        <w:outlineLvl w:val="0"/>
        <w:rPr>
          <w:rFonts w:ascii="宋体" w:hAnsi="宋体" w:cs="宋体"/>
          <w:b/>
          <w:sz w:val="36"/>
          <w:szCs w:val="36"/>
          <w:highlight w:val="none"/>
        </w:rPr>
      </w:pPr>
      <w:bookmarkStart w:id="413" w:name="_Toc86217003"/>
      <w:bookmarkStart w:id="414" w:name="第五部分"/>
    </w:p>
    <w:p w14:paraId="1D9AE284">
      <w:pPr>
        <w:spacing w:line="360" w:lineRule="auto"/>
        <w:outlineLvl w:val="0"/>
        <w:rPr>
          <w:rFonts w:ascii="宋体" w:hAnsi="宋体" w:cs="宋体"/>
          <w:b/>
          <w:sz w:val="36"/>
          <w:szCs w:val="36"/>
          <w:highlight w:val="none"/>
        </w:rPr>
      </w:pPr>
    </w:p>
    <w:p w14:paraId="467C8509">
      <w:pPr>
        <w:spacing w:line="360" w:lineRule="auto"/>
        <w:outlineLvl w:val="0"/>
        <w:rPr>
          <w:rFonts w:ascii="宋体" w:hAnsi="宋体" w:cs="宋体"/>
          <w:b/>
          <w:sz w:val="36"/>
          <w:szCs w:val="36"/>
          <w:highlight w:val="none"/>
        </w:rPr>
      </w:pPr>
    </w:p>
    <w:p w14:paraId="020BF509">
      <w:pPr>
        <w:spacing w:line="360" w:lineRule="auto"/>
        <w:outlineLvl w:val="0"/>
        <w:rPr>
          <w:rFonts w:ascii="宋体" w:hAnsi="宋体" w:cs="宋体"/>
          <w:b/>
          <w:sz w:val="36"/>
          <w:szCs w:val="36"/>
          <w:highlight w:val="none"/>
        </w:rPr>
      </w:pPr>
    </w:p>
    <w:p w14:paraId="00F8EBC2">
      <w:pPr>
        <w:widowControl/>
        <w:adjustRightInd/>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14:paraId="4994E90A">
      <w:pPr>
        <w:rPr>
          <w:rFonts w:ascii="宋体" w:hAnsi="宋体" w:cs="宋体"/>
          <w:sz w:val="24"/>
          <w:highlight w:val="none"/>
          <w:u w:val="single"/>
        </w:rPr>
      </w:pPr>
      <w:r>
        <w:rPr>
          <w:rFonts w:hint="eastAsia" w:ascii="宋体" w:hAnsi="宋体" w:cs="宋体"/>
          <w:sz w:val="24"/>
          <w:highlight w:val="none"/>
        </w:rPr>
        <w:t>合同编号：</w:t>
      </w:r>
    </w:p>
    <w:p w14:paraId="58436874">
      <w:pPr>
        <w:spacing w:line="480" w:lineRule="auto"/>
        <w:jc w:val="center"/>
        <w:rPr>
          <w:rFonts w:ascii="宋体" w:hAnsi="宋体" w:cs="宋体"/>
          <w:b/>
          <w:sz w:val="28"/>
          <w:szCs w:val="28"/>
          <w:highlight w:val="none"/>
        </w:rPr>
      </w:pPr>
    </w:p>
    <w:p w14:paraId="06F88C7A">
      <w:pPr>
        <w:spacing w:line="480" w:lineRule="auto"/>
        <w:jc w:val="center"/>
        <w:rPr>
          <w:rFonts w:ascii="宋体" w:hAnsi="宋体" w:cs="宋体"/>
          <w:b/>
          <w:sz w:val="24"/>
          <w:highlight w:val="none"/>
        </w:rPr>
      </w:pPr>
    </w:p>
    <w:p w14:paraId="45BB7A59">
      <w:pPr>
        <w:spacing w:line="480" w:lineRule="auto"/>
        <w:jc w:val="center"/>
        <w:rPr>
          <w:rFonts w:ascii="宋体" w:hAnsi="宋体" w:cs="宋体"/>
          <w:b/>
          <w:sz w:val="24"/>
          <w:highlight w:val="none"/>
        </w:rPr>
      </w:pPr>
    </w:p>
    <w:p w14:paraId="14E6A8E5">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w:t>
      </w:r>
    </w:p>
    <w:p w14:paraId="279796FD">
      <w:pPr>
        <w:spacing w:line="480" w:lineRule="auto"/>
        <w:jc w:val="center"/>
        <w:rPr>
          <w:rFonts w:ascii="宋体" w:hAnsi="宋体" w:cs="宋体"/>
          <w:b/>
          <w:sz w:val="36"/>
          <w:szCs w:val="36"/>
          <w:highlight w:val="none"/>
        </w:rPr>
      </w:pPr>
    </w:p>
    <w:p w14:paraId="7D657329">
      <w:pPr>
        <w:pStyle w:val="386"/>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14:paraId="738C39F9">
      <w:pPr>
        <w:spacing w:before="120" w:line="22" w:lineRule="atLeast"/>
        <w:rPr>
          <w:rFonts w:ascii="宋体" w:hAnsi="宋体" w:cs="宋体"/>
          <w:sz w:val="24"/>
          <w:highlight w:val="none"/>
        </w:rPr>
      </w:pPr>
    </w:p>
    <w:p w14:paraId="39B6D67A">
      <w:pPr>
        <w:pStyle w:val="3"/>
        <w:rPr>
          <w:highlight w:val="none"/>
        </w:rPr>
      </w:pPr>
    </w:p>
    <w:p w14:paraId="29FF835C">
      <w:pPr>
        <w:spacing w:before="120" w:line="22" w:lineRule="atLeast"/>
        <w:ind w:left="960"/>
        <w:rPr>
          <w:rFonts w:ascii="宋体" w:hAnsi="宋体" w:cs="宋体"/>
          <w:highlight w:val="none"/>
        </w:rPr>
      </w:pPr>
      <w:r>
        <w:rPr>
          <w:rFonts w:hint="eastAsia" w:ascii="宋体" w:hAnsi="宋体" w:cs="宋体"/>
          <w:sz w:val="24"/>
          <w:highlight w:val="none"/>
        </w:rPr>
        <w:t>项目名称：</w:t>
      </w:r>
      <w:r>
        <w:rPr>
          <w:rFonts w:ascii="宋体" w:hAnsi="宋体" w:cs="宋体"/>
          <w:sz w:val="24"/>
          <w:szCs w:val="20"/>
          <w:highlight w:val="none"/>
          <w:u w:val="single"/>
        </w:rPr>
        <w:t>2024年杭州交警业务系统使用服务-2024年杭州交警网络及数据安全运维服务</w:t>
      </w:r>
    </w:p>
    <w:p w14:paraId="1C9C67BB">
      <w:pPr>
        <w:rPr>
          <w:rFonts w:ascii="宋体" w:hAnsi="宋体" w:cs="宋体"/>
          <w:sz w:val="24"/>
          <w:highlight w:val="none"/>
        </w:rPr>
      </w:pPr>
    </w:p>
    <w:p w14:paraId="37B99D83">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杭州市公安局</w:t>
      </w:r>
    </w:p>
    <w:p w14:paraId="24C177D7">
      <w:pPr>
        <w:spacing w:before="120" w:line="22" w:lineRule="atLeast"/>
        <w:rPr>
          <w:rFonts w:ascii="宋体" w:hAnsi="宋体" w:cs="宋体"/>
          <w:sz w:val="24"/>
          <w:highlight w:val="none"/>
        </w:rPr>
      </w:pPr>
    </w:p>
    <w:p w14:paraId="2E3B133A">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p>
    <w:p w14:paraId="296D590F">
      <w:pPr>
        <w:spacing w:before="120" w:line="22" w:lineRule="atLeast"/>
        <w:rPr>
          <w:rFonts w:ascii="宋体" w:hAnsi="宋体" w:cs="宋体"/>
          <w:sz w:val="24"/>
          <w:highlight w:val="none"/>
        </w:rPr>
      </w:pPr>
    </w:p>
    <w:p w14:paraId="2B7F2E17">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杭州市</w:t>
      </w:r>
    </w:p>
    <w:p w14:paraId="625708C5">
      <w:pPr>
        <w:spacing w:before="120" w:line="22" w:lineRule="atLeast"/>
        <w:rPr>
          <w:rFonts w:ascii="宋体" w:hAnsi="宋体" w:cs="宋体"/>
          <w:sz w:val="24"/>
          <w:highlight w:val="none"/>
        </w:rPr>
      </w:pPr>
    </w:p>
    <w:p w14:paraId="5EA8B3EB">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2024 </w:t>
      </w:r>
      <w:r>
        <w:rPr>
          <w:rFonts w:hint="eastAsia" w:ascii="宋体" w:hAnsi="宋体" w:cs="宋体"/>
          <w:sz w:val="24"/>
          <w:highlight w:val="none"/>
        </w:rPr>
        <w:t>年月日</w:t>
      </w:r>
    </w:p>
    <w:p w14:paraId="53270285">
      <w:pPr>
        <w:widowControl/>
        <w:jc w:val="left"/>
        <w:rPr>
          <w:rFonts w:ascii="宋体" w:hAnsi="宋体" w:cs="宋体"/>
          <w:kern w:val="0"/>
          <w:sz w:val="24"/>
          <w:highlight w:val="none"/>
        </w:rPr>
        <w:sectPr>
          <w:pgSz w:w="11907" w:h="16840"/>
          <w:pgMar w:top="1474" w:right="1814" w:bottom="1474" w:left="1814" w:header="851" w:footer="851" w:gutter="0"/>
          <w:cols w:space="720" w:num="1"/>
        </w:sectPr>
      </w:pPr>
    </w:p>
    <w:p w14:paraId="061EDB5C">
      <w:pPr>
        <w:rPr>
          <w:rFonts w:ascii="宋体" w:hAnsi="宋体" w:cs="宋体"/>
          <w:b/>
          <w:sz w:val="24"/>
          <w:highlight w:val="none"/>
        </w:rPr>
      </w:pPr>
    </w:p>
    <w:p w14:paraId="5EE04E91">
      <w:pPr>
        <w:spacing w:line="560" w:lineRule="exact"/>
        <w:ind w:firstLine="480" w:firstLineChars="200"/>
        <w:rPr>
          <w:rFonts w:ascii="宋体" w:hAnsi="宋体"/>
          <w:sz w:val="24"/>
          <w:highlight w:val="none"/>
        </w:rPr>
      </w:pPr>
      <w:r>
        <w:rPr>
          <w:rFonts w:hint="eastAsia" w:ascii="宋体" w:hAnsi="宋体"/>
          <w:sz w:val="24"/>
          <w:highlight w:val="none"/>
          <w:u w:val="single"/>
          <w:lang w:val="zh-CN"/>
        </w:rPr>
        <w:t>2024</w:t>
      </w:r>
      <w:r>
        <w:rPr>
          <w:rFonts w:hint="eastAsia" w:ascii="宋体" w:hAnsi="宋体"/>
          <w:sz w:val="24"/>
          <w:highlight w:val="none"/>
          <w:lang w:val="zh-CN"/>
        </w:rPr>
        <w:t>年月日</w:t>
      </w:r>
      <w:r>
        <w:rPr>
          <w:rFonts w:hint="eastAsia" w:ascii="宋体" w:hAnsi="宋体"/>
          <w:sz w:val="24"/>
          <w:highlight w:val="none"/>
        </w:rPr>
        <w:t>，</w:t>
      </w:r>
      <w:r>
        <w:rPr>
          <w:rFonts w:hint="eastAsia" w:ascii="宋体" w:hAnsi="宋体" w:cs="宋体"/>
          <w:sz w:val="24"/>
          <w:highlight w:val="none"/>
          <w:u w:val="single"/>
        </w:rPr>
        <w:t>杭州市公安局</w:t>
      </w:r>
      <w:r>
        <w:rPr>
          <w:rFonts w:hint="eastAsia" w:ascii="宋体" w:hAnsi="宋体"/>
          <w:sz w:val="24"/>
          <w:highlight w:val="none"/>
        </w:rPr>
        <w:t>以</w:t>
      </w:r>
      <w:r>
        <w:rPr>
          <w:rFonts w:hint="eastAsia" w:ascii="宋体" w:hAnsi="宋体"/>
          <w:sz w:val="24"/>
          <w:highlight w:val="none"/>
          <w:u w:val="single"/>
        </w:rPr>
        <w:t>公开招标</w:t>
      </w:r>
      <w:r>
        <w:rPr>
          <w:rFonts w:hint="eastAsia" w:ascii="宋体" w:hAnsi="宋体"/>
          <w:sz w:val="24"/>
          <w:highlight w:val="none"/>
        </w:rPr>
        <w:t>对</w:t>
      </w:r>
      <w:r>
        <w:rPr>
          <w:rFonts w:hint="eastAsia" w:ascii="宋体" w:hAnsi="宋体"/>
          <w:sz w:val="24"/>
          <w:highlight w:val="none"/>
          <w:u w:val="single"/>
        </w:rPr>
        <w:t>2024年杭州交警业务系统使用服务-2024年杭州交警网络及数据安全运维服务</w:t>
      </w:r>
      <w:r>
        <w:rPr>
          <w:rFonts w:hint="eastAsia" w:ascii="宋体" w:hAnsi="宋体"/>
          <w:sz w:val="24"/>
          <w:highlight w:val="none"/>
        </w:rPr>
        <w:t>项目进行了采购。经</w:t>
      </w:r>
      <w:r>
        <w:rPr>
          <w:rFonts w:hint="eastAsia" w:ascii="宋体" w:hAnsi="宋体"/>
          <w:sz w:val="24"/>
          <w:highlight w:val="none"/>
          <w:u w:val="single"/>
        </w:rPr>
        <w:t>评标委员会</w:t>
      </w:r>
      <w:r>
        <w:rPr>
          <w:rFonts w:hint="eastAsia" w:ascii="宋体" w:hAnsi="宋体"/>
          <w:sz w:val="24"/>
          <w:highlight w:val="none"/>
        </w:rPr>
        <w:t>评定，</w:t>
      </w:r>
      <w:r>
        <w:rPr>
          <w:rFonts w:ascii="宋体" w:hAnsi="宋体"/>
          <w:sz w:val="24"/>
          <w:highlight w:val="none"/>
          <w:u w:val="single"/>
        </w:rPr>
        <w:t xml:space="preserve">   （中标</w:t>
      </w:r>
      <w:r>
        <w:rPr>
          <w:rFonts w:hint="eastAsia" w:ascii="宋体" w:hAnsi="宋体"/>
          <w:sz w:val="24"/>
          <w:highlight w:val="none"/>
          <w:u w:val="single"/>
        </w:rPr>
        <w:t>或者成交</w:t>
      </w:r>
      <w:r>
        <w:rPr>
          <w:rFonts w:ascii="宋体" w:hAnsi="宋体"/>
          <w:sz w:val="24"/>
          <w:highlight w:val="none"/>
          <w:u w:val="single"/>
        </w:rPr>
        <w:t xml:space="preserve">供应商名称） </w:t>
      </w:r>
      <w:r>
        <w:rPr>
          <w:rFonts w:hint="eastAsia" w:ascii="宋体" w:hAnsi="宋体"/>
          <w:sz w:val="24"/>
          <w:highlight w:val="none"/>
        </w:rPr>
        <w:t>为该项目</w:t>
      </w:r>
      <w:r>
        <w:rPr>
          <w:rFonts w:hint="eastAsia" w:ascii="宋体" w:hAnsi="宋体" w:cs="宋体"/>
          <w:sz w:val="24"/>
          <w:highlight w:val="none"/>
        </w:rPr>
        <w:t>中标或者成交供应商</w:t>
      </w:r>
      <w:r>
        <w:rPr>
          <w:rFonts w:hint="eastAsia" w:ascii="宋体" w:hAnsi="宋体"/>
          <w:sz w:val="24"/>
          <w:highlight w:val="none"/>
        </w:rPr>
        <w:t>。现于</w:t>
      </w:r>
      <w:r>
        <w:rPr>
          <w:rFonts w:hint="eastAsia" w:ascii="宋体" w:hAnsi="宋体" w:cs="宋体"/>
          <w:sz w:val="24"/>
          <w:highlight w:val="none"/>
        </w:rPr>
        <w:t>中标或者成交通知书</w:t>
      </w:r>
      <w:r>
        <w:rPr>
          <w:rFonts w:hint="eastAsia" w:ascii="宋体" w:hAnsi="宋体"/>
          <w:sz w:val="24"/>
          <w:highlight w:val="none"/>
        </w:rPr>
        <w:t>发出之日起10个工作日内，按照采购文件确定的事项签订本合同。</w:t>
      </w:r>
    </w:p>
    <w:p w14:paraId="677C4B0E">
      <w:pPr>
        <w:spacing w:line="560" w:lineRule="exact"/>
        <w:ind w:firstLine="480" w:firstLineChars="200"/>
        <w:rPr>
          <w:rFonts w:ascii="宋体" w:hAnsi="宋体"/>
          <w:sz w:val="24"/>
          <w:highlight w:val="none"/>
        </w:rPr>
      </w:pPr>
      <w:r>
        <w:rPr>
          <w:rFonts w:hint="eastAsia" w:ascii="宋体" w:hAnsi="宋体"/>
          <w:sz w:val="24"/>
          <w:highlight w:val="none"/>
          <w:lang w:val="zh-CN"/>
        </w:rPr>
        <w:t>根据《中华人民共和国民法典》《中华人民共和国政府采购法》等相关法律法规之规定，按照平等、自愿、公平和诚实信用的原则，经</w:t>
      </w:r>
      <w:r>
        <w:rPr>
          <w:rFonts w:hint="eastAsia" w:ascii="宋体" w:hAnsi="宋体"/>
          <w:sz w:val="24"/>
          <w:highlight w:val="none"/>
          <w:u w:val="single"/>
        </w:rPr>
        <w:t>杭州市公安局</w:t>
      </w:r>
      <w:r>
        <w:rPr>
          <w:rFonts w:ascii="宋体" w:hAnsi="宋体"/>
          <w:sz w:val="24"/>
          <w:highlight w:val="none"/>
          <w:lang w:val="zh-CN"/>
        </w:rPr>
        <w:t>(以下简称：甲方)和</w:t>
      </w:r>
      <w:r>
        <w:rPr>
          <w:rFonts w:ascii="宋体" w:hAnsi="宋体"/>
          <w:sz w:val="24"/>
          <w:highlight w:val="none"/>
          <w:u w:val="single"/>
        </w:rPr>
        <w:t xml:space="preserve">   （中</w:t>
      </w:r>
      <w:r>
        <w:rPr>
          <w:rFonts w:hint="eastAsia" w:ascii="宋体" w:hAnsi="宋体"/>
          <w:sz w:val="24"/>
          <w:highlight w:val="none"/>
          <w:u w:val="single"/>
        </w:rPr>
        <w:t>标或者成交</w:t>
      </w:r>
      <w:r>
        <w:rPr>
          <w:rFonts w:ascii="宋体" w:hAnsi="宋体"/>
          <w:sz w:val="24"/>
          <w:highlight w:val="none"/>
          <w:u w:val="single"/>
        </w:rPr>
        <w:t xml:space="preserve">标供应商名称）   </w:t>
      </w:r>
      <w:r>
        <w:rPr>
          <w:rFonts w:ascii="宋体" w:hAnsi="宋体"/>
          <w:sz w:val="24"/>
          <w:highlight w:val="none"/>
          <w:lang w:val="zh-CN"/>
        </w:rPr>
        <w:t>(以下简称：乙方)协商一致，约定以下合同</w:t>
      </w:r>
      <w:r>
        <w:rPr>
          <w:rFonts w:hint="eastAsia" w:ascii="宋体" w:hAnsi="宋体"/>
          <w:sz w:val="24"/>
          <w:highlight w:val="none"/>
        </w:rPr>
        <w:t>条款，以兹共同遵守、全面履行。</w:t>
      </w:r>
    </w:p>
    <w:p w14:paraId="74786759">
      <w:pPr>
        <w:spacing w:line="560" w:lineRule="exact"/>
        <w:ind w:firstLine="482" w:firstLineChars="200"/>
        <w:outlineLvl w:val="0"/>
        <w:rPr>
          <w:rFonts w:ascii="宋体" w:hAnsi="宋体"/>
          <w:sz w:val="24"/>
          <w:highlight w:val="none"/>
        </w:rPr>
      </w:pPr>
      <w:bookmarkStart w:id="415" w:name="_Toc15367"/>
      <w:bookmarkStart w:id="416" w:name="_Toc20421"/>
      <w:bookmarkStart w:id="417" w:name="_Toc22967"/>
      <w:bookmarkStart w:id="418" w:name="_Toc28855"/>
      <w:bookmarkStart w:id="419" w:name="_Toc19273"/>
      <w:r>
        <w:rPr>
          <w:rFonts w:ascii="宋体" w:hAnsi="宋体"/>
          <w:b/>
          <w:sz w:val="24"/>
          <w:highlight w:val="none"/>
        </w:rPr>
        <w:t xml:space="preserve">1.1 </w:t>
      </w:r>
      <w:r>
        <w:rPr>
          <w:rFonts w:hint="eastAsia" w:ascii="宋体" w:hAnsi="宋体"/>
          <w:b/>
          <w:sz w:val="24"/>
          <w:highlight w:val="none"/>
        </w:rPr>
        <w:t>合同组成部分</w:t>
      </w:r>
      <w:bookmarkEnd w:id="415"/>
      <w:bookmarkEnd w:id="416"/>
      <w:bookmarkEnd w:id="417"/>
      <w:bookmarkEnd w:id="418"/>
      <w:bookmarkEnd w:id="419"/>
    </w:p>
    <w:p w14:paraId="713C46FE">
      <w:pPr>
        <w:spacing w:line="560" w:lineRule="exact"/>
        <w:ind w:firstLine="480" w:firstLineChars="200"/>
        <w:rPr>
          <w:rFonts w:ascii="宋体" w:hAnsi="宋体"/>
          <w:sz w:val="24"/>
          <w:highlight w:val="none"/>
        </w:rPr>
      </w:pPr>
      <w:r>
        <w:rPr>
          <w:rFonts w:hint="eastAsia" w:ascii="宋体" w:hAnsi="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9432DF7">
      <w:pPr>
        <w:spacing w:line="560" w:lineRule="exact"/>
        <w:ind w:firstLine="480" w:firstLineChars="200"/>
        <w:rPr>
          <w:rFonts w:ascii="宋体" w:hAnsi="宋体"/>
          <w:sz w:val="24"/>
          <w:highlight w:val="none"/>
        </w:rPr>
      </w:pPr>
      <w:r>
        <w:rPr>
          <w:rFonts w:ascii="宋体" w:hAnsi="宋体"/>
          <w:sz w:val="24"/>
          <w:highlight w:val="none"/>
        </w:rPr>
        <w:t xml:space="preserve">1.1.1 </w:t>
      </w:r>
      <w:r>
        <w:rPr>
          <w:rFonts w:hint="eastAsia" w:ascii="宋体" w:hAnsi="宋体"/>
          <w:sz w:val="24"/>
          <w:highlight w:val="none"/>
        </w:rPr>
        <w:t>本合同及其补充合同、变更协议；</w:t>
      </w:r>
    </w:p>
    <w:p w14:paraId="7054159D">
      <w:pPr>
        <w:spacing w:line="560" w:lineRule="exact"/>
        <w:ind w:firstLine="480" w:firstLineChars="200"/>
        <w:rPr>
          <w:rFonts w:ascii="宋体" w:hAnsi="宋体"/>
          <w:sz w:val="24"/>
          <w:highlight w:val="none"/>
        </w:rPr>
      </w:pPr>
      <w:r>
        <w:rPr>
          <w:rFonts w:ascii="宋体" w:hAnsi="宋体"/>
          <w:sz w:val="24"/>
          <w:highlight w:val="none"/>
        </w:rPr>
        <w:t xml:space="preserve">1.1.2 </w:t>
      </w:r>
      <w:r>
        <w:rPr>
          <w:rFonts w:hint="eastAsia" w:ascii="宋体" w:hAnsi="宋体"/>
          <w:sz w:val="24"/>
          <w:highlight w:val="none"/>
        </w:rPr>
        <w:t>中标或者成交通知书；</w:t>
      </w:r>
    </w:p>
    <w:p w14:paraId="59B43BB8">
      <w:pPr>
        <w:spacing w:line="560" w:lineRule="exact"/>
        <w:ind w:firstLine="480" w:firstLineChars="200"/>
        <w:rPr>
          <w:rFonts w:ascii="宋体" w:hAnsi="宋体"/>
          <w:sz w:val="24"/>
          <w:highlight w:val="none"/>
        </w:rPr>
      </w:pPr>
      <w:r>
        <w:rPr>
          <w:rFonts w:ascii="宋体" w:hAnsi="宋体"/>
          <w:sz w:val="24"/>
          <w:highlight w:val="none"/>
        </w:rPr>
        <w:t xml:space="preserve">1.1.3 </w:t>
      </w:r>
      <w:r>
        <w:rPr>
          <w:rFonts w:hint="eastAsia" w:ascii="宋体" w:hAnsi="宋体"/>
          <w:sz w:val="24"/>
          <w:highlight w:val="none"/>
        </w:rPr>
        <w:t>投标或者响应文件（含澄清或者说明文件）；</w:t>
      </w:r>
    </w:p>
    <w:p w14:paraId="214A54F9">
      <w:pPr>
        <w:spacing w:line="560" w:lineRule="exact"/>
        <w:ind w:firstLine="480" w:firstLineChars="200"/>
        <w:rPr>
          <w:rFonts w:ascii="宋体" w:hAnsi="宋体"/>
          <w:sz w:val="24"/>
          <w:highlight w:val="none"/>
        </w:rPr>
      </w:pPr>
      <w:r>
        <w:rPr>
          <w:rFonts w:ascii="宋体" w:hAnsi="宋体"/>
          <w:sz w:val="24"/>
          <w:highlight w:val="none"/>
        </w:rPr>
        <w:t xml:space="preserve">1.1.4 </w:t>
      </w:r>
      <w:r>
        <w:rPr>
          <w:rFonts w:hint="eastAsia" w:ascii="宋体" w:hAnsi="宋体"/>
          <w:sz w:val="24"/>
          <w:highlight w:val="none"/>
        </w:rPr>
        <w:t>采购文件（含澄清或者修改文件）；</w:t>
      </w:r>
    </w:p>
    <w:p w14:paraId="40009849">
      <w:pPr>
        <w:spacing w:line="560" w:lineRule="exact"/>
        <w:ind w:firstLine="480" w:firstLineChars="200"/>
        <w:rPr>
          <w:rFonts w:ascii="宋体" w:hAnsi="宋体"/>
          <w:sz w:val="24"/>
          <w:highlight w:val="none"/>
        </w:rPr>
      </w:pPr>
      <w:r>
        <w:rPr>
          <w:rFonts w:ascii="宋体" w:hAnsi="宋体"/>
          <w:sz w:val="24"/>
          <w:highlight w:val="none"/>
        </w:rPr>
        <w:t xml:space="preserve">1.1.5 </w:t>
      </w:r>
      <w:r>
        <w:rPr>
          <w:rFonts w:hint="eastAsia" w:ascii="宋体" w:hAnsi="宋体"/>
          <w:sz w:val="24"/>
          <w:highlight w:val="none"/>
        </w:rPr>
        <w:t>其他相关采购文件。</w:t>
      </w:r>
    </w:p>
    <w:p w14:paraId="1ED7F48E">
      <w:pPr>
        <w:spacing w:line="560" w:lineRule="exact"/>
        <w:ind w:firstLine="482" w:firstLineChars="200"/>
        <w:outlineLvl w:val="0"/>
        <w:rPr>
          <w:rFonts w:ascii="宋体" w:hAnsi="宋体"/>
          <w:b/>
          <w:sz w:val="24"/>
          <w:highlight w:val="none"/>
        </w:rPr>
      </w:pPr>
      <w:bookmarkStart w:id="420" w:name="_Toc18585"/>
      <w:bookmarkStart w:id="421" w:name="_Toc22185"/>
      <w:bookmarkStart w:id="422" w:name="_Toc6773"/>
      <w:bookmarkStart w:id="423" w:name="_Toc2918"/>
      <w:bookmarkStart w:id="424" w:name="_Toc6311"/>
      <w:r>
        <w:rPr>
          <w:rFonts w:ascii="宋体" w:hAnsi="宋体"/>
          <w:b/>
          <w:sz w:val="24"/>
          <w:highlight w:val="none"/>
        </w:rPr>
        <w:t xml:space="preserve">1.2 </w:t>
      </w:r>
      <w:r>
        <w:rPr>
          <w:rFonts w:hint="eastAsia" w:ascii="宋体" w:hAnsi="宋体"/>
          <w:b/>
          <w:sz w:val="24"/>
          <w:highlight w:val="none"/>
        </w:rPr>
        <w:t>标的</w:t>
      </w:r>
      <w:bookmarkEnd w:id="420"/>
      <w:bookmarkEnd w:id="421"/>
      <w:bookmarkEnd w:id="422"/>
      <w:bookmarkEnd w:id="423"/>
      <w:bookmarkEnd w:id="424"/>
    </w:p>
    <w:p w14:paraId="704DCD6B">
      <w:pPr>
        <w:spacing w:line="560" w:lineRule="exact"/>
        <w:ind w:firstLine="480" w:firstLineChars="200"/>
        <w:rPr>
          <w:rFonts w:ascii="宋体" w:hAnsi="宋体"/>
          <w:sz w:val="24"/>
          <w:highlight w:val="none"/>
          <w:u w:val="single"/>
        </w:rPr>
      </w:pPr>
      <w:r>
        <w:rPr>
          <w:rFonts w:ascii="宋体" w:hAnsi="宋体"/>
          <w:sz w:val="24"/>
          <w:highlight w:val="none"/>
        </w:rPr>
        <w:t xml:space="preserve">1.2.1 </w:t>
      </w:r>
      <w:r>
        <w:rPr>
          <w:rFonts w:hint="eastAsia" w:ascii="宋体" w:hAnsi="宋体"/>
          <w:sz w:val="24"/>
          <w:highlight w:val="none"/>
        </w:rPr>
        <w:t>服务内容</w:t>
      </w:r>
      <w:r>
        <w:rPr>
          <w:rFonts w:ascii="宋体" w:hAnsi="宋体"/>
          <w:sz w:val="24"/>
          <w:highlight w:val="none"/>
        </w:rPr>
        <w:t>：</w:t>
      </w:r>
      <w:r>
        <w:rPr>
          <w:rFonts w:hint="eastAsia" w:ascii="宋体" w:hAnsi="宋体" w:cs="宋体"/>
          <w:sz w:val="24"/>
          <w:highlight w:val="none"/>
          <w:u w:val="single"/>
        </w:rPr>
        <w:t>本项目以购买服务方式，提供交通管理数据全生命周期运营服务、安全加固及应用迁移改造服务、货运导航数据及运营保障服务、安全防控风险预警服务，要求提供不少于</w:t>
      </w:r>
      <w:r>
        <w:rPr>
          <w:rFonts w:ascii="宋体" w:hAnsi="宋体" w:cs="宋体"/>
          <w:sz w:val="24"/>
          <w:highlight w:val="none"/>
          <w:u w:val="single"/>
        </w:rPr>
        <w:t>11人</w:t>
      </w:r>
      <w:r>
        <w:rPr>
          <w:rFonts w:hint="eastAsia" w:ascii="宋体" w:hAnsi="宋体" w:cs="宋体"/>
          <w:sz w:val="24"/>
          <w:highlight w:val="none"/>
          <w:u w:val="single"/>
        </w:rPr>
        <w:t>驻点</w:t>
      </w:r>
      <w:r>
        <w:rPr>
          <w:rFonts w:ascii="宋体" w:hAnsi="宋体" w:cs="宋体"/>
          <w:sz w:val="24"/>
          <w:highlight w:val="none"/>
          <w:u w:val="single"/>
        </w:rPr>
        <w:t>服务</w:t>
      </w:r>
      <w:r>
        <w:rPr>
          <w:rFonts w:hint="eastAsia" w:ascii="宋体" w:hAnsi="宋体"/>
          <w:sz w:val="24"/>
          <w:highlight w:val="none"/>
        </w:rPr>
        <w:t>；</w:t>
      </w:r>
    </w:p>
    <w:p w14:paraId="74D09D51">
      <w:pPr>
        <w:spacing w:line="360" w:lineRule="auto"/>
        <w:ind w:firstLine="420"/>
        <w:jc w:val="left"/>
        <w:rPr>
          <w:rFonts w:ascii="宋体" w:hAnsi="宋体" w:cs="宋体"/>
          <w:sz w:val="24"/>
          <w:highlight w:val="none"/>
        </w:rPr>
      </w:pPr>
      <w:r>
        <w:rPr>
          <w:rFonts w:ascii="宋体" w:hAnsi="宋体"/>
          <w:sz w:val="24"/>
          <w:highlight w:val="none"/>
        </w:rPr>
        <w:t xml:space="preserve">1.2.2 </w:t>
      </w:r>
      <w:r>
        <w:rPr>
          <w:rFonts w:hint="eastAsia" w:ascii="宋体" w:hAnsi="宋体"/>
          <w:sz w:val="24"/>
          <w:highlight w:val="none"/>
        </w:rPr>
        <w:t>服务标准</w:t>
      </w:r>
      <w:r>
        <w:rPr>
          <w:rFonts w:ascii="宋体" w:hAnsi="宋体"/>
          <w:sz w:val="24"/>
          <w:highlight w:val="none"/>
        </w:rPr>
        <w:t>：</w:t>
      </w:r>
      <w:r>
        <w:rPr>
          <w:rFonts w:hint="eastAsia" w:ascii="宋体" w:hAnsi="宋体" w:cs="宋体"/>
          <w:sz w:val="24"/>
          <w:highlight w:val="none"/>
          <w:u w:val="single"/>
        </w:rPr>
        <w:t>通过本项目实施，提供常态化交通数据运维服务，为甲方正常业务运行提供数据支撑、模型支撑、技术保障支撑，完成甲方数据及应用安全迁移改造，实现数据及应用安全合规</w:t>
      </w:r>
      <w:r>
        <w:rPr>
          <w:rFonts w:hint="eastAsia" w:ascii="宋体" w:hAnsi="宋体"/>
          <w:sz w:val="24"/>
          <w:highlight w:val="none"/>
        </w:rPr>
        <w:t>；</w:t>
      </w:r>
    </w:p>
    <w:p w14:paraId="685EEC5F">
      <w:pPr>
        <w:spacing w:line="560" w:lineRule="exact"/>
        <w:ind w:firstLine="480" w:firstLineChars="200"/>
        <w:rPr>
          <w:rFonts w:ascii="宋体" w:hAnsi="宋体"/>
          <w:sz w:val="24"/>
          <w:highlight w:val="none"/>
          <w:u w:val="single"/>
        </w:rPr>
      </w:pPr>
      <w:r>
        <w:rPr>
          <w:rFonts w:ascii="宋体" w:hAnsi="宋体"/>
          <w:sz w:val="24"/>
          <w:highlight w:val="none"/>
        </w:rPr>
        <w:t xml:space="preserve">1.2.3 </w:t>
      </w:r>
      <w:r>
        <w:rPr>
          <w:rFonts w:hint="eastAsia" w:ascii="宋体" w:hAnsi="宋体"/>
          <w:sz w:val="24"/>
          <w:highlight w:val="none"/>
        </w:rPr>
        <w:t>技术保障：</w:t>
      </w:r>
      <w:r>
        <w:rPr>
          <w:rFonts w:hint="eastAsia" w:ascii="宋体" w:hAnsi="宋体"/>
          <w:sz w:val="24"/>
          <w:highlight w:val="none"/>
          <w:u w:val="single"/>
        </w:rPr>
        <w:t>/；</w:t>
      </w:r>
    </w:p>
    <w:p w14:paraId="48C4538A">
      <w:pPr>
        <w:spacing w:line="560" w:lineRule="exact"/>
        <w:ind w:firstLine="480" w:firstLineChars="200"/>
        <w:jc w:val="left"/>
        <w:rPr>
          <w:rFonts w:ascii="宋体" w:hAnsi="宋体"/>
          <w:sz w:val="24"/>
          <w:highlight w:val="none"/>
        </w:rPr>
      </w:pPr>
      <w:r>
        <w:rPr>
          <w:rFonts w:hint="eastAsia" w:ascii="宋体" w:hAnsi="宋体"/>
          <w:sz w:val="24"/>
          <w:highlight w:val="none"/>
        </w:rPr>
        <w:t>1.2.4 服务人员组成：</w:t>
      </w:r>
      <w:r>
        <w:rPr>
          <w:rFonts w:hint="eastAsia" w:ascii="宋体" w:hAnsi="宋体"/>
          <w:sz w:val="24"/>
          <w:highlight w:val="none"/>
          <w:u w:val="single"/>
        </w:rPr>
        <w:t>详见附件一</w:t>
      </w:r>
      <w:r>
        <w:rPr>
          <w:rFonts w:hint="eastAsia" w:ascii="宋体" w:hAnsi="宋体"/>
          <w:sz w:val="24"/>
          <w:highlight w:val="none"/>
        </w:rPr>
        <w:t>；</w:t>
      </w:r>
    </w:p>
    <w:p w14:paraId="36F9ADB8">
      <w:pPr>
        <w:pStyle w:val="618"/>
        <w:spacing w:before="0" w:beforeAutospacing="0" w:after="0" w:afterAutospacing="0" w:line="360" w:lineRule="auto"/>
        <w:ind w:firstLine="480"/>
        <w:rPr>
          <w:highlight w:val="none"/>
        </w:rPr>
      </w:pPr>
      <w:r>
        <w:rPr>
          <w:rFonts w:hint="eastAsia"/>
          <w:highlight w:val="none"/>
        </w:rPr>
        <w:t>1.2.5合同</w:t>
      </w:r>
      <w:r>
        <w:rPr>
          <w:rFonts w:hint="eastAsia"/>
          <w:highlight w:val="none"/>
          <w:u w:val="single"/>
        </w:rPr>
        <w:t xml:space="preserve">  否  </w:t>
      </w:r>
      <w:r>
        <w:rPr>
          <w:rFonts w:hint="eastAsia"/>
          <w:highlight w:val="none"/>
        </w:rPr>
        <w:t>（是</w:t>
      </w:r>
      <w:r>
        <w:rPr>
          <w:rFonts w:hint="eastAsia" w:ascii="仿宋" w:hAnsi="仿宋" w:eastAsia="仿宋" w:cs="仿宋"/>
          <w:highlight w:val="none"/>
        </w:rPr>
        <w:t>/</w:t>
      </w:r>
      <w:r>
        <w:rPr>
          <w:rFonts w:hint="eastAsia"/>
          <w:highlight w:val="none"/>
        </w:rPr>
        <w:t>否）涉及货物。若涉及货物的，则：</w:t>
      </w:r>
    </w:p>
    <w:p w14:paraId="283F83D1">
      <w:pPr>
        <w:spacing w:line="560" w:lineRule="exact"/>
        <w:ind w:firstLine="480" w:firstLineChars="200"/>
        <w:rPr>
          <w:rFonts w:ascii="宋体" w:hAnsi="宋体" w:cs="宋体"/>
          <w:sz w:val="24"/>
          <w:highlight w:val="none"/>
          <w:u w:val="single"/>
        </w:rPr>
      </w:pPr>
      <w:bookmarkStart w:id="425" w:name="_Toc1386"/>
      <w:bookmarkStart w:id="426" w:name="_Toc21124"/>
      <w:bookmarkStart w:id="427" w:name="_Toc5635"/>
      <w:bookmarkStart w:id="428" w:name="_Toc4929"/>
      <w:bookmarkStart w:id="429" w:name="_Toc13918"/>
      <w:r>
        <w:rPr>
          <w:rFonts w:hint="eastAsia" w:ascii="宋体" w:hAnsi="宋体" w:cs="宋体"/>
          <w:sz w:val="24"/>
          <w:highlight w:val="none"/>
        </w:rPr>
        <w:t>1.2.5.1 货物名称、品牌、规格型号、花色：</w:t>
      </w:r>
      <w:r>
        <w:rPr>
          <w:rFonts w:hint="eastAsia" w:ascii="宋体" w:hAnsi="宋体" w:cs="宋体"/>
          <w:sz w:val="24"/>
          <w:highlight w:val="none"/>
          <w:u w:val="single"/>
        </w:rPr>
        <w:t xml:space="preserve">          /         </w:t>
      </w:r>
      <w:r>
        <w:rPr>
          <w:rFonts w:hint="eastAsia" w:ascii="宋体" w:hAnsi="宋体" w:cs="宋体"/>
          <w:sz w:val="24"/>
          <w:highlight w:val="none"/>
        </w:rPr>
        <w:t>；</w:t>
      </w:r>
    </w:p>
    <w:p w14:paraId="51A90F40">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1.2.5.2 货物数量：</w:t>
      </w:r>
      <w:r>
        <w:rPr>
          <w:rFonts w:hint="eastAsia" w:ascii="宋体" w:hAnsi="宋体" w:cs="宋体"/>
          <w:sz w:val="24"/>
          <w:highlight w:val="none"/>
          <w:u w:val="single"/>
        </w:rPr>
        <w:t xml:space="preserve">             /                     </w:t>
      </w:r>
      <w:r>
        <w:rPr>
          <w:rFonts w:hint="eastAsia" w:ascii="宋体" w:hAnsi="宋体" w:cs="宋体"/>
          <w:sz w:val="24"/>
          <w:highlight w:val="none"/>
        </w:rPr>
        <w:t>；</w:t>
      </w:r>
    </w:p>
    <w:p w14:paraId="551EB957">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1.2.5.3 货物质量：</w:t>
      </w:r>
      <w:r>
        <w:rPr>
          <w:rFonts w:hint="eastAsia" w:ascii="宋体" w:hAnsi="宋体" w:cs="宋体"/>
          <w:sz w:val="24"/>
          <w:highlight w:val="none"/>
          <w:u w:val="single"/>
        </w:rPr>
        <w:t xml:space="preserve">　         /        　 </w:t>
      </w:r>
      <w:r>
        <w:rPr>
          <w:rFonts w:hint="eastAsia" w:ascii="宋体" w:hAnsi="宋体" w:cs="宋体"/>
          <w:sz w:val="24"/>
          <w:highlight w:val="none"/>
        </w:rPr>
        <w:t>；</w:t>
      </w:r>
    </w:p>
    <w:p w14:paraId="2010878E">
      <w:pPr>
        <w:spacing w:line="560" w:lineRule="exact"/>
        <w:ind w:firstLine="482" w:firstLineChars="200"/>
        <w:outlineLvl w:val="0"/>
        <w:rPr>
          <w:rFonts w:ascii="宋体" w:hAnsi="宋体"/>
          <w:b/>
          <w:sz w:val="24"/>
          <w:highlight w:val="none"/>
        </w:rPr>
      </w:pPr>
      <w:r>
        <w:rPr>
          <w:rFonts w:ascii="宋体" w:hAnsi="宋体"/>
          <w:b/>
          <w:sz w:val="24"/>
          <w:highlight w:val="none"/>
        </w:rPr>
        <w:t>1.3 价款</w:t>
      </w:r>
      <w:bookmarkEnd w:id="425"/>
      <w:bookmarkEnd w:id="426"/>
      <w:bookmarkEnd w:id="427"/>
      <w:bookmarkEnd w:id="428"/>
      <w:bookmarkEnd w:id="429"/>
    </w:p>
    <w:p w14:paraId="6E0741A9">
      <w:pPr>
        <w:spacing w:line="560" w:lineRule="exact"/>
        <w:ind w:firstLine="480" w:firstLineChars="200"/>
        <w:rPr>
          <w:rFonts w:ascii="宋体" w:hAnsi="宋体"/>
          <w:sz w:val="24"/>
          <w:highlight w:val="none"/>
        </w:rPr>
      </w:pPr>
      <w:r>
        <w:rPr>
          <w:rFonts w:hint="eastAsia" w:ascii="宋体" w:hAnsi="宋体" w:cs="宋体"/>
          <w:sz w:val="24"/>
          <w:highlight w:val="none"/>
        </w:rPr>
        <w:t>本项目采用以下第</w:t>
      </w:r>
      <w:r>
        <w:rPr>
          <w:rFonts w:hint="eastAsia" w:ascii="宋体" w:hAnsi="宋体" w:cs="宋体"/>
          <w:sz w:val="24"/>
          <w:highlight w:val="none"/>
          <w:u w:val="single"/>
        </w:rPr>
        <w:t>1.3.2</w:t>
      </w:r>
      <w:r>
        <w:rPr>
          <w:rFonts w:hint="eastAsia" w:ascii="宋体" w:hAnsi="宋体" w:cs="宋体"/>
          <w:sz w:val="24"/>
          <w:highlight w:val="none"/>
        </w:rPr>
        <w:t>条款规定的计价方式计价。</w:t>
      </w:r>
    </w:p>
    <w:p w14:paraId="102B67B8">
      <w:pPr>
        <w:spacing w:line="560" w:lineRule="exact"/>
        <w:ind w:firstLine="480" w:firstLineChars="200"/>
        <w:rPr>
          <w:rFonts w:ascii="宋体" w:hAnsi="宋体"/>
          <w:sz w:val="24"/>
          <w:highlight w:val="none"/>
        </w:rPr>
      </w:pPr>
      <w:r>
        <w:rPr>
          <w:rFonts w:hint="eastAsia" w:ascii="宋体" w:hAnsi="宋体"/>
          <w:sz w:val="24"/>
          <w:highlight w:val="none"/>
        </w:rPr>
        <w:t>1.3.1总价合同，</w:t>
      </w:r>
      <w:r>
        <w:rPr>
          <w:rFonts w:ascii="宋体" w:hAnsi="宋体"/>
          <w:sz w:val="24"/>
          <w:highlight w:val="none"/>
        </w:rPr>
        <w:t>本合同总价</w:t>
      </w:r>
      <w:r>
        <w:rPr>
          <w:rFonts w:hint="eastAsia" w:ascii="宋体" w:hAnsi="宋体"/>
          <w:sz w:val="24"/>
          <w:highlight w:val="none"/>
        </w:rPr>
        <w:t>（含税）</w:t>
      </w:r>
      <w:r>
        <w:rPr>
          <w:rFonts w:ascii="宋体" w:hAnsi="宋体"/>
          <w:sz w:val="24"/>
          <w:highlight w:val="none"/>
        </w:rPr>
        <w:t>为</w:t>
      </w:r>
      <w:r>
        <w:rPr>
          <w:rFonts w:hint="eastAsia" w:ascii="宋体" w:hAnsi="宋体"/>
          <w:sz w:val="24"/>
          <w:highlight w:val="none"/>
        </w:rPr>
        <w:t>：￥</w:t>
      </w:r>
      <w:r>
        <w:rPr>
          <w:rFonts w:hint="eastAsia" w:ascii="宋体" w:hAnsi="宋体"/>
          <w:sz w:val="24"/>
          <w:highlight w:val="none"/>
          <w:u w:val="single"/>
        </w:rPr>
        <w:t>/</w:t>
      </w:r>
      <w:r>
        <w:rPr>
          <w:rFonts w:ascii="宋体" w:hAnsi="宋体"/>
          <w:sz w:val="24"/>
          <w:highlight w:val="none"/>
        </w:rPr>
        <w:t>元</w:t>
      </w:r>
      <w:r>
        <w:rPr>
          <w:rFonts w:hint="eastAsia" w:ascii="宋体" w:hAnsi="宋体"/>
          <w:sz w:val="24"/>
          <w:highlight w:val="none"/>
        </w:rPr>
        <w:t>（大写：元人民币）</w:t>
      </w:r>
      <w:r>
        <w:rPr>
          <w:rFonts w:ascii="宋体" w:hAnsi="宋体"/>
          <w:sz w:val="24"/>
          <w:highlight w:val="none"/>
        </w:rPr>
        <w:t>。</w:t>
      </w:r>
    </w:p>
    <w:p w14:paraId="38092339">
      <w:pPr>
        <w:spacing w:line="560" w:lineRule="exact"/>
        <w:ind w:firstLine="480" w:firstLineChars="200"/>
        <w:rPr>
          <w:rFonts w:ascii="宋体" w:hAnsi="宋体"/>
          <w:sz w:val="24"/>
          <w:highlight w:val="none"/>
        </w:rPr>
      </w:pPr>
      <w:bookmarkStart w:id="430" w:name="_Toc3654"/>
      <w:bookmarkStart w:id="431" w:name="_Toc30158"/>
      <w:bookmarkStart w:id="432" w:name="_Toc30506"/>
      <w:bookmarkStart w:id="433" w:name="_Toc26916"/>
      <w:bookmarkStart w:id="434" w:name="_Toc14993"/>
      <w:r>
        <w:rPr>
          <w:rFonts w:hint="eastAsia" w:ascii="宋体" w:hAnsi="宋体"/>
          <w:bCs/>
          <w:sz w:val="24"/>
          <w:highlight w:val="none"/>
        </w:rPr>
        <w:t>1.3.2单价合同，本合同单价（含税）标准为：</w:t>
      </w:r>
      <w:r>
        <w:rPr>
          <w:rFonts w:hint="eastAsia" w:ascii="宋体" w:hAnsi="宋体"/>
          <w:bCs/>
          <w:sz w:val="24"/>
          <w:highlight w:val="none"/>
          <w:u w:val="single"/>
        </w:rPr>
        <w:t xml:space="preserve"> 合同价格清单：详见附件二  </w:t>
      </w:r>
      <w:r>
        <w:rPr>
          <w:rFonts w:ascii="宋体" w:hAnsi="宋体"/>
          <w:sz w:val="24"/>
          <w:highlight w:val="none"/>
        </w:rPr>
        <w:t>。</w:t>
      </w:r>
      <w:r>
        <w:rPr>
          <w:rFonts w:hint="eastAsia" w:ascii="宋体" w:hAnsi="宋体"/>
          <w:sz w:val="24"/>
          <w:highlight w:val="none"/>
        </w:rPr>
        <w:t>服务工作量的计量方式为：</w:t>
      </w:r>
      <w:r>
        <w:rPr>
          <w:rFonts w:hint="eastAsia" w:ascii="宋体" w:hAnsi="宋体" w:cs="宋体"/>
          <w:b/>
          <w:i/>
          <w:sz w:val="24"/>
          <w:highlight w:val="none"/>
          <w:u w:val="single"/>
        </w:rPr>
        <w:t>合同专用条款</w:t>
      </w:r>
      <w:r>
        <w:rPr>
          <w:rFonts w:ascii="宋体" w:hAnsi="宋体"/>
          <w:sz w:val="24"/>
          <w:highlight w:val="none"/>
        </w:rPr>
        <w:t>。</w:t>
      </w:r>
      <w:r>
        <w:rPr>
          <w:rFonts w:hint="eastAsia" w:ascii="宋体" w:hAnsi="宋体"/>
          <w:sz w:val="24"/>
          <w:highlight w:val="none"/>
        </w:rPr>
        <w:t>单价合同，在合同履行期间内，根据实际完成的工作量据实结算，但结算总价上限不得超过合同总价￥</w:t>
      </w:r>
      <w:r>
        <w:rPr>
          <w:rFonts w:ascii="宋体" w:hAnsi="宋体"/>
          <w:sz w:val="24"/>
          <w:highlight w:val="none"/>
        </w:rPr>
        <w:t>元</w:t>
      </w:r>
      <w:r>
        <w:rPr>
          <w:rFonts w:hint="eastAsia" w:ascii="宋体" w:hAnsi="宋体"/>
          <w:sz w:val="24"/>
          <w:highlight w:val="none"/>
        </w:rPr>
        <w:t>（大写：元人民币）。</w:t>
      </w:r>
    </w:p>
    <w:p w14:paraId="3A373AA6">
      <w:pPr>
        <w:pStyle w:val="3"/>
        <w:rPr>
          <w:highlight w:val="none"/>
          <w:lang w:val="en-US"/>
        </w:rPr>
      </w:pPr>
      <w:r>
        <w:rPr>
          <w:rFonts w:hint="eastAsia" w:ascii="宋体" w:hAnsi="宋体" w:eastAsia="宋体" w:cs="宋体"/>
          <w:b w:val="0"/>
          <w:bCs w:val="0"/>
          <w:sz w:val="24"/>
          <w:highlight w:val="none"/>
          <w:lang w:val="en-US"/>
        </w:rPr>
        <w:t>1.3.3其他计价方式：</w:t>
      </w:r>
      <w:r>
        <w:rPr>
          <w:rFonts w:hint="eastAsia" w:ascii="宋体" w:hAnsi="宋体" w:eastAsia="宋体" w:cs="宋体"/>
          <w:b w:val="0"/>
          <w:bCs w:val="0"/>
          <w:sz w:val="24"/>
          <w:highlight w:val="none"/>
          <w:u w:val="single"/>
          <w:lang w:val="en-US"/>
        </w:rPr>
        <w:t xml:space="preserve">        /         </w:t>
      </w:r>
      <w:r>
        <w:rPr>
          <w:rFonts w:hint="eastAsia" w:ascii="宋体" w:hAnsi="宋体" w:eastAsia="宋体" w:cs="宋体"/>
          <w:b w:val="0"/>
          <w:bCs w:val="0"/>
          <w:sz w:val="24"/>
          <w:highlight w:val="none"/>
        </w:rPr>
        <w:t>。</w:t>
      </w:r>
    </w:p>
    <w:bookmarkEnd w:id="430"/>
    <w:bookmarkEnd w:id="431"/>
    <w:bookmarkEnd w:id="432"/>
    <w:bookmarkEnd w:id="433"/>
    <w:bookmarkEnd w:id="434"/>
    <w:p w14:paraId="3DA09FEB">
      <w:pPr>
        <w:pStyle w:val="618"/>
        <w:spacing w:before="0" w:beforeAutospacing="0" w:after="0" w:afterAutospacing="0" w:line="360" w:lineRule="auto"/>
        <w:ind w:firstLine="480"/>
        <w:rPr>
          <w:b/>
          <w:highlight w:val="none"/>
        </w:rPr>
      </w:pPr>
      <w:bookmarkStart w:id="435" w:name="_Toc22618"/>
      <w:bookmarkStart w:id="436" w:name="_Toc10340"/>
      <w:bookmarkStart w:id="437" w:name="_Toc1814"/>
      <w:bookmarkStart w:id="438" w:name="_Toc8772"/>
      <w:bookmarkStart w:id="439" w:name="_Toc31421"/>
      <w:bookmarkStart w:id="440" w:name="_Toc3625"/>
      <w:bookmarkStart w:id="441" w:name="_Toc11108"/>
      <w:bookmarkStart w:id="442" w:name="_Toc4760"/>
      <w:r>
        <w:rPr>
          <w:rFonts w:hint="eastAsia"/>
          <w:b/>
          <w:highlight w:val="none"/>
        </w:rPr>
        <w:t>1.4履约保证金</w:t>
      </w:r>
    </w:p>
    <w:p w14:paraId="51E64F17">
      <w:pPr>
        <w:pStyle w:val="618"/>
        <w:spacing w:before="0" w:beforeAutospacing="0" w:after="0" w:afterAutospacing="0" w:line="360" w:lineRule="auto"/>
        <w:ind w:firstLine="480"/>
        <w:rPr>
          <w:highlight w:val="none"/>
        </w:rPr>
      </w:pPr>
      <w:r>
        <w:rPr>
          <w:rFonts w:hint="eastAsia"/>
          <w:highlight w:val="none"/>
        </w:rPr>
        <w:t>乙方</w:t>
      </w:r>
      <w:r>
        <w:rPr>
          <w:rFonts w:hint="eastAsia"/>
          <w:highlight w:val="none"/>
          <w:u w:val="single"/>
        </w:rPr>
        <w:t xml:space="preserve"> 是 </w:t>
      </w:r>
      <w:r>
        <w:rPr>
          <w:rFonts w:hint="eastAsia"/>
          <w:highlight w:val="none"/>
        </w:rPr>
        <w:t>（是</w:t>
      </w:r>
      <w:r>
        <w:rPr>
          <w:rFonts w:hint="eastAsia" w:ascii="仿宋" w:hAnsi="仿宋" w:eastAsia="仿宋" w:cs="仿宋"/>
          <w:highlight w:val="none"/>
        </w:rPr>
        <w:t>/</w:t>
      </w:r>
      <w:r>
        <w:rPr>
          <w:rFonts w:hint="eastAsia"/>
          <w:highlight w:val="none"/>
        </w:rPr>
        <w:t>否）需要支付履约保证金。若需要支付履约保证金的，则：</w:t>
      </w:r>
    </w:p>
    <w:p w14:paraId="2004C3E9">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1.4.1履约保证金的比例为合同金额的</w:t>
      </w:r>
      <w:r>
        <w:rPr>
          <w:rFonts w:hint="eastAsia" w:ascii="宋体" w:hAnsi="宋体" w:cs="宋体"/>
          <w:kern w:val="0"/>
          <w:sz w:val="24"/>
          <w:highlight w:val="none"/>
          <w:u w:val="single"/>
        </w:rPr>
        <w:t xml:space="preserve">  1 </w:t>
      </w:r>
      <w:r>
        <w:rPr>
          <w:rFonts w:hint="eastAsia" w:ascii="宋体" w:hAnsi="宋体" w:cs="宋体"/>
          <w:kern w:val="0"/>
          <w:sz w:val="24"/>
          <w:highlight w:val="none"/>
        </w:rPr>
        <w:t>%；</w:t>
      </w:r>
    </w:p>
    <w:p w14:paraId="6265AF36">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1.4.2履约保证金支付方式详见</w:t>
      </w:r>
      <w:r>
        <w:rPr>
          <w:rFonts w:hint="eastAsia" w:ascii="宋体" w:hAnsi="宋体" w:cs="宋体"/>
          <w:b/>
          <w:i/>
          <w:sz w:val="24"/>
          <w:highlight w:val="none"/>
          <w:u w:val="single"/>
        </w:rPr>
        <w:t>合同专用条款</w:t>
      </w:r>
      <w:r>
        <w:rPr>
          <w:rFonts w:hint="eastAsia" w:ascii="宋体" w:hAnsi="宋体" w:cs="宋体"/>
          <w:kern w:val="0"/>
          <w:sz w:val="24"/>
          <w:highlight w:val="none"/>
        </w:rPr>
        <w:t>；</w:t>
      </w:r>
    </w:p>
    <w:p w14:paraId="223155E9">
      <w:pPr>
        <w:pStyle w:val="3"/>
        <w:tabs>
          <w:tab w:val="left" w:pos="0"/>
        </w:tabs>
        <w:spacing w:line="560" w:lineRule="exact"/>
        <w:ind w:left="0" w:firstLine="480" w:firstLineChars="200"/>
        <w:rPr>
          <w:highlight w:val="none"/>
          <w:lang w:val="en-US"/>
        </w:rPr>
      </w:pPr>
      <w:r>
        <w:rPr>
          <w:rFonts w:hint="eastAsia" w:ascii="宋体" w:hAnsi="宋体" w:eastAsia="宋体" w:cs="宋体"/>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D40D5A8">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1.4.4甲方在项目验收结束后及时退还履约保证金。甲方在项目通过验收之日起5个工作日内将履约保证金无息退还乙方，逾期退还的，乙方可要求甲方支付违约金，违约金按每迟延退还一日的应退还而未退还金额的</w:t>
      </w:r>
      <w:r>
        <w:rPr>
          <w:rFonts w:hint="eastAsia" w:ascii="宋体" w:hAnsi="宋体" w:cs="宋体"/>
          <w:kern w:val="0"/>
          <w:sz w:val="24"/>
          <w:highlight w:val="none"/>
          <w:u w:val="single"/>
        </w:rPr>
        <w:t>0.05</w:t>
      </w:r>
      <w:r>
        <w:rPr>
          <w:rFonts w:hint="eastAsia" w:ascii="宋体" w:hAnsi="宋体" w:cs="宋体"/>
          <w:kern w:val="0"/>
          <w:sz w:val="24"/>
          <w:highlight w:val="none"/>
        </w:rPr>
        <w:t>%计算，最高限额为本合同履约保证金的</w:t>
      </w:r>
      <w:r>
        <w:rPr>
          <w:rFonts w:hint="eastAsia" w:ascii="宋体" w:hAnsi="宋体" w:cs="宋体"/>
          <w:kern w:val="0"/>
          <w:sz w:val="24"/>
          <w:highlight w:val="none"/>
          <w:u w:val="single"/>
        </w:rPr>
        <w:t xml:space="preserve">  20  </w:t>
      </w:r>
      <w:r>
        <w:rPr>
          <w:rFonts w:hint="eastAsia" w:ascii="宋体" w:hAnsi="宋体" w:cs="宋体"/>
          <w:kern w:val="0"/>
          <w:sz w:val="24"/>
          <w:highlight w:val="none"/>
        </w:rPr>
        <w:t xml:space="preserve"> %。</w:t>
      </w:r>
    </w:p>
    <w:p w14:paraId="62FCF292">
      <w:pPr>
        <w:spacing w:line="560" w:lineRule="exact"/>
        <w:ind w:firstLine="482" w:firstLineChars="200"/>
        <w:outlineLvl w:val="0"/>
        <w:rPr>
          <w:rFonts w:ascii="宋体" w:hAnsi="宋体" w:cs="宋体"/>
          <w:b/>
          <w:sz w:val="24"/>
          <w:highlight w:val="none"/>
        </w:rPr>
      </w:pPr>
      <w:r>
        <w:rPr>
          <w:rFonts w:hint="eastAsia" w:ascii="宋体" w:hAnsi="宋体" w:cs="宋体"/>
          <w:b/>
          <w:sz w:val="24"/>
          <w:highlight w:val="none"/>
        </w:rPr>
        <w:t>1.5</w:t>
      </w:r>
      <w:bookmarkEnd w:id="435"/>
      <w:bookmarkEnd w:id="436"/>
      <w:bookmarkEnd w:id="437"/>
      <w:r>
        <w:rPr>
          <w:rFonts w:hint="eastAsia" w:ascii="宋体" w:hAnsi="宋体" w:cs="宋体"/>
          <w:b/>
          <w:sz w:val="24"/>
          <w:highlight w:val="none"/>
        </w:rPr>
        <w:t>预付款</w:t>
      </w:r>
    </w:p>
    <w:p w14:paraId="3F4AFA0C">
      <w:pPr>
        <w:pStyle w:val="618"/>
        <w:spacing w:before="0" w:beforeAutospacing="0" w:after="0" w:afterAutospacing="0" w:line="360" w:lineRule="auto"/>
        <w:ind w:firstLine="480"/>
        <w:rPr>
          <w:highlight w:val="none"/>
        </w:rPr>
      </w:pPr>
      <w:r>
        <w:rPr>
          <w:rFonts w:hint="eastAsia"/>
          <w:highlight w:val="none"/>
        </w:rPr>
        <w:t>甲方</w:t>
      </w:r>
      <w:r>
        <w:rPr>
          <w:rFonts w:hint="eastAsia"/>
          <w:highlight w:val="none"/>
          <w:u w:val="single"/>
        </w:rPr>
        <w:t xml:space="preserve"> 是 </w:t>
      </w:r>
      <w:r>
        <w:rPr>
          <w:rFonts w:hint="eastAsia"/>
          <w:highlight w:val="none"/>
        </w:rPr>
        <w:t>（是</w:t>
      </w:r>
      <w:r>
        <w:rPr>
          <w:rFonts w:hint="eastAsia" w:ascii="仿宋" w:hAnsi="仿宋" w:eastAsia="仿宋" w:cs="仿宋"/>
          <w:highlight w:val="none"/>
        </w:rPr>
        <w:t>/</w:t>
      </w:r>
      <w:r>
        <w:rPr>
          <w:rFonts w:hint="eastAsia"/>
          <w:highlight w:val="none"/>
        </w:rPr>
        <w:t>否）需要支付预付款。若需要支付预付款的，则：</w:t>
      </w:r>
    </w:p>
    <w:p w14:paraId="61F919DD">
      <w:pPr>
        <w:spacing w:line="560" w:lineRule="exact"/>
        <w:ind w:firstLine="480" w:firstLineChars="200"/>
        <w:rPr>
          <w:rFonts w:ascii="宋体" w:hAnsi="宋体" w:cs="宋体"/>
          <w:kern w:val="0"/>
          <w:sz w:val="24"/>
          <w:highlight w:val="none"/>
        </w:rPr>
      </w:pPr>
      <w:r>
        <w:rPr>
          <w:rFonts w:hint="eastAsia" w:ascii="宋体" w:hAnsi="宋体" w:cs="宋体"/>
          <w:kern w:val="0"/>
          <w:sz w:val="24"/>
          <w:highlight w:val="none"/>
        </w:rPr>
        <w:t>1.5.1预付款比例、支付方式、时间详见</w:t>
      </w:r>
      <w:r>
        <w:rPr>
          <w:rFonts w:hint="eastAsia" w:ascii="宋体" w:hAnsi="宋体" w:cs="宋体"/>
          <w:b/>
          <w:i/>
          <w:sz w:val="24"/>
          <w:highlight w:val="none"/>
          <w:u w:val="single"/>
        </w:rPr>
        <w:t>合同专用条款</w:t>
      </w:r>
      <w:r>
        <w:rPr>
          <w:rFonts w:hint="eastAsia" w:ascii="宋体" w:hAnsi="宋体" w:cs="宋体"/>
          <w:kern w:val="0"/>
          <w:sz w:val="24"/>
          <w:highlight w:val="none"/>
        </w:rPr>
        <w:t>；</w:t>
      </w:r>
    </w:p>
    <w:p w14:paraId="147F5349">
      <w:pPr>
        <w:pStyle w:val="618"/>
        <w:spacing w:before="0" w:beforeAutospacing="0" w:after="0" w:afterAutospacing="0" w:line="360" w:lineRule="auto"/>
        <w:ind w:firstLine="480"/>
        <w:rPr>
          <w:highlight w:val="none"/>
        </w:rPr>
      </w:pPr>
      <w:r>
        <w:rPr>
          <w:rFonts w:hint="eastAsia"/>
          <w:highlight w:val="none"/>
        </w:rPr>
        <w:t>1.5.2预付款的扣回方式详见</w:t>
      </w:r>
      <w:r>
        <w:rPr>
          <w:rFonts w:hint="eastAsia"/>
          <w:b/>
          <w:i/>
          <w:highlight w:val="none"/>
          <w:u w:val="single"/>
        </w:rPr>
        <w:t>合同专用条款</w:t>
      </w:r>
      <w:r>
        <w:rPr>
          <w:rFonts w:hint="eastAsia"/>
          <w:highlight w:val="none"/>
        </w:rPr>
        <w:t>；</w:t>
      </w:r>
    </w:p>
    <w:p w14:paraId="167AEDBC">
      <w:pPr>
        <w:pStyle w:val="618"/>
        <w:spacing w:before="0" w:beforeAutospacing="0" w:after="0" w:afterAutospacing="0" w:line="360" w:lineRule="auto"/>
        <w:ind w:firstLine="480"/>
        <w:rPr>
          <w:highlight w:val="none"/>
          <w:u w:val="single"/>
        </w:rPr>
      </w:pPr>
      <w:r>
        <w:rPr>
          <w:rFonts w:hint="eastAsia"/>
          <w:highlight w:val="none"/>
        </w:rPr>
        <w:t>1.5.3预付款的担保措施详见</w:t>
      </w:r>
      <w:r>
        <w:rPr>
          <w:rFonts w:hint="eastAsia"/>
          <w:b/>
          <w:i/>
          <w:highlight w:val="none"/>
          <w:u w:val="single"/>
        </w:rPr>
        <w:t>合同专用条款</w:t>
      </w:r>
      <w:r>
        <w:rPr>
          <w:rFonts w:hint="eastAsia"/>
          <w:highlight w:val="none"/>
        </w:rPr>
        <w:t>。</w:t>
      </w:r>
    </w:p>
    <w:p w14:paraId="45F2FCA3">
      <w:pPr>
        <w:pStyle w:val="618"/>
        <w:spacing w:before="0" w:beforeAutospacing="0" w:after="0" w:afterAutospacing="0" w:line="360" w:lineRule="auto"/>
        <w:ind w:firstLine="480"/>
        <w:rPr>
          <w:b/>
          <w:bCs/>
          <w:highlight w:val="none"/>
        </w:rPr>
      </w:pPr>
      <w:r>
        <w:rPr>
          <w:rFonts w:hint="eastAsia"/>
          <w:b/>
          <w:bCs/>
          <w:highlight w:val="none"/>
        </w:rPr>
        <w:t>1.6资金支付</w:t>
      </w:r>
    </w:p>
    <w:p w14:paraId="534C8F3C">
      <w:pPr>
        <w:pStyle w:val="618"/>
        <w:spacing w:before="0" w:beforeAutospacing="0" w:after="0" w:afterAutospacing="0" w:line="360" w:lineRule="auto"/>
        <w:ind w:firstLine="480"/>
        <w:rPr>
          <w:highlight w:val="none"/>
        </w:rPr>
      </w:pPr>
      <w:r>
        <w:rPr>
          <w:rFonts w:hint="eastAsia"/>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3106E32">
      <w:pPr>
        <w:spacing w:line="560" w:lineRule="exact"/>
        <w:ind w:firstLine="480" w:firstLineChars="200"/>
        <w:outlineLvl w:val="0"/>
        <w:rPr>
          <w:rFonts w:ascii="宋体" w:hAnsi="宋体" w:cs="宋体"/>
          <w:sz w:val="24"/>
          <w:highlight w:val="none"/>
        </w:rPr>
      </w:pPr>
      <w:r>
        <w:rPr>
          <w:rFonts w:hint="eastAsia" w:ascii="宋体" w:hAnsi="宋体" w:cs="宋体"/>
          <w:sz w:val="24"/>
          <w:highlight w:val="none"/>
        </w:rPr>
        <w:t>1.6.2资金支付的方式、时间和条件详见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0866376F">
      <w:pPr>
        <w:spacing w:line="560" w:lineRule="exact"/>
        <w:ind w:firstLine="482" w:firstLineChars="200"/>
        <w:outlineLvl w:val="0"/>
        <w:rPr>
          <w:rFonts w:ascii="宋体" w:hAnsi="宋体"/>
          <w:b/>
          <w:sz w:val="24"/>
          <w:highlight w:val="none"/>
        </w:rPr>
      </w:pPr>
      <w:r>
        <w:rPr>
          <w:rFonts w:ascii="宋体" w:hAnsi="宋体"/>
          <w:b/>
          <w:sz w:val="24"/>
          <w:highlight w:val="none"/>
        </w:rPr>
        <w:t>1.</w:t>
      </w:r>
      <w:r>
        <w:rPr>
          <w:rFonts w:hint="eastAsia" w:ascii="宋体" w:hAnsi="宋体"/>
          <w:b/>
          <w:sz w:val="24"/>
          <w:highlight w:val="none"/>
        </w:rPr>
        <w:t>7</w:t>
      </w:r>
      <w:r>
        <w:rPr>
          <w:rFonts w:ascii="宋体" w:hAnsi="宋体"/>
          <w:b/>
          <w:sz w:val="24"/>
          <w:highlight w:val="none"/>
        </w:rPr>
        <w:t xml:space="preserve"> 履行期限</w:t>
      </w:r>
      <w:r>
        <w:rPr>
          <w:rFonts w:hint="eastAsia" w:ascii="宋体" w:hAnsi="宋体"/>
          <w:b/>
          <w:sz w:val="24"/>
          <w:highlight w:val="none"/>
        </w:rPr>
        <w:t>、地点和方式</w:t>
      </w:r>
      <w:bookmarkEnd w:id="438"/>
      <w:bookmarkEnd w:id="439"/>
      <w:bookmarkEnd w:id="440"/>
      <w:bookmarkEnd w:id="441"/>
      <w:bookmarkEnd w:id="442"/>
    </w:p>
    <w:p w14:paraId="3790833B">
      <w:pPr>
        <w:spacing w:line="560" w:lineRule="exact"/>
        <w:ind w:firstLine="480" w:firstLineChars="200"/>
        <w:rPr>
          <w:rFonts w:ascii="宋体" w:hAnsi="宋体"/>
          <w:sz w:val="24"/>
          <w:highlight w:val="none"/>
          <w:u w:val="singl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.1 </w:t>
      </w:r>
      <w:r>
        <w:rPr>
          <w:rFonts w:hint="eastAsia" w:ascii="宋体" w:hAnsi="宋体"/>
          <w:sz w:val="24"/>
          <w:highlight w:val="none"/>
        </w:rPr>
        <w:t>服务交付（实施）的时间（期限）</w:t>
      </w:r>
      <w:r>
        <w:rPr>
          <w:rFonts w:ascii="宋体" w:hAnsi="宋体"/>
          <w:sz w:val="24"/>
          <w:highlight w:val="none"/>
        </w:rPr>
        <w:t>：</w:t>
      </w:r>
      <w:r>
        <w:rPr>
          <w:rFonts w:hint="eastAsia" w:ascii="宋体" w:hAnsi="宋体"/>
          <w:b/>
          <w:i/>
          <w:sz w:val="24"/>
          <w:highlight w:val="none"/>
          <w:u w:val="single"/>
        </w:rPr>
        <w:t>合同专用条款</w:t>
      </w:r>
      <w:r>
        <w:rPr>
          <w:rFonts w:hint="eastAsia" w:ascii="宋体" w:hAnsi="宋体"/>
          <w:sz w:val="24"/>
          <w:highlight w:val="none"/>
        </w:rPr>
        <w:t>；</w:t>
      </w:r>
    </w:p>
    <w:p w14:paraId="5F9DAB61">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.2 </w:t>
      </w:r>
      <w:r>
        <w:rPr>
          <w:rFonts w:hint="eastAsia" w:ascii="宋体" w:hAnsi="宋体"/>
          <w:sz w:val="24"/>
          <w:highlight w:val="none"/>
        </w:rPr>
        <w:t>服</w:t>
      </w:r>
      <w:r>
        <w:rPr>
          <w:rFonts w:hint="eastAsia" w:ascii="宋体" w:hAnsi="宋体" w:cs="宋体"/>
          <w:sz w:val="24"/>
          <w:highlight w:val="none"/>
        </w:rPr>
        <w:t>务交付（实施）的地点（地域范围）：</w:t>
      </w:r>
      <w:r>
        <w:rPr>
          <w:rFonts w:hint="eastAsia" w:ascii="宋体" w:hAnsi="宋体"/>
          <w:b/>
          <w:i/>
          <w:sz w:val="24"/>
          <w:highlight w:val="none"/>
          <w:u w:val="single"/>
        </w:rPr>
        <w:t>合同专用条款</w:t>
      </w:r>
      <w:r>
        <w:rPr>
          <w:rFonts w:hint="eastAsia" w:ascii="宋体" w:hAnsi="宋体"/>
          <w:sz w:val="24"/>
          <w:highlight w:val="none"/>
        </w:rPr>
        <w:t>；</w:t>
      </w:r>
    </w:p>
    <w:p w14:paraId="0CEDA5A0">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.3 </w:t>
      </w:r>
      <w:r>
        <w:rPr>
          <w:rFonts w:hint="eastAsia" w:ascii="宋体" w:hAnsi="宋体"/>
          <w:sz w:val="24"/>
          <w:highlight w:val="none"/>
        </w:rPr>
        <w:t>服务交付（实施）的方式：</w:t>
      </w:r>
      <w:r>
        <w:rPr>
          <w:rFonts w:hint="eastAsia" w:ascii="宋体" w:hAnsi="宋体"/>
          <w:b/>
          <w:i/>
          <w:sz w:val="24"/>
          <w:highlight w:val="none"/>
          <w:u w:val="single"/>
        </w:rPr>
        <w:t>合同专用条款</w:t>
      </w:r>
      <w:r>
        <w:rPr>
          <w:rFonts w:hint="eastAsia" w:ascii="宋体" w:hAnsi="宋体"/>
          <w:sz w:val="24"/>
          <w:highlight w:val="none"/>
        </w:rPr>
        <w:t>。</w:t>
      </w:r>
    </w:p>
    <w:p w14:paraId="0BF62DE5">
      <w:pPr>
        <w:spacing w:line="560" w:lineRule="exact"/>
        <w:ind w:firstLine="480" w:firstLineChars="200"/>
        <w:outlineLvl w:val="0"/>
        <w:rPr>
          <w:rFonts w:ascii="宋体" w:hAnsi="宋体"/>
          <w:bCs/>
          <w:sz w:val="24"/>
          <w:highlight w:val="none"/>
        </w:rPr>
      </w:pPr>
      <w:bookmarkStart w:id="443" w:name="_Toc24662"/>
      <w:bookmarkStart w:id="444" w:name="_Toc3079"/>
      <w:bookmarkStart w:id="445" w:name="_Toc5698"/>
      <w:bookmarkStart w:id="446" w:name="_Toc8586"/>
      <w:bookmarkStart w:id="447" w:name="_Toc2375"/>
      <w:r>
        <w:rPr>
          <w:rFonts w:hint="eastAsia" w:ascii="宋体" w:hAnsi="宋体"/>
          <w:bCs/>
          <w:sz w:val="24"/>
          <w:highlight w:val="none"/>
        </w:rPr>
        <w:t>1.7.4 若服务</w:t>
      </w:r>
      <w:r>
        <w:rPr>
          <w:rFonts w:hint="eastAsia"/>
          <w:bCs/>
          <w:sz w:val="24"/>
          <w:highlight w:val="none"/>
        </w:rPr>
        <w:t>涉及货物的，则货物的：</w:t>
      </w:r>
    </w:p>
    <w:p w14:paraId="34027A2A">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1.7.4.1 交付期限：</w:t>
      </w:r>
      <w:r>
        <w:rPr>
          <w:rFonts w:hint="eastAsia" w:ascii="宋体" w:hAnsi="宋体" w:cs="宋体"/>
          <w:b/>
          <w:i/>
          <w:sz w:val="24"/>
          <w:highlight w:val="none"/>
          <w:u w:val="single"/>
        </w:rPr>
        <w:t>合同专用条款</w:t>
      </w:r>
      <w:r>
        <w:rPr>
          <w:rFonts w:hint="eastAsia" w:ascii="宋体" w:hAnsi="宋体" w:cs="宋体"/>
          <w:sz w:val="24"/>
          <w:highlight w:val="none"/>
        </w:rPr>
        <w:t>；</w:t>
      </w:r>
    </w:p>
    <w:p w14:paraId="7DAC3B5C">
      <w:pPr>
        <w:spacing w:line="560" w:lineRule="exact"/>
        <w:ind w:firstLine="480" w:firstLineChars="200"/>
        <w:rPr>
          <w:rFonts w:ascii="宋体" w:hAnsi="宋体" w:cs="宋体"/>
          <w:sz w:val="24"/>
          <w:highlight w:val="none"/>
        </w:rPr>
      </w:pPr>
      <w:r>
        <w:rPr>
          <w:rFonts w:hint="eastAsia" w:ascii="宋体" w:hAnsi="宋体" w:cs="宋体"/>
          <w:sz w:val="24"/>
          <w:highlight w:val="none"/>
        </w:rPr>
        <w:t>1.7.4.2 交付地点：</w:t>
      </w:r>
      <w:r>
        <w:rPr>
          <w:rFonts w:hint="eastAsia" w:ascii="宋体" w:hAnsi="宋体" w:cs="宋体"/>
          <w:b/>
          <w:i/>
          <w:sz w:val="24"/>
          <w:highlight w:val="none"/>
          <w:u w:val="single"/>
        </w:rPr>
        <w:t>合同专用条款</w:t>
      </w:r>
      <w:r>
        <w:rPr>
          <w:rFonts w:hint="eastAsia" w:ascii="宋体" w:hAnsi="宋体" w:cs="宋体"/>
          <w:sz w:val="24"/>
          <w:highlight w:val="none"/>
        </w:rPr>
        <w:t>；</w:t>
      </w:r>
    </w:p>
    <w:p w14:paraId="1DCA0713">
      <w:pPr>
        <w:spacing w:line="560" w:lineRule="exact"/>
        <w:ind w:firstLine="480" w:firstLineChars="200"/>
        <w:rPr>
          <w:rFonts w:ascii="宋体" w:hAnsi="宋体" w:cs="宋体"/>
          <w:sz w:val="24"/>
          <w:highlight w:val="none"/>
        </w:rPr>
      </w:pPr>
      <w:r>
        <w:rPr>
          <w:rFonts w:hint="eastAsia" w:ascii="宋体" w:hAnsi="宋体" w:cs="宋体"/>
          <w:sz w:val="24"/>
          <w:highlight w:val="none"/>
        </w:rPr>
        <w:t>1.7.4.3 交付方式：</w:t>
      </w:r>
      <w:r>
        <w:rPr>
          <w:rFonts w:hint="eastAsia" w:ascii="宋体" w:hAnsi="宋体" w:cs="宋体"/>
          <w:b/>
          <w:i/>
          <w:sz w:val="24"/>
          <w:highlight w:val="none"/>
          <w:u w:val="single"/>
        </w:rPr>
        <w:t>合同专用条款</w:t>
      </w:r>
      <w:r>
        <w:rPr>
          <w:rFonts w:hint="eastAsia" w:ascii="宋体" w:hAnsi="宋体" w:cs="宋体"/>
          <w:sz w:val="24"/>
          <w:highlight w:val="none"/>
        </w:rPr>
        <w:t>。</w:t>
      </w:r>
    </w:p>
    <w:p w14:paraId="1E0211E0">
      <w:pPr>
        <w:spacing w:line="560" w:lineRule="exact"/>
        <w:ind w:firstLine="482" w:firstLineChars="200"/>
        <w:outlineLvl w:val="0"/>
        <w:rPr>
          <w:rFonts w:ascii="宋体" w:hAnsi="宋体"/>
          <w:sz w:val="24"/>
          <w:highlight w:val="none"/>
          <w:u w:val="single"/>
        </w:rPr>
      </w:pPr>
      <w:r>
        <w:rPr>
          <w:rFonts w:ascii="宋体" w:hAnsi="宋体"/>
          <w:b/>
          <w:sz w:val="24"/>
          <w:highlight w:val="none"/>
        </w:rPr>
        <w:t>1.</w:t>
      </w:r>
      <w:r>
        <w:rPr>
          <w:rFonts w:hint="eastAsia" w:ascii="宋体" w:hAnsi="宋体"/>
          <w:b/>
          <w:sz w:val="24"/>
          <w:highlight w:val="none"/>
        </w:rPr>
        <w:t>8违约责任</w:t>
      </w:r>
      <w:bookmarkEnd w:id="443"/>
      <w:bookmarkEnd w:id="444"/>
      <w:bookmarkEnd w:id="445"/>
      <w:bookmarkEnd w:id="446"/>
      <w:bookmarkEnd w:id="447"/>
    </w:p>
    <w:p w14:paraId="5998BB28">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8</w:t>
      </w:r>
      <w:r>
        <w:rPr>
          <w:rFonts w:ascii="宋体" w:hAnsi="宋体"/>
          <w:sz w:val="24"/>
          <w:highlight w:val="none"/>
        </w:rPr>
        <w:t>.1 除不可抗力外，如果乙方没有按照本合同约定的期限</w:t>
      </w:r>
      <w:r>
        <w:rPr>
          <w:rFonts w:hint="eastAsia" w:ascii="宋体" w:hAnsi="宋体"/>
          <w:sz w:val="24"/>
          <w:highlight w:val="none"/>
        </w:rPr>
        <w:t>、</w:t>
      </w:r>
      <w:r>
        <w:rPr>
          <w:rFonts w:ascii="宋体" w:hAnsi="宋体"/>
          <w:sz w:val="24"/>
          <w:highlight w:val="none"/>
        </w:rPr>
        <w:t>地点和方式</w:t>
      </w:r>
      <w:r>
        <w:rPr>
          <w:rFonts w:hint="eastAsia" w:ascii="宋体" w:hAnsi="宋体"/>
          <w:sz w:val="24"/>
          <w:highlight w:val="none"/>
        </w:rPr>
        <w:t>交付服务成果或者实施服务</w:t>
      </w:r>
      <w:r>
        <w:rPr>
          <w:rFonts w:ascii="宋体" w:hAnsi="宋体"/>
          <w:sz w:val="24"/>
          <w:highlight w:val="none"/>
        </w:rPr>
        <w:t>，那么甲方可要求乙方支付违约金</w:t>
      </w:r>
      <w:r>
        <w:rPr>
          <w:rFonts w:hint="eastAsia" w:ascii="宋体" w:hAnsi="宋体"/>
          <w:sz w:val="24"/>
          <w:highlight w:val="none"/>
        </w:rPr>
        <w:t>，迟延履行</w:t>
      </w:r>
      <w:r>
        <w:rPr>
          <w:rFonts w:ascii="宋体" w:hAnsi="宋体"/>
          <w:sz w:val="24"/>
          <w:highlight w:val="none"/>
        </w:rPr>
        <w:t>违约金按每迟延</w:t>
      </w:r>
      <w:r>
        <w:rPr>
          <w:rFonts w:hint="eastAsia" w:ascii="宋体" w:hAnsi="宋体"/>
          <w:sz w:val="24"/>
          <w:highlight w:val="none"/>
        </w:rPr>
        <w:t>履行</w:t>
      </w:r>
      <w:r>
        <w:rPr>
          <w:rFonts w:ascii="宋体" w:hAnsi="宋体"/>
          <w:sz w:val="24"/>
          <w:highlight w:val="none"/>
        </w:rPr>
        <w:t>一日的应提供而未</w:t>
      </w:r>
      <w:r>
        <w:rPr>
          <w:rFonts w:hint="eastAsia" w:ascii="宋体" w:hAnsi="宋体"/>
          <w:sz w:val="24"/>
          <w:highlight w:val="none"/>
        </w:rPr>
        <w:t>提供</w:t>
      </w:r>
      <w:r>
        <w:rPr>
          <w:rFonts w:ascii="宋体" w:hAnsi="宋体"/>
          <w:sz w:val="24"/>
          <w:highlight w:val="none"/>
        </w:rPr>
        <w:t>服务价格的</w:t>
      </w:r>
      <w:r>
        <w:rPr>
          <w:rFonts w:hint="eastAsia" w:ascii="宋体" w:hAnsi="宋体"/>
          <w:sz w:val="24"/>
          <w:highlight w:val="none"/>
          <w:u w:val="single"/>
        </w:rPr>
        <w:t>0.05</w:t>
      </w:r>
      <w:r>
        <w:rPr>
          <w:rFonts w:ascii="宋体" w:hAnsi="宋体"/>
          <w:sz w:val="24"/>
          <w:highlight w:val="none"/>
        </w:rPr>
        <w:t>%计算</w:t>
      </w:r>
      <w:r>
        <w:rPr>
          <w:rFonts w:hint="eastAsia" w:ascii="宋体" w:hAnsi="宋体"/>
          <w:sz w:val="24"/>
          <w:highlight w:val="none"/>
        </w:rPr>
        <w:t>，</w:t>
      </w:r>
      <w:r>
        <w:rPr>
          <w:rFonts w:ascii="宋体" w:hAnsi="宋体"/>
          <w:sz w:val="24"/>
          <w:highlight w:val="none"/>
        </w:rPr>
        <w:t>最高限额为</w:t>
      </w:r>
      <w:r>
        <w:rPr>
          <w:rFonts w:hint="eastAsia" w:ascii="宋体" w:hAnsi="宋体"/>
          <w:sz w:val="24"/>
          <w:highlight w:val="none"/>
        </w:rPr>
        <w:t>本</w:t>
      </w:r>
      <w:r>
        <w:rPr>
          <w:rFonts w:ascii="宋体" w:hAnsi="宋体"/>
          <w:sz w:val="24"/>
          <w:highlight w:val="none"/>
        </w:rPr>
        <w:t>合同总价的</w:t>
      </w:r>
      <w:r>
        <w:rPr>
          <w:rFonts w:ascii="宋体" w:hAnsi="宋体"/>
          <w:sz w:val="24"/>
          <w:highlight w:val="none"/>
          <w:u w:val="single"/>
        </w:rPr>
        <w:t xml:space="preserve">  20   </w:t>
      </w:r>
      <w:r>
        <w:rPr>
          <w:rFonts w:ascii="宋体" w:hAnsi="宋体"/>
          <w:sz w:val="24"/>
          <w:highlight w:val="none"/>
        </w:rPr>
        <w:t>%</w:t>
      </w:r>
      <w:r>
        <w:rPr>
          <w:rFonts w:hint="eastAsia" w:ascii="宋体" w:hAnsi="宋体"/>
          <w:sz w:val="24"/>
          <w:highlight w:val="none"/>
        </w:rPr>
        <w:t>；</w:t>
      </w:r>
      <w:r>
        <w:rPr>
          <w:rFonts w:ascii="宋体" w:hAnsi="宋体"/>
          <w:sz w:val="24"/>
          <w:highlight w:val="none"/>
        </w:rPr>
        <w:t>迟延</w:t>
      </w:r>
      <w:r>
        <w:rPr>
          <w:rFonts w:hint="eastAsia" w:ascii="宋体" w:hAnsi="宋体"/>
          <w:sz w:val="24"/>
          <w:highlight w:val="none"/>
        </w:rPr>
        <w:t>履行</w:t>
      </w:r>
      <w:r>
        <w:rPr>
          <w:rFonts w:ascii="宋体" w:hAnsi="宋体"/>
          <w:sz w:val="24"/>
          <w:highlight w:val="none"/>
        </w:rPr>
        <w:t>的违约金计算数额达到前述最高限额之日起</w:t>
      </w:r>
      <w:r>
        <w:rPr>
          <w:rFonts w:hint="eastAsia" w:ascii="宋体" w:hAnsi="宋体"/>
          <w:sz w:val="24"/>
          <w:highlight w:val="none"/>
        </w:rPr>
        <w:t>，</w:t>
      </w:r>
      <w:r>
        <w:rPr>
          <w:rFonts w:ascii="宋体" w:hAnsi="宋体"/>
          <w:sz w:val="24"/>
          <w:highlight w:val="none"/>
        </w:rPr>
        <w:t>甲方有权在要求乙方支付违约金的同时</w:t>
      </w:r>
      <w:r>
        <w:rPr>
          <w:rFonts w:hint="eastAsia" w:ascii="宋体" w:hAnsi="宋体"/>
          <w:sz w:val="24"/>
          <w:highlight w:val="none"/>
        </w:rPr>
        <w:t>，书面通知乙方</w:t>
      </w:r>
      <w:r>
        <w:rPr>
          <w:rFonts w:ascii="宋体" w:hAnsi="宋体"/>
          <w:sz w:val="24"/>
          <w:highlight w:val="none"/>
        </w:rPr>
        <w:t>解除本合同</w:t>
      </w:r>
      <w:r>
        <w:rPr>
          <w:rFonts w:hint="eastAsia" w:ascii="宋体" w:hAnsi="宋体"/>
          <w:sz w:val="24"/>
          <w:highlight w:val="none"/>
        </w:rPr>
        <w:t>；</w:t>
      </w:r>
    </w:p>
    <w:p w14:paraId="17220CDA">
      <w:pPr>
        <w:pStyle w:val="3"/>
        <w:ind w:left="0" w:firstLine="480" w:firstLineChars="200"/>
        <w:rPr>
          <w:rFonts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highlight w:val="none"/>
          <w:u w:val="single"/>
          <w:lang w:val="en-US"/>
        </w:rPr>
        <w:t xml:space="preserve">  0.0</w:t>
      </w:r>
      <w:r>
        <w:rPr>
          <w:rFonts w:ascii="宋体" w:hAnsi="宋体" w:eastAsia="宋体" w:cs="宋体"/>
          <w:b w:val="0"/>
          <w:bCs w:val="0"/>
          <w:sz w:val="24"/>
          <w:szCs w:val="24"/>
          <w:highlight w:val="none"/>
          <w:u w:val="single"/>
          <w:lang w:val="en-US"/>
        </w:rPr>
        <w:t>5</w:t>
      </w:r>
      <w:r>
        <w:rPr>
          <w:rFonts w:hint="eastAsia" w:ascii="宋体" w:hAnsi="宋体" w:eastAsia="宋体" w:cs="宋体"/>
          <w:b w:val="0"/>
          <w:bCs w:val="0"/>
          <w:sz w:val="24"/>
          <w:szCs w:val="24"/>
          <w:highlight w:val="none"/>
          <w:lang w:val="en-US"/>
        </w:rPr>
        <w:t>%计算，最高限额为本合同总价的</w:t>
      </w:r>
      <w:r>
        <w:rPr>
          <w:rFonts w:hint="eastAsia" w:ascii="宋体" w:hAnsi="宋体" w:eastAsia="宋体" w:cs="宋体"/>
          <w:b w:val="0"/>
          <w:bCs w:val="0"/>
          <w:sz w:val="24"/>
          <w:szCs w:val="24"/>
          <w:highlight w:val="none"/>
          <w:u w:val="single"/>
          <w:lang w:val="en-US"/>
        </w:rPr>
        <w:t xml:space="preserve">  20  </w:t>
      </w:r>
      <w:r>
        <w:rPr>
          <w:rFonts w:hint="eastAsia" w:ascii="宋体" w:hAnsi="宋体" w:eastAsia="宋体" w:cs="宋体"/>
          <w:b w:val="0"/>
          <w:bCs w:val="0"/>
          <w:sz w:val="24"/>
          <w:szCs w:val="24"/>
          <w:highlight w:val="none"/>
          <w:lang w:val="en-US"/>
        </w:rPr>
        <w:t>%；迟延交付货物的违约金计算数额达到前述最高限额之日起，甲方有权在要求乙方支付违约金的同时，书面通知乙方解除本合同；</w:t>
      </w:r>
    </w:p>
    <w:p w14:paraId="7F09E19F">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8</w:t>
      </w:r>
      <w:r>
        <w:rPr>
          <w:rFonts w:ascii="宋体" w:hAnsi="宋体"/>
          <w:sz w:val="24"/>
          <w:highlight w:val="none"/>
        </w:rPr>
        <w:t>.</w:t>
      </w:r>
      <w:r>
        <w:rPr>
          <w:rFonts w:hint="eastAsia" w:ascii="宋体" w:hAnsi="宋体"/>
          <w:sz w:val="24"/>
          <w:highlight w:val="none"/>
        </w:rPr>
        <w:t>3</w:t>
      </w:r>
      <w:r>
        <w:rPr>
          <w:rFonts w:hint="eastAsia" w:ascii="宋体" w:hAnsi="宋体" w:cs="宋体"/>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sz w:val="24"/>
          <w:highlight w:val="none"/>
          <w:u w:val="single"/>
        </w:rPr>
        <w:t xml:space="preserve">   0.05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w:t>
      </w:r>
      <w:r>
        <w:rPr>
          <w:rFonts w:hint="eastAsia" w:ascii="宋体" w:hAnsi="宋体" w:cs="宋体"/>
          <w:sz w:val="24"/>
          <w:highlight w:val="none"/>
        </w:rPr>
        <w:t>%；迟延付款的违约金计算数额达到前述最高限额之日起，乙方有权在要求甲方支付违约金的同时，书面通知甲方解除本合同</w:t>
      </w:r>
      <w:r>
        <w:rPr>
          <w:rFonts w:hint="eastAsia" w:ascii="宋体" w:hAnsi="宋体"/>
          <w:sz w:val="24"/>
          <w:highlight w:val="none"/>
        </w:rPr>
        <w:t>；</w:t>
      </w:r>
    </w:p>
    <w:p w14:paraId="7BBA8363">
      <w:pPr>
        <w:spacing w:line="560" w:lineRule="exact"/>
        <w:ind w:firstLine="480" w:firstLineChars="200"/>
        <w:rPr>
          <w:rFonts w:ascii="宋体" w:hAnsi="宋体" w:cs="宋体"/>
          <w:sz w:val="24"/>
          <w:highlight w:val="none"/>
        </w:rPr>
      </w:pPr>
      <w:bookmarkStart w:id="448" w:name="_Toc30329"/>
      <w:bookmarkStart w:id="449" w:name="_Toc9497"/>
      <w:bookmarkStart w:id="450" w:name="_Toc26807"/>
      <w:bookmarkStart w:id="451" w:name="_Toc18683"/>
      <w:bookmarkStart w:id="452" w:name="_Toc32454"/>
      <w:r>
        <w:rPr>
          <w:rFonts w:hint="eastAsia" w:ascii="宋体" w:hAnsi="宋体" w:cs="宋体"/>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8F073CB">
      <w:pPr>
        <w:spacing w:line="560" w:lineRule="exact"/>
        <w:ind w:firstLine="480" w:firstLineChars="200"/>
        <w:rPr>
          <w:rFonts w:ascii="宋体" w:hAnsi="宋体" w:cs="宋体"/>
          <w:sz w:val="24"/>
          <w:highlight w:val="none"/>
        </w:rPr>
      </w:pPr>
      <w:r>
        <w:rPr>
          <w:rFonts w:hint="eastAsia" w:ascii="宋体" w:hAnsi="宋体" w:cs="宋体"/>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DE8E08C">
      <w:pPr>
        <w:spacing w:line="560" w:lineRule="exact"/>
        <w:ind w:firstLine="480" w:firstLineChars="200"/>
        <w:rPr>
          <w:rFonts w:ascii="宋体" w:hAnsi="宋体" w:cs="宋体"/>
          <w:sz w:val="24"/>
          <w:highlight w:val="none"/>
        </w:rPr>
      </w:pPr>
      <w:r>
        <w:rPr>
          <w:rFonts w:hint="eastAsia" w:ascii="宋体" w:hAnsi="宋体" w:cs="宋体"/>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D7136E1">
      <w:pPr>
        <w:spacing w:line="560" w:lineRule="exact"/>
        <w:ind w:right="-420" w:rightChars="-200" w:firstLine="480" w:firstLineChars="200"/>
        <w:rPr>
          <w:rFonts w:ascii="宋体" w:hAnsi="宋体" w:cs="宋体"/>
          <w:highlight w:val="none"/>
        </w:rPr>
      </w:pPr>
      <w:r>
        <w:rPr>
          <w:rFonts w:hint="eastAsia" w:ascii="宋体" w:hAnsi="宋体" w:cs="宋体"/>
          <w:sz w:val="24"/>
          <w:highlight w:val="none"/>
        </w:rPr>
        <w:t>1.8.7违约责任</w:t>
      </w:r>
      <w:r>
        <w:rPr>
          <w:rFonts w:hint="eastAsia" w:ascii="宋体" w:hAnsi="宋体" w:cs="宋体"/>
          <w:b/>
          <w:i/>
          <w:sz w:val="24"/>
          <w:highlight w:val="none"/>
          <w:u w:val="single"/>
        </w:rPr>
        <w:t>合同专用条款</w:t>
      </w:r>
      <w:r>
        <w:rPr>
          <w:rFonts w:hint="eastAsia" w:ascii="宋体" w:hAnsi="宋体" w:cs="宋体"/>
          <w:sz w:val="24"/>
          <w:highlight w:val="none"/>
        </w:rPr>
        <w:t>另有约定的，从其约定。</w:t>
      </w:r>
    </w:p>
    <w:bookmarkEnd w:id="448"/>
    <w:bookmarkEnd w:id="449"/>
    <w:bookmarkEnd w:id="450"/>
    <w:bookmarkEnd w:id="451"/>
    <w:bookmarkEnd w:id="452"/>
    <w:p w14:paraId="7383525C">
      <w:pPr>
        <w:spacing w:line="560" w:lineRule="exact"/>
        <w:ind w:firstLine="482" w:firstLineChars="200"/>
        <w:outlineLvl w:val="0"/>
        <w:rPr>
          <w:rFonts w:ascii="宋体" w:hAnsi="宋体" w:cs="宋体"/>
          <w:b/>
          <w:sz w:val="24"/>
          <w:highlight w:val="none"/>
        </w:rPr>
      </w:pPr>
      <w:bookmarkStart w:id="453" w:name="_Toc28375"/>
      <w:bookmarkStart w:id="454" w:name="_Toc16021"/>
      <w:bookmarkStart w:id="455" w:name="_Toc15583"/>
      <w:r>
        <w:rPr>
          <w:rFonts w:hint="eastAsia" w:ascii="宋体" w:hAnsi="宋体" w:cs="宋体"/>
          <w:b/>
          <w:sz w:val="24"/>
          <w:highlight w:val="none"/>
        </w:rPr>
        <w:t>1.9合同争议的解决</w:t>
      </w:r>
      <w:bookmarkEnd w:id="453"/>
      <w:bookmarkEnd w:id="454"/>
      <w:bookmarkEnd w:id="455"/>
    </w:p>
    <w:p w14:paraId="4D551E97">
      <w:pPr>
        <w:spacing w:line="560" w:lineRule="exact"/>
        <w:ind w:left="-61" w:leftChars="-29" w:right="-420" w:rightChars="-200" w:firstLine="240" w:firstLineChars="100"/>
        <w:rPr>
          <w:rFonts w:ascii="宋体" w:hAnsi="宋体" w:cs="宋体"/>
          <w:sz w:val="24"/>
          <w:highlight w:val="none"/>
        </w:rPr>
      </w:pPr>
      <w:r>
        <w:rPr>
          <w:rFonts w:hint="eastAsia" w:ascii="宋体" w:hAnsi="宋体" w:cs="宋体"/>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sz w:val="24"/>
          <w:highlight w:val="none"/>
          <w:u w:val="single"/>
        </w:rPr>
        <w:t>合同专用条款</w:t>
      </w:r>
      <w:r>
        <w:rPr>
          <w:rFonts w:hint="eastAsia" w:ascii="宋体" w:hAnsi="宋体" w:cs="宋体"/>
          <w:sz w:val="24"/>
          <w:highlight w:val="none"/>
        </w:rPr>
        <w:t>规定的方式解决：</w:t>
      </w:r>
    </w:p>
    <w:p w14:paraId="651B74B6">
      <w:pPr>
        <w:spacing w:line="560" w:lineRule="exact"/>
        <w:ind w:left="-420" w:leftChars="-200" w:right="-420" w:rightChars="-200" w:firstLine="600" w:firstLineChars="250"/>
        <w:rPr>
          <w:rFonts w:ascii="宋体" w:hAnsi="宋体" w:cs="宋体"/>
          <w:sz w:val="24"/>
          <w:highlight w:val="none"/>
        </w:rPr>
      </w:pPr>
      <w:r>
        <w:rPr>
          <w:rFonts w:hint="eastAsia" w:ascii="宋体" w:hAnsi="宋体" w:cs="宋体"/>
          <w:sz w:val="24"/>
          <w:highlight w:val="none"/>
        </w:rPr>
        <w:t>1.9.1 将争议提交</w:t>
      </w:r>
      <w:r>
        <w:rPr>
          <w:rFonts w:hint="eastAsia" w:ascii="宋体" w:hAnsi="宋体" w:cs="宋体"/>
          <w:b/>
          <w:i/>
          <w:sz w:val="24"/>
          <w:highlight w:val="none"/>
          <w:u w:val="single"/>
        </w:rPr>
        <w:t>合同专用条款</w:t>
      </w:r>
      <w:r>
        <w:rPr>
          <w:rFonts w:hint="eastAsia" w:ascii="宋体" w:hAnsi="宋体" w:cs="宋体"/>
          <w:sz w:val="24"/>
          <w:highlight w:val="none"/>
        </w:rPr>
        <w:t>仲裁委员会依申请仲裁时其现行有效的仲裁规则裁决；</w:t>
      </w:r>
    </w:p>
    <w:p w14:paraId="04A23CC7">
      <w:pPr>
        <w:spacing w:line="560" w:lineRule="exact"/>
        <w:ind w:left="-420" w:leftChars="-200" w:right="-420" w:rightChars="-200" w:firstLine="600" w:firstLineChars="250"/>
        <w:rPr>
          <w:rFonts w:ascii="宋体" w:hAnsi="宋体" w:cs="宋体"/>
          <w:sz w:val="24"/>
          <w:highlight w:val="none"/>
        </w:rPr>
      </w:pPr>
      <w:r>
        <w:rPr>
          <w:rFonts w:hint="eastAsia" w:ascii="宋体" w:hAnsi="宋体" w:cs="宋体"/>
          <w:sz w:val="24"/>
          <w:highlight w:val="none"/>
        </w:rPr>
        <w:t>1.9.2 向</w:t>
      </w:r>
      <w:r>
        <w:rPr>
          <w:rFonts w:hint="eastAsia" w:ascii="宋体" w:hAnsi="宋体" w:cs="宋体"/>
          <w:b/>
          <w:i/>
          <w:sz w:val="24"/>
          <w:highlight w:val="none"/>
          <w:u w:val="single"/>
        </w:rPr>
        <w:t>合同专用条款</w:t>
      </w:r>
      <w:r>
        <w:rPr>
          <w:rFonts w:hint="eastAsia" w:ascii="宋体" w:hAnsi="宋体" w:cs="宋体"/>
          <w:sz w:val="24"/>
          <w:highlight w:val="none"/>
        </w:rPr>
        <w:t>人民法院起诉。</w:t>
      </w:r>
    </w:p>
    <w:p w14:paraId="471B3903">
      <w:pPr>
        <w:spacing w:line="560" w:lineRule="exact"/>
        <w:ind w:firstLine="482" w:firstLineChars="200"/>
        <w:outlineLvl w:val="0"/>
        <w:rPr>
          <w:rFonts w:ascii="宋体" w:hAnsi="宋体" w:cs="宋体"/>
          <w:b/>
          <w:sz w:val="24"/>
          <w:highlight w:val="none"/>
        </w:rPr>
      </w:pPr>
      <w:bookmarkStart w:id="456" w:name="_Toc11173"/>
      <w:bookmarkStart w:id="457" w:name="_Toc15322"/>
      <w:bookmarkStart w:id="458" w:name="_Toc7245"/>
      <w:r>
        <w:rPr>
          <w:rFonts w:hint="eastAsia" w:ascii="宋体" w:hAnsi="宋体" w:cs="宋体"/>
          <w:b/>
          <w:sz w:val="24"/>
          <w:highlight w:val="none"/>
        </w:rPr>
        <w:t>2.0 合同生效</w:t>
      </w:r>
      <w:bookmarkEnd w:id="456"/>
      <w:bookmarkEnd w:id="457"/>
      <w:bookmarkEnd w:id="458"/>
    </w:p>
    <w:p w14:paraId="0F9EC290">
      <w:pPr>
        <w:spacing w:line="560" w:lineRule="exact"/>
        <w:ind w:firstLine="480" w:firstLineChars="200"/>
        <w:rPr>
          <w:rFonts w:ascii="宋体" w:hAnsi="宋体" w:cs="宋体"/>
          <w:b/>
          <w:sz w:val="24"/>
          <w:highlight w:val="none"/>
        </w:rPr>
      </w:pPr>
      <w:r>
        <w:rPr>
          <w:rFonts w:hint="eastAsia" w:ascii="宋体" w:hAnsi="宋体" w:cs="宋体"/>
          <w:sz w:val="24"/>
          <w:highlight w:val="none"/>
        </w:rPr>
        <w:t>本合同自双方当事人盖章并签字时生效。</w:t>
      </w:r>
    </w:p>
    <w:p w14:paraId="14602E4F">
      <w:pPr>
        <w:autoSpaceDE w:val="0"/>
        <w:autoSpaceDN w:val="0"/>
        <w:spacing w:line="560" w:lineRule="exact"/>
        <w:rPr>
          <w:rFonts w:ascii="宋体" w:hAnsi="宋体"/>
          <w:sz w:val="24"/>
          <w:highlight w:val="none"/>
          <w:lang w:val="zh-CN"/>
        </w:rPr>
      </w:pPr>
    </w:p>
    <w:p w14:paraId="564EFAD4">
      <w:pPr>
        <w:tabs>
          <w:tab w:val="left" w:pos="4620"/>
        </w:tabs>
        <w:autoSpaceDE w:val="0"/>
        <w:autoSpaceDN w:val="0"/>
        <w:spacing w:line="560" w:lineRule="exact"/>
        <w:rPr>
          <w:rFonts w:ascii="宋体" w:hAnsi="宋体"/>
          <w:sz w:val="24"/>
          <w:highlight w:val="none"/>
          <w:lang w:val="zh-CN"/>
        </w:rPr>
      </w:pPr>
      <w:r>
        <w:rPr>
          <w:rFonts w:hint="eastAsia" w:ascii="宋体" w:hAnsi="宋体"/>
          <w:b/>
          <w:sz w:val="24"/>
          <w:highlight w:val="none"/>
          <w:lang w:val="zh-CN"/>
        </w:rPr>
        <w:t>甲方</w:t>
      </w:r>
      <w:r>
        <w:rPr>
          <w:rFonts w:hint="eastAsia" w:ascii="宋体" w:hAnsi="宋体"/>
          <w:sz w:val="24"/>
          <w:highlight w:val="none"/>
          <w:lang w:val="zh-CN"/>
        </w:rPr>
        <w:t>：</w:t>
      </w:r>
      <w:r>
        <w:rPr>
          <w:rFonts w:ascii="宋体" w:hAnsi="宋体"/>
          <w:sz w:val="24"/>
          <w:highlight w:val="none"/>
          <w:lang w:val="zh-CN"/>
        </w:rPr>
        <w:tab/>
      </w:r>
      <w:r>
        <w:rPr>
          <w:rFonts w:ascii="宋体" w:hAnsi="宋体"/>
          <w:b/>
          <w:sz w:val="24"/>
          <w:highlight w:val="none"/>
          <w:lang w:val="zh-CN"/>
        </w:rPr>
        <w:t>乙方</w:t>
      </w:r>
      <w:r>
        <w:rPr>
          <w:rFonts w:hint="eastAsia" w:ascii="宋体" w:hAnsi="宋体"/>
          <w:sz w:val="24"/>
          <w:highlight w:val="none"/>
          <w:lang w:val="zh-CN"/>
        </w:rPr>
        <w:t>：</w:t>
      </w:r>
    </w:p>
    <w:p w14:paraId="399A250E">
      <w:pPr>
        <w:tabs>
          <w:tab w:val="left" w:pos="4620"/>
        </w:tabs>
        <w:autoSpaceDE w:val="0"/>
        <w:autoSpaceDN w:val="0"/>
        <w:spacing w:line="560" w:lineRule="exact"/>
        <w:rPr>
          <w:rFonts w:ascii="宋体" w:hAnsi="宋体"/>
          <w:sz w:val="24"/>
          <w:highlight w:val="none"/>
          <w:lang w:val="zh-CN"/>
        </w:rPr>
      </w:pPr>
      <w:r>
        <w:rPr>
          <w:rFonts w:hint="eastAsia" w:ascii="宋体" w:hAnsi="宋体"/>
          <w:sz w:val="24"/>
          <w:highlight w:val="none"/>
          <w:lang w:val="zh-CN"/>
        </w:rPr>
        <w:t>统一社会信用代码：</w:t>
      </w:r>
      <w:r>
        <w:rPr>
          <w:rFonts w:ascii="宋体" w:hAnsi="宋体"/>
          <w:sz w:val="24"/>
          <w:highlight w:val="none"/>
          <w:lang w:val="zh-CN"/>
        </w:rPr>
        <w:tab/>
      </w:r>
      <w:r>
        <w:rPr>
          <w:rFonts w:hint="eastAsia" w:ascii="宋体" w:hAnsi="宋体"/>
          <w:sz w:val="24"/>
          <w:highlight w:val="none"/>
          <w:lang w:val="zh-CN"/>
        </w:rPr>
        <w:t>统一社会信用代码或身份证号码：</w:t>
      </w:r>
    </w:p>
    <w:p w14:paraId="37D1D048">
      <w:pPr>
        <w:tabs>
          <w:tab w:val="left" w:pos="4620"/>
        </w:tabs>
        <w:autoSpaceDE w:val="0"/>
        <w:autoSpaceDN w:val="0"/>
        <w:spacing w:line="560" w:lineRule="exact"/>
        <w:rPr>
          <w:rFonts w:ascii="宋体" w:hAnsi="宋体"/>
          <w:sz w:val="24"/>
          <w:highlight w:val="none"/>
          <w:lang w:val="zh-CN"/>
        </w:rPr>
      </w:pPr>
      <w:r>
        <w:rPr>
          <w:rFonts w:hint="eastAsia" w:ascii="宋体" w:hAnsi="宋体"/>
          <w:sz w:val="24"/>
          <w:highlight w:val="none"/>
          <w:lang w:val="zh-CN"/>
        </w:rPr>
        <w:t>住所：</w:t>
      </w:r>
      <w:r>
        <w:rPr>
          <w:rFonts w:ascii="宋体" w:hAnsi="宋体"/>
          <w:sz w:val="24"/>
          <w:highlight w:val="none"/>
          <w:lang w:val="zh-CN"/>
        </w:rPr>
        <w:tab/>
      </w:r>
      <w:r>
        <w:rPr>
          <w:rFonts w:hint="eastAsia" w:ascii="宋体" w:hAnsi="宋体"/>
          <w:sz w:val="24"/>
          <w:highlight w:val="none"/>
          <w:lang w:val="zh-CN"/>
        </w:rPr>
        <w:t>住所：</w:t>
      </w:r>
    </w:p>
    <w:p w14:paraId="0FC160BB">
      <w:pPr>
        <w:tabs>
          <w:tab w:val="left" w:pos="4620"/>
        </w:tabs>
        <w:autoSpaceDE w:val="0"/>
        <w:autoSpaceDN w:val="0"/>
        <w:spacing w:line="560" w:lineRule="exact"/>
        <w:rPr>
          <w:rFonts w:ascii="宋体" w:hAnsi="宋体"/>
          <w:sz w:val="24"/>
          <w:highlight w:val="none"/>
          <w:lang w:val="zh-CN"/>
        </w:rPr>
      </w:pPr>
      <w:r>
        <w:rPr>
          <w:rFonts w:hint="eastAsia" w:ascii="宋体" w:hAnsi="宋体"/>
          <w:sz w:val="24"/>
          <w:highlight w:val="none"/>
          <w:lang w:val="zh-CN"/>
        </w:rPr>
        <w:t>法定代表人或</w:t>
      </w:r>
      <w:r>
        <w:rPr>
          <w:rFonts w:ascii="宋体" w:hAnsi="宋体"/>
          <w:sz w:val="24"/>
          <w:highlight w:val="none"/>
          <w:lang w:val="zh-CN"/>
        </w:rPr>
        <w:tab/>
      </w:r>
      <w:r>
        <w:rPr>
          <w:rFonts w:hint="eastAsia" w:ascii="宋体" w:hAnsi="宋体"/>
          <w:sz w:val="24"/>
          <w:highlight w:val="none"/>
          <w:lang w:val="zh-CN"/>
        </w:rPr>
        <w:t>法定代表人或</w:t>
      </w:r>
    </w:p>
    <w:p w14:paraId="5114BD07">
      <w:pPr>
        <w:tabs>
          <w:tab w:val="left" w:pos="4620"/>
        </w:tabs>
        <w:autoSpaceDE w:val="0"/>
        <w:autoSpaceDN w:val="0"/>
        <w:spacing w:line="560" w:lineRule="exact"/>
        <w:rPr>
          <w:rFonts w:ascii="宋体" w:hAnsi="宋体"/>
          <w:sz w:val="24"/>
          <w:highlight w:val="none"/>
          <w:lang w:val="zh-CN"/>
        </w:rPr>
      </w:pPr>
      <w:r>
        <w:rPr>
          <w:rFonts w:hint="eastAsia" w:ascii="宋体" w:hAnsi="宋体"/>
          <w:sz w:val="24"/>
          <w:highlight w:val="none"/>
          <w:lang w:val="zh-CN"/>
        </w:rPr>
        <w:t>授权代表（签字）：</w:t>
      </w:r>
      <w:r>
        <w:rPr>
          <w:rFonts w:ascii="宋体" w:hAnsi="宋体"/>
          <w:sz w:val="24"/>
          <w:highlight w:val="none"/>
          <w:lang w:val="zh-CN"/>
        </w:rPr>
        <w:tab/>
      </w:r>
      <w:r>
        <w:rPr>
          <w:rFonts w:ascii="宋体" w:hAnsi="宋体"/>
          <w:sz w:val="24"/>
          <w:highlight w:val="none"/>
          <w:lang w:val="zh-CN"/>
        </w:rPr>
        <w:t xml:space="preserve">授权代表（签字）: </w:t>
      </w:r>
    </w:p>
    <w:p w14:paraId="508695AD">
      <w:pPr>
        <w:tabs>
          <w:tab w:val="left" w:pos="4620"/>
        </w:tabs>
        <w:autoSpaceDE w:val="0"/>
        <w:autoSpaceDN w:val="0"/>
        <w:spacing w:line="560" w:lineRule="exact"/>
        <w:rPr>
          <w:rFonts w:ascii="宋体" w:hAnsi="宋体"/>
          <w:sz w:val="24"/>
          <w:highlight w:val="none"/>
          <w:lang w:val="zh-CN"/>
        </w:rPr>
      </w:pPr>
      <w:r>
        <w:rPr>
          <w:rFonts w:hint="eastAsia" w:ascii="宋体" w:hAnsi="宋体"/>
          <w:sz w:val="24"/>
          <w:highlight w:val="none"/>
          <w:lang w:val="zh-CN"/>
        </w:rPr>
        <w:t>联系人：</w:t>
      </w:r>
      <w:r>
        <w:rPr>
          <w:rFonts w:ascii="宋体" w:hAnsi="宋体"/>
          <w:sz w:val="24"/>
          <w:highlight w:val="none"/>
          <w:lang w:val="zh-CN"/>
        </w:rPr>
        <w:tab/>
      </w:r>
      <w:r>
        <w:rPr>
          <w:rFonts w:hint="eastAsia" w:ascii="宋体" w:hAnsi="宋体"/>
          <w:sz w:val="24"/>
          <w:highlight w:val="none"/>
          <w:lang w:val="zh-CN"/>
        </w:rPr>
        <w:t>联系人：</w:t>
      </w:r>
    </w:p>
    <w:p w14:paraId="238D080A">
      <w:pPr>
        <w:tabs>
          <w:tab w:val="left" w:pos="4620"/>
        </w:tabs>
        <w:autoSpaceDE w:val="0"/>
        <w:autoSpaceDN w:val="0"/>
        <w:spacing w:line="560" w:lineRule="exact"/>
        <w:rPr>
          <w:rFonts w:ascii="宋体" w:hAnsi="宋体"/>
          <w:sz w:val="24"/>
          <w:highlight w:val="none"/>
          <w:lang w:val="zh-CN"/>
        </w:rPr>
      </w:pPr>
      <w:r>
        <w:rPr>
          <w:rFonts w:hint="eastAsia" w:ascii="宋体" w:hAnsi="宋体"/>
          <w:sz w:val="24"/>
          <w:highlight w:val="none"/>
          <w:lang w:val="zh-CN"/>
        </w:rPr>
        <w:t>约定送达地址：</w:t>
      </w:r>
      <w:r>
        <w:rPr>
          <w:rFonts w:ascii="宋体" w:hAnsi="宋体"/>
          <w:sz w:val="24"/>
          <w:highlight w:val="none"/>
          <w:lang w:val="zh-CN"/>
        </w:rPr>
        <w:tab/>
      </w:r>
      <w:r>
        <w:rPr>
          <w:rFonts w:hint="eastAsia" w:ascii="宋体" w:hAnsi="宋体"/>
          <w:sz w:val="24"/>
          <w:highlight w:val="none"/>
          <w:lang w:val="zh-CN"/>
        </w:rPr>
        <w:t>约定送达地址：</w:t>
      </w:r>
    </w:p>
    <w:p w14:paraId="6CE99ED2">
      <w:pPr>
        <w:tabs>
          <w:tab w:val="left" w:pos="4620"/>
        </w:tabs>
        <w:autoSpaceDE w:val="0"/>
        <w:autoSpaceDN w:val="0"/>
        <w:spacing w:line="560" w:lineRule="exact"/>
        <w:rPr>
          <w:rFonts w:ascii="宋体" w:hAnsi="宋体"/>
          <w:sz w:val="24"/>
          <w:highlight w:val="none"/>
          <w:lang w:val="zh-CN"/>
        </w:rPr>
      </w:pPr>
      <w:r>
        <w:rPr>
          <w:rFonts w:hint="eastAsia" w:ascii="宋体" w:hAnsi="宋体"/>
          <w:sz w:val="24"/>
          <w:highlight w:val="none"/>
          <w:lang w:val="zh-CN"/>
        </w:rPr>
        <w:t>邮政编码：</w:t>
      </w:r>
      <w:r>
        <w:rPr>
          <w:rFonts w:ascii="宋体" w:hAnsi="宋体"/>
          <w:sz w:val="24"/>
          <w:highlight w:val="none"/>
          <w:lang w:val="zh-CN"/>
        </w:rPr>
        <w:tab/>
      </w:r>
      <w:r>
        <w:rPr>
          <w:rFonts w:hint="eastAsia" w:ascii="宋体" w:hAnsi="宋体"/>
          <w:sz w:val="24"/>
          <w:highlight w:val="none"/>
          <w:lang w:val="zh-CN"/>
        </w:rPr>
        <w:t>邮政编码：</w:t>
      </w:r>
    </w:p>
    <w:p w14:paraId="1C1129A8">
      <w:pPr>
        <w:tabs>
          <w:tab w:val="left" w:pos="4620"/>
        </w:tabs>
        <w:autoSpaceDE w:val="0"/>
        <w:autoSpaceDN w:val="0"/>
        <w:spacing w:line="560" w:lineRule="exact"/>
        <w:rPr>
          <w:rFonts w:ascii="宋体" w:hAnsi="宋体"/>
          <w:sz w:val="24"/>
          <w:highlight w:val="none"/>
          <w:lang w:val="zh-CN"/>
        </w:rPr>
      </w:pPr>
      <w:r>
        <w:rPr>
          <w:rFonts w:hint="eastAsia" w:ascii="宋体" w:hAnsi="宋体"/>
          <w:sz w:val="24"/>
          <w:highlight w:val="none"/>
          <w:lang w:val="zh-CN"/>
        </w:rPr>
        <w:t>电话</w:t>
      </w:r>
      <w:r>
        <w:rPr>
          <w:rFonts w:ascii="宋体" w:hAnsi="宋体"/>
          <w:sz w:val="24"/>
          <w:highlight w:val="none"/>
          <w:lang w:val="zh-CN"/>
        </w:rPr>
        <w:t>:</w:t>
      </w:r>
      <w:r>
        <w:rPr>
          <w:rFonts w:ascii="宋体" w:hAnsi="宋体"/>
          <w:sz w:val="24"/>
          <w:highlight w:val="none"/>
          <w:lang w:val="zh-CN"/>
        </w:rPr>
        <w:tab/>
      </w:r>
      <w:r>
        <w:rPr>
          <w:rFonts w:ascii="宋体" w:hAnsi="宋体"/>
          <w:sz w:val="24"/>
          <w:highlight w:val="none"/>
          <w:lang w:val="zh-CN"/>
        </w:rPr>
        <w:t xml:space="preserve">电话: </w:t>
      </w:r>
    </w:p>
    <w:p w14:paraId="63B66D8A">
      <w:pPr>
        <w:tabs>
          <w:tab w:val="left" w:pos="4620"/>
        </w:tabs>
        <w:autoSpaceDE w:val="0"/>
        <w:autoSpaceDN w:val="0"/>
        <w:spacing w:line="560" w:lineRule="exact"/>
        <w:rPr>
          <w:rFonts w:ascii="宋体" w:hAnsi="宋体"/>
          <w:sz w:val="24"/>
          <w:highlight w:val="none"/>
          <w:lang w:val="zh-CN"/>
        </w:rPr>
      </w:pPr>
      <w:r>
        <w:rPr>
          <w:rFonts w:hint="eastAsia" w:ascii="宋体" w:hAnsi="宋体"/>
          <w:sz w:val="24"/>
          <w:highlight w:val="none"/>
          <w:lang w:val="zh-CN"/>
        </w:rPr>
        <w:t>传真</w:t>
      </w:r>
      <w:r>
        <w:rPr>
          <w:rFonts w:ascii="宋体" w:hAnsi="宋体"/>
          <w:sz w:val="24"/>
          <w:highlight w:val="none"/>
          <w:lang w:val="zh-CN"/>
        </w:rPr>
        <w:t>:</w:t>
      </w:r>
      <w:r>
        <w:rPr>
          <w:rFonts w:ascii="宋体" w:hAnsi="宋体"/>
          <w:sz w:val="24"/>
          <w:highlight w:val="none"/>
          <w:lang w:val="zh-CN"/>
        </w:rPr>
        <w:tab/>
      </w:r>
      <w:r>
        <w:rPr>
          <w:rFonts w:hint="eastAsia" w:ascii="宋体" w:hAnsi="宋体"/>
          <w:sz w:val="24"/>
          <w:highlight w:val="none"/>
          <w:lang w:val="zh-CN"/>
        </w:rPr>
        <w:t>传真</w:t>
      </w:r>
      <w:r>
        <w:rPr>
          <w:rFonts w:ascii="宋体" w:hAnsi="宋体"/>
          <w:sz w:val="24"/>
          <w:highlight w:val="none"/>
          <w:lang w:val="zh-CN"/>
        </w:rPr>
        <w:t>:</w:t>
      </w:r>
    </w:p>
    <w:p w14:paraId="2FB22AFA">
      <w:pPr>
        <w:tabs>
          <w:tab w:val="left" w:pos="4620"/>
        </w:tabs>
        <w:autoSpaceDE w:val="0"/>
        <w:autoSpaceDN w:val="0"/>
        <w:spacing w:line="560" w:lineRule="exact"/>
        <w:rPr>
          <w:rFonts w:ascii="宋体" w:hAnsi="宋体"/>
          <w:sz w:val="24"/>
          <w:highlight w:val="none"/>
        </w:rPr>
      </w:pPr>
      <w:r>
        <w:rPr>
          <w:rFonts w:hint="eastAsia" w:ascii="宋体" w:hAnsi="宋体"/>
          <w:sz w:val="24"/>
          <w:highlight w:val="none"/>
          <w:lang w:val="zh-CN"/>
        </w:rPr>
        <w:t>电子邮箱：</w:t>
      </w:r>
      <w:r>
        <w:rPr>
          <w:rFonts w:ascii="宋体" w:hAnsi="宋体"/>
          <w:sz w:val="24"/>
          <w:highlight w:val="none"/>
          <w:lang w:val="zh-CN"/>
        </w:rPr>
        <w:tab/>
      </w:r>
      <w:r>
        <w:rPr>
          <w:rFonts w:hint="eastAsia" w:ascii="宋体" w:hAnsi="宋体"/>
          <w:sz w:val="24"/>
          <w:highlight w:val="none"/>
          <w:lang w:val="zh-CN"/>
        </w:rPr>
        <w:t>电子邮箱：</w:t>
      </w:r>
    </w:p>
    <w:p w14:paraId="7C247F08">
      <w:pPr>
        <w:tabs>
          <w:tab w:val="left" w:pos="4620"/>
        </w:tabs>
        <w:autoSpaceDE w:val="0"/>
        <w:autoSpaceDN w:val="0"/>
        <w:spacing w:line="560" w:lineRule="exact"/>
        <w:rPr>
          <w:rFonts w:ascii="宋体" w:hAnsi="宋体"/>
          <w:sz w:val="24"/>
          <w:highlight w:val="none"/>
        </w:rPr>
      </w:pPr>
      <w:r>
        <w:rPr>
          <w:rFonts w:hint="eastAsia" w:ascii="宋体" w:hAnsi="宋体"/>
          <w:sz w:val="24"/>
          <w:highlight w:val="none"/>
        </w:rPr>
        <w:t>开户银行：</w:t>
      </w:r>
      <w:r>
        <w:rPr>
          <w:rFonts w:ascii="宋体" w:hAnsi="宋体"/>
          <w:sz w:val="24"/>
          <w:highlight w:val="none"/>
        </w:rPr>
        <w:tab/>
      </w:r>
      <w:r>
        <w:rPr>
          <w:rFonts w:ascii="宋体" w:hAnsi="宋体"/>
          <w:sz w:val="24"/>
          <w:highlight w:val="none"/>
        </w:rPr>
        <w:t xml:space="preserve">开户银行： </w:t>
      </w:r>
    </w:p>
    <w:p w14:paraId="68D345F8">
      <w:pPr>
        <w:tabs>
          <w:tab w:val="left" w:pos="4620"/>
        </w:tabs>
        <w:autoSpaceDE w:val="0"/>
        <w:autoSpaceDN w:val="0"/>
        <w:spacing w:line="560" w:lineRule="exact"/>
        <w:rPr>
          <w:rFonts w:ascii="宋体" w:hAnsi="宋体"/>
          <w:sz w:val="24"/>
          <w:highlight w:val="none"/>
        </w:rPr>
      </w:pPr>
      <w:r>
        <w:rPr>
          <w:rFonts w:hint="eastAsia" w:ascii="宋体" w:hAnsi="宋体"/>
          <w:sz w:val="24"/>
          <w:highlight w:val="none"/>
        </w:rPr>
        <w:t>开户名称：</w:t>
      </w:r>
      <w:r>
        <w:rPr>
          <w:rFonts w:ascii="宋体" w:hAnsi="宋体"/>
          <w:sz w:val="24"/>
          <w:highlight w:val="none"/>
        </w:rPr>
        <w:tab/>
      </w:r>
      <w:r>
        <w:rPr>
          <w:rFonts w:ascii="宋体" w:hAnsi="宋体"/>
          <w:sz w:val="24"/>
          <w:highlight w:val="none"/>
        </w:rPr>
        <w:t xml:space="preserve">开户名称： </w:t>
      </w:r>
    </w:p>
    <w:p w14:paraId="4C2908D1">
      <w:pPr>
        <w:tabs>
          <w:tab w:val="left" w:pos="4620"/>
        </w:tabs>
        <w:autoSpaceDE w:val="0"/>
        <w:autoSpaceDN w:val="0"/>
        <w:spacing w:line="560" w:lineRule="exact"/>
        <w:rPr>
          <w:rFonts w:ascii="宋体" w:hAnsi="宋体"/>
          <w:sz w:val="24"/>
          <w:highlight w:val="none"/>
        </w:rPr>
      </w:pPr>
      <w:r>
        <w:rPr>
          <w:rFonts w:hint="eastAsia" w:ascii="宋体" w:hAnsi="宋体"/>
          <w:sz w:val="24"/>
          <w:highlight w:val="none"/>
        </w:rPr>
        <w:t>开户账号：</w:t>
      </w:r>
      <w:r>
        <w:rPr>
          <w:rFonts w:ascii="宋体" w:hAnsi="宋体"/>
          <w:sz w:val="24"/>
          <w:highlight w:val="none"/>
        </w:rPr>
        <w:tab/>
      </w:r>
      <w:r>
        <w:rPr>
          <w:rFonts w:hint="eastAsia" w:ascii="宋体" w:hAnsi="宋体"/>
          <w:sz w:val="24"/>
          <w:highlight w:val="none"/>
        </w:rPr>
        <w:t>开户账号：</w:t>
      </w:r>
    </w:p>
    <w:p w14:paraId="65874856">
      <w:pPr>
        <w:widowControl/>
        <w:spacing w:line="560" w:lineRule="exact"/>
        <w:jc w:val="left"/>
        <w:rPr>
          <w:rFonts w:ascii="宋体" w:hAnsi="宋体"/>
          <w:b/>
          <w:sz w:val="24"/>
          <w:highlight w:val="none"/>
        </w:rPr>
      </w:pPr>
    </w:p>
    <w:p w14:paraId="324BE3E2">
      <w:pPr>
        <w:widowControl/>
        <w:adjustRightInd/>
        <w:jc w:val="left"/>
        <w:rPr>
          <w:rFonts w:ascii="宋体" w:hAnsi="宋体"/>
          <w:b/>
          <w:sz w:val="24"/>
          <w:highlight w:val="none"/>
        </w:rPr>
      </w:pPr>
      <w:r>
        <w:rPr>
          <w:rFonts w:ascii="宋体" w:hAnsi="宋体"/>
          <w:b/>
          <w:highlight w:val="none"/>
        </w:rPr>
        <w:br w:type="page"/>
      </w:r>
    </w:p>
    <w:p w14:paraId="6A5D0398">
      <w:pPr>
        <w:pStyle w:val="386"/>
        <w:spacing w:line="560" w:lineRule="exact"/>
        <w:ind w:firstLine="482"/>
        <w:jc w:val="center"/>
        <w:rPr>
          <w:rFonts w:ascii="宋体" w:hAnsi="宋体"/>
          <w:b/>
          <w:szCs w:val="24"/>
          <w:highlight w:val="none"/>
        </w:rPr>
      </w:pPr>
      <w:r>
        <w:rPr>
          <w:rFonts w:hint="eastAsia" w:ascii="宋体" w:hAnsi="宋体"/>
          <w:b/>
          <w:szCs w:val="24"/>
          <w:highlight w:val="none"/>
        </w:rPr>
        <w:t>第二部分合同一般条款</w:t>
      </w:r>
    </w:p>
    <w:p w14:paraId="44DA2B40">
      <w:pPr>
        <w:spacing w:line="560" w:lineRule="exact"/>
        <w:ind w:firstLine="482" w:firstLineChars="200"/>
        <w:outlineLvl w:val="0"/>
        <w:rPr>
          <w:rFonts w:ascii="宋体" w:hAnsi="宋体"/>
          <w:b/>
          <w:sz w:val="24"/>
          <w:highlight w:val="none"/>
        </w:rPr>
      </w:pPr>
      <w:bookmarkStart w:id="459" w:name="_Toc25079"/>
      <w:bookmarkStart w:id="460" w:name="_Toc31297"/>
      <w:bookmarkStart w:id="461" w:name="_Toc5228"/>
      <w:bookmarkStart w:id="462" w:name="_Toc19680"/>
      <w:bookmarkStart w:id="463" w:name="_Toc14021"/>
      <w:r>
        <w:rPr>
          <w:rFonts w:ascii="宋体" w:hAnsi="宋体"/>
          <w:b/>
          <w:sz w:val="24"/>
          <w:highlight w:val="none"/>
        </w:rPr>
        <w:t>2.1 定义</w:t>
      </w:r>
      <w:bookmarkEnd w:id="459"/>
      <w:bookmarkEnd w:id="460"/>
      <w:bookmarkEnd w:id="461"/>
      <w:bookmarkEnd w:id="462"/>
      <w:bookmarkEnd w:id="463"/>
    </w:p>
    <w:p w14:paraId="204123E9">
      <w:pPr>
        <w:spacing w:line="560" w:lineRule="exact"/>
        <w:ind w:firstLine="480" w:firstLineChars="200"/>
        <w:rPr>
          <w:rFonts w:ascii="宋体" w:hAnsi="宋体"/>
          <w:sz w:val="24"/>
          <w:highlight w:val="none"/>
        </w:rPr>
      </w:pPr>
      <w:r>
        <w:rPr>
          <w:rFonts w:ascii="宋体" w:hAnsi="宋体"/>
          <w:sz w:val="24"/>
          <w:highlight w:val="none"/>
        </w:rPr>
        <w:t>本合同中的下列</w:t>
      </w:r>
      <w:r>
        <w:rPr>
          <w:rFonts w:hint="eastAsia" w:ascii="宋体" w:hAnsi="宋体"/>
          <w:sz w:val="24"/>
          <w:highlight w:val="none"/>
        </w:rPr>
        <w:t>词</w:t>
      </w:r>
      <w:r>
        <w:rPr>
          <w:rFonts w:ascii="宋体" w:hAnsi="宋体"/>
          <w:sz w:val="24"/>
          <w:highlight w:val="none"/>
        </w:rPr>
        <w:t>语应</w:t>
      </w:r>
      <w:r>
        <w:rPr>
          <w:rFonts w:hint="eastAsia" w:ascii="宋体" w:hAnsi="宋体"/>
          <w:sz w:val="24"/>
          <w:highlight w:val="none"/>
        </w:rPr>
        <w:t>按以下内容进行</w:t>
      </w:r>
      <w:r>
        <w:rPr>
          <w:rFonts w:ascii="宋体" w:hAnsi="宋体"/>
          <w:sz w:val="24"/>
          <w:highlight w:val="none"/>
        </w:rPr>
        <w:t>解释：</w:t>
      </w:r>
    </w:p>
    <w:p w14:paraId="657F553E">
      <w:pPr>
        <w:spacing w:line="560" w:lineRule="exact"/>
        <w:ind w:firstLine="480" w:firstLineChars="200"/>
        <w:rPr>
          <w:rFonts w:ascii="宋体" w:hAnsi="宋体"/>
          <w:sz w:val="24"/>
          <w:highlight w:val="none"/>
        </w:rPr>
      </w:pPr>
      <w:r>
        <w:rPr>
          <w:rFonts w:ascii="宋体" w:hAnsi="宋体"/>
          <w:sz w:val="24"/>
          <w:highlight w:val="none"/>
        </w:rPr>
        <w:t>2.1.1 “合同”系指采购人和</w:t>
      </w:r>
      <w:r>
        <w:rPr>
          <w:rFonts w:hint="eastAsia" w:ascii="宋体" w:hAnsi="宋体" w:cs="宋体"/>
          <w:sz w:val="24"/>
          <w:highlight w:val="none"/>
        </w:rPr>
        <w:t>中标或成交</w:t>
      </w:r>
      <w:r>
        <w:rPr>
          <w:rFonts w:ascii="宋体" w:hAnsi="宋体"/>
          <w:sz w:val="24"/>
          <w:highlight w:val="none"/>
        </w:rPr>
        <w:t>供应商签订的载明双方当事人所达成的协议，并包括所有的附件、附录和构成合同的其他文件。</w:t>
      </w:r>
    </w:p>
    <w:p w14:paraId="1D347145">
      <w:pPr>
        <w:spacing w:line="560" w:lineRule="exact"/>
        <w:ind w:firstLine="480" w:firstLineChars="200"/>
        <w:rPr>
          <w:rFonts w:ascii="宋体" w:hAnsi="宋体"/>
          <w:sz w:val="24"/>
          <w:highlight w:val="none"/>
        </w:rPr>
      </w:pPr>
      <w:r>
        <w:rPr>
          <w:rFonts w:ascii="宋体" w:hAnsi="宋体"/>
          <w:sz w:val="24"/>
          <w:highlight w:val="none"/>
        </w:rPr>
        <w:t>2.1.2 “合同价”系指根据合同约定，</w:t>
      </w:r>
      <w:r>
        <w:rPr>
          <w:rFonts w:hint="eastAsia" w:ascii="宋体" w:hAnsi="宋体" w:cs="宋体"/>
          <w:sz w:val="24"/>
          <w:highlight w:val="none"/>
        </w:rPr>
        <w:t>中标或成交</w:t>
      </w:r>
      <w:r>
        <w:rPr>
          <w:rFonts w:ascii="宋体" w:hAnsi="宋体"/>
          <w:sz w:val="24"/>
          <w:highlight w:val="none"/>
        </w:rPr>
        <w:t>供应商在完全履行合同义务后</w:t>
      </w:r>
      <w:r>
        <w:rPr>
          <w:rFonts w:hint="eastAsia" w:ascii="宋体" w:hAnsi="宋体"/>
          <w:sz w:val="24"/>
          <w:highlight w:val="none"/>
        </w:rPr>
        <w:t>，</w:t>
      </w:r>
      <w:r>
        <w:rPr>
          <w:rFonts w:ascii="宋体" w:hAnsi="宋体"/>
          <w:sz w:val="24"/>
          <w:highlight w:val="none"/>
        </w:rPr>
        <w:t>采购人应支付给</w:t>
      </w:r>
      <w:r>
        <w:rPr>
          <w:rFonts w:hint="eastAsia" w:ascii="宋体" w:hAnsi="宋体" w:cs="宋体"/>
          <w:sz w:val="24"/>
          <w:highlight w:val="none"/>
        </w:rPr>
        <w:t>中标或成交</w:t>
      </w:r>
      <w:r>
        <w:rPr>
          <w:rFonts w:ascii="宋体" w:hAnsi="宋体"/>
          <w:sz w:val="24"/>
          <w:highlight w:val="none"/>
        </w:rPr>
        <w:t>供应商的价格。</w:t>
      </w:r>
    </w:p>
    <w:p w14:paraId="3E680196">
      <w:pPr>
        <w:spacing w:line="560" w:lineRule="exact"/>
        <w:ind w:firstLine="480" w:firstLineChars="200"/>
        <w:rPr>
          <w:rFonts w:ascii="宋体" w:hAnsi="宋体"/>
          <w:sz w:val="24"/>
          <w:highlight w:val="none"/>
        </w:rPr>
      </w:pPr>
      <w:r>
        <w:rPr>
          <w:rFonts w:ascii="宋体" w:hAnsi="宋体"/>
          <w:sz w:val="24"/>
          <w:highlight w:val="none"/>
        </w:rPr>
        <w:t>2.1.3 “</w:t>
      </w:r>
      <w:r>
        <w:rPr>
          <w:rFonts w:hint="eastAsia" w:ascii="宋体" w:hAnsi="宋体"/>
          <w:sz w:val="24"/>
          <w:highlight w:val="none"/>
        </w:rPr>
        <w:t>服务</w:t>
      </w:r>
      <w:r>
        <w:rPr>
          <w:rFonts w:ascii="宋体" w:hAnsi="宋体"/>
          <w:sz w:val="24"/>
          <w:highlight w:val="none"/>
        </w:rPr>
        <w:t>”系指</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根据合同约定应向采购人</w:t>
      </w:r>
      <w:r>
        <w:rPr>
          <w:rFonts w:hint="eastAsia" w:ascii="宋体" w:hAnsi="宋体"/>
          <w:sz w:val="24"/>
          <w:highlight w:val="none"/>
        </w:rPr>
        <w:t>履行</w:t>
      </w:r>
      <w:r>
        <w:rPr>
          <w:rFonts w:ascii="宋体" w:hAnsi="宋体"/>
          <w:sz w:val="24"/>
          <w:highlight w:val="none"/>
        </w:rPr>
        <w:t>的</w:t>
      </w:r>
      <w:r>
        <w:rPr>
          <w:rFonts w:hint="eastAsia" w:ascii="宋体" w:hAnsi="宋体"/>
          <w:sz w:val="24"/>
          <w:highlight w:val="none"/>
        </w:rPr>
        <w:t>除货物和工程以外的其他政府采购对象，包括采购人自身需要的服务和向社会公众提供的公共服务。</w:t>
      </w:r>
    </w:p>
    <w:p w14:paraId="258D4DE5">
      <w:pPr>
        <w:spacing w:line="560" w:lineRule="exact"/>
        <w:ind w:firstLine="480" w:firstLineChars="200"/>
        <w:rPr>
          <w:rFonts w:ascii="宋体" w:hAnsi="宋体"/>
          <w:sz w:val="24"/>
          <w:highlight w:val="none"/>
        </w:rPr>
      </w:pPr>
      <w:r>
        <w:rPr>
          <w:rFonts w:ascii="宋体" w:hAnsi="宋体"/>
          <w:sz w:val="24"/>
          <w:highlight w:val="none"/>
        </w:rPr>
        <w:t>2.1.4 “</w:t>
      </w:r>
      <w:r>
        <w:rPr>
          <w:rFonts w:hint="eastAsia" w:ascii="宋体" w:hAnsi="宋体"/>
          <w:sz w:val="24"/>
          <w:highlight w:val="none"/>
        </w:rPr>
        <w:t>甲方</w:t>
      </w:r>
      <w:r>
        <w:rPr>
          <w:rFonts w:ascii="宋体" w:hAnsi="宋体"/>
          <w:sz w:val="24"/>
          <w:highlight w:val="none"/>
        </w:rPr>
        <w:t>”系指与</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签署合同的采购人</w:t>
      </w:r>
      <w:r>
        <w:rPr>
          <w:rFonts w:hint="eastAsia" w:ascii="宋体" w:hAnsi="宋体"/>
          <w:sz w:val="24"/>
          <w:highlight w:val="none"/>
        </w:rPr>
        <w:t>；采购人委托采购代理机构代表其与乙方签订合同的，采购人的授权委托书作为合同附件。</w:t>
      </w:r>
    </w:p>
    <w:p w14:paraId="24ADF19A">
      <w:pPr>
        <w:spacing w:line="560" w:lineRule="exact"/>
        <w:ind w:firstLine="480" w:firstLineChars="200"/>
        <w:rPr>
          <w:rFonts w:ascii="宋体" w:hAnsi="宋体"/>
          <w:sz w:val="24"/>
          <w:highlight w:val="none"/>
        </w:rPr>
      </w:pPr>
      <w:r>
        <w:rPr>
          <w:rFonts w:ascii="宋体" w:hAnsi="宋体"/>
          <w:sz w:val="24"/>
          <w:highlight w:val="none"/>
        </w:rPr>
        <w:t>2.1.5 “乙方”系指根据合同约定提供服务的</w:t>
      </w:r>
      <w:r>
        <w:rPr>
          <w:rFonts w:hint="eastAsia" w:ascii="宋体" w:hAnsi="宋体" w:cs="宋体"/>
          <w:sz w:val="24"/>
          <w:highlight w:val="none"/>
        </w:rPr>
        <w:t>中标或成交</w:t>
      </w:r>
      <w:r>
        <w:rPr>
          <w:rFonts w:ascii="宋体" w:hAnsi="宋体"/>
          <w:sz w:val="24"/>
          <w:highlight w:val="none"/>
        </w:rPr>
        <w:t>供应商</w:t>
      </w:r>
      <w:r>
        <w:rPr>
          <w:rFonts w:hint="eastAsia" w:ascii="宋体" w:hAnsi="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0F344E1">
      <w:pPr>
        <w:spacing w:line="560" w:lineRule="exact"/>
        <w:ind w:firstLine="480" w:firstLineChars="200"/>
        <w:rPr>
          <w:rFonts w:ascii="宋体" w:hAnsi="宋体"/>
          <w:sz w:val="24"/>
          <w:highlight w:val="none"/>
        </w:rPr>
      </w:pPr>
      <w:r>
        <w:rPr>
          <w:rFonts w:ascii="宋体" w:hAnsi="宋体"/>
          <w:sz w:val="24"/>
          <w:highlight w:val="none"/>
        </w:rPr>
        <w:t>2.1.6 “现场”系指合同约定提供服务的地点。</w:t>
      </w:r>
    </w:p>
    <w:p w14:paraId="0C01CE5F">
      <w:pPr>
        <w:spacing w:line="560" w:lineRule="exact"/>
        <w:ind w:firstLine="482" w:firstLineChars="200"/>
        <w:outlineLvl w:val="0"/>
        <w:rPr>
          <w:rFonts w:ascii="宋体" w:hAnsi="宋体"/>
          <w:b/>
          <w:sz w:val="24"/>
          <w:highlight w:val="none"/>
        </w:rPr>
      </w:pPr>
      <w:bookmarkStart w:id="464" w:name="_Toc23289"/>
      <w:bookmarkStart w:id="465" w:name="_Toc16752"/>
      <w:bookmarkStart w:id="466" w:name="_Toc19539"/>
      <w:bookmarkStart w:id="467" w:name="_Toc31402"/>
      <w:bookmarkStart w:id="468" w:name="_Toc3769"/>
      <w:r>
        <w:rPr>
          <w:rFonts w:ascii="宋体" w:hAnsi="宋体"/>
          <w:b/>
          <w:sz w:val="24"/>
          <w:highlight w:val="none"/>
        </w:rPr>
        <w:t>2.2 技术规范</w:t>
      </w:r>
      <w:bookmarkEnd w:id="464"/>
      <w:bookmarkEnd w:id="465"/>
      <w:bookmarkEnd w:id="466"/>
      <w:bookmarkEnd w:id="467"/>
      <w:bookmarkEnd w:id="468"/>
    </w:p>
    <w:p w14:paraId="61A225CA">
      <w:pPr>
        <w:spacing w:line="560" w:lineRule="exact"/>
        <w:ind w:firstLine="480" w:firstLineChars="200"/>
        <w:rPr>
          <w:rFonts w:ascii="宋体" w:hAnsi="宋体"/>
          <w:sz w:val="24"/>
          <w:highlight w:val="none"/>
        </w:rPr>
      </w:pPr>
      <w:r>
        <w:rPr>
          <w:rFonts w:hint="eastAsia" w:ascii="宋体" w:hAnsi="宋体"/>
          <w:sz w:val="24"/>
          <w:highlight w:val="none"/>
        </w:rPr>
        <w:t>服务</w:t>
      </w:r>
      <w:r>
        <w:rPr>
          <w:rFonts w:ascii="宋体" w:hAnsi="宋体"/>
          <w:sz w:val="24"/>
          <w:highlight w:val="none"/>
        </w:rPr>
        <w:t>所应遵守的技术规范应与采购文件规定的技术规范和技术规范附件(如果有的话)及其技术规范偏差表(如果被甲方接受的话)相一致</w:t>
      </w:r>
      <w:r>
        <w:rPr>
          <w:rFonts w:hint="eastAsia" w:ascii="宋体" w:hAnsi="宋体"/>
          <w:sz w:val="24"/>
          <w:highlight w:val="none"/>
        </w:rPr>
        <w:t>；</w:t>
      </w:r>
      <w:r>
        <w:rPr>
          <w:rFonts w:ascii="宋体" w:hAnsi="宋体"/>
          <w:sz w:val="24"/>
          <w:highlight w:val="none"/>
        </w:rPr>
        <w:t>如果采购文件中没有技术规范的相应说明，那么应以国家有关部门最新颁布的相应标准</w:t>
      </w:r>
      <w:r>
        <w:rPr>
          <w:rFonts w:hint="eastAsia" w:ascii="宋体" w:hAnsi="宋体"/>
          <w:sz w:val="24"/>
          <w:highlight w:val="none"/>
        </w:rPr>
        <w:t>和</w:t>
      </w:r>
      <w:r>
        <w:rPr>
          <w:rFonts w:ascii="宋体" w:hAnsi="宋体"/>
          <w:sz w:val="24"/>
          <w:highlight w:val="none"/>
        </w:rPr>
        <w:t>规范为准。</w:t>
      </w:r>
    </w:p>
    <w:p w14:paraId="3A8180FB">
      <w:pPr>
        <w:spacing w:line="560" w:lineRule="exact"/>
        <w:ind w:firstLine="482" w:firstLineChars="200"/>
        <w:outlineLvl w:val="0"/>
        <w:rPr>
          <w:rFonts w:ascii="宋体" w:hAnsi="宋体"/>
          <w:b/>
          <w:sz w:val="24"/>
          <w:highlight w:val="none"/>
        </w:rPr>
      </w:pPr>
      <w:bookmarkStart w:id="469" w:name="_Toc12412"/>
      <w:bookmarkStart w:id="470" w:name="_Toc27945"/>
      <w:bookmarkStart w:id="471" w:name="_Toc13673"/>
      <w:bookmarkStart w:id="472" w:name="_Toc9161"/>
      <w:bookmarkStart w:id="473" w:name="_Toc4133"/>
      <w:r>
        <w:rPr>
          <w:rFonts w:ascii="宋体" w:hAnsi="宋体"/>
          <w:b/>
          <w:sz w:val="24"/>
          <w:highlight w:val="none"/>
        </w:rPr>
        <w:t>2.3 知识产权</w:t>
      </w:r>
      <w:bookmarkEnd w:id="469"/>
      <w:bookmarkEnd w:id="470"/>
      <w:bookmarkEnd w:id="471"/>
      <w:bookmarkEnd w:id="472"/>
      <w:bookmarkEnd w:id="473"/>
    </w:p>
    <w:p w14:paraId="756F550B">
      <w:pPr>
        <w:spacing w:line="560" w:lineRule="exact"/>
        <w:ind w:firstLine="480" w:firstLineChars="200"/>
        <w:rPr>
          <w:rFonts w:ascii="宋体" w:hAnsi="宋体"/>
          <w:sz w:val="24"/>
          <w:highlight w:val="none"/>
        </w:rPr>
      </w:pPr>
      <w:r>
        <w:rPr>
          <w:rFonts w:ascii="宋体" w:hAnsi="宋体"/>
          <w:sz w:val="24"/>
          <w:highlight w:val="none"/>
        </w:rPr>
        <w:t xml:space="preserve">2.3.1 </w:t>
      </w:r>
      <w:r>
        <w:rPr>
          <w:rFonts w:hint="eastAsia" w:ascii="宋体" w:hAnsi="宋体"/>
          <w:sz w:val="24"/>
          <w:highlight w:val="none"/>
        </w:rPr>
        <w:t>乙</w:t>
      </w:r>
      <w:r>
        <w:rPr>
          <w:rFonts w:ascii="宋体" w:hAnsi="宋体"/>
          <w:sz w:val="24"/>
          <w:highlight w:val="none"/>
        </w:rPr>
        <w:t>方应保证</w:t>
      </w:r>
      <w:r>
        <w:rPr>
          <w:rFonts w:hint="eastAsia" w:ascii="宋体" w:hAnsi="宋体"/>
          <w:sz w:val="24"/>
          <w:highlight w:val="none"/>
        </w:rPr>
        <w:t>其提供的服务</w:t>
      </w:r>
      <w:r>
        <w:rPr>
          <w:rFonts w:ascii="宋体" w:hAnsi="宋体"/>
          <w:sz w:val="24"/>
          <w:highlight w:val="none"/>
        </w:rPr>
        <w:t>不受任何第三方提出的侵犯其著作权、商标权、专利权等知识产权方面的起诉</w:t>
      </w:r>
      <w:r>
        <w:rPr>
          <w:rFonts w:hint="eastAsia" w:ascii="宋体" w:hAnsi="宋体"/>
          <w:sz w:val="24"/>
          <w:highlight w:val="none"/>
        </w:rPr>
        <w:t>；</w:t>
      </w:r>
      <w:r>
        <w:rPr>
          <w:rFonts w:ascii="宋体" w:hAnsi="宋体"/>
          <w:sz w:val="24"/>
          <w:highlight w:val="none"/>
        </w:rPr>
        <w:t>如果任何第三方提出侵权</w:t>
      </w:r>
      <w:r>
        <w:rPr>
          <w:rFonts w:hint="eastAsia" w:ascii="宋体" w:hAnsi="宋体"/>
          <w:sz w:val="24"/>
          <w:highlight w:val="none"/>
        </w:rPr>
        <w:t>指控</w:t>
      </w:r>
      <w:r>
        <w:rPr>
          <w:rFonts w:ascii="宋体" w:hAnsi="宋体"/>
          <w:sz w:val="24"/>
          <w:highlight w:val="none"/>
        </w:rPr>
        <w:t>，那么乙方须与该第三方交涉并承担由此发生的一切责任、费用和赔偿</w:t>
      </w:r>
      <w:r>
        <w:rPr>
          <w:rFonts w:hint="eastAsia" w:ascii="宋体" w:hAnsi="宋体"/>
          <w:sz w:val="24"/>
          <w:highlight w:val="none"/>
        </w:rPr>
        <w:t>，乙方还应及时澄清相关信息，使甲方声誉免受损害，甲方保留追责的权利。</w:t>
      </w:r>
    </w:p>
    <w:p w14:paraId="4849A6F7">
      <w:pPr>
        <w:spacing w:line="560" w:lineRule="exact"/>
        <w:ind w:firstLine="480" w:firstLineChars="200"/>
        <w:rPr>
          <w:rFonts w:ascii="宋体" w:hAnsi="宋体"/>
          <w:sz w:val="24"/>
          <w:highlight w:val="none"/>
        </w:rPr>
      </w:pPr>
      <w:r>
        <w:rPr>
          <w:rFonts w:ascii="宋体" w:hAnsi="宋体"/>
          <w:sz w:val="24"/>
          <w:highlight w:val="none"/>
        </w:rPr>
        <w:t xml:space="preserve">2.3.2 </w:t>
      </w:r>
      <w:r>
        <w:rPr>
          <w:rFonts w:hint="eastAsia" w:ascii="宋体" w:hAnsi="宋体"/>
          <w:sz w:val="24"/>
          <w:highlight w:val="none"/>
        </w:rPr>
        <w:t>合同涉及技术成果的归属和收益的分成办法的，</w:t>
      </w: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14:paraId="21057F70">
      <w:pPr>
        <w:spacing w:line="560" w:lineRule="exact"/>
        <w:ind w:firstLine="482" w:firstLineChars="200"/>
        <w:rPr>
          <w:rFonts w:ascii="宋体" w:hAnsi="宋体"/>
          <w:b/>
          <w:sz w:val="24"/>
          <w:highlight w:val="none"/>
        </w:rPr>
      </w:pPr>
      <w:r>
        <w:rPr>
          <w:rFonts w:ascii="宋体" w:hAnsi="宋体"/>
          <w:b/>
          <w:sz w:val="24"/>
          <w:highlight w:val="none"/>
        </w:rPr>
        <w:t xml:space="preserve">2.4 </w:t>
      </w:r>
      <w:r>
        <w:rPr>
          <w:rFonts w:hint="eastAsia" w:ascii="宋体" w:hAnsi="宋体"/>
          <w:b/>
          <w:sz w:val="24"/>
          <w:highlight w:val="none"/>
        </w:rPr>
        <w:t>履约检查和问题反馈</w:t>
      </w:r>
    </w:p>
    <w:p w14:paraId="3033CD18">
      <w:pPr>
        <w:spacing w:line="560" w:lineRule="exact"/>
        <w:ind w:firstLine="480" w:firstLineChars="200"/>
        <w:rPr>
          <w:rFonts w:ascii="宋体" w:hAnsi="宋体"/>
          <w:sz w:val="24"/>
          <w:highlight w:val="none"/>
        </w:rPr>
      </w:pPr>
      <w:r>
        <w:rPr>
          <w:rFonts w:ascii="宋体" w:hAnsi="宋体"/>
          <w:sz w:val="24"/>
          <w:highlight w:val="none"/>
        </w:rPr>
        <w:t>2.4.1甲方</w:t>
      </w:r>
      <w:r>
        <w:rPr>
          <w:rFonts w:hint="eastAsia" w:ascii="宋体" w:hAnsi="宋体"/>
          <w:sz w:val="24"/>
          <w:highlight w:val="none"/>
        </w:rPr>
        <w:t>有权</w:t>
      </w:r>
      <w:r>
        <w:rPr>
          <w:rFonts w:ascii="宋体" w:hAnsi="宋体"/>
          <w:sz w:val="24"/>
          <w:highlight w:val="none"/>
        </w:rPr>
        <w:t>在其认为必要时</w:t>
      </w:r>
      <w:r>
        <w:rPr>
          <w:rFonts w:hint="eastAsia" w:ascii="宋体" w:hAnsi="宋体"/>
          <w:sz w:val="24"/>
          <w:highlight w:val="none"/>
        </w:rPr>
        <w:t>，对乙方是否能够按照合同约定提供服务进行履约检查，以确保乙方所提供的服务能够依约满足甲方之项目需求，但不得因履约检查妨碍乙方的正常工作，乙方应予积极配合；</w:t>
      </w:r>
    </w:p>
    <w:p w14:paraId="0C2A079B">
      <w:pPr>
        <w:spacing w:line="560" w:lineRule="exact"/>
        <w:ind w:firstLine="480" w:firstLineChars="200"/>
        <w:rPr>
          <w:rFonts w:ascii="宋体" w:hAnsi="宋体"/>
          <w:sz w:val="24"/>
          <w:highlight w:val="none"/>
        </w:rPr>
      </w:pPr>
      <w:r>
        <w:rPr>
          <w:rFonts w:ascii="宋体" w:hAnsi="宋体"/>
          <w:sz w:val="24"/>
          <w:highlight w:val="none"/>
        </w:rPr>
        <w:t xml:space="preserve">2.4.2 </w:t>
      </w:r>
      <w:r>
        <w:rPr>
          <w:rFonts w:hint="eastAsia" w:ascii="宋体" w:hAnsi="宋体"/>
          <w:sz w:val="24"/>
          <w:highlight w:val="none"/>
        </w:rPr>
        <w:t>合同履行期间，甲方有权将履行过程中出现的问题反馈给乙方，双方当事人应以书面形式约定需要完善和改进的内容。</w:t>
      </w:r>
    </w:p>
    <w:p w14:paraId="3971885C">
      <w:pPr>
        <w:spacing w:line="560" w:lineRule="exact"/>
        <w:ind w:firstLine="482" w:firstLineChars="200"/>
        <w:outlineLvl w:val="0"/>
        <w:rPr>
          <w:rFonts w:ascii="宋体" w:hAnsi="宋体"/>
          <w:b/>
          <w:sz w:val="24"/>
          <w:highlight w:val="none"/>
        </w:rPr>
      </w:pPr>
      <w:bookmarkStart w:id="474" w:name="_Toc26555"/>
      <w:bookmarkStart w:id="475" w:name="_Toc32670"/>
      <w:bookmarkStart w:id="476" w:name="_Toc22011"/>
      <w:bookmarkStart w:id="477" w:name="_Toc31233"/>
      <w:bookmarkStart w:id="478" w:name="_Toc15447"/>
      <w:r>
        <w:rPr>
          <w:rFonts w:ascii="宋体" w:hAnsi="宋体"/>
          <w:b/>
          <w:sz w:val="24"/>
          <w:highlight w:val="none"/>
        </w:rPr>
        <w:t>2.5 结算方式和付款条件</w:t>
      </w:r>
      <w:bookmarkEnd w:id="474"/>
      <w:bookmarkEnd w:id="475"/>
      <w:bookmarkEnd w:id="476"/>
      <w:bookmarkEnd w:id="477"/>
      <w:bookmarkEnd w:id="478"/>
    </w:p>
    <w:p w14:paraId="3EE9A8FC">
      <w:pPr>
        <w:spacing w:line="560" w:lineRule="exact"/>
        <w:ind w:firstLine="480" w:firstLineChars="200"/>
        <w:rPr>
          <w:rFonts w:ascii="宋体" w:hAnsi="宋体"/>
          <w:sz w:val="24"/>
          <w:highlight w:val="none"/>
        </w:rPr>
      </w:pP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14:paraId="73E3698A">
      <w:pPr>
        <w:spacing w:line="560" w:lineRule="exact"/>
        <w:ind w:firstLine="482" w:firstLineChars="200"/>
        <w:outlineLvl w:val="0"/>
        <w:rPr>
          <w:rFonts w:ascii="宋体" w:hAnsi="宋体"/>
          <w:b/>
          <w:sz w:val="24"/>
          <w:highlight w:val="none"/>
        </w:rPr>
      </w:pPr>
      <w:bookmarkStart w:id="479" w:name="_Toc13467"/>
      <w:bookmarkStart w:id="480" w:name="_Toc16163"/>
      <w:bookmarkStart w:id="481" w:name="_Toc18990"/>
      <w:bookmarkStart w:id="482" w:name="_Toc13154"/>
      <w:bookmarkStart w:id="483" w:name="_Toc30507"/>
      <w:r>
        <w:rPr>
          <w:rFonts w:ascii="宋体" w:hAnsi="宋体"/>
          <w:b/>
          <w:sz w:val="24"/>
          <w:highlight w:val="none"/>
        </w:rPr>
        <w:t>2.6 技术资料和保密义务</w:t>
      </w:r>
      <w:bookmarkEnd w:id="479"/>
      <w:bookmarkEnd w:id="480"/>
      <w:bookmarkEnd w:id="481"/>
      <w:bookmarkEnd w:id="482"/>
      <w:bookmarkEnd w:id="483"/>
    </w:p>
    <w:p w14:paraId="5419D328">
      <w:pPr>
        <w:spacing w:line="560" w:lineRule="exact"/>
        <w:ind w:firstLine="480" w:firstLineChars="200"/>
        <w:rPr>
          <w:rFonts w:ascii="宋体" w:hAnsi="宋体"/>
          <w:sz w:val="24"/>
          <w:highlight w:val="none"/>
        </w:rPr>
      </w:pPr>
      <w:r>
        <w:rPr>
          <w:rFonts w:ascii="宋体" w:hAnsi="宋体"/>
          <w:sz w:val="24"/>
          <w:highlight w:val="none"/>
        </w:rPr>
        <w:t>2.6.1 乙方有权依据合同约定和项目需要，向甲方了解有关情况，调阅有关资料等，甲方应予积极配合；</w:t>
      </w:r>
    </w:p>
    <w:p w14:paraId="4BA122B8">
      <w:pPr>
        <w:spacing w:line="560" w:lineRule="exact"/>
        <w:ind w:firstLine="480" w:firstLineChars="200"/>
        <w:rPr>
          <w:rFonts w:ascii="宋体" w:hAnsi="宋体"/>
          <w:sz w:val="24"/>
          <w:highlight w:val="none"/>
        </w:rPr>
      </w:pPr>
      <w:r>
        <w:rPr>
          <w:rFonts w:ascii="宋体" w:hAnsi="宋体"/>
          <w:sz w:val="24"/>
          <w:highlight w:val="none"/>
        </w:rPr>
        <w:t xml:space="preserve">2.6.2 </w:t>
      </w:r>
      <w:r>
        <w:rPr>
          <w:rFonts w:hint="eastAsia" w:ascii="宋体" w:hAnsi="宋体"/>
          <w:sz w:val="24"/>
          <w:highlight w:val="none"/>
        </w:rPr>
        <w:t>乙方有义务妥善保管和保护由甲方提供的前款信息和资料等；</w:t>
      </w:r>
    </w:p>
    <w:p w14:paraId="6318B5C5">
      <w:pPr>
        <w:spacing w:line="560" w:lineRule="exact"/>
        <w:ind w:firstLine="480" w:firstLineChars="200"/>
        <w:rPr>
          <w:rFonts w:ascii="宋体" w:hAnsi="宋体"/>
          <w:sz w:val="24"/>
          <w:highlight w:val="none"/>
        </w:rPr>
      </w:pPr>
      <w:r>
        <w:rPr>
          <w:rFonts w:ascii="宋体" w:hAnsi="宋体"/>
          <w:sz w:val="24"/>
          <w:highlight w:val="none"/>
        </w:rPr>
        <w:t xml:space="preserve">2.6.3 </w:t>
      </w:r>
      <w:r>
        <w:rPr>
          <w:rFonts w:hint="eastAsia" w:ascii="宋体" w:hAnsi="宋体"/>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highlight w:val="none"/>
        </w:rPr>
        <w:t>技术情报</w:t>
      </w:r>
      <w:r>
        <w:rPr>
          <w:rFonts w:hint="eastAsia" w:ascii="宋体" w:hAnsi="宋体"/>
          <w:sz w:val="24"/>
          <w:highlight w:val="none"/>
        </w:rPr>
        <w:t>、</w:t>
      </w:r>
      <w:r>
        <w:rPr>
          <w:rFonts w:ascii="宋体" w:hAnsi="宋体"/>
          <w:sz w:val="24"/>
          <w:highlight w:val="none"/>
        </w:rPr>
        <w:t>技术资料</w:t>
      </w:r>
      <w:r>
        <w:rPr>
          <w:rFonts w:hint="eastAsia" w:ascii="宋体" w:hAnsi="宋体"/>
          <w:sz w:val="24"/>
          <w:highlight w:val="none"/>
        </w:rPr>
        <w:t>、商业秘密和商业信息等，并采取一切合理和必要措施和方式防止任何第三方接触到对方当事人的上述保密信息和资料。</w:t>
      </w:r>
    </w:p>
    <w:p w14:paraId="7D6DEC8B">
      <w:pPr>
        <w:spacing w:line="560" w:lineRule="exact"/>
        <w:ind w:firstLine="482" w:firstLineChars="200"/>
        <w:outlineLvl w:val="0"/>
        <w:rPr>
          <w:rFonts w:ascii="宋体" w:hAnsi="宋体"/>
          <w:b/>
          <w:sz w:val="24"/>
          <w:highlight w:val="none"/>
        </w:rPr>
      </w:pPr>
      <w:bookmarkStart w:id="484" w:name="_Toc19069"/>
      <w:r>
        <w:rPr>
          <w:rFonts w:ascii="宋体" w:hAnsi="宋体"/>
          <w:b/>
          <w:sz w:val="24"/>
          <w:highlight w:val="none"/>
        </w:rPr>
        <w:t xml:space="preserve">2.7 </w:t>
      </w:r>
      <w:r>
        <w:rPr>
          <w:rFonts w:hint="eastAsia" w:ascii="宋体" w:hAnsi="宋体"/>
          <w:b/>
          <w:sz w:val="24"/>
          <w:highlight w:val="none"/>
        </w:rPr>
        <w:t>质量保证</w:t>
      </w:r>
      <w:bookmarkEnd w:id="484"/>
    </w:p>
    <w:p w14:paraId="2355A8B1">
      <w:pPr>
        <w:spacing w:line="560" w:lineRule="exact"/>
        <w:ind w:firstLine="480" w:firstLineChars="200"/>
        <w:rPr>
          <w:rFonts w:ascii="宋体" w:hAnsi="宋体"/>
          <w:sz w:val="24"/>
          <w:highlight w:val="none"/>
        </w:rPr>
      </w:pPr>
      <w:r>
        <w:rPr>
          <w:rFonts w:ascii="宋体" w:hAnsi="宋体"/>
          <w:sz w:val="24"/>
          <w:highlight w:val="none"/>
        </w:rPr>
        <w:t xml:space="preserve">2.7.1 </w:t>
      </w:r>
      <w:r>
        <w:rPr>
          <w:rFonts w:hint="eastAsia" w:ascii="宋体" w:hAnsi="宋体"/>
          <w:sz w:val="24"/>
          <w:highlight w:val="none"/>
        </w:rPr>
        <w:t>乙方应建立和完善履行合同的内部质量保证体系，并提供相关内部规章制度给甲方，以便甲方进行监督检查；</w:t>
      </w:r>
    </w:p>
    <w:p w14:paraId="268926E5">
      <w:pPr>
        <w:spacing w:line="560" w:lineRule="exact"/>
        <w:ind w:firstLine="480" w:firstLineChars="200"/>
        <w:rPr>
          <w:rFonts w:ascii="宋体" w:hAnsi="宋体"/>
          <w:sz w:val="24"/>
          <w:highlight w:val="none"/>
        </w:rPr>
      </w:pPr>
      <w:r>
        <w:rPr>
          <w:rFonts w:ascii="宋体" w:hAnsi="宋体"/>
          <w:sz w:val="24"/>
          <w:highlight w:val="none"/>
        </w:rPr>
        <w:t xml:space="preserve">2.7.2 </w:t>
      </w:r>
      <w:r>
        <w:rPr>
          <w:rFonts w:hint="eastAsia" w:ascii="宋体" w:hAnsi="宋体"/>
          <w:sz w:val="24"/>
          <w:highlight w:val="none"/>
        </w:rPr>
        <w:t>乙方应保证履行合同的人员数量和素质、软件和硬件设备的配置、场地、环境和设施等满足全面履行合同的要求，并应接受甲方的监督检查。</w:t>
      </w:r>
    </w:p>
    <w:p w14:paraId="1BF17D48">
      <w:pPr>
        <w:spacing w:line="560" w:lineRule="exact"/>
        <w:ind w:firstLine="482" w:firstLineChars="200"/>
        <w:outlineLvl w:val="0"/>
        <w:rPr>
          <w:rFonts w:ascii="宋体" w:hAnsi="宋体"/>
          <w:b/>
          <w:sz w:val="24"/>
          <w:highlight w:val="none"/>
        </w:rPr>
      </w:pPr>
      <w:bookmarkStart w:id="485" w:name="_Toc22267"/>
      <w:r>
        <w:rPr>
          <w:rFonts w:ascii="宋体" w:hAnsi="宋体"/>
          <w:b/>
          <w:sz w:val="24"/>
          <w:highlight w:val="none"/>
        </w:rPr>
        <w:t xml:space="preserve">2.8 </w:t>
      </w:r>
      <w:r>
        <w:rPr>
          <w:rFonts w:hint="eastAsia" w:ascii="宋体" w:hAnsi="宋体"/>
          <w:b/>
          <w:sz w:val="24"/>
          <w:highlight w:val="none"/>
        </w:rPr>
        <w:t>延迟履行</w:t>
      </w:r>
      <w:bookmarkEnd w:id="485"/>
    </w:p>
    <w:p w14:paraId="526127C1">
      <w:pPr>
        <w:spacing w:line="560" w:lineRule="exact"/>
        <w:ind w:firstLine="480" w:firstLineChars="200"/>
        <w:rPr>
          <w:rFonts w:ascii="宋体" w:hAnsi="宋体"/>
          <w:sz w:val="24"/>
          <w:highlight w:val="none"/>
        </w:rPr>
      </w:pPr>
      <w:r>
        <w:rPr>
          <w:rFonts w:hint="eastAsia" w:ascii="宋体" w:hAnsi="宋体"/>
          <w:sz w:val="24"/>
          <w:highlight w:val="none"/>
        </w:rPr>
        <w:t>甲乙双方签订合同后，乙方应按照合同约定履行合同义务，除不可抗力外，乙方不得延迟履行。</w:t>
      </w:r>
      <w:r>
        <w:rPr>
          <w:rFonts w:ascii="宋体" w:hAnsi="宋体"/>
          <w:sz w:val="24"/>
          <w:highlight w:val="none"/>
        </w:rPr>
        <w:t>在合同履行过程中，如果</w:t>
      </w:r>
      <w:r>
        <w:rPr>
          <w:rFonts w:hint="eastAsia" w:ascii="宋体" w:hAnsi="宋体"/>
          <w:sz w:val="24"/>
          <w:highlight w:val="none"/>
        </w:rPr>
        <w:t>因不可抗力，</w:t>
      </w:r>
      <w:r>
        <w:rPr>
          <w:rFonts w:ascii="宋体" w:hAnsi="宋体"/>
          <w:sz w:val="24"/>
          <w:highlight w:val="none"/>
        </w:rPr>
        <w:t>乙方遇到不能按时</w:t>
      </w:r>
      <w:r>
        <w:rPr>
          <w:rFonts w:hint="eastAsia" w:ascii="宋体" w:hAnsi="宋体"/>
          <w:sz w:val="24"/>
          <w:highlight w:val="none"/>
        </w:rPr>
        <w:t>提供服务</w:t>
      </w:r>
      <w:r>
        <w:rPr>
          <w:rFonts w:ascii="宋体" w:hAnsi="宋体"/>
          <w:sz w:val="24"/>
          <w:highlight w:val="none"/>
        </w:rPr>
        <w:t>的情况，应及时以书面形式将不能按时</w:t>
      </w:r>
      <w:r>
        <w:rPr>
          <w:rFonts w:hint="eastAsia" w:ascii="宋体" w:hAnsi="宋体"/>
          <w:sz w:val="24"/>
          <w:highlight w:val="none"/>
        </w:rPr>
        <w:t>提供服务</w:t>
      </w:r>
      <w:r>
        <w:rPr>
          <w:rFonts w:ascii="宋体" w:hAnsi="宋体"/>
          <w:sz w:val="24"/>
          <w:highlight w:val="none"/>
        </w:rPr>
        <w:t>的理由、预期延误时间通知甲方</w:t>
      </w:r>
      <w:r>
        <w:rPr>
          <w:rFonts w:hint="eastAsia" w:ascii="宋体" w:hAnsi="宋体"/>
          <w:sz w:val="24"/>
          <w:highlight w:val="none"/>
        </w:rPr>
        <w:t>；甲</w:t>
      </w:r>
      <w:r>
        <w:rPr>
          <w:rFonts w:ascii="宋体" w:hAnsi="宋体"/>
          <w:sz w:val="24"/>
          <w:highlight w:val="none"/>
        </w:rPr>
        <w:t>方收到乙方通知后，认为其理由正当的，可以书面形式酌情同意乙方可以延长</w:t>
      </w:r>
      <w:r>
        <w:rPr>
          <w:rFonts w:hint="eastAsia" w:ascii="宋体" w:hAnsi="宋体"/>
          <w:sz w:val="24"/>
          <w:highlight w:val="none"/>
        </w:rPr>
        <w:t>履行</w:t>
      </w:r>
      <w:r>
        <w:rPr>
          <w:rFonts w:ascii="宋体" w:hAnsi="宋体"/>
          <w:sz w:val="24"/>
          <w:highlight w:val="none"/>
        </w:rPr>
        <w:t>的具体时间。</w:t>
      </w:r>
    </w:p>
    <w:p w14:paraId="175C4AEB">
      <w:pPr>
        <w:spacing w:line="560" w:lineRule="exact"/>
        <w:ind w:firstLine="482" w:firstLineChars="200"/>
        <w:outlineLvl w:val="0"/>
        <w:rPr>
          <w:rFonts w:ascii="宋体" w:hAnsi="宋体"/>
          <w:b/>
          <w:sz w:val="24"/>
          <w:highlight w:val="none"/>
        </w:rPr>
      </w:pPr>
      <w:bookmarkStart w:id="486" w:name="_Toc10611"/>
      <w:r>
        <w:rPr>
          <w:rFonts w:ascii="宋体" w:hAnsi="宋体"/>
          <w:b/>
          <w:sz w:val="24"/>
          <w:highlight w:val="none"/>
        </w:rPr>
        <w:t xml:space="preserve">2.9 </w:t>
      </w:r>
      <w:r>
        <w:rPr>
          <w:rFonts w:hint="eastAsia" w:ascii="宋体" w:hAnsi="宋体"/>
          <w:b/>
          <w:sz w:val="24"/>
          <w:highlight w:val="none"/>
        </w:rPr>
        <w:t>合同变更</w:t>
      </w:r>
      <w:bookmarkEnd w:id="486"/>
    </w:p>
    <w:p w14:paraId="5BD9909A">
      <w:pPr>
        <w:spacing w:line="560" w:lineRule="exact"/>
        <w:ind w:firstLine="480" w:firstLineChars="200"/>
        <w:rPr>
          <w:rFonts w:ascii="宋体" w:hAnsi="宋体"/>
          <w:sz w:val="24"/>
          <w:highlight w:val="none"/>
        </w:rPr>
      </w:pPr>
      <w:r>
        <w:rPr>
          <w:rFonts w:hint="eastAsia" w:ascii="宋体" w:hAnsi="宋体"/>
          <w:sz w:val="24"/>
          <w:highlight w:val="none"/>
        </w:rPr>
        <w:t>合同继续履行将损害国家利益和社会公共利益的，双方当事人应当以书面形式变更合同。有过错的一方应当承担赔偿责任，双方当事人都有过错的，各自承担相应的责任。</w:t>
      </w:r>
    </w:p>
    <w:p w14:paraId="7351559B">
      <w:pPr>
        <w:spacing w:line="560" w:lineRule="exact"/>
        <w:ind w:firstLine="482" w:firstLineChars="200"/>
        <w:outlineLvl w:val="0"/>
        <w:rPr>
          <w:rFonts w:ascii="宋体" w:hAnsi="宋体"/>
          <w:b/>
          <w:sz w:val="24"/>
          <w:highlight w:val="none"/>
        </w:rPr>
      </w:pPr>
      <w:bookmarkStart w:id="487" w:name="_Toc21830"/>
      <w:bookmarkStart w:id="488" w:name="_Toc10663"/>
      <w:bookmarkStart w:id="489" w:name="_Toc42"/>
      <w:bookmarkStart w:id="490" w:name="_Toc23368"/>
      <w:bookmarkStart w:id="491" w:name="_Toc26689"/>
      <w:r>
        <w:rPr>
          <w:rFonts w:ascii="宋体" w:hAnsi="宋体"/>
          <w:b/>
          <w:sz w:val="24"/>
          <w:highlight w:val="none"/>
        </w:rPr>
        <w:t>2.10 合同转让和分包</w:t>
      </w:r>
      <w:bookmarkEnd w:id="487"/>
      <w:bookmarkEnd w:id="488"/>
      <w:bookmarkEnd w:id="489"/>
      <w:bookmarkEnd w:id="490"/>
      <w:bookmarkEnd w:id="491"/>
    </w:p>
    <w:p w14:paraId="35E1A72D">
      <w:pPr>
        <w:spacing w:line="560" w:lineRule="exact"/>
        <w:ind w:firstLine="480" w:firstLineChars="200"/>
        <w:rPr>
          <w:rFonts w:ascii="宋体" w:hAnsi="宋体"/>
          <w:sz w:val="24"/>
          <w:highlight w:val="none"/>
        </w:rPr>
      </w:pPr>
      <w:r>
        <w:rPr>
          <w:rFonts w:ascii="宋体" w:hAnsi="宋体"/>
          <w:sz w:val="24"/>
          <w:highlight w:val="none"/>
        </w:rPr>
        <w:t>合同的权利义务依法不</w:t>
      </w:r>
      <w:r>
        <w:rPr>
          <w:rFonts w:hint="eastAsia" w:ascii="宋体" w:hAnsi="宋体"/>
          <w:sz w:val="24"/>
          <w:highlight w:val="none"/>
        </w:rPr>
        <w:t>得</w:t>
      </w:r>
      <w:r>
        <w:rPr>
          <w:rFonts w:ascii="宋体" w:hAnsi="宋体"/>
          <w:sz w:val="24"/>
          <w:highlight w:val="none"/>
        </w:rPr>
        <w:t>转让</w:t>
      </w:r>
      <w:r>
        <w:rPr>
          <w:rFonts w:hint="eastAsia" w:ascii="宋体" w:hAnsi="宋体"/>
          <w:sz w:val="24"/>
          <w:highlight w:val="none"/>
        </w:rPr>
        <w:t>，</w:t>
      </w:r>
      <w:r>
        <w:rPr>
          <w:rFonts w:ascii="宋体" w:hAnsi="宋体"/>
          <w:sz w:val="24"/>
          <w:highlight w:val="none"/>
        </w:rPr>
        <w:t>但经甲方</w:t>
      </w:r>
      <w:r>
        <w:rPr>
          <w:rFonts w:hint="eastAsia" w:ascii="宋体" w:hAnsi="宋体"/>
          <w:sz w:val="24"/>
          <w:highlight w:val="none"/>
        </w:rPr>
        <w:t>书面同意，乙方可以依法采取分包方式履行合同，即：依法可以</w:t>
      </w:r>
      <w:r>
        <w:rPr>
          <w:rFonts w:ascii="宋体" w:hAnsi="宋体"/>
          <w:sz w:val="24"/>
          <w:highlight w:val="none"/>
        </w:rPr>
        <w:t>将合同项下的部分非主体、非关键性工作分包给他人完成</w:t>
      </w:r>
      <w:r>
        <w:rPr>
          <w:rFonts w:hint="eastAsia" w:ascii="宋体" w:hAnsi="宋体"/>
          <w:sz w:val="24"/>
          <w:highlight w:val="none"/>
        </w:rPr>
        <w:t>，分包内容：</w:t>
      </w:r>
      <w:r>
        <w:rPr>
          <w:rFonts w:hint="eastAsia" w:ascii="宋体" w:hAnsi="宋体" w:cs="宋体"/>
          <w:b/>
          <w:sz w:val="24"/>
          <w:highlight w:val="none"/>
          <w:u w:val="single"/>
        </w:rPr>
        <w:t>安全加固及应用迁移改造服务、城市货运导航数据运营服务，</w:t>
      </w:r>
      <w:r>
        <w:rPr>
          <w:rFonts w:ascii="宋体" w:hAnsi="宋体"/>
          <w:sz w:val="24"/>
          <w:highlight w:val="none"/>
        </w:rPr>
        <w:t>接受分包的人应当具备相应的资格条件，并不得再次分包</w:t>
      </w:r>
      <w:r>
        <w:rPr>
          <w:rFonts w:hint="eastAsia" w:ascii="宋体" w:hAnsi="宋体"/>
          <w:sz w:val="24"/>
          <w:highlight w:val="none"/>
        </w:rPr>
        <w:t>，</w:t>
      </w:r>
      <w:r>
        <w:rPr>
          <w:rFonts w:ascii="宋体" w:hAnsi="宋体"/>
          <w:sz w:val="24"/>
          <w:highlight w:val="none"/>
        </w:rPr>
        <w:t>且乙方应就分包项目向甲方负责</w:t>
      </w:r>
      <w:r>
        <w:rPr>
          <w:rFonts w:hint="eastAsia" w:ascii="宋体" w:hAnsi="宋体"/>
          <w:sz w:val="24"/>
          <w:highlight w:val="none"/>
        </w:rPr>
        <w:t>，</w:t>
      </w:r>
      <w:r>
        <w:rPr>
          <w:rFonts w:ascii="宋体" w:hAnsi="宋体"/>
          <w:sz w:val="24"/>
          <w:highlight w:val="none"/>
        </w:rPr>
        <w:t>并</w:t>
      </w:r>
      <w:r>
        <w:rPr>
          <w:rFonts w:hint="eastAsia" w:ascii="宋体" w:hAnsi="宋体"/>
          <w:sz w:val="24"/>
          <w:highlight w:val="none"/>
        </w:rPr>
        <w:t>与分包供应商就分包项目向甲方承担连带责任。</w:t>
      </w:r>
    </w:p>
    <w:p w14:paraId="55D342C5">
      <w:pPr>
        <w:spacing w:line="560" w:lineRule="exact"/>
        <w:ind w:firstLine="482" w:firstLineChars="200"/>
        <w:outlineLvl w:val="0"/>
        <w:rPr>
          <w:rFonts w:ascii="宋体" w:hAnsi="宋体"/>
          <w:b/>
          <w:sz w:val="24"/>
          <w:highlight w:val="none"/>
        </w:rPr>
      </w:pPr>
      <w:bookmarkStart w:id="492" w:name="_Toc14371"/>
      <w:bookmarkStart w:id="493" w:name="_Toc32494"/>
      <w:bookmarkStart w:id="494" w:name="_Toc4720"/>
      <w:bookmarkStart w:id="495" w:name="_Toc25571"/>
      <w:bookmarkStart w:id="496" w:name="_Toc26633"/>
      <w:r>
        <w:rPr>
          <w:rFonts w:ascii="宋体" w:hAnsi="宋体"/>
          <w:b/>
          <w:sz w:val="24"/>
          <w:highlight w:val="none"/>
        </w:rPr>
        <w:t>2.11 不可抗力</w:t>
      </w:r>
      <w:bookmarkEnd w:id="492"/>
      <w:bookmarkEnd w:id="493"/>
      <w:bookmarkEnd w:id="494"/>
      <w:bookmarkEnd w:id="495"/>
      <w:bookmarkEnd w:id="496"/>
    </w:p>
    <w:p w14:paraId="6F03F315">
      <w:pPr>
        <w:spacing w:line="560" w:lineRule="exact"/>
        <w:ind w:firstLine="480" w:firstLineChars="200"/>
        <w:rPr>
          <w:rFonts w:ascii="宋体" w:hAnsi="宋体"/>
          <w:sz w:val="24"/>
          <w:highlight w:val="none"/>
        </w:rPr>
      </w:pPr>
      <w:r>
        <w:rPr>
          <w:rFonts w:ascii="宋体" w:hAnsi="宋体"/>
          <w:sz w:val="24"/>
          <w:highlight w:val="none"/>
        </w:rPr>
        <w:t>2.11.1如果任何一方遭遇法律规定的不可抗力，致使合同履行受阻时，履行合同的期限应予延长，延长的期限应相当于不可抗力所影响的时间</w:t>
      </w:r>
      <w:r>
        <w:rPr>
          <w:rFonts w:hint="eastAsia" w:ascii="宋体" w:hAnsi="宋体"/>
          <w:sz w:val="24"/>
          <w:highlight w:val="none"/>
        </w:rPr>
        <w:t>；</w:t>
      </w:r>
    </w:p>
    <w:p w14:paraId="3B436871">
      <w:pPr>
        <w:spacing w:line="560" w:lineRule="exact"/>
        <w:ind w:firstLine="480" w:firstLineChars="200"/>
        <w:rPr>
          <w:rFonts w:ascii="宋体" w:hAnsi="宋体"/>
          <w:sz w:val="24"/>
          <w:highlight w:val="none"/>
        </w:rPr>
      </w:pPr>
      <w:r>
        <w:rPr>
          <w:rFonts w:ascii="宋体" w:hAnsi="宋体"/>
          <w:sz w:val="24"/>
          <w:highlight w:val="none"/>
        </w:rPr>
        <w:t xml:space="preserve">2.11.2 </w:t>
      </w:r>
      <w:r>
        <w:rPr>
          <w:rFonts w:hint="eastAsia" w:ascii="宋体" w:hAnsi="宋体"/>
          <w:sz w:val="24"/>
          <w:highlight w:val="none"/>
        </w:rPr>
        <w:t>因不可抗力致使不能实现合同目的的，当事人可以解除合同；</w:t>
      </w:r>
    </w:p>
    <w:p w14:paraId="068954D8">
      <w:pPr>
        <w:spacing w:line="560" w:lineRule="exact"/>
        <w:ind w:firstLine="480" w:firstLineChars="200"/>
        <w:rPr>
          <w:rFonts w:ascii="宋体" w:hAnsi="宋体"/>
          <w:sz w:val="24"/>
          <w:highlight w:val="none"/>
        </w:rPr>
      </w:pPr>
      <w:r>
        <w:rPr>
          <w:rFonts w:ascii="宋体" w:hAnsi="宋体"/>
          <w:sz w:val="24"/>
          <w:highlight w:val="none"/>
        </w:rPr>
        <w:t xml:space="preserve">2.11.3 </w:t>
      </w:r>
      <w:r>
        <w:rPr>
          <w:rFonts w:hint="eastAsia" w:ascii="宋体" w:hAnsi="宋体"/>
          <w:sz w:val="24"/>
          <w:highlight w:val="none"/>
        </w:rPr>
        <w:t>因</w:t>
      </w:r>
      <w:r>
        <w:rPr>
          <w:rFonts w:ascii="宋体" w:hAnsi="宋体"/>
          <w:sz w:val="24"/>
          <w:highlight w:val="none"/>
        </w:rPr>
        <w:t>不可抗力致使合同有变更必要的，双方当事人应在</w:t>
      </w:r>
      <w:r>
        <w:rPr>
          <w:rFonts w:ascii="宋体" w:hAnsi="宋体"/>
          <w:b/>
          <w:i/>
          <w:sz w:val="24"/>
          <w:highlight w:val="none"/>
          <w:u w:val="single"/>
        </w:rPr>
        <w:t>合同专用条款</w:t>
      </w:r>
      <w:r>
        <w:rPr>
          <w:rFonts w:ascii="宋体" w:hAnsi="宋体"/>
          <w:sz w:val="24"/>
          <w:highlight w:val="none"/>
        </w:rPr>
        <w:t>约定时间内以书面形式变更合同</w:t>
      </w:r>
      <w:r>
        <w:rPr>
          <w:rFonts w:hint="eastAsia" w:ascii="宋体" w:hAnsi="宋体"/>
          <w:sz w:val="24"/>
          <w:highlight w:val="none"/>
        </w:rPr>
        <w:t>；</w:t>
      </w:r>
    </w:p>
    <w:p w14:paraId="573AFF14">
      <w:pPr>
        <w:spacing w:line="560" w:lineRule="exact"/>
        <w:ind w:firstLine="480" w:firstLineChars="200"/>
        <w:rPr>
          <w:rFonts w:ascii="宋体" w:hAnsi="宋体"/>
          <w:sz w:val="24"/>
          <w:highlight w:val="none"/>
        </w:rPr>
      </w:pPr>
      <w:r>
        <w:rPr>
          <w:rFonts w:ascii="宋体" w:hAnsi="宋体"/>
          <w:sz w:val="24"/>
          <w:highlight w:val="none"/>
        </w:rPr>
        <w:t>2.11.4受</w:t>
      </w:r>
      <w:r>
        <w:rPr>
          <w:rFonts w:hint="eastAsia" w:ascii="宋体" w:hAnsi="宋体"/>
          <w:sz w:val="24"/>
          <w:highlight w:val="none"/>
        </w:rPr>
        <w:t>不可抗力</w:t>
      </w:r>
      <w:r>
        <w:rPr>
          <w:rFonts w:ascii="宋体" w:hAnsi="宋体"/>
          <w:sz w:val="24"/>
          <w:highlight w:val="none"/>
        </w:rPr>
        <w:t>影响的一方在不可抗力发生后</w:t>
      </w:r>
      <w:r>
        <w:rPr>
          <w:rFonts w:hint="eastAsia" w:ascii="宋体" w:hAnsi="宋体"/>
          <w:sz w:val="24"/>
          <w:highlight w:val="none"/>
        </w:rPr>
        <w:t>，</w:t>
      </w:r>
      <w:r>
        <w:rPr>
          <w:rFonts w:ascii="宋体" w:hAnsi="宋体"/>
          <w:sz w:val="24"/>
          <w:highlight w:val="none"/>
        </w:rPr>
        <w:t>应在</w:t>
      </w:r>
      <w:r>
        <w:rPr>
          <w:rFonts w:ascii="宋体" w:hAnsi="宋体"/>
          <w:b/>
          <w:i/>
          <w:sz w:val="24"/>
          <w:highlight w:val="none"/>
          <w:u w:val="single"/>
        </w:rPr>
        <w:t>合同专用条款</w:t>
      </w:r>
      <w:r>
        <w:rPr>
          <w:rFonts w:ascii="宋体" w:hAnsi="宋体"/>
          <w:sz w:val="24"/>
          <w:highlight w:val="none"/>
        </w:rPr>
        <w:t>约定时间内以书面形式通知</w:t>
      </w:r>
      <w:r>
        <w:rPr>
          <w:rFonts w:hint="eastAsia" w:ascii="宋体" w:hAnsi="宋体"/>
          <w:sz w:val="24"/>
          <w:highlight w:val="none"/>
        </w:rPr>
        <w:t>对</w:t>
      </w:r>
      <w:r>
        <w:rPr>
          <w:rFonts w:ascii="宋体" w:hAnsi="宋体"/>
          <w:sz w:val="24"/>
          <w:highlight w:val="none"/>
        </w:rPr>
        <w:t>方当事人，并在</w:t>
      </w:r>
      <w:r>
        <w:rPr>
          <w:rFonts w:ascii="宋体" w:hAnsi="宋体"/>
          <w:b/>
          <w:i/>
          <w:sz w:val="24"/>
          <w:highlight w:val="none"/>
          <w:u w:val="single"/>
        </w:rPr>
        <w:t>合同专用条款</w:t>
      </w:r>
      <w:r>
        <w:rPr>
          <w:rFonts w:ascii="宋体" w:hAnsi="宋体"/>
          <w:sz w:val="24"/>
          <w:highlight w:val="none"/>
        </w:rPr>
        <w:t>约定时间内，将有关部门出具的证明文件送达</w:t>
      </w:r>
      <w:r>
        <w:rPr>
          <w:rFonts w:hint="eastAsia" w:ascii="宋体" w:hAnsi="宋体"/>
          <w:sz w:val="24"/>
          <w:highlight w:val="none"/>
        </w:rPr>
        <w:t>对方当事人</w:t>
      </w:r>
      <w:r>
        <w:rPr>
          <w:rFonts w:ascii="宋体" w:hAnsi="宋体"/>
          <w:sz w:val="24"/>
          <w:highlight w:val="none"/>
        </w:rPr>
        <w:t>。</w:t>
      </w:r>
    </w:p>
    <w:p w14:paraId="55045FC3">
      <w:pPr>
        <w:spacing w:line="560" w:lineRule="exact"/>
        <w:ind w:firstLine="482" w:firstLineChars="200"/>
        <w:outlineLvl w:val="0"/>
        <w:rPr>
          <w:rFonts w:ascii="宋体" w:hAnsi="宋体"/>
          <w:b/>
          <w:sz w:val="24"/>
          <w:highlight w:val="none"/>
        </w:rPr>
      </w:pPr>
      <w:bookmarkStart w:id="497" w:name="_Toc25783"/>
      <w:bookmarkStart w:id="498" w:name="_Toc3638"/>
      <w:bookmarkStart w:id="499" w:name="_Toc23854"/>
      <w:bookmarkStart w:id="500" w:name="_Toc14115"/>
      <w:bookmarkStart w:id="501" w:name="_Toc24465"/>
      <w:r>
        <w:rPr>
          <w:rFonts w:ascii="宋体" w:hAnsi="宋体"/>
          <w:b/>
          <w:sz w:val="24"/>
          <w:highlight w:val="none"/>
        </w:rPr>
        <w:t>2.12 税费</w:t>
      </w:r>
      <w:bookmarkEnd w:id="497"/>
      <w:bookmarkEnd w:id="498"/>
      <w:bookmarkEnd w:id="499"/>
      <w:bookmarkEnd w:id="500"/>
      <w:bookmarkEnd w:id="501"/>
    </w:p>
    <w:p w14:paraId="681C039A">
      <w:pPr>
        <w:spacing w:line="560" w:lineRule="exact"/>
        <w:ind w:firstLine="480" w:firstLineChars="200"/>
        <w:rPr>
          <w:rFonts w:ascii="宋体" w:hAnsi="宋体"/>
          <w:sz w:val="24"/>
          <w:highlight w:val="none"/>
        </w:rPr>
      </w:pPr>
      <w:r>
        <w:rPr>
          <w:rFonts w:ascii="宋体" w:hAnsi="宋体"/>
          <w:sz w:val="24"/>
          <w:highlight w:val="none"/>
        </w:rPr>
        <w:t>与合同有关的一切税费</w:t>
      </w:r>
      <w:r>
        <w:rPr>
          <w:rFonts w:hint="eastAsia" w:ascii="宋体" w:hAnsi="宋体"/>
          <w:sz w:val="24"/>
          <w:highlight w:val="none"/>
        </w:rPr>
        <w:t>，</w:t>
      </w:r>
      <w:r>
        <w:rPr>
          <w:rFonts w:ascii="宋体" w:hAnsi="宋体"/>
          <w:sz w:val="24"/>
          <w:highlight w:val="none"/>
        </w:rPr>
        <w:t>均按照中华人民共和国法律的相关规定缴纳。</w:t>
      </w:r>
    </w:p>
    <w:p w14:paraId="495AEBBE">
      <w:pPr>
        <w:spacing w:line="560" w:lineRule="exact"/>
        <w:ind w:firstLine="482" w:firstLineChars="200"/>
        <w:outlineLvl w:val="0"/>
        <w:rPr>
          <w:rFonts w:ascii="宋体" w:hAnsi="宋体"/>
          <w:b/>
          <w:sz w:val="24"/>
          <w:highlight w:val="none"/>
        </w:rPr>
      </w:pPr>
      <w:bookmarkStart w:id="502" w:name="_Toc25525"/>
      <w:bookmarkStart w:id="503" w:name="_Toc14814"/>
      <w:bookmarkStart w:id="504" w:name="_Toc30105"/>
      <w:bookmarkStart w:id="505" w:name="_Toc7315"/>
      <w:bookmarkStart w:id="506" w:name="_Toc26883"/>
      <w:r>
        <w:rPr>
          <w:rFonts w:ascii="宋体" w:hAnsi="宋体"/>
          <w:b/>
          <w:sz w:val="24"/>
          <w:highlight w:val="none"/>
        </w:rPr>
        <w:t>2.13 乙方破产</w:t>
      </w:r>
      <w:bookmarkEnd w:id="502"/>
      <w:bookmarkEnd w:id="503"/>
      <w:bookmarkEnd w:id="504"/>
      <w:bookmarkEnd w:id="505"/>
      <w:bookmarkEnd w:id="506"/>
    </w:p>
    <w:p w14:paraId="4C6ADC0E">
      <w:pPr>
        <w:spacing w:line="560" w:lineRule="exact"/>
        <w:ind w:firstLine="480" w:firstLineChars="200"/>
        <w:rPr>
          <w:rFonts w:ascii="宋体" w:hAnsi="宋体"/>
          <w:sz w:val="24"/>
          <w:highlight w:val="none"/>
        </w:rPr>
      </w:pPr>
      <w:r>
        <w:rPr>
          <w:rFonts w:ascii="宋体" w:hAnsi="宋体"/>
          <w:sz w:val="24"/>
          <w:highlight w:val="none"/>
        </w:rPr>
        <w:t>如果乙方破产导致合同无法履行时，甲方可以书面形式通知乙方终止合同且不给予乙方任何补偿和赔偿</w:t>
      </w:r>
      <w:r>
        <w:rPr>
          <w:rFonts w:hint="eastAsia" w:ascii="宋体" w:hAnsi="宋体"/>
          <w:sz w:val="24"/>
          <w:highlight w:val="none"/>
        </w:rPr>
        <w:t>，但合同的</w:t>
      </w:r>
      <w:r>
        <w:rPr>
          <w:rFonts w:ascii="宋体" w:hAnsi="宋体"/>
          <w:sz w:val="24"/>
          <w:highlight w:val="none"/>
        </w:rPr>
        <w:t>终止不损害或不影响甲方已经采取或将要采取的任何要求乙方支付违约金</w:t>
      </w:r>
      <w:r>
        <w:rPr>
          <w:rFonts w:hint="eastAsia" w:ascii="宋体" w:hAnsi="宋体"/>
          <w:sz w:val="24"/>
          <w:highlight w:val="none"/>
        </w:rPr>
        <w:t>、</w:t>
      </w:r>
      <w:r>
        <w:rPr>
          <w:rFonts w:ascii="宋体" w:hAnsi="宋体"/>
          <w:sz w:val="24"/>
          <w:highlight w:val="none"/>
        </w:rPr>
        <w:t>赔偿损失等的行动或补救措施的权利</w:t>
      </w:r>
      <w:r>
        <w:rPr>
          <w:rFonts w:hint="eastAsia" w:ascii="宋体" w:hAnsi="宋体"/>
          <w:sz w:val="24"/>
          <w:highlight w:val="none"/>
        </w:rPr>
        <w:t>。</w:t>
      </w:r>
    </w:p>
    <w:p w14:paraId="48F81B4A">
      <w:pPr>
        <w:spacing w:line="560" w:lineRule="exact"/>
        <w:ind w:firstLine="482" w:firstLineChars="200"/>
        <w:outlineLvl w:val="0"/>
        <w:rPr>
          <w:rFonts w:ascii="宋体" w:hAnsi="宋体"/>
          <w:b/>
          <w:sz w:val="24"/>
          <w:highlight w:val="none"/>
        </w:rPr>
      </w:pPr>
      <w:bookmarkStart w:id="507" w:name="_Toc2016"/>
      <w:bookmarkStart w:id="508" w:name="_Toc1123"/>
      <w:bookmarkStart w:id="509" w:name="_Toc23323"/>
      <w:r>
        <w:rPr>
          <w:rFonts w:ascii="宋体" w:hAnsi="宋体"/>
          <w:b/>
          <w:sz w:val="24"/>
          <w:highlight w:val="none"/>
        </w:rPr>
        <w:t>2.14 合同中止、终止</w:t>
      </w:r>
      <w:bookmarkEnd w:id="507"/>
      <w:bookmarkEnd w:id="508"/>
      <w:bookmarkEnd w:id="509"/>
    </w:p>
    <w:p w14:paraId="31705041">
      <w:pPr>
        <w:spacing w:line="560" w:lineRule="exact"/>
        <w:ind w:firstLine="480" w:firstLineChars="200"/>
        <w:rPr>
          <w:rFonts w:ascii="宋体" w:hAnsi="宋体"/>
          <w:sz w:val="24"/>
          <w:highlight w:val="none"/>
        </w:rPr>
      </w:pPr>
      <w:r>
        <w:rPr>
          <w:rFonts w:ascii="宋体" w:hAnsi="宋体"/>
          <w:sz w:val="24"/>
          <w:highlight w:val="none"/>
        </w:rPr>
        <w:t xml:space="preserve">2.14.1 </w:t>
      </w:r>
      <w:r>
        <w:rPr>
          <w:rFonts w:hint="eastAsia" w:ascii="宋体" w:hAnsi="宋体"/>
          <w:sz w:val="24"/>
          <w:highlight w:val="none"/>
        </w:rPr>
        <w:t>双方当事人不得擅自中止或者终止合同；</w:t>
      </w:r>
    </w:p>
    <w:p w14:paraId="79FBFEB2">
      <w:pPr>
        <w:spacing w:line="560" w:lineRule="exact"/>
        <w:ind w:firstLine="480" w:firstLineChars="200"/>
        <w:rPr>
          <w:rFonts w:ascii="宋体" w:hAnsi="宋体"/>
          <w:sz w:val="24"/>
          <w:highlight w:val="none"/>
        </w:rPr>
      </w:pPr>
      <w:r>
        <w:rPr>
          <w:rFonts w:ascii="宋体" w:hAnsi="宋体"/>
          <w:sz w:val="24"/>
          <w:highlight w:val="none"/>
        </w:rPr>
        <w:t>2.14.2合同继续履行将损害国家利益和社会公共利益的，双方当事人应当中止或者终止合同。有过错的一方应当承担赔偿责任，双方当事人都有过错的，各自承担相应的责任。</w:t>
      </w:r>
    </w:p>
    <w:p w14:paraId="7D5055BD">
      <w:pPr>
        <w:spacing w:line="560" w:lineRule="exact"/>
        <w:ind w:firstLine="482" w:firstLineChars="200"/>
        <w:outlineLvl w:val="0"/>
        <w:rPr>
          <w:rFonts w:ascii="宋体" w:hAnsi="宋体"/>
          <w:b/>
          <w:sz w:val="24"/>
          <w:highlight w:val="none"/>
        </w:rPr>
      </w:pPr>
      <w:bookmarkStart w:id="510" w:name="_Toc1969"/>
      <w:bookmarkStart w:id="511" w:name="_Toc14525"/>
      <w:bookmarkStart w:id="512" w:name="_Toc17363"/>
      <w:r>
        <w:rPr>
          <w:rFonts w:ascii="宋体" w:hAnsi="宋体"/>
          <w:b/>
          <w:sz w:val="24"/>
          <w:highlight w:val="none"/>
        </w:rPr>
        <w:t>2.15 检验和验收</w:t>
      </w:r>
      <w:bookmarkEnd w:id="510"/>
      <w:bookmarkEnd w:id="511"/>
      <w:bookmarkEnd w:id="512"/>
    </w:p>
    <w:p w14:paraId="4684CBE7">
      <w:pPr>
        <w:tabs>
          <w:tab w:val="left" w:pos="360"/>
          <w:tab w:val="left" w:pos="540"/>
          <w:tab w:val="left" w:pos="1080"/>
        </w:tabs>
        <w:spacing w:line="560" w:lineRule="exact"/>
        <w:ind w:firstLine="480" w:firstLineChars="200"/>
        <w:rPr>
          <w:rFonts w:ascii="宋体" w:hAnsi="宋体"/>
          <w:sz w:val="24"/>
          <w:highlight w:val="none"/>
        </w:rPr>
      </w:pPr>
      <w:r>
        <w:rPr>
          <w:rFonts w:ascii="宋体" w:hAnsi="宋体"/>
          <w:sz w:val="24"/>
          <w:highlight w:val="none"/>
        </w:rPr>
        <w:t xml:space="preserve">2.15.1 </w:t>
      </w:r>
      <w:r>
        <w:rPr>
          <w:rFonts w:hint="eastAsia" w:ascii="宋体" w:hAnsi="宋体"/>
          <w:sz w:val="24"/>
          <w:highlight w:val="none"/>
        </w:rPr>
        <w:t>乙方按照</w:t>
      </w:r>
      <w:r>
        <w:rPr>
          <w:rFonts w:ascii="宋体" w:hAnsi="宋体"/>
          <w:b/>
          <w:i/>
          <w:sz w:val="24"/>
          <w:highlight w:val="none"/>
          <w:u w:val="single"/>
        </w:rPr>
        <w:t>合同专用条款</w:t>
      </w:r>
      <w:r>
        <w:rPr>
          <w:rFonts w:ascii="宋体" w:hAnsi="宋体"/>
          <w:sz w:val="24"/>
          <w:highlight w:val="none"/>
        </w:rPr>
        <w:t>的约定</w:t>
      </w:r>
      <w:r>
        <w:rPr>
          <w:rFonts w:hint="eastAsia" w:ascii="宋体" w:hAnsi="宋体"/>
          <w:sz w:val="24"/>
          <w:highlight w:val="none"/>
        </w:rPr>
        <w:t>，</w:t>
      </w:r>
      <w:r>
        <w:rPr>
          <w:rFonts w:ascii="宋体" w:hAnsi="宋体"/>
          <w:sz w:val="24"/>
          <w:highlight w:val="none"/>
        </w:rPr>
        <w:t>定期提交服务报告</w:t>
      </w:r>
      <w:r>
        <w:rPr>
          <w:rFonts w:hint="eastAsia" w:ascii="宋体" w:hAnsi="宋体"/>
          <w:sz w:val="24"/>
          <w:highlight w:val="none"/>
        </w:rPr>
        <w:t>，甲方按照</w:t>
      </w:r>
      <w:r>
        <w:rPr>
          <w:rFonts w:ascii="宋体" w:hAnsi="宋体"/>
          <w:b/>
          <w:i/>
          <w:sz w:val="24"/>
          <w:highlight w:val="none"/>
          <w:u w:val="single"/>
        </w:rPr>
        <w:t>合同专用条款</w:t>
      </w:r>
      <w:r>
        <w:rPr>
          <w:rFonts w:ascii="宋体" w:hAnsi="宋体"/>
          <w:sz w:val="24"/>
          <w:highlight w:val="none"/>
        </w:rPr>
        <w:t>的约定进行定期验收</w:t>
      </w:r>
      <w:r>
        <w:rPr>
          <w:rFonts w:hint="eastAsia" w:ascii="宋体" w:hAnsi="宋体"/>
          <w:sz w:val="24"/>
          <w:highlight w:val="none"/>
        </w:rPr>
        <w:t>；</w:t>
      </w:r>
    </w:p>
    <w:p w14:paraId="1FE6D42D">
      <w:pPr>
        <w:tabs>
          <w:tab w:val="left" w:pos="360"/>
          <w:tab w:val="left" w:pos="540"/>
          <w:tab w:val="left" w:pos="1080"/>
        </w:tabs>
        <w:spacing w:line="560" w:lineRule="exact"/>
        <w:ind w:firstLine="480" w:firstLineChars="200"/>
        <w:rPr>
          <w:rFonts w:ascii="宋体" w:hAnsi="宋体"/>
          <w:sz w:val="24"/>
          <w:highlight w:val="none"/>
        </w:rPr>
      </w:pPr>
      <w:r>
        <w:rPr>
          <w:rFonts w:ascii="宋体" w:hAnsi="宋体"/>
          <w:sz w:val="24"/>
          <w:highlight w:val="none"/>
        </w:rPr>
        <w:t xml:space="preserve">2.15.2 </w:t>
      </w:r>
      <w:r>
        <w:rPr>
          <w:rFonts w:hint="eastAsia" w:ascii="宋体" w:hAnsi="宋体"/>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A703EE1">
      <w:pPr>
        <w:tabs>
          <w:tab w:val="left" w:pos="360"/>
          <w:tab w:val="left" w:pos="540"/>
          <w:tab w:val="left" w:pos="1080"/>
        </w:tabs>
        <w:spacing w:line="560" w:lineRule="exact"/>
        <w:ind w:firstLine="480" w:firstLineChars="200"/>
        <w:rPr>
          <w:rFonts w:ascii="宋体" w:hAnsi="宋体"/>
          <w:sz w:val="24"/>
          <w:highlight w:val="none"/>
        </w:rPr>
      </w:pPr>
      <w:r>
        <w:rPr>
          <w:rFonts w:ascii="宋体" w:hAnsi="宋体"/>
          <w:sz w:val="24"/>
          <w:highlight w:val="none"/>
        </w:rPr>
        <w:t xml:space="preserve">2.15.3 </w:t>
      </w:r>
      <w:r>
        <w:rPr>
          <w:rFonts w:hint="eastAsia" w:ascii="宋体" w:hAnsi="宋体"/>
          <w:sz w:val="24"/>
          <w:highlight w:val="none"/>
        </w:rPr>
        <w:t>检验和验收标准、程序等具体内容以及前述验收书的效力详见</w:t>
      </w:r>
      <w:r>
        <w:rPr>
          <w:rFonts w:ascii="宋体" w:hAnsi="宋体"/>
          <w:b/>
          <w:i/>
          <w:sz w:val="24"/>
          <w:highlight w:val="none"/>
          <w:u w:val="single"/>
        </w:rPr>
        <w:t>合同专用条款</w:t>
      </w:r>
      <w:r>
        <w:rPr>
          <w:rFonts w:hint="eastAsia" w:ascii="宋体" w:hAnsi="宋体"/>
          <w:i/>
          <w:sz w:val="24"/>
          <w:highlight w:val="none"/>
        </w:rPr>
        <w:t>。</w:t>
      </w:r>
    </w:p>
    <w:p w14:paraId="303D07FD">
      <w:pPr>
        <w:spacing w:line="560" w:lineRule="exact"/>
        <w:ind w:firstLine="482" w:firstLineChars="200"/>
        <w:outlineLvl w:val="0"/>
        <w:rPr>
          <w:rFonts w:ascii="宋体" w:hAnsi="宋体"/>
          <w:b/>
          <w:sz w:val="24"/>
          <w:highlight w:val="none"/>
        </w:rPr>
      </w:pPr>
      <w:bookmarkStart w:id="513" w:name="_Toc31892"/>
      <w:bookmarkStart w:id="514" w:name="_Toc2308"/>
      <w:bookmarkStart w:id="515" w:name="_Toc12666"/>
      <w:bookmarkStart w:id="516" w:name="_Toc25198"/>
      <w:bookmarkStart w:id="517" w:name="_Toc9808"/>
      <w:r>
        <w:rPr>
          <w:rFonts w:ascii="宋体" w:hAnsi="宋体"/>
          <w:b/>
          <w:sz w:val="24"/>
          <w:highlight w:val="none"/>
        </w:rPr>
        <w:t>2.16 通知和送达</w:t>
      </w:r>
      <w:bookmarkEnd w:id="513"/>
      <w:bookmarkEnd w:id="514"/>
      <w:bookmarkEnd w:id="515"/>
      <w:bookmarkEnd w:id="516"/>
      <w:bookmarkEnd w:id="517"/>
    </w:p>
    <w:p w14:paraId="7E36CCE5">
      <w:pPr>
        <w:spacing w:line="560" w:lineRule="exact"/>
        <w:ind w:firstLine="480" w:firstLineChars="200"/>
        <w:rPr>
          <w:rFonts w:ascii="宋体" w:hAnsi="宋体"/>
          <w:sz w:val="24"/>
          <w:highlight w:val="none"/>
        </w:rPr>
      </w:pPr>
      <w:bookmarkStart w:id="518" w:name="_Toc27674"/>
      <w:bookmarkStart w:id="519" w:name="_Toc18401"/>
      <w:r>
        <w:rPr>
          <w:rFonts w:ascii="宋体" w:hAnsi="宋体"/>
          <w:sz w:val="24"/>
          <w:highlight w:val="none"/>
        </w:rPr>
        <w:t>2.17.1</w:t>
      </w:r>
      <w:r>
        <w:rPr>
          <w:rFonts w:hint="eastAsia" w:ascii="宋体" w:hAnsi="宋体"/>
          <w:sz w:val="24"/>
          <w:highlight w:val="none"/>
        </w:rPr>
        <w:t>任何一方因履行合同而以合同第一部分尾部所列明的传真或电子邮件发出的所有通知、文件、材料，均视为已向对方当事人送达；任何一方变更上述送达方式或者地址的，应于</w:t>
      </w:r>
      <w:r>
        <w:rPr>
          <w:rFonts w:ascii="宋体" w:hAnsi="宋体"/>
          <w:sz w:val="24"/>
          <w:highlight w:val="none"/>
          <w:u w:val="single"/>
        </w:rPr>
        <w:t>3</w:t>
      </w:r>
      <w:r>
        <w:rPr>
          <w:rFonts w:hint="eastAsia" w:ascii="宋体" w:hAnsi="宋体"/>
          <w:sz w:val="24"/>
          <w:highlight w:val="none"/>
        </w:rPr>
        <w:t>个工作日内书面通知对方当事人，在对方当事人收到有关变更通知之前，变更前的约定送达方式或者地址仍视为有效。</w:t>
      </w:r>
    </w:p>
    <w:p w14:paraId="2946CF00">
      <w:pPr>
        <w:spacing w:line="560" w:lineRule="exact"/>
        <w:ind w:firstLine="480" w:firstLineChars="200"/>
        <w:rPr>
          <w:rFonts w:ascii="宋体" w:hAnsi="宋体"/>
          <w:sz w:val="24"/>
          <w:highlight w:val="none"/>
        </w:rPr>
      </w:pPr>
      <w:r>
        <w:rPr>
          <w:rFonts w:ascii="宋体" w:hAnsi="宋体"/>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highlight w:val="none"/>
        </w:rPr>
        <w:t>的，邮件挂号寄出或者交邮之日之次日视为送达。</w:t>
      </w:r>
      <w:bookmarkEnd w:id="518"/>
      <w:bookmarkEnd w:id="519"/>
    </w:p>
    <w:p w14:paraId="0B246B54">
      <w:pPr>
        <w:spacing w:line="560" w:lineRule="exact"/>
        <w:ind w:firstLine="482" w:firstLineChars="200"/>
        <w:outlineLvl w:val="0"/>
        <w:rPr>
          <w:rFonts w:ascii="宋体" w:hAnsi="宋体"/>
          <w:b/>
          <w:sz w:val="24"/>
          <w:highlight w:val="none"/>
        </w:rPr>
      </w:pPr>
      <w:bookmarkStart w:id="520" w:name="_Toc28906"/>
      <w:bookmarkStart w:id="521" w:name="_Toc20808"/>
      <w:bookmarkStart w:id="522" w:name="_Toc5063"/>
      <w:bookmarkStart w:id="523" w:name="_Toc12254"/>
      <w:bookmarkStart w:id="524" w:name="_Toc27644"/>
      <w:r>
        <w:rPr>
          <w:rFonts w:ascii="宋体" w:hAnsi="宋体"/>
          <w:b/>
          <w:sz w:val="24"/>
          <w:highlight w:val="none"/>
        </w:rPr>
        <w:t xml:space="preserve">2.17 </w:t>
      </w:r>
      <w:r>
        <w:rPr>
          <w:rFonts w:hint="eastAsia" w:ascii="宋体" w:hAnsi="宋体"/>
          <w:b/>
          <w:sz w:val="24"/>
          <w:highlight w:val="none"/>
        </w:rPr>
        <w:t>合同使用的文字和</w:t>
      </w:r>
      <w:r>
        <w:rPr>
          <w:rFonts w:ascii="宋体" w:hAnsi="宋体"/>
          <w:b/>
          <w:sz w:val="24"/>
          <w:highlight w:val="none"/>
        </w:rPr>
        <w:t>适用的法律</w:t>
      </w:r>
      <w:bookmarkEnd w:id="520"/>
      <w:bookmarkEnd w:id="521"/>
      <w:bookmarkEnd w:id="522"/>
      <w:bookmarkEnd w:id="523"/>
      <w:bookmarkEnd w:id="524"/>
    </w:p>
    <w:p w14:paraId="0FFA5E00">
      <w:pPr>
        <w:spacing w:line="560" w:lineRule="exact"/>
        <w:ind w:firstLine="480" w:firstLineChars="200"/>
        <w:rPr>
          <w:rFonts w:ascii="宋体" w:hAnsi="宋体"/>
          <w:sz w:val="24"/>
          <w:highlight w:val="none"/>
        </w:rPr>
      </w:pPr>
      <w:r>
        <w:rPr>
          <w:rFonts w:ascii="宋体" w:hAnsi="宋体"/>
          <w:sz w:val="24"/>
          <w:highlight w:val="none"/>
        </w:rPr>
        <w:t>2.17.1 合同使用汉语书就</w:t>
      </w:r>
      <w:r>
        <w:rPr>
          <w:rFonts w:hint="eastAsia" w:ascii="宋体" w:hAnsi="宋体"/>
          <w:sz w:val="24"/>
          <w:highlight w:val="none"/>
        </w:rPr>
        <w:t>、</w:t>
      </w:r>
      <w:r>
        <w:rPr>
          <w:rFonts w:ascii="宋体" w:hAnsi="宋体"/>
          <w:sz w:val="24"/>
          <w:highlight w:val="none"/>
        </w:rPr>
        <w:t>变更和解释</w:t>
      </w:r>
      <w:r>
        <w:rPr>
          <w:rFonts w:hint="eastAsia" w:ascii="宋体" w:hAnsi="宋体"/>
          <w:sz w:val="24"/>
          <w:highlight w:val="none"/>
        </w:rPr>
        <w:t>；</w:t>
      </w:r>
    </w:p>
    <w:p w14:paraId="5794BDC5">
      <w:pPr>
        <w:spacing w:line="560" w:lineRule="exact"/>
        <w:ind w:firstLine="480" w:firstLineChars="200"/>
        <w:rPr>
          <w:rFonts w:ascii="宋体" w:hAnsi="宋体"/>
          <w:sz w:val="24"/>
          <w:highlight w:val="none"/>
        </w:rPr>
      </w:pPr>
      <w:r>
        <w:rPr>
          <w:rFonts w:ascii="宋体" w:hAnsi="宋体"/>
          <w:sz w:val="24"/>
          <w:highlight w:val="none"/>
        </w:rPr>
        <w:t xml:space="preserve">2.17.2 </w:t>
      </w:r>
      <w:r>
        <w:rPr>
          <w:rFonts w:hint="eastAsia" w:ascii="宋体" w:hAnsi="宋体"/>
          <w:sz w:val="24"/>
          <w:highlight w:val="none"/>
        </w:rPr>
        <w:t>合同适用</w:t>
      </w:r>
      <w:r>
        <w:rPr>
          <w:rFonts w:ascii="宋体" w:hAnsi="宋体"/>
          <w:sz w:val="24"/>
          <w:highlight w:val="none"/>
        </w:rPr>
        <w:t>中华人民共和国法律。</w:t>
      </w:r>
    </w:p>
    <w:p w14:paraId="19914500">
      <w:pPr>
        <w:spacing w:line="560" w:lineRule="exact"/>
        <w:ind w:firstLine="482" w:firstLineChars="200"/>
        <w:outlineLvl w:val="0"/>
        <w:rPr>
          <w:rFonts w:ascii="宋体" w:hAnsi="宋体" w:cs="宋体"/>
          <w:b/>
          <w:sz w:val="24"/>
          <w:highlight w:val="none"/>
        </w:rPr>
      </w:pPr>
      <w:bookmarkStart w:id="525" w:name="_Toc18540"/>
      <w:bookmarkStart w:id="526" w:name="_Toc30599"/>
      <w:bookmarkStart w:id="527" w:name="_Toc4355"/>
      <w:r>
        <w:rPr>
          <w:rFonts w:hint="eastAsia" w:ascii="宋体" w:hAnsi="宋体" w:cs="宋体"/>
          <w:b/>
          <w:sz w:val="24"/>
          <w:highlight w:val="none"/>
        </w:rPr>
        <w:t>2.18 计量单位</w:t>
      </w:r>
      <w:bookmarkEnd w:id="525"/>
      <w:bookmarkEnd w:id="526"/>
      <w:bookmarkEnd w:id="527"/>
    </w:p>
    <w:p w14:paraId="535E0F7B">
      <w:pPr>
        <w:spacing w:line="560" w:lineRule="exact"/>
        <w:ind w:firstLine="480" w:firstLineChars="200"/>
        <w:rPr>
          <w:rFonts w:ascii="宋体" w:hAnsi="宋体" w:cs="宋体"/>
          <w:sz w:val="24"/>
          <w:highlight w:val="none"/>
        </w:rPr>
      </w:pPr>
      <w:r>
        <w:rPr>
          <w:rFonts w:hint="eastAsia" w:ascii="宋体" w:hAnsi="宋体" w:cs="宋体"/>
          <w:sz w:val="24"/>
          <w:highlight w:val="none"/>
        </w:rPr>
        <w:t>除技术规范中另有规定外,合同的计量单位均使用国家法定计量单位。</w:t>
      </w:r>
    </w:p>
    <w:p w14:paraId="2FD80870">
      <w:pPr>
        <w:spacing w:line="560" w:lineRule="exact"/>
        <w:ind w:firstLine="482" w:firstLineChars="200"/>
        <w:rPr>
          <w:rFonts w:ascii="宋体" w:hAnsi="宋体"/>
          <w:b/>
          <w:sz w:val="24"/>
          <w:highlight w:val="none"/>
        </w:rPr>
      </w:pPr>
      <w:r>
        <w:rPr>
          <w:rFonts w:ascii="宋体" w:hAnsi="宋体"/>
          <w:b/>
          <w:sz w:val="24"/>
          <w:highlight w:val="none"/>
        </w:rPr>
        <w:t>2.</w:t>
      </w:r>
      <w:r>
        <w:rPr>
          <w:rFonts w:hint="eastAsia" w:ascii="宋体" w:hAnsi="宋体"/>
          <w:b/>
          <w:sz w:val="24"/>
          <w:highlight w:val="none"/>
        </w:rPr>
        <w:t>19</w:t>
      </w:r>
      <w:r>
        <w:rPr>
          <w:rFonts w:ascii="宋体" w:hAnsi="宋体"/>
          <w:b/>
          <w:sz w:val="24"/>
          <w:highlight w:val="none"/>
        </w:rPr>
        <w:t>合同份数</w:t>
      </w:r>
    </w:p>
    <w:p w14:paraId="0CC119E6">
      <w:pPr>
        <w:spacing w:line="560" w:lineRule="exact"/>
        <w:ind w:firstLine="480" w:firstLineChars="200"/>
        <w:rPr>
          <w:rFonts w:ascii="宋体" w:hAnsi="宋体"/>
          <w:sz w:val="24"/>
          <w:highlight w:val="none"/>
        </w:rPr>
      </w:pPr>
      <w:r>
        <w:rPr>
          <w:rFonts w:ascii="宋体" w:hAnsi="宋体"/>
          <w:sz w:val="24"/>
          <w:highlight w:val="none"/>
        </w:rPr>
        <w:t>合同份数按</w:t>
      </w:r>
      <w:r>
        <w:rPr>
          <w:rFonts w:ascii="宋体" w:hAnsi="宋体"/>
          <w:b/>
          <w:i/>
          <w:sz w:val="24"/>
          <w:highlight w:val="none"/>
          <w:u w:val="single"/>
        </w:rPr>
        <w:t>合同专用条款</w:t>
      </w:r>
      <w:r>
        <w:rPr>
          <w:rFonts w:ascii="宋体" w:hAnsi="宋体"/>
          <w:sz w:val="24"/>
          <w:highlight w:val="none"/>
        </w:rPr>
        <w:t>规定</w:t>
      </w:r>
      <w:r>
        <w:rPr>
          <w:rFonts w:hint="eastAsia" w:ascii="宋体" w:hAnsi="宋体"/>
          <w:sz w:val="24"/>
          <w:highlight w:val="none"/>
        </w:rPr>
        <w:t>，</w:t>
      </w:r>
      <w:r>
        <w:rPr>
          <w:rFonts w:ascii="宋体" w:hAnsi="宋体"/>
          <w:sz w:val="24"/>
          <w:highlight w:val="none"/>
        </w:rPr>
        <w:t>每份均具有同等法律效力</w:t>
      </w:r>
      <w:r>
        <w:rPr>
          <w:rFonts w:hint="eastAsia" w:ascii="宋体" w:hAnsi="宋体"/>
          <w:sz w:val="24"/>
          <w:highlight w:val="none"/>
        </w:rPr>
        <w:t>。</w:t>
      </w:r>
    </w:p>
    <w:p w14:paraId="6CCD062F">
      <w:pPr>
        <w:spacing w:line="360" w:lineRule="auto"/>
        <w:jc w:val="center"/>
        <w:outlineLvl w:val="0"/>
        <w:rPr>
          <w:rFonts w:ascii="宋体" w:hAnsi="宋体" w:cs="宋体"/>
          <w:b/>
          <w:sz w:val="24"/>
          <w:highlight w:val="none"/>
        </w:rPr>
      </w:pPr>
      <w:r>
        <w:rPr>
          <w:rFonts w:hint="eastAsia" w:ascii="宋体" w:hAnsi="宋体" w:cs="宋体"/>
          <w:kern w:val="0"/>
          <w:highlight w:val="none"/>
        </w:rPr>
        <w:br w:type="page"/>
      </w:r>
      <w:bookmarkStart w:id="528" w:name="_Toc331685784"/>
      <w:bookmarkEnd w:id="528"/>
      <w:r>
        <w:rPr>
          <w:rFonts w:hint="eastAsia" w:ascii="宋体" w:hAnsi="宋体" w:cs="宋体"/>
          <w:b/>
          <w:sz w:val="24"/>
          <w:highlight w:val="none"/>
        </w:rPr>
        <w:t>第三部分  合同专用条款</w:t>
      </w:r>
    </w:p>
    <w:p w14:paraId="5AE2CD3C">
      <w:pPr>
        <w:spacing w:line="560" w:lineRule="exact"/>
        <w:ind w:left="-420" w:leftChars="-200" w:right="-420" w:rightChars="-200" w:firstLine="480" w:firstLineChars="200"/>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6"/>
        <w:gridCol w:w="8150"/>
      </w:tblGrid>
      <w:tr w14:paraId="2E230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6" w:type="dxa"/>
            <w:tcBorders>
              <w:left w:val="single" w:color="auto" w:sz="4" w:space="0"/>
            </w:tcBorders>
            <w:vAlign w:val="center"/>
          </w:tcPr>
          <w:p w14:paraId="6D9101F6">
            <w:pPr>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8150" w:type="dxa"/>
            <w:vAlign w:val="center"/>
          </w:tcPr>
          <w:p w14:paraId="5EA18D41">
            <w:pPr>
              <w:spacing w:line="360" w:lineRule="auto"/>
              <w:jc w:val="center"/>
              <w:rPr>
                <w:rFonts w:ascii="宋体" w:hAnsi="宋体" w:cs="宋体"/>
                <w:b/>
                <w:sz w:val="24"/>
                <w:highlight w:val="none"/>
              </w:rPr>
            </w:pPr>
            <w:r>
              <w:rPr>
                <w:rFonts w:hint="eastAsia" w:ascii="宋体" w:hAnsi="宋体" w:cs="宋体"/>
                <w:b/>
                <w:sz w:val="24"/>
                <w:highlight w:val="none"/>
              </w:rPr>
              <w:t>约定内容</w:t>
            </w:r>
          </w:p>
        </w:tc>
      </w:tr>
      <w:tr w14:paraId="730B4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25D0C148">
            <w:pPr>
              <w:spacing w:line="360" w:lineRule="auto"/>
              <w:rPr>
                <w:rFonts w:ascii="宋体" w:hAnsi="宋体" w:cs="宋体"/>
                <w:sz w:val="24"/>
                <w:highlight w:val="none"/>
              </w:rPr>
            </w:pPr>
            <w:r>
              <w:rPr>
                <w:rFonts w:hint="eastAsia" w:ascii="宋体" w:hAnsi="宋体" w:cs="宋体"/>
                <w:sz w:val="24"/>
                <w:highlight w:val="none"/>
              </w:rPr>
              <w:t>1.3.2</w:t>
            </w:r>
          </w:p>
        </w:tc>
        <w:tc>
          <w:tcPr>
            <w:tcW w:w="8150" w:type="dxa"/>
            <w:vAlign w:val="center"/>
          </w:tcPr>
          <w:p w14:paraId="5EA20B44">
            <w:pPr>
              <w:spacing w:line="360" w:lineRule="auto"/>
              <w:rPr>
                <w:rFonts w:ascii="宋体" w:hAnsi="宋体" w:cs="宋体"/>
                <w:sz w:val="24"/>
                <w:highlight w:val="none"/>
              </w:rPr>
            </w:pPr>
            <w:r>
              <w:rPr>
                <w:rFonts w:hint="eastAsia" w:ascii="宋体" w:hAnsi="宋体"/>
                <w:bCs/>
                <w:sz w:val="24"/>
                <w:highlight w:val="none"/>
              </w:rPr>
              <w:t>单价合同，本合同单价（含税）标准为：</w:t>
            </w:r>
            <w:r>
              <w:rPr>
                <w:rFonts w:hint="eastAsia" w:ascii="宋体" w:hAnsi="宋体"/>
                <w:bCs/>
                <w:sz w:val="24"/>
                <w:highlight w:val="none"/>
                <w:u w:val="single"/>
              </w:rPr>
              <w:t xml:space="preserve"> 合同价格清单：详见附件二  </w:t>
            </w:r>
            <w:r>
              <w:rPr>
                <w:rFonts w:ascii="宋体" w:hAnsi="宋体"/>
                <w:sz w:val="24"/>
                <w:highlight w:val="none"/>
              </w:rPr>
              <w:t>。</w:t>
            </w:r>
            <w:r>
              <w:rPr>
                <w:rFonts w:hint="eastAsia" w:ascii="宋体" w:hAnsi="宋体"/>
                <w:sz w:val="24"/>
                <w:highlight w:val="none"/>
              </w:rPr>
              <w:t>服务工作量的计量方式为：</w:t>
            </w:r>
            <w:r>
              <w:rPr>
                <w:rFonts w:hint="eastAsia" w:ascii="宋体" w:hAnsi="宋体" w:cs="宋体"/>
                <w:sz w:val="24"/>
                <w:highlight w:val="none"/>
                <w:u w:val="single"/>
              </w:rPr>
              <w:t>根据合同单价、服务内容、服务天数结算合同价款</w:t>
            </w:r>
            <w:r>
              <w:rPr>
                <w:rFonts w:ascii="宋体" w:hAnsi="宋体"/>
                <w:sz w:val="24"/>
                <w:highlight w:val="none"/>
              </w:rPr>
              <w:t>。</w:t>
            </w:r>
            <w:r>
              <w:rPr>
                <w:rFonts w:hint="eastAsia" w:ascii="宋体" w:hAnsi="宋体"/>
                <w:sz w:val="24"/>
                <w:highlight w:val="none"/>
              </w:rPr>
              <w:t>单价合同，在合同履行期间内，根据实际完成的工作量据实结算，但结算总价上限不得超过合同总价￥</w:t>
            </w:r>
            <w:r>
              <w:rPr>
                <w:rFonts w:ascii="宋体" w:hAnsi="宋体"/>
                <w:sz w:val="24"/>
                <w:highlight w:val="none"/>
              </w:rPr>
              <w:t>元</w:t>
            </w:r>
            <w:r>
              <w:rPr>
                <w:rFonts w:hint="eastAsia" w:ascii="宋体" w:hAnsi="宋体"/>
                <w:sz w:val="24"/>
                <w:highlight w:val="none"/>
              </w:rPr>
              <w:t>（大写：元人民币）</w:t>
            </w:r>
          </w:p>
        </w:tc>
      </w:tr>
      <w:tr w14:paraId="61522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3CBDCD48">
            <w:pPr>
              <w:spacing w:line="360" w:lineRule="auto"/>
              <w:rPr>
                <w:rFonts w:ascii="宋体" w:hAnsi="宋体" w:cs="宋体"/>
                <w:sz w:val="24"/>
                <w:highlight w:val="none"/>
              </w:rPr>
            </w:pPr>
            <w:r>
              <w:rPr>
                <w:rFonts w:hint="eastAsia" w:ascii="宋体" w:hAnsi="宋体" w:cs="宋体"/>
                <w:sz w:val="24"/>
                <w:highlight w:val="none"/>
              </w:rPr>
              <w:t>1.4.2</w:t>
            </w:r>
          </w:p>
        </w:tc>
        <w:tc>
          <w:tcPr>
            <w:tcW w:w="8150" w:type="dxa"/>
            <w:vAlign w:val="center"/>
          </w:tcPr>
          <w:p w14:paraId="2033FC45">
            <w:pPr>
              <w:snapToGrid w:val="0"/>
              <w:spacing w:line="360" w:lineRule="auto"/>
              <w:rPr>
                <w:rFonts w:ascii="仿宋" w:hAnsi="仿宋" w:eastAsia="仿宋" w:cs="仿宋"/>
                <w:bCs/>
                <w:szCs w:val="21"/>
                <w:highlight w:val="none"/>
              </w:rPr>
            </w:pPr>
            <w:r>
              <w:rPr>
                <w:rFonts w:hint="eastAsia" w:ascii="宋体" w:hAnsi="宋体"/>
                <w:sz w:val="24"/>
                <w:highlight w:val="none"/>
              </w:rPr>
              <w:t>乙方缴纳合同总价1%履约保证金，支付方式为：（非现金形式/履约保函形式）</w:t>
            </w:r>
          </w:p>
        </w:tc>
      </w:tr>
      <w:tr w14:paraId="5B8FA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66CC662A">
            <w:pPr>
              <w:spacing w:line="360" w:lineRule="auto"/>
              <w:rPr>
                <w:rFonts w:ascii="宋体" w:hAnsi="宋体" w:cs="宋体"/>
                <w:sz w:val="24"/>
                <w:highlight w:val="none"/>
              </w:rPr>
            </w:pPr>
            <w:r>
              <w:rPr>
                <w:rFonts w:hint="eastAsia" w:ascii="宋体" w:hAnsi="宋体" w:cs="宋体"/>
                <w:sz w:val="24"/>
                <w:highlight w:val="none"/>
              </w:rPr>
              <w:t xml:space="preserve">1.5.1 </w:t>
            </w:r>
          </w:p>
        </w:tc>
        <w:tc>
          <w:tcPr>
            <w:tcW w:w="8150" w:type="dxa"/>
            <w:vAlign w:val="center"/>
          </w:tcPr>
          <w:p w14:paraId="660BB932">
            <w:pPr>
              <w:spacing w:line="360" w:lineRule="auto"/>
              <w:rPr>
                <w:rFonts w:ascii="宋体" w:hAnsi="宋体" w:cs="宋体"/>
                <w:sz w:val="24"/>
                <w:highlight w:val="none"/>
              </w:rPr>
            </w:pPr>
            <w:r>
              <w:rPr>
                <w:rFonts w:hint="eastAsia" w:ascii="宋体" w:hAnsi="宋体" w:cs="宋体"/>
                <w:sz w:val="24"/>
                <w:highlight w:val="none"/>
              </w:rPr>
              <w:t>合同签订后5个工作日内，项目具备实施条件后，甲方支付合同总价40%，同时甲方收取履约保证金为合同总价1%。</w:t>
            </w:r>
          </w:p>
        </w:tc>
      </w:tr>
      <w:tr w14:paraId="5426B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42269A98">
            <w:pPr>
              <w:spacing w:line="360" w:lineRule="auto"/>
              <w:rPr>
                <w:rFonts w:ascii="宋体" w:hAnsi="宋体" w:cs="宋体"/>
                <w:sz w:val="24"/>
                <w:highlight w:val="none"/>
              </w:rPr>
            </w:pPr>
            <w:r>
              <w:rPr>
                <w:rFonts w:hint="eastAsia" w:ascii="宋体" w:hAnsi="宋体" w:cs="宋体"/>
                <w:sz w:val="24"/>
                <w:highlight w:val="none"/>
              </w:rPr>
              <w:t>1.5.2</w:t>
            </w:r>
          </w:p>
        </w:tc>
        <w:tc>
          <w:tcPr>
            <w:tcW w:w="8150" w:type="dxa"/>
            <w:vAlign w:val="center"/>
          </w:tcPr>
          <w:p w14:paraId="2A4D63F4">
            <w:pPr>
              <w:spacing w:line="360" w:lineRule="auto"/>
              <w:rPr>
                <w:rFonts w:ascii="宋体" w:hAnsi="宋体" w:cs="宋体"/>
                <w:sz w:val="24"/>
                <w:highlight w:val="none"/>
              </w:rPr>
            </w:pPr>
            <w:r>
              <w:rPr>
                <w:rFonts w:hint="eastAsia" w:ascii="宋体" w:hAnsi="宋体" w:cs="宋体"/>
                <w:sz w:val="24"/>
                <w:highlight w:val="none"/>
              </w:rPr>
              <w:t xml:space="preserve">    /</w:t>
            </w:r>
          </w:p>
        </w:tc>
      </w:tr>
      <w:tr w14:paraId="5AEF3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54DFF33E">
            <w:pPr>
              <w:spacing w:line="360" w:lineRule="auto"/>
              <w:rPr>
                <w:rFonts w:ascii="宋体" w:hAnsi="宋体" w:cs="宋体"/>
                <w:sz w:val="24"/>
                <w:highlight w:val="none"/>
              </w:rPr>
            </w:pPr>
            <w:r>
              <w:rPr>
                <w:rFonts w:hint="eastAsia" w:ascii="宋体" w:hAnsi="宋体" w:cs="宋体"/>
                <w:sz w:val="24"/>
                <w:highlight w:val="none"/>
              </w:rPr>
              <w:t xml:space="preserve">1.5.3 </w:t>
            </w:r>
          </w:p>
        </w:tc>
        <w:tc>
          <w:tcPr>
            <w:tcW w:w="8150" w:type="dxa"/>
            <w:vAlign w:val="center"/>
          </w:tcPr>
          <w:p w14:paraId="4F22C25F">
            <w:pPr>
              <w:spacing w:line="360" w:lineRule="auto"/>
              <w:rPr>
                <w:rFonts w:ascii="宋体" w:hAnsi="宋体" w:cs="宋体"/>
                <w:sz w:val="24"/>
                <w:highlight w:val="none"/>
              </w:rPr>
            </w:pPr>
            <w:r>
              <w:rPr>
                <w:rFonts w:hint="eastAsia" w:ascii="宋体" w:hAnsi="宋体" w:cs="宋体"/>
                <w:sz w:val="24"/>
                <w:highlight w:val="none"/>
              </w:rPr>
              <w:t xml:space="preserve">    /</w:t>
            </w:r>
          </w:p>
        </w:tc>
      </w:tr>
      <w:tr w14:paraId="50497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5F201108">
            <w:pPr>
              <w:spacing w:line="360" w:lineRule="auto"/>
              <w:rPr>
                <w:rFonts w:ascii="宋体" w:hAnsi="宋体" w:cs="宋体"/>
                <w:sz w:val="24"/>
                <w:highlight w:val="none"/>
              </w:rPr>
            </w:pPr>
            <w:r>
              <w:rPr>
                <w:rFonts w:hint="eastAsia" w:ascii="宋体" w:hAnsi="宋体" w:cs="宋体"/>
                <w:sz w:val="24"/>
                <w:highlight w:val="none"/>
              </w:rPr>
              <w:t>1.6.2</w:t>
            </w:r>
          </w:p>
        </w:tc>
        <w:tc>
          <w:tcPr>
            <w:tcW w:w="8150" w:type="dxa"/>
            <w:vAlign w:val="center"/>
          </w:tcPr>
          <w:p w14:paraId="54128BDB">
            <w:pPr>
              <w:spacing w:line="360" w:lineRule="auto"/>
              <w:rPr>
                <w:rFonts w:ascii="宋体" w:hAnsi="宋体"/>
                <w:bCs/>
                <w:sz w:val="24"/>
                <w:highlight w:val="none"/>
              </w:rPr>
            </w:pPr>
            <w:r>
              <w:rPr>
                <w:rFonts w:hint="eastAsia" w:ascii="宋体" w:hAnsi="宋体"/>
                <w:bCs/>
                <w:sz w:val="24"/>
                <w:highlight w:val="none"/>
              </w:rPr>
              <w:t xml:space="preserve">  第一期付款：合同签订后5个工作日内，项目具备实施条件后，</w:t>
            </w:r>
            <w:r>
              <w:rPr>
                <w:rFonts w:hint="eastAsia" w:ascii="宋体" w:hAnsi="宋体" w:cs="宋体"/>
                <w:sz w:val="24"/>
                <w:highlight w:val="none"/>
              </w:rPr>
              <w:t>甲方支付346.98万元</w:t>
            </w:r>
            <w:r>
              <w:rPr>
                <w:rFonts w:hint="eastAsia" w:ascii="宋体" w:hAnsi="宋体"/>
                <w:bCs/>
                <w:sz w:val="24"/>
                <w:highlight w:val="none"/>
              </w:rPr>
              <w:t>，同时甲方收取履约保证金为合同总价1%。</w:t>
            </w:r>
          </w:p>
          <w:p w14:paraId="0927F46D">
            <w:pPr>
              <w:spacing w:line="360" w:lineRule="auto"/>
              <w:rPr>
                <w:rFonts w:ascii="宋体" w:hAnsi="宋体"/>
                <w:bCs/>
                <w:sz w:val="24"/>
                <w:highlight w:val="none"/>
              </w:rPr>
            </w:pPr>
            <w:r>
              <w:rPr>
                <w:rFonts w:hint="eastAsia" w:ascii="宋体" w:hAnsi="宋体"/>
                <w:bCs/>
                <w:sz w:val="24"/>
                <w:highlight w:val="none"/>
              </w:rPr>
              <w:t xml:space="preserve">  第二期付款：服务至202</w:t>
            </w:r>
            <w:r>
              <w:rPr>
                <w:rFonts w:ascii="宋体" w:hAnsi="宋体"/>
                <w:bCs/>
                <w:sz w:val="24"/>
                <w:highlight w:val="none"/>
              </w:rPr>
              <w:t>5</w:t>
            </w:r>
            <w:r>
              <w:rPr>
                <w:rFonts w:hint="eastAsia" w:ascii="宋体" w:hAnsi="宋体"/>
                <w:bCs/>
                <w:sz w:val="24"/>
                <w:highlight w:val="none"/>
              </w:rPr>
              <w:t>年</w:t>
            </w:r>
            <w:r>
              <w:rPr>
                <w:rFonts w:ascii="宋体" w:hAnsi="宋体"/>
                <w:bCs/>
                <w:sz w:val="24"/>
                <w:highlight w:val="none"/>
              </w:rPr>
              <w:t>3</w:t>
            </w:r>
            <w:r>
              <w:rPr>
                <w:rFonts w:hint="eastAsia" w:ascii="宋体" w:hAnsi="宋体"/>
                <w:bCs/>
                <w:sz w:val="24"/>
                <w:highlight w:val="none"/>
              </w:rPr>
              <w:t>月31日，无任何服务问题,凭双方签字盖章的验收意见、验收小组签字的验收报告、人员清单、学历证书、身份证、工作服务经验、人员变更申请（如有）、驻点人员每日钉钉考勤签到表、租赁设备清单、产品生产日期凭证、产品合格证、质保承诺书、服务方案</w:t>
            </w:r>
            <w:r>
              <w:rPr>
                <w:rFonts w:hint="eastAsia" w:ascii="宋体" w:hAnsi="宋体" w:cs="宋体"/>
                <w:sz w:val="24"/>
                <w:highlight w:val="none"/>
              </w:rPr>
              <w:t>、</w:t>
            </w:r>
            <w:r>
              <w:rPr>
                <w:rFonts w:hint="eastAsia" w:ascii="宋体" w:hAnsi="宋体"/>
                <w:bCs/>
                <w:sz w:val="24"/>
                <w:highlight w:val="none"/>
              </w:rPr>
              <w:t>专网云平台监测报告、巡检报告、每月考核材料、数据接入清单、系统渗透测试报告、应急响应报告、重保期间安全日报、网络安全事件应急演练报告、网络安全事件应急预案、网络安全保障方案、</w:t>
            </w:r>
            <w:r>
              <w:rPr>
                <w:rFonts w:ascii="宋体" w:hAnsi="宋体"/>
                <w:bCs/>
                <w:sz w:val="24"/>
                <w:highlight w:val="none"/>
              </w:rPr>
              <w:t>网络安全重大事项书面报告（如有）</w:t>
            </w:r>
            <w:r>
              <w:rPr>
                <w:rFonts w:hint="eastAsia" w:ascii="宋体" w:hAnsi="宋体"/>
                <w:bCs/>
                <w:sz w:val="24"/>
                <w:highlight w:val="none"/>
              </w:rPr>
              <w:t>、</w:t>
            </w:r>
            <w:r>
              <w:rPr>
                <w:rFonts w:hint="eastAsia" w:ascii="宋体" w:hAnsi="宋体" w:cs="宋体"/>
                <w:sz w:val="24"/>
                <w:highlight w:val="none"/>
              </w:rPr>
              <w:t>网络安全风险书面报告（如有）、</w:t>
            </w:r>
            <w:r>
              <w:rPr>
                <w:rFonts w:hint="eastAsia" w:ascii="宋体" w:hAnsi="宋体"/>
                <w:bCs/>
                <w:sz w:val="24"/>
                <w:highlight w:val="none"/>
              </w:rPr>
              <w:t>网络安全总结报告、验收报审表、个人保密承诺、单位保密协议、日常保密教育台账、培训材料、分包协议，</w:t>
            </w:r>
            <w:r>
              <w:rPr>
                <w:rFonts w:hint="eastAsia" w:ascii="宋体" w:hAnsi="宋体" w:cs="宋体"/>
                <w:sz w:val="24"/>
                <w:highlight w:val="none"/>
              </w:rPr>
              <w:t>最多支付至合同总价的65%</w:t>
            </w:r>
            <w:r>
              <w:rPr>
                <w:rFonts w:hint="eastAsia" w:ascii="宋体" w:hAnsi="宋体"/>
                <w:bCs/>
                <w:sz w:val="24"/>
                <w:highlight w:val="none"/>
              </w:rPr>
              <w:t>（已含甲方向乙方支付的第一期及第二期合同价款）</w:t>
            </w:r>
          </w:p>
          <w:p w14:paraId="0C4C13CC">
            <w:pPr>
              <w:spacing w:line="360" w:lineRule="auto"/>
              <w:rPr>
                <w:highlight w:val="none"/>
              </w:rPr>
            </w:pPr>
            <w:r>
              <w:rPr>
                <w:rFonts w:hint="eastAsia" w:ascii="宋体" w:hAnsi="宋体"/>
                <w:bCs/>
                <w:sz w:val="24"/>
                <w:highlight w:val="none"/>
              </w:rPr>
              <w:t xml:space="preserve">  第三期付款：服务期结束，无任何服务问题，凭双方签字盖章的验收意见、验收小组签字的验收报告、人员清单、学历证书、身份证、工作服务经验、人员变更申请（如有）、驻点人员每日钉钉考勤签到表、租赁设备清单、产品生产日期凭证、产品合格证、质保承诺书、服务方案、专网云平台监测报告、巡检报告、每月考核材料、数据接入清单、系统渗透测试报告、应急响应报告、重保期间安全日报、网络安全事件应急演练报告、网络安全事件应急预案、网络安全保障方案、</w:t>
            </w:r>
            <w:r>
              <w:rPr>
                <w:rFonts w:ascii="宋体" w:hAnsi="宋体"/>
                <w:bCs/>
                <w:sz w:val="24"/>
                <w:highlight w:val="none"/>
              </w:rPr>
              <w:t>网络安全重大事项书面报告（如有）</w:t>
            </w:r>
            <w:r>
              <w:rPr>
                <w:rFonts w:hint="eastAsia" w:ascii="宋体" w:hAnsi="宋体"/>
                <w:bCs/>
                <w:sz w:val="24"/>
                <w:highlight w:val="none"/>
              </w:rPr>
              <w:t>、</w:t>
            </w:r>
            <w:r>
              <w:rPr>
                <w:rFonts w:hint="eastAsia" w:ascii="宋体" w:hAnsi="宋体" w:cs="宋体"/>
                <w:sz w:val="24"/>
                <w:highlight w:val="none"/>
              </w:rPr>
              <w:t>网络安全风险书面报告（如有）、</w:t>
            </w:r>
            <w:r>
              <w:rPr>
                <w:rFonts w:hint="eastAsia" w:ascii="宋体" w:hAnsi="宋体"/>
                <w:bCs/>
                <w:sz w:val="24"/>
                <w:highlight w:val="none"/>
              </w:rPr>
              <w:t>网络安全总结报告</w:t>
            </w:r>
            <w:r>
              <w:rPr>
                <w:rFonts w:hint="eastAsia" w:ascii="宋体" w:hAnsi="宋体" w:cs="宋体"/>
                <w:sz w:val="24"/>
                <w:highlight w:val="none"/>
              </w:rPr>
              <w:t>、满足信创要求的检测材料</w:t>
            </w:r>
            <w:r>
              <w:rPr>
                <w:rFonts w:hint="eastAsia" w:ascii="宋体" w:hAnsi="宋体"/>
                <w:bCs/>
                <w:sz w:val="24"/>
                <w:highlight w:val="none"/>
              </w:rPr>
              <w:t>、验收报审表、个人保密承诺、单位保密协议、日常保密教育台账、培训材料、分包协议及公示截图等相关资料，经审计确认后（若有），根据合同单价、服务内容、服务天数按实结算剩余应付的合同款项，同时扣除乙方应向甲方支付的违约金。</w:t>
            </w:r>
          </w:p>
        </w:tc>
      </w:tr>
      <w:tr w14:paraId="01EF5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6DC4E2F9">
            <w:pPr>
              <w:spacing w:line="360" w:lineRule="auto"/>
              <w:rPr>
                <w:rFonts w:ascii="宋体" w:hAnsi="宋体" w:cs="宋体"/>
                <w:sz w:val="24"/>
                <w:highlight w:val="none"/>
              </w:rPr>
            </w:pPr>
            <w:r>
              <w:rPr>
                <w:rFonts w:hint="eastAsia" w:ascii="宋体" w:hAnsi="宋体" w:cs="宋体"/>
                <w:sz w:val="24"/>
                <w:highlight w:val="none"/>
              </w:rPr>
              <w:t>1.7.1</w:t>
            </w:r>
          </w:p>
        </w:tc>
        <w:tc>
          <w:tcPr>
            <w:tcW w:w="8150" w:type="dxa"/>
            <w:vAlign w:val="center"/>
          </w:tcPr>
          <w:p w14:paraId="2A4551C7">
            <w:pPr>
              <w:spacing w:line="360" w:lineRule="auto"/>
              <w:jc w:val="left"/>
              <w:rPr>
                <w:rFonts w:ascii="宋体" w:hAnsi="宋体" w:cs="宋体"/>
                <w:sz w:val="24"/>
                <w:highlight w:val="none"/>
              </w:rPr>
            </w:pPr>
            <w:r>
              <w:rPr>
                <w:rFonts w:hint="eastAsia" w:ascii="宋体" w:hAnsi="宋体"/>
                <w:bCs/>
                <w:sz w:val="24"/>
                <w:highlight w:val="none"/>
              </w:rPr>
              <w:t>服务交付（实施）的时间（期限）：</w:t>
            </w:r>
            <w:r>
              <w:rPr>
                <w:rFonts w:hint="eastAsia" w:ascii="宋体" w:hAnsi="宋体"/>
                <w:bCs/>
                <w:sz w:val="24"/>
                <w:highlight w:val="none"/>
                <w:u w:val="single"/>
              </w:rPr>
              <w:t>12个月（2024年8月1日-2025年7月31日）</w:t>
            </w:r>
            <w:r>
              <w:rPr>
                <w:rFonts w:hint="eastAsia" w:ascii="宋体" w:hAnsi="宋体" w:cs="宋体"/>
                <w:szCs w:val="24"/>
                <w:highlight w:val="none"/>
                <w:lang w:val="en-US" w:eastAsia="zh-CN"/>
              </w:rPr>
              <w:t>,</w:t>
            </w:r>
            <w:r>
              <w:rPr>
                <w:rFonts w:hint="eastAsia" w:ascii="宋体" w:hAnsi="宋体" w:cs="宋体"/>
                <w:sz w:val="24"/>
                <w:szCs w:val="24"/>
                <w:highlight w:val="none"/>
                <w:lang w:val="en-US" w:eastAsia="zh-CN"/>
              </w:rPr>
              <w:t>服务空档期（即2024年8月1日至开始提供服务之前)由原供应商（2023年供应商）按照2024年需求提供服务，期间产生的费用由乙方，按照实际服务时间及2024年合同单价与原供应商按实结算。</w:t>
            </w:r>
          </w:p>
        </w:tc>
      </w:tr>
      <w:tr w14:paraId="7C390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53BCC754">
            <w:pPr>
              <w:spacing w:line="360" w:lineRule="auto"/>
              <w:rPr>
                <w:rFonts w:ascii="宋体" w:hAnsi="宋体" w:cs="宋体"/>
                <w:sz w:val="24"/>
                <w:highlight w:val="none"/>
              </w:rPr>
            </w:pPr>
            <w:r>
              <w:rPr>
                <w:rFonts w:hint="eastAsia" w:ascii="宋体" w:hAnsi="宋体" w:cs="宋体"/>
                <w:sz w:val="24"/>
                <w:highlight w:val="none"/>
              </w:rPr>
              <w:t>1.7.2</w:t>
            </w:r>
          </w:p>
        </w:tc>
        <w:tc>
          <w:tcPr>
            <w:tcW w:w="8150" w:type="dxa"/>
            <w:vAlign w:val="center"/>
          </w:tcPr>
          <w:p w14:paraId="71200A5A">
            <w:pPr>
              <w:spacing w:line="360" w:lineRule="auto"/>
              <w:rPr>
                <w:rFonts w:ascii="宋体" w:hAnsi="宋体" w:cs="宋体"/>
                <w:sz w:val="24"/>
                <w:highlight w:val="none"/>
              </w:rPr>
            </w:pPr>
            <w:r>
              <w:rPr>
                <w:rFonts w:hint="eastAsia" w:ascii="宋体" w:hAnsi="宋体"/>
                <w:bCs/>
                <w:sz w:val="24"/>
                <w:highlight w:val="none"/>
              </w:rPr>
              <w:t>服务交付（实施）的地点（地域范围）：</w:t>
            </w:r>
            <w:r>
              <w:rPr>
                <w:rFonts w:hint="eastAsia" w:ascii="宋体" w:hAnsi="宋体"/>
                <w:bCs/>
                <w:sz w:val="24"/>
                <w:highlight w:val="none"/>
                <w:u w:val="single"/>
              </w:rPr>
              <w:t>杭州市公安局交通警察支队（杭州市文晖路336号）</w:t>
            </w:r>
          </w:p>
        </w:tc>
      </w:tr>
      <w:tr w14:paraId="0AB7B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160E2008">
            <w:pPr>
              <w:spacing w:line="360" w:lineRule="auto"/>
              <w:rPr>
                <w:rFonts w:ascii="宋体" w:hAnsi="宋体" w:cs="宋体"/>
                <w:sz w:val="24"/>
                <w:highlight w:val="none"/>
              </w:rPr>
            </w:pPr>
            <w:r>
              <w:rPr>
                <w:rFonts w:hint="eastAsia" w:ascii="宋体" w:hAnsi="宋体" w:cs="宋体"/>
                <w:sz w:val="24"/>
                <w:highlight w:val="none"/>
              </w:rPr>
              <w:t>1.7.3</w:t>
            </w:r>
          </w:p>
        </w:tc>
        <w:tc>
          <w:tcPr>
            <w:tcW w:w="8150" w:type="dxa"/>
            <w:vAlign w:val="center"/>
          </w:tcPr>
          <w:p w14:paraId="7833AB14">
            <w:pPr>
              <w:spacing w:line="360" w:lineRule="auto"/>
              <w:rPr>
                <w:rFonts w:ascii="宋体" w:hAnsi="宋体" w:cs="宋体"/>
                <w:sz w:val="24"/>
                <w:highlight w:val="none"/>
              </w:rPr>
            </w:pPr>
            <w:r>
              <w:rPr>
                <w:rFonts w:hint="eastAsia" w:ascii="宋体" w:hAnsi="宋体"/>
                <w:bCs/>
                <w:sz w:val="24"/>
                <w:highlight w:val="none"/>
              </w:rPr>
              <w:t>服务交付（实施）的方式：现场交付</w:t>
            </w:r>
          </w:p>
        </w:tc>
      </w:tr>
      <w:tr w14:paraId="18B51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1E9D2667">
            <w:pPr>
              <w:spacing w:line="360" w:lineRule="auto"/>
              <w:rPr>
                <w:rFonts w:ascii="宋体" w:hAnsi="宋体" w:cs="宋体"/>
                <w:sz w:val="24"/>
                <w:highlight w:val="none"/>
              </w:rPr>
            </w:pPr>
            <w:r>
              <w:rPr>
                <w:rFonts w:hint="eastAsia" w:ascii="宋体" w:hAnsi="宋体" w:cs="宋体"/>
                <w:sz w:val="24"/>
                <w:highlight w:val="none"/>
              </w:rPr>
              <w:t>1.7.4.1</w:t>
            </w:r>
          </w:p>
        </w:tc>
        <w:tc>
          <w:tcPr>
            <w:tcW w:w="8150" w:type="dxa"/>
            <w:vAlign w:val="center"/>
          </w:tcPr>
          <w:p w14:paraId="16D739D4">
            <w:pPr>
              <w:spacing w:line="360" w:lineRule="auto"/>
              <w:rPr>
                <w:rFonts w:ascii="宋体" w:hAnsi="宋体" w:cs="宋体"/>
                <w:sz w:val="24"/>
                <w:highlight w:val="none"/>
              </w:rPr>
            </w:pPr>
            <w:r>
              <w:rPr>
                <w:rFonts w:hint="eastAsia" w:ascii="宋体" w:hAnsi="宋体"/>
                <w:bCs/>
                <w:sz w:val="24"/>
                <w:highlight w:val="none"/>
              </w:rPr>
              <w:t>交付期限：</w:t>
            </w:r>
            <w:r>
              <w:rPr>
                <w:rFonts w:hint="eastAsia" w:ascii="宋体" w:hAnsi="宋体"/>
                <w:bCs/>
                <w:sz w:val="24"/>
                <w:highlight w:val="none"/>
                <w:u w:val="single"/>
              </w:rPr>
              <w:t>12个月（2024年8月1日-2025年7月31日）</w:t>
            </w:r>
          </w:p>
        </w:tc>
      </w:tr>
      <w:tr w14:paraId="689FB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3505847A">
            <w:pPr>
              <w:spacing w:line="360" w:lineRule="auto"/>
              <w:rPr>
                <w:rFonts w:ascii="宋体" w:hAnsi="宋体" w:cs="宋体"/>
                <w:sz w:val="24"/>
                <w:highlight w:val="none"/>
              </w:rPr>
            </w:pPr>
            <w:r>
              <w:rPr>
                <w:rFonts w:hint="eastAsia" w:ascii="宋体" w:hAnsi="宋体" w:cs="宋体"/>
                <w:sz w:val="24"/>
                <w:highlight w:val="none"/>
              </w:rPr>
              <w:t>1.7.4.2</w:t>
            </w:r>
          </w:p>
        </w:tc>
        <w:tc>
          <w:tcPr>
            <w:tcW w:w="8150" w:type="dxa"/>
            <w:vAlign w:val="center"/>
          </w:tcPr>
          <w:p w14:paraId="2085D895">
            <w:pPr>
              <w:spacing w:line="360" w:lineRule="auto"/>
              <w:rPr>
                <w:rFonts w:ascii="宋体" w:hAnsi="宋体" w:cs="宋体"/>
                <w:sz w:val="24"/>
                <w:highlight w:val="none"/>
              </w:rPr>
            </w:pPr>
            <w:r>
              <w:rPr>
                <w:rFonts w:hint="eastAsia" w:ascii="宋体" w:hAnsi="宋体"/>
                <w:bCs/>
                <w:sz w:val="24"/>
                <w:highlight w:val="none"/>
              </w:rPr>
              <w:t>交付地点</w:t>
            </w:r>
            <w:r>
              <w:rPr>
                <w:rFonts w:hint="eastAsia" w:ascii="仿宋" w:hAnsi="仿宋" w:eastAsia="仿宋" w:cs="宋体"/>
                <w:sz w:val="24"/>
                <w:highlight w:val="none"/>
              </w:rPr>
              <w:t>：</w:t>
            </w:r>
            <w:r>
              <w:rPr>
                <w:rFonts w:hint="eastAsia" w:ascii="宋体" w:hAnsi="宋体"/>
                <w:bCs/>
                <w:sz w:val="24"/>
                <w:highlight w:val="none"/>
                <w:u w:val="single"/>
              </w:rPr>
              <w:t>杭州市公安局交通警察支队（杭州市文晖路336号）</w:t>
            </w:r>
          </w:p>
        </w:tc>
      </w:tr>
      <w:tr w14:paraId="44BE4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32470CF3">
            <w:pPr>
              <w:spacing w:line="360" w:lineRule="auto"/>
              <w:rPr>
                <w:rFonts w:ascii="宋体" w:hAnsi="宋体" w:cs="宋体"/>
                <w:sz w:val="24"/>
                <w:highlight w:val="none"/>
              </w:rPr>
            </w:pPr>
            <w:r>
              <w:rPr>
                <w:rFonts w:hint="eastAsia" w:ascii="宋体" w:hAnsi="宋体" w:cs="宋体"/>
                <w:sz w:val="24"/>
                <w:highlight w:val="none"/>
              </w:rPr>
              <w:t>1.7.4.3</w:t>
            </w:r>
          </w:p>
        </w:tc>
        <w:tc>
          <w:tcPr>
            <w:tcW w:w="8150" w:type="dxa"/>
            <w:vAlign w:val="center"/>
          </w:tcPr>
          <w:p w14:paraId="6AE5EE89">
            <w:pPr>
              <w:spacing w:line="360" w:lineRule="auto"/>
              <w:rPr>
                <w:rFonts w:ascii="宋体" w:hAnsi="宋体" w:cs="宋体"/>
                <w:sz w:val="24"/>
                <w:highlight w:val="none"/>
              </w:rPr>
            </w:pPr>
            <w:r>
              <w:rPr>
                <w:rFonts w:hint="eastAsia" w:ascii="宋体" w:hAnsi="宋体"/>
                <w:bCs/>
                <w:sz w:val="24"/>
                <w:highlight w:val="none"/>
              </w:rPr>
              <w:t>交付方式：现场交付</w:t>
            </w:r>
          </w:p>
        </w:tc>
      </w:tr>
      <w:tr w14:paraId="3F26E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5F5BE65A">
            <w:pPr>
              <w:spacing w:line="360" w:lineRule="auto"/>
              <w:rPr>
                <w:rFonts w:ascii="宋体" w:hAnsi="宋体" w:cs="宋体"/>
                <w:sz w:val="24"/>
                <w:highlight w:val="none"/>
              </w:rPr>
            </w:pPr>
            <w:r>
              <w:rPr>
                <w:rFonts w:hint="eastAsia" w:ascii="宋体" w:hAnsi="宋体" w:cs="宋体"/>
                <w:sz w:val="24"/>
                <w:highlight w:val="none"/>
              </w:rPr>
              <w:t>1.8.7</w:t>
            </w:r>
          </w:p>
        </w:tc>
        <w:tc>
          <w:tcPr>
            <w:tcW w:w="8150" w:type="dxa"/>
            <w:vAlign w:val="center"/>
          </w:tcPr>
          <w:p w14:paraId="2DC2A07C">
            <w:pPr>
              <w:spacing w:line="360" w:lineRule="auto"/>
              <w:ind w:firstLine="480" w:firstLineChars="200"/>
              <w:jc w:val="left"/>
              <w:rPr>
                <w:rFonts w:ascii="宋体" w:hAnsi="宋体" w:cs="宋体"/>
                <w:iCs/>
                <w:sz w:val="24"/>
                <w:highlight w:val="none"/>
              </w:rPr>
            </w:pPr>
            <w:r>
              <w:rPr>
                <w:rFonts w:hint="eastAsia" w:ascii="宋体" w:hAnsi="宋体" w:cs="宋体"/>
                <w:iCs/>
                <w:sz w:val="24"/>
                <w:highlight w:val="none"/>
              </w:rPr>
              <w:t>1）履约保证金在约定期间内（合同签订之日起至项目通过验收，乙方递交退还履约保证金申请前）不予退还。乙方在前述约定期间届满前能履行完合同约定义务事项的，甲方在前述约定期间届满之日起5个工作日内，按乙方缴纳履约保证金的方式将履约保证金无息退还乙方，逾期退还的，乙方可要求甲方支付违约金，违约金按每迟延退还一日的应退还而未退还金额的0.05%计算，最高限额为本合同履约保证金的20%；</w:t>
            </w:r>
          </w:p>
          <w:p w14:paraId="73798EAF">
            <w:pPr>
              <w:spacing w:line="360" w:lineRule="auto"/>
              <w:ind w:firstLine="480" w:firstLineChars="200"/>
              <w:jc w:val="left"/>
              <w:rPr>
                <w:rFonts w:ascii="宋体" w:hAnsi="宋体" w:cs="宋体"/>
                <w:iCs/>
                <w:sz w:val="24"/>
                <w:highlight w:val="none"/>
              </w:rPr>
            </w:pPr>
            <w:r>
              <w:rPr>
                <w:rFonts w:hint="eastAsia" w:ascii="宋体" w:hAnsi="宋体" w:cs="宋体"/>
                <w:iCs/>
                <w:sz w:val="24"/>
                <w:highlight w:val="none"/>
              </w:rPr>
              <w:t>2）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合同；</w:t>
            </w:r>
          </w:p>
          <w:p w14:paraId="0A454CB0">
            <w:pPr>
              <w:spacing w:line="360" w:lineRule="auto"/>
              <w:ind w:firstLine="480" w:firstLineChars="200"/>
              <w:jc w:val="left"/>
              <w:rPr>
                <w:rFonts w:ascii="宋体" w:hAnsi="宋体" w:cs="宋体"/>
                <w:iCs/>
                <w:sz w:val="24"/>
                <w:highlight w:val="none"/>
              </w:rPr>
            </w:pPr>
            <w:r>
              <w:rPr>
                <w:rFonts w:hint="eastAsia" w:ascii="宋体" w:hAnsi="宋体" w:cs="宋体"/>
                <w:iCs/>
                <w:sz w:val="24"/>
                <w:highlight w:val="none"/>
              </w:rPr>
              <w:t>3）除不可抗力外，因甲方原因导致变更、中止或者终止政府采购合同的，甲方应当依照合同约定对乙方受到的损失予以赔偿或者补偿。</w:t>
            </w:r>
          </w:p>
          <w:p w14:paraId="40E8BD56">
            <w:pPr>
              <w:spacing w:line="360" w:lineRule="auto"/>
              <w:ind w:firstLine="480" w:firstLineChars="200"/>
              <w:jc w:val="left"/>
              <w:rPr>
                <w:rFonts w:ascii="宋体" w:hAnsi="宋体" w:cs="宋体"/>
                <w:iCs/>
                <w:sz w:val="24"/>
                <w:highlight w:val="none"/>
              </w:rPr>
            </w:pPr>
            <w:r>
              <w:rPr>
                <w:rFonts w:hint="eastAsia" w:ascii="宋体" w:hAnsi="宋体" w:cs="宋体"/>
                <w:iCs/>
                <w:sz w:val="24"/>
                <w:highlight w:val="none"/>
              </w:rPr>
              <w:t>乙方的违约责任：</w:t>
            </w:r>
          </w:p>
          <w:p w14:paraId="6995DEBA">
            <w:pPr>
              <w:spacing w:line="360" w:lineRule="auto"/>
              <w:ind w:firstLine="480" w:firstLineChars="200"/>
              <w:jc w:val="left"/>
              <w:rPr>
                <w:rFonts w:ascii="宋体" w:hAnsi="宋体" w:cs="宋体"/>
                <w:iCs/>
                <w:sz w:val="24"/>
                <w:highlight w:val="none"/>
              </w:rPr>
            </w:pPr>
            <w:r>
              <w:rPr>
                <w:rFonts w:hint="eastAsia" w:ascii="宋体" w:hAnsi="宋体" w:cs="宋体"/>
                <w:iCs/>
                <w:sz w:val="24"/>
                <w:highlight w:val="none"/>
              </w:rPr>
              <w:t>1）乙方每延迟一日缴纳履约保证金，违约金则按应缴纳的履约保证金金额的0.05%计算，最高限额为本合同履约保证金的20%；乙方逾期10日，未按要求缴纳履约保证金的，甲方有权单方面解除合同，并就由此造成的一切损失均由乙方负责赔偿。</w:t>
            </w:r>
          </w:p>
          <w:p w14:paraId="478FF3EE">
            <w:pPr>
              <w:spacing w:line="360" w:lineRule="auto"/>
              <w:ind w:firstLine="480" w:firstLineChars="200"/>
              <w:jc w:val="left"/>
              <w:rPr>
                <w:rFonts w:ascii="宋体" w:hAnsi="宋体" w:cs="宋体"/>
                <w:iCs/>
                <w:sz w:val="24"/>
                <w:highlight w:val="none"/>
              </w:rPr>
            </w:pPr>
            <w:r>
              <w:rPr>
                <w:rFonts w:hint="eastAsia" w:ascii="宋体" w:hAnsi="宋体" w:cs="宋体"/>
                <w:iCs/>
                <w:sz w:val="24"/>
                <w:highlight w:val="none"/>
              </w:rPr>
              <w:t>2）除不可抗力外，如果乙方没有按照本合同约定的期限、地点和方式提供服务，那么甲方可要求乙方支付违约金，违约金按每迟延提供服务一日的应提供服务而未提供服务价格的0.05%计算，最高限额为本合同总价的20%；迟延提供服务的违约金计算数额达到前述最高限额之日起，甲方有权在要求乙方支付违约金的同时，书面通知乙方解除本合同；</w:t>
            </w:r>
          </w:p>
          <w:p w14:paraId="4806028A">
            <w:pPr>
              <w:spacing w:line="360" w:lineRule="auto"/>
              <w:ind w:firstLine="480" w:firstLineChars="200"/>
              <w:jc w:val="left"/>
              <w:rPr>
                <w:rFonts w:ascii="宋体" w:hAnsi="宋体" w:cs="宋体"/>
                <w:iCs/>
                <w:sz w:val="24"/>
                <w:highlight w:val="none"/>
              </w:rPr>
            </w:pPr>
            <w:r>
              <w:rPr>
                <w:rFonts w:hint="eastAsia" w:ascii="宋体" w:hAnsi="宋体" w:cs="宋体"/>
                <w:iCs/>
                <w:sz w:val="24"/>
                <w:highlight w:val="none"/>
              </w:rPr>
              <w:t>3）合同实施过程中如发生变更，应严格办理变更手续，甲方及乙方填写《信息化建设项目变更审批表》，说明变更理由和内容，并随附相关文件和监理公司意见，按甲方内控要求变更管理措施，否则该变更内容在款项结算时，甲方有权不予认可。合同实施过程中如发生，未办理变更手续的擅自变更，发现一次乙方应向甲方支付5000元违约金，且甲方有权在要求乙方支付违约金的同时，单方面解除合同，并就由此造成的一切损失均由乙方负责赔偿。</w:t>
            </w:r>
          </w:p>
          <w:p w14:paraId="2E4041A6">
            <w:pPr>
              <w:spacing w:line="360" w:lineRule="auto"/>
              <w:ind w:firstLine="480" w:firstLineChars="200"/>
              <w:jc w:val="left"/>
              <w:rPr>
                <w:rFonts w:ascii="宋体" w:hAnsi="宋体" w:cs="宋体"/>
                <w:iCs/>
                <w:sz w:val="24"/>
                <w:highlight w:val="none"/>
              </w:rPr>
            </w:pPr>
            <w:r>
              <w:rPr>
                <w:rFonts w:hint="eastAsia" w:ascii="宋体" w:hAnsi="宋体" w:cs="宋体"/>
                <w:iCs/>
                <w:sz w:val="24"/>
                <w:highlight w:val="none"/>
              </w:rPr>
              <w:t>4）乙方擅自将本合同的全部或部分事务转由第三人承担</w:t>
            </w:r>
            <w:r>
              <w:rPr>
                <w:rFonts w:hint="eastAsia" w:ascii="宋体" w:hAnsi="宋体" w:cs="宋体"/>
                <w:iCs/>
                <w:sz w:val="24"/>
                <w:szCs w:val="20"/>
                <w:highlight w:val="none"/>
              </w:rPr>
              <w:t>（经甲方书面同意的分包人除外）</w:t>
            </w:r>
            <w:r>
              <w:rPr>
                <w:rFonts w:hint="eastAsia" w:ascii="宋体" w:hAnsi="宋体" w:cs="宋体"/>
                <w:iCs/>
                <w:sz w:val="24"/>
                <w:highlight w:val="none"/>
              </w:rPr>
              <w:t>，甲方可解除本合同，且乙方应按合同总价的30％向甲方支付违约金。如发生损失的，乙方还应赔偿甲方损失。</w:t>
            </w:r>
          </w:p>
          <w:p w14:paraId="14D1C69F">
            <w:pPr>
              <w:spacing w:line="360" w:lineRule="auto"/>
              <w:ind w:firstLine="480" w:firstLineChars="200"/>
              <w:jc w:val="left"/>
              <w:rPr>
                <w:rFonts w:ascii="宋体" w:hAnsi="宋体" w:cs="宋体"/>
                <w:iCs/>
                <w:sz w:val="24"/>
                <w:highlight w:val="none"/>
              </w:rPr>
            </w:pPr>
            <w:r>
              <w:rPr>
                <w:rFonts w:hint="eastAsia" w:ascii="宋体" w:hAnsi="宋体" w:cs="宋体"/>
                <w:iCs/>
                <w:sz w:val="24"/>
                <w:highlight w:val="none"/>
              </w:rPr>
              <w:t>5）</w:t>
            </w:r>
            <w:bookmarkStart w:id="529" w:name="_Hlk105445564"/>
            <w:r>
              <w:rPr>
                <w:rFonts w:hint="eastAsia" w:ascii="宋体" w:hAnsi="宋体" w:cs="宋体"/>
                <w:iCs/>
                <w:sz w:val="24"/>
                <w:highlight w:val="none"/>
              </w:rPr>
              <w:t>乙方在服务期内提供的服务未达到合同要求的，甲方将根据考核办法（详见附件三）对乙方处以违约金，直至解除合同</w:t>
            </w:r>
            <w:bookmarkEnd w:id="529"/>
            <w:r>
              <w:rPr>
                <w:rFonts w:hint="eastAsia" w:ascii="宋体" w:hAnsi="宋体" w:cs="宋体"/>
                <w:iCs/>
                <w:sz w:val="24"/>
                <w:highlight w:val="none"/>
              </w:rPr>
              <w:t>；</w:t>
            </w:r>
          </w:p>
          <w:p w14:paraId="75D358A8">
            <w:pPr>
              <w:spacing w:line="360" w:lineRule="auto"/>
              <w:ind w:firstLine="480" w:firstLineChars="200"/>
              <w:jc w:val="left"/>
              <w:rPr>
                <w:rFonts w:ascii="宋体" w:hAnsi="宋体" w:cs="宋体"/>
                <w:iCs/>
                <w:sz w:val="24"/>
                <w:highlight w:val="none"/>
              </w:rPr>
            </w:pPr>
            <w:r>
              <w:rPr>
                <w:rFonts w:hint="eastAsia" w:ascii="宋体" w:hAnsi="宋体" w:cs="宋体"/>
                <w:iCs/>
                <w:sz w:val="24"/>
                <w:highlight w:val="none"/>
              </w:rPr>
              <w:t>6）乙方如未履行安全责任提供服务的，导致安全事故责任的，由乙方负责，并赔偿一切损失。</w:t>
            </w:r>
          </w:p>
          <w:p w14:paraId="21A66A94">
            <w:pPr>
              <w:spacing w:line="360" w:lineRule="auto"/>
              <w:ind w:firstLine="480" w:firstLineChars="200"/>
              <w:jc w:val="left"/>
              <w:rPr>
                <w:rFonts w:ascii="宋体" w:hAnsi="宋体" w:cs="宋体"/>
                <w:iCs/>
                <w:sz w:val="24"/>
                <w:highlight w:val="none"/>
              </w:rPr>
            </w:pPr>
            <w:r>
              <w:rPr>
                <w:rFonts w:hint="eastAsia" w:ascii="宋体" w:hAnsi="宋体" w:cs="宋体"/>
                <w:iCs/>
                <w:sz w:val="24"/>
                <w:highlight w:val="none"/>
              </w:rPr>
              <w:t>7)乙方未按保密管理条款规定执行的，每发现一次处违约金10000元，如发生泄密事件，除赔偿甲方损失外，还应承担全部法律责任。</w:t>
            </w:r>
          </w:p>
          <w:p w14:paraId="09832E76">
            <w:pPr>
              <w:keepNext/>
              <w:keepLines/>
              <w:spacing w:before="160" w:after="160" w:line="360" w:lineRule="auto"/>
              <w:ind w:firstLine="480" w:firstLineChars="200"/>
              <w:jc w:val="left"/>
              <w:outlineLvl w:val="1"/>
              <w:rPr>
                <w:rFonts w:ascii="宋体" w:hAnsi="宋体" w:cs="宋体"/>
                <w:iCs/>
                <w:sz w:val="24"/>
                <w:highlight w:val="none"/>
              </w:rPr>
            </w:pPr>
            <w:r>
              <w:rPr>
                <w:rFonts w:ascii="宋体" w:hAnsi="宋体" w:cs="宋体"/>
                <w:iCs/>
                <w:sz w:val="24"/>
                <w:szCs w:val="20"/>
                <w:highlight w:val="none"/>
              </w:rPr>
              <w:t>8）</w:t>
            </w:r>
            <w:r>
              <w:rPr>
                <w:rFonts w:hint="eastAsia" w:ascii="宋体" w:hAnsi="宋体" w:cs="宋体"/>
                <w:iCs/>
                <w:sz w:val="24"/>
                <w:szCs w:val="20"/>
                <w:highlight w:val="none"/>
              </w:rPr>
              <w:t>乙方货运导航数据及运营保障服务中的城市货运导航数据运营服务未按承诺履行，每发现一次处违约金</w:t>
            </w:r>
            <w:r>
              <w:rPr>
                <w:rFonts w:hint="eastAsia" w:ascii="宋体" w:hAnsi="宋体" w:cs="宋体"/>
                <w:iCs/>
                <w:sz w:val="24"/>
                <w:szCs w:val="20"/>
                <w:highlight w:val="none"/>
                <w:u w:val="single"/>
              </w:rPr>
              <w:t>（根据乙方投标时承诺金额填写）</w:t>
            </w:r>
            <w:r>
              <w:rPr>
                <w:rFonts w:hint="eastAsia" w:ascii="宋体" w:hAnsi="宋体" w:cs="宋体"/>
                <w:iCs/>
                <w:sz w:val="24"/>
                <w:szCs w:val="20"/>
                <w:highlight w:val="none"/>
              </w:rPr>
              <w:t>元</w:t>
            </w:r>
          </w:p>
          <w:p w14:paraId="09FC41D9">
            <w:pPr>
              <w:spacing w:line="360" w:lineRule="auto"/>
              <w:ind w:firstLine="480" w:firstLineChars="200"/>
              <w:jc w:val="left"/>
              <w:rPr>
                <w:rFonts w:ascii="宋体" w:hAnsi="宋体" w:cs="宋体"/>
                <w:iCs/>
                <w:sz w:val="24"/>
                <w:highlight w:val="none"/>
                <w:u w:val="single"/>
              </w:rPr>
            </w:pPr>
            <w:r>
              <w:rPr>
                <w:rFonts w:hint="eastAsia" w:ascii="宋体" w:hAnsi="宋体" w:cs="宋体"/>
                <w:iCs/>
                <w:sz w:val="24"/>
                <w:highlight w:val="none"/>
              </w:rPr>
              <w:t>9）违约金在结算合同尾款时一次性扣除。</w:t>
            </w:r>
          </w:p>
        </w:tc>
      </w:tr>
      <w:tr w14:paraId="4A553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2" w:hRule="atLeast"/>
        </w:trPr>
        <w:tc>
          <w:tcPr>
            <w:tcW w:w="976" w:type="dxa"/>
            <w:tcBorders>
              <w:left w:val="single" w:color="auto" w:sz="4" w:space="0"/>
            </w:tcBorders>
            <w:vAlign w:val="center"/>
          </w:tcPr>
          <w:p w14:paraId="2210DF01">
            <w:pPr>
              <w:spacing w:line="360" w:lineRule="auto"/>
              <w:rPr>
                <w:rFonts w:ascii="宋体" w:hAnsi="宋体" w:cs="宋体"/>
                <w:sz w:val="24"/>
                <w:highlight w:val="none"/>
              </w:rPr>
            </w:pPr>
            <w:r>
              <w:rPr>
                <w:rFonts w:hint="eastAsia" w:ascii="宋体" w:hAnsi="宋体" w:cs="宋体"/>
                <w:sz w:val="24"/>
                <w:highlight w:val="none"/>
              </w:rPr>
              <w:t>1.9</w:t>
            </w:r>
          </w:p>
        </w:tc>
        <w:tc>
          <w:tcPr>
            <w:tcW w:w="8150" w:type="dxa"/>
            <w:vAlign w:val="center"/>
          </w:tcPr>
          <w:p w14:paraId="657C81D7">
            <w:pPr>
              <w:spacing w:line="360" w:lineRule="auto"/>
              <w:rPr>
                <w:rFonts w:ascii="宋体" w:hAnsi="宋体" w:cs="宋体"/>
                <w:sz w:val="24"/>
                <w:highlight w:val="none"/>
              </w:rPr>
            </w:pPr>
            <w:r>
              <w:rPr>
                <w:rFonts w:hint="eastAsia" w:ascii="宋体" w:hAnsi="宋体" w:cs="宋体"/>
                <w:iCs/>
                <w:sz w:val="24"/>
                <w:highlight w:val="none"/>
              </w:rPr>
              <w:t>本合同履行过程中发生的任何争议，双方当事人均可通过和解或者调解解决；不愿和解、调解或者和解、调解不成的，可以选择以下第1.9.2条款规定的方式解决</w:t>
            </w:r>
          </w:p>
        </w:tc>
      </w:tr>
      <w:tr w14:paraId="01BCC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0E469404">
            <w:pPr>
              <w:spacing w:line="360" w:lineRule="auto"/>
              <w:rPr>
                <w:rFonts w:ascii="宋体" w:hAnsi="宋体" w:cs="宋体"/>
                <w:sz w:val="24"/>
                <w:highlight w:val="none"/>
              </w:rPr>
            </w:pPr>
            <w:r>
              <w:rPr>
                <w:rFonts w:hint="eastAsia" w:ascii="宋体" w:hAnsi="宋体" w:cs="宋体"/>
                <w:sz w:val="24"/>
                <w:highlight w:val="none"/>
              </w:rPr>
              <w:t>1.9.1</w:t>
            </w:r>
          </w:p>
        </w:tc>
        <w:tc>
          <w:tcPr>
            <w:tcW w:w="8150" w:type="dxa"/>
            <w:vAlign w:val="center"/>
          </w:tcPr>
          <w:p w14:paraId="53CDD28D">
            <w:pPr>
              <w:spacing w:line="360" w:lineRule="auto"/>
              <w:rPr>
                <w:rFonts w:ascii="宋体" w:hAnsi="宋体" w:cs="宋体"/>
                <w:sz w:val="24"/>
                <w:highlight w:val="none"/>
              </w:rPr>
            </w:pPr>
            <w:r>
              <w:rPr>
                <w:rFonts w:hint="eastAsia" w:ascii="宋体" w:hAnsi="宋体" w:cs="宋体"/>
                <w:sz w:val="24"/>
                <w:highlight w:val="none"/>
              </w:rPr>
              <w:t>将争议提交</w:t>
            </w:r>
            <w:r>
              <w:rPr>
                <w:rFonts w:hint="eastAsia" w:ascii="宋体" w:hAnsi="宋体" w:cs="宋体"/>
                <w:b/>
                <w:iCs/>
                <w:sz w:val="24"/>
                <w:highlight w:val="none"/>
                <w:u w:val="single"/>
              </w:rPr>
              <w:t>杭州</w:t>
            </w:r>
            <w:r>
              <w:rPr>
                <w:rFonts w:hint="eastAsia" w:ascii="宋体" w:hAnsi="宋体" w:cs="宋体"/>
                <w:sz w:val="24"/>
                <w:highlight w:val="none"/>
              </w:rPr>
              <w:t>仲裁委员会依申请仲裁时其现行有效的仲裁规则裁决；</w:t>
            </w:r>
          </w:p>
        </w:tc>
      </w:tr>
      <w:tr w14:paraId="129B9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6717F14A">
            <w:pPr>
              <w:spacing w:line="360" w:lineRule="auto"/>
              <w:rPr>
                <w:rFonts w:ascii="宋体" w:hAnsi="宋体" w:cs="宋体"/>
                <w:sz w:val="24"/>
                <w:highlight w:val="none"/>
              </w:rPr>
            </w:pPr>
            <w:r>
              <w:rPr>
                <w:rFonts w:hint="eastAsia" w:ascii="宋体" w:hAnsi="宋体" w:cs="宋体"/>
                <w:sz w:val="24"/>
                <w:highlight w:val="none"/>
              </w:rPr>
              <w:t>1.9.2</w:t>
            </w:r>
          </w:p>
        </w:tc>
        <w:tc>
          <w:tcPr>
            <w:tcW w:w="8150" w:type="dxa"/>
            <w:vAlign w:val="center"/>
          </w:tcPr>
          <w:p w14:paraId="2FD76D7E">
            <w:pPr>
              <w:spacing w:line="360" w:lineRule="auto"/>
              <w:rPr>
                <w:rFonts w:ascii="宋体" w:hAnsi="宋体" w:cs="宋体"/>
                <w:sz w:val="24"/>
                <w:highlight w:val="none"/>
              </w:rPr>
            </w:pPr>
            <w:r>
              <w:rPr>
                <w:rFonts w:hint="eastAsia" w:ascii="宋体" w:hAnsi="宋体" w:cs="宋体"/>
                <w:sz w:val="24"/>
                <w:highlight w:val="none"/>
              </w:rPr>
              <w:t>向</w:t>
            </w:r>
            <w:r>
              <w:rPr>
                <w:rFonts w:hint="eastAsia" w:ascii="宋体" w:hAnsi="宋体" w:cs="宋体"/>
                <w:b/>
                <w:sz w:val="24"/>
                <w:highlight w:val="none"/>
                <w:u w:val="single"/>
              </w:rPr>
              <w:t>甲方所在地</w:t>
            </w:r>
            <w:r>
              <w:rPr>
                <w:rFonts w:hint="eastAsia" w:ascii="宋体" w:hAnsi="宋体" w:cs="宋体"/>
                <w:sz w:val="24"/>
                <w:highlight w:val="none"/>
              </w:rPr>
              <w:t>人民法院起诉。</w:t>
            </w:r>
          </w:p>
        </w:tc>
      </w:tr>
      <w:tr w14:paraId="11D99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2D64E783">
            <w:pPr>
              <w:spacing w:line="360" w:lineRule="auto"/>
              <w:rPr>
                <w:rFonts w:ascii="宋体" w:hAnsi="宋体" w:cs="宋体"/>
                <w:sz w:val="24"/>
                <w:highlight w:val="none"/>
              </w:rPr>
            </w:pPr>
            <w:r>
              <w:rPr>
                <w:rFonts w:hint="eastAsia" w:ascii="宋体" w:hAnsi="宋体" w:cs="宋体"/>
                <w:sz w:val="24"/>
                <w:highlight w:val="none"/>
              </w:rPr>
              <w:t>2.3.2</w:t>
            </w:r>
          </w:p>
        </w:tc>
        <w:tc>
          <w:tcPr>
            <w:tcW w:w="8150" w:type="dxa"/>
            <w:vAlign w:val="center"/>
          </w:tcPr>
          <w:p w14:paraId="538C45E1">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合同涉及技术成果的归属和收益的分成办法的：无</w:t>
            </w:r>
          </w:p>
        </w:tc>
      </w:tr>
      <w:tr w14:paraId="44C0E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37DA655D">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5</w:t>
            </w:r>
          </w:p>
        </w:tc>
        <w:tc>
          <w:tcPr>
            <w:tcW w:w="8150" w:type="dxa"/>
            <w:vAlign w:val="center"/>
          </w:tcPr>
          <w:p w14:paraId="7C26C25C">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详见1.6.2条款</w:t>
            </w:r>
          </w:p>
        </w:tc>
      </w:tr>
      <w:tr w14:paraId="52EC3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78C1CBC7">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w:t>
            </w:r>
            <w:r>
              <w:rPr>
                <w:rFonts w:hint="eastAsia" w:ascii="宋体" w:hAnsi="宋体" w:cs="宋体"/>
                <w:sz w:val="24"/>
                <w:highlight w:val="none"/>
              </w:rPr>
              <w:t>.</w:t>
            </w:r>
            <w:r>
              <w:rPr>
                <w:rFonts w:ascii="宋体" w:hAnsi="宋体" w:cs="宋体"/>
                <w:sz w:val="24"/>
                <w:highlight w:val="none"/>
              </w:rPr>
              <w:t>3</w:t>
            </w:r>
          </w:p>
        </w:tc>
        <w:tc>
          <w:tcPr>
            <w:tcW w:w="8150" w:type="dxa"/>
            <w:vAlign w:val="center"/>
          </w:tcPr>
          <w:p w14:paraId="426672E4">
            <w:pPr>
              <w:spacing w:line="360" w:lineRule="auto"/>
              <w:rPr>
                <w:rFonts w:ascii="宋体" w:hAnsi="宋体" w:cs="宋体"/>
                <w:sz w:val="24"/>
                <w:highlight w:val="none"/>
              </w:rPr>
            </w:pPr>
            <w:r>
              <w:rPr>
                <w:rFonts w:hint="eastAsia" w:ascii="宋体" w:hAnsi="宋体" w:cs="仿宋"/>
                <w:sz w:val="24"/>
                <w:highlight w:val="none"/>
              </w:rPr>
              <w:t>因不可抗力致使合同有变更必要的，双方当事人应在</w:t>
            </w:r>
            <w:r>
              <w:rPr>
                <w:rFonts w:hint="eastAsia" w:ascii="宋体" w:hAnsi="宋体" w:cs="仿宋"/>
                <w:sz w:val="24"/>
                <w:highlight w:val="none"/>
                <w:u w:val="single"/>
              </w:rPr>
              <w:t>15个工作日</w:t>
            </w:r>
            <w:r>
              <w:rPr>
                <w:rFonts w:hint="eastAsia" w:ascii="宋体" w:hAnsi="宋体" w:cs="仿宋"/>
                <w:sz w:val="24"/>
                <w:highlight w:val="none"/>
              </w:rPr>
              <w:t>内以书面形式变更合同。</w:t>
            </w:r>
          </w:p>
        </w:tc>
      </w:tr>
      <w:tr w14:paraId="1F35C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tcPr>
          <w:p w14:paraId="0F17747E">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11.4</w:t>
            </w:r>
          </w:p>
        </w:tc>
        <w:tc>
          <w:tcPr>
            <w:tcW w:w="8150" w:type="dxa"/>
          </w:tcPr>
          <w:p w14:paraId="3F5A68ED">
            <w:pPr>
              <w:spacing w:line="360" w:lineRule="auto"/>
              <w:rPr>
                <w:rFonts w:ascii="宋体" w:hAnsi="宋体" w:cs="宋体"/>
                <w:sz w:val="24"/>
                <w:highlight w:val="none"/>
              </w:rPr>
            </w:pPr>
            <w:r>
              <w:rPr>
                <w:rFonts w:hint="eastAsia" w:ascii="宋体" w:hAnsi="宋体" w:cs="仿宋"/>
                <w:sz w:val="24"/>
                <w:highlight w:val="none"/>
              </w:rPr>
              <w:t>受不可抗力影响的一方在不可抗力发生后，应在</w:t>
            </w:r>
            <w:r>
              <w:rPr>
                <w:rFonts w:hint="eastAsia" w:ascii="宋体" w:hAnsi="宋体" w:cs="仿宋"/>
                <w:sz w:val="24"/>
                <w:highlight w:val="none"/>
                <w:u w:val="single"/>
              </w:rPr>
              <w:t>7个工作日</w:t>
            </w:r>
            <w:r>
              <w:rPr>
                <w:rFonts w:hint="eastAsia" w:ascii="宋体" w:hAnsi="宋体" w:cs="仿宋"/>
                <w:sz w:val="24"/>
                <w:highlight w:val="none"/>
              </w:rPr>
              <w:t>内以书面形式通知对方当事人，并在10个工作日内，将有关部门出具的证明文件送达对方当事人。</w:t>
            </w:r>
          </w:p>
        </w:tc>
      </w:tr>
      <w:tr w14:paraId="385EB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24AA40BE">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1</w:t>
            </w:r>
          </w:p>
        </w:tc>
        <w:tc>
          <w:tcPr>
            <w:tcW w:w="8150" w:type="dxa"/>
            <w:vAlign w:val="center"/>
          </w:tcPr>
          <w:p w14:paraId="098B7F4A">
            <w:pPr>
              <w:spacing w:line="360" w:lineRule="auto"/>
              <w:rPr>
                <w:rFonts w:ascii="宋体" w:hAnsi="宋体" w:cs="宋体"/>
                <w:sz w:val="24"/>
                <w:highlight w:val="none"/>
              </w:rPr>
            </w:pPr>
            <w:r>
              <w:rPr>
                <w:rFonts w:hint="eastAsia" w:ascii="宋体" w:hAnsi="宋体" w:cs="仿宋"/>
                <w:sz w:val="24"/>
                <w:highlight w:val="none"/>
              </w:rPr>
              <w:t>乙方按照合同的约定，服务期结束前根据合同要求完成所有服务，甲方按照第一次验收时间：20</w:t>
            </w:r>
            <w:r>
              <w:rPr>
                <w:rFonts w:ascii="宋体" w:hAnsi="宋体" w:cs="仿宋"/>
                <w:sz w:val="24"/>
                <w:highlight w:val="none"/>
              </w:rPr>
              <w:t>25</w:t>
            </w:r>
            <w:r>
              <w:rPr>
                <w:rFonts w:hint="eastAsia" w:ascii="宋体" w:hAnsi="宋体" w:cs="仿宋"/>
                <w:sz w:val="24"/>
                <w:highlight w:val="none"/>
              </w:rPr>
              <w:t>年</w:t>
            </w:r>
            <w:r>
              <w:rPr>
                <w:rFonts w:ascii="宋体" w:hAnsi="宋体" w:cs="仿宋"/>
                <w:sz w:val="24"/>
                <w:highlight w:val="none"/>
              </w:rPr>
              <w:t>3</w:t>
            </w:r>
            <w:r>
              <w:rPr>
                <w:rFonts w:hint="eastAsia" w:ascii="宋体" w:hAnsi="宋体" w:cs="仿宋"/>
                <w:sz w:val="24"/>
                <w:highlight w:val="none"/>
              </w:rPr>
              <w:t>月3</w:t>
            </w:r>
            <w:r>
              <w:rPr>
                <w:rFonts w:ascii="宋体" w:hAnsi="宋体" w:cs="仿宋"/>
                <w:sz w:val="24"/>
                <w:highlight w:val="none"/>
              </w:rPr>
              <w:t>1</w:t>
            </w:r>
            <w:r>
              <w:rPr>
                <w:rFonts w:hint="eastAsia" w:ascii="宋体" w:hAnsi="宋体" w:cs="仿宋"/>
                <w:sz w:val="24"/>
                <w:highlight w:val="none"/>
              </w:rPr>
              <w:t>日后；第二次验收时间：2025年7月31日服务结束后（具体验收时间由甲方最终确定并及时通知乙方）的约定进行定期验收。</w:t>
            </w:r>
          </w:p>
        </w:tc>
      </w:tr>
      <w:tr w14:paraId="44688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2A1DB3A7">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3</w:t>
            </w:r>
          </w:p>
        </w:tc>
        <w:tc>
          <w:tcPr>
            <w:tcW w:w="8150" w:type="dxa"/>
            <w:vAlign w:val="center"/>
          </w:tcPr>
          <w:p w14:paraId="18C849E5">
            <w:pPr>
              <w:spacing w:line="360" w:lineRule="auto"/>
              <w:rPr>
                <w:rFonts w:ascii="宋体" w:hAnsi="宋体" w:cs="仿宋"/>
                <w:sz w:val="24"/>
                <w:highlight w:val="none"/>
              </w:rPr>
            </w:pPr>
            <w:r>
              <w:rPr>
                <w:rFonts w:hint="eastAsia" w:ascii="宋体" w:hAnsi="宋体" w:cs="仿宋"/>
                <w:sz w:val="24"/>
                <w:highlight w:val="none"/>
              </w:rPr>
              <w:t>根据采购文件确定的技术指标或者服务要求确定验收指标和标准。未进行相应约定的，应当符合国家强制性规定、政策要求、安全标准、行业或企业有关标准等。详见附件五履约验收。</w:t>
            </w:r>
          </w:p>
        </w:tc>
      </w:tr>
      <w:tr w14:paraId="3A9B0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6" w:type="dxa"/>
            <w:tcBorders>
              <w:left w:val="single" w:color="auto" w:sz="4" w:space="0"/>
            </w:tcBorders>
          </w:tcPr>
          <w:p w14:paraId="78E04D3F">
            <w:pPr>
              <w:spacing w:line="360" w:lineRule="auto"/>
              <w:rPr>
                <w:rFonts w:ascii="宋体" w:hAnsi="宋体" w:cs="宋体"/>
                <w:sz w:val="24"/>
                <w:highlight w:val="none"/>
              </w:rPr>
            </w:pPr>
            <w:r>
              <w:rPr>
                <w:rFonts w:hint="eastAsia" w:ascii="宋体" w:hAnsi="宋体" w:cs="宋体"/>
                <w:sz w:val="24"/>
                <w:highlight w:val="none"/>
              </w:rPr>
              <w:t>2.19</w:t>
            </w:r>
          </w:p>
        </w:tc>
        <w:tc>
          <w:tcPr>
            <w:tcW w:w="8150" w:type="dxa"/>
          </w:tcPr>
          <w:p w14:paraId="7C030475">
            <w:pPr>
              <w:spacing w:line="360" w:lineRule="auto"/>
              <w:rPr>
                <w:rFonts w:ascii="宋体" w:hAnsi="宋体" w:cs="仿宋"/>
                <w:sz w:val="24"/>
                <w:highlight w:val="none"/>
              </w:rPr>
            </w:pPr>
            <w:r>
              <w:rPr>
                <w:rFonts w:hint="eastAsia" w:ascii="宋体" w:hAnsi="宋体" w:cs="仿宋"/>
                <w:sz w:val="24"/>
                <w:highlight w:val="none"/>
              </w:rPr>
              <w:t>本合同正本壹式陆份，具有同等法律效力，甲乙双方各执叁份。</w:t>
            </w:r>
          </w:p>
        </w:tc>
      </w:tr>
    </w:tbl>
    <w:p w14:paraId="6556BC48">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一）项目服务内容</w:t>
      </w:r>
    </w:p>
    <w:p w14:paraId="04ACD72A">
      <w:pPr>
        <w:spacing w:line="360" w:lineRule="auto"/>
        <w:ind w:firstLine="480"/>
        <w:rPr>
          <w:rFonts w:ascii="宋体" w:hAnsi="宋体" w:cs="宋体"/>
          <w:b/>
          <w:bCs/>
          <w:sz w:val="24"/>
          <w:highlight w:val="none"/>
        </w:rPr>
      </w:pPr>
      <w:r>
        <w:rPr>
          <w:rFonts w:hint="eastAsia" w:ascii="宋体" w:hAnsi="宋体" w:cs="宋体"/>
          <w:b/>
          <w:bCs/>
          <w:sz w:val="24"/>
          <w:highlight w:val="none"/>
        </w:rPr>
        <w:t>（一）交通管理数据全生命周期运营服务</w:t>
      </w:r>
    </w:p>
    <w:p w14:paraId="0F611C03">
      <w:pPr>
        <w:spacing w:line="360" w:lineRule="auto"/>
        <w:ind w:firstLine="480"/>
        <w:rPr>
          <w:rFonts w:ascii="宋体" w:hAnsi="宋体" w:cs="宋体"/>
          <w:sz w:val="24"/>
          <w:highlight w:val="none"/>
        </w:rPr>
      </w:pPr>
      <w:r>
        <w:rPr>
          <w:rFonts w:hint="eastAsia" w:ascii="宋体" w:hAnsi="宋体" w:cs="宋体"/>
          <w:sz w:val="24"/>
          <w:highlight w:val="none"/>
        </w:rPr>
        <w:t>1、专网云平台系统运行及数据治理</w:t>
      </w:r>
    </w:p>
    <w:p w14:paraId="33B66DB3">
      <w:pPr>
        <w:spacing w:line="360" w:lineRule="auto"/>
        <w:ind w:firstLine="480"/>
        <w:rPr>
          <w:rFonts w:ascii="宋体" w:hAnsi="宋体" w:cs="宋体"/>
          <w:sz w:val="24"/>
          <w:highlight w:val="none"/>
        </w:rPr>
      </w:pPr>
      <w:r>
        <w:rPr>
          <w:rFonts w:hint="eastAsia" w:ascii="宋体" w:hAnsi="宋体" w:cs="宋体"/>
          <w:sz w:val="24"/>
          <w:highlight w:val="none"/>
        </w:rPr>
        <w:t>（1）数据接入服务</w:t>
      </w:r>
    </w:p>
    <w:p w14:paraId="6A3F84C5">
      <w:pPr>
        <w:spacing w:line="360" w:lineRule="auto"/>
        <w:ind w:firstLine="480"/>
        <w:rPr>
          <w:rFonts w:ascii="宋体" w:hAnsi="宋体" w:cs="宋体"/>
          <w:highlight w:val="none"/>
        </w:rPr>
      </w:pPr>
      <w:r>
        <w:rPr>
          <w:rFonts w:hint="eastAsia" w:ascii="宋体" w:hAnsi="宋体" w:cs="宋体"/>
          <w:sz w:val="24"/>
          <w:highlight w:val="none"/>
        </w:rPr>
        <w:t>将各类信息化系统的结构化、半结构化、非结构化多种类型数据统一接入和预处理，预计接入30多张相关数据库表，每日接入数据量在5.2亿条左右，每日约100GB。</w:t>
      </w:r>
    </w:p>
    <w:p w14:paraId="44874D51">
      <w:pPr>
        <w:spacing w:line="360" w:lineRule="auto"/>
        <w:ind w:firstLine="480"/>
        <w:rPr>
          <w:rFonts w:ascii="宋体" w:hAnsi="宋体" w:cs="宋体"/>
          <w:sz w:val="24"/>
          <w:highlight w:val="none"/>
        </w:rPr>
      </w:pPr>
      <w:r>
        <w:rPr>
          <w:rFonts w:hint="eastAsia" w:ascii="宋体" w:hAnsi="宋体" w:cs="宋体"/>
          <w:sz w:val="24"/>
          <w:highlight w:val="none"/>
        </w:rPr>
        <w:t>1）接入杭州市机动车卡口过车数据；</w:t>
      </w:r>
    </w:p>
    <w:p w14:paraId="04312D94">
      <w:pPr>
        <w:spacing w:line="360" w:lineRule="auto"/>
        <w:ind w:firstLine="480"/>
        <w:rPr>
          <w:rFonts w:ascii="宋体" w:hAnsi="宋体" w:cs="宋体"/>
          <w:sz w:val="24"/>
          <w:highlight w:val="none"/>
        </w:rPr>
      </w:pPr>
      <w:r>
        <w:rPr>
          <w:rFonts w:hint="eastAsia" w:ascii="宋体" w:hAnsi="宋体" w:cs="宋体"/>
          <w:sz w:val="24"/>
          <w:highlight w:val="none"/>
        </w:rPr>
        <w:t>2）接入互联网实时交通数据，包含交通事件、拥堵预警等；</w:t>
      </w:r>
    </w:p>
    <w:p w14:paraId="0C32E2AA">
      <w:pPr>
        <w:spacing w:line="360" w:lineRule="auto"/>
        <w:ind w:firstLine="480"/>
        <w:rPr>
          <w:rFonts w:ascii="宋体" w:hAnsi="宋体" w:cs="宋体"/>
          <w:sz w:val="24"/>
          <w:highlight w:val="none"/>
        </w:rPr>
      </w:pPr>
      <w:r>
        <w:rPr>
          <w:rFonts w:hint="eastAsia" w:ascii="宋体" w:hAnsi="宋体" w:cs="宋体"/>
          <w:sz w:val="24"/>
          <w:highlight w:val="none"/>
        </w:rPr>
        <w:t>3）根据要完成表单的接入工作，每月底提供数据接入清单。</w:t>
      </w:r>
    </w:p>
    <w:p w14:paraId="7F05C73D">
      <w:pPr>
        <w:spacing w:line="360" w:lineRule="auto"/>
        <w:ind w:firstLine="480"/>
        <w:rPr>
          <w:rFonts w:ascii="宋体" w:hAnsi="宋体" w:cs="宋体"/>
          <w:sz w:val="24"/>
          <w:highlight w:val="none"/>
        </w:rPr>
      </w:pPr>
      <w:r>
        <w:rPr>
          <w:rFonts w:hint="eastAsia" w:ascii="宋体" w:hAnsi="宋体" w:cs="宋体"/>
          <w:sz w:val="24"/>
          <w:highlight w:val="none"/>
        </w:rPr>
        <w:t>（2）数据加工治理服务</w:t>
      </w:r>
    </w:p>
    <w:p w14:paraId="345BE4E7">
      <w:pPr>
        <w:spacing w:line="360" w:lineRule="auto"/>
        <w:ind w:firstLine="480"/>
        <w:rPr>
          <w:rFonts w:ascii="宋体" w:hAnsi="宋体" w:cs="宋体"/>
          <w:sz w:val="24"/>
          <w:highlight w:val="none"/>
        </w:rPr>
      </w:pPr>
      <w:r>
        <w:rPr>
          <w:rFonts w:hint="eastAsia" w:ascii="宋体" w:hAnsi="宋体" w:cs="宋体"/>
          <w:sz w:val="24"/>
          <w:highlight w:val="none"/>
        </w:rPr>
        <w:t>1）数据探查服务：对接入的杭州市机动车卡口过车、交通工程、互联网实时交通等多种类型数据来源进行打标。通过对来源数据存储位置、提供方式、总量和更新情况、业务含义、字段格式和取值分布、数据结构、数据质量等属性进行多维度探查，完成数据识别工作（例如空值率、值域及分布、命名实体、问题数据等多维度探查识别），为数据定义提供依据。</w:t>
      </w:r>
    </w:p>
    <w:p w14:paraId="4AD9010F">
      <w:pPr>
        <w:spacing w:line="360" w:lineRule="auto"/>
        <w:ind w:firstLine="480"/>
        <w:rPr>
          <w:rFonts w:ascii="宋体" w:hAnsi="宋体" w:cs="宋体"/>
          <w:sz w:val="24"/>
          <w:highlight w:val="none"/>
        </w:rPr>
      </w:pPr>
      <w:r>
        <w:rPr>
          <w:rFonts w:hint="eastAsia" w:ascii="宋体" w:hAnsi="宋体" w:cs="宋体"/>
          <w:sz w:val="24"/>
          <w:highlight w:val="none"/>
        </w:rPr>
        <w:t>2）数据读取服务：在完成数据探查及数据定义工作后，将杭州市机动车卡口过车、交通工程、互联网实时交通等源数据与数据定义进行对比核验，确保数据质量和准确性。同时，对各种异构数据进行解密、解压、适配等多个环节操作，并对数据进行字符集转换、半结构化数据转换等其他转换，使数据符合数据处理要求的格式，供下一步处理。</w:t>
      </w:r>
    </w:p>
    <w:p w14:paraId="42AD7927">
      <w:pPr>
        <w:spacing w:line="360" w:lineRule="auto"/>
        <w:ind w:firstLine="480"/>
        <w:rPr>
          <w:rFonts w:ascii="宋体" w:hAnsi="宋体" w:cs="宋体"/>
          <w:sz w:val="24"/>
          <w:highlight w:val="none"/>
        </w:rPr>
      </w:pPr>
      <w:r>
        <w:rPr>
          <w:rFonts w:hint="eastAsia" w:ascii="宋体" w:hAnsi="宋体" w:cs="宋体"/>
          <w:sz w:val="24"/>
          <w:highlight w:val="none"/>
        </w:rPr>
        <w:t>3）数据清洗服务：按照数据清洗标准进行杭州市机动车卡口过车、交通工程、互联网实时交通等100多张书库表数据过滤、去重、格转、校验等数据清洗操作，从而实现数据标准化，包括数据对标、数据去重、数据转换以及数据完整性校验、规范性校验、一致性校验等。</w:t>
      </w:r>
    </w:p>
    <w:p w14:paraId="48F0ABE4">
      <w:pPr>
        <w:spacing w:line="360" w:lineRule="auto"/>
        <w:ind w:firstLine="480"/>
        <w:rPr>
          <w:rFonts w:ascii="宋体" w:hAnsi="宋体" w:cs="宋体"/>
          <w:sz w:val="24"/>
          <w:highlight w:val="none"/>
        </w:rPr>
      </w:pPr>
      <w:r>
        <w:rPr>
          <w:rFonts w:hint="eastAsia" w:ascii="宋体" w:hAnsi="宋体" w:cs="宋体"/>
          <w:sz w:val="24"/>
          <w:highlight w:val="none"/>
        </w:rPr>
        <w:t>4）数据共享服务：以专网云平台数据资源池为数据底座，通过数据共享打通甲方各部门的数据壁垒，加速数据资源由业务需求驱动和聚集，在业务协同上起到数据融合和共用的作用。为交通局日常业务、市局大数据平台、路网运行等场景提供杭州市机动车卡口过车、交通工程、互联网实时交通等数据支撑。</w:t>
      </w:r>
    </w:p>
    <w:p w14:paraId="380CA76C">
      <w:pPr>
        <w:spacing w:line="360" w:lineRule="auto"/>
        <w:ind w:firstLine="480"/>
        <w:rPr>
          <w:rFonts w:ascii="宋体" w:hAnsi="宋体" w:cs="宋体"/>
          <w:sz w:val="24"/>
          <w:highlight w:val="none"/>
        </w:rPr>
      </w:pPr>
      <w:r>
        <w:rPr>
          <w:rFonts w:hint="eastAsia" w:ascii="宋体" w:hAnsi="宋体" w:cs="宋体"/>
          <w:sz w:val="24"/>
          <w:highlight w:val="none"/>
        </w:rPr>
        <w:t>5）数据传输服务：在数据共享和分发过程中，将涉及到一条或多条链路，数据传输将维护数据传输链路安全畅通，保障数据在传输过程中不错、不重、不丢。</w:t>
      </w:r>
    </w:p>
    <w:p w14:paraId="3541599D">
      <w:pPr>
        <w:spacing w:line="360" w:lineRule="auto"/>
        <w:ind w:firstLine="480"/>
        <w:rPr>
          <w:rFonts w:ascii="宋体" w:hAnsi="宋体" w:cs="宋体"/>
          <w:sz w:val="24"/>
          <w:highlight w:val="none"/>
        </w:rPr>
      </w:pPr>
      <w:r>
        <w:rPr>
          <w:rFonts w:hint="eastAsia" w:ascii="宋体" w:hAnsi="宋体" w:cs="宋体"/>
          <w:sz w:val="24"/>
          <w:highlight w:val="none"/>
        </w:rPr>
        <w:t>6）模型标准化：使用标准化标签设计模型，包括杭州市机动车卡口过车、交通工程、互联网实时交通等众多的数据统计模型、分析模型、监控模型均具备管理和维护标识，便于模型运行维护过程中的统一化和规范化。</w:t>
      </w:r>
    </w:p>
    <w:p w14:paraId="10DBF7BC">
      <w:pPr>
        <w:spacing w:line="360" w:lineRule="auto"/>
        <w:ind w:firstLine="480"/>
        <w:rPr>
          <w:rFonts w:ascii="宋体" w:hAnsi="宋体" w:cs="宋体"/>
          <w:sz w:val="24"/>
          <w:highlight w:val="none"/>
        </w:rPr>
      </w:pPr>
      <w:r>
        <w:rPr>
          <w:rFonts w:hint="eastAsia" w:ascii="宋体" w:hAnsi="宋体" w:cs="宋体"/>
          <w:sz w:val="24"/>
          <w:highlight w:val="none"/>
        </w:rPr>
        <w:t>7）任务管理：对数据接入过程进行可视化管理，浏览数据接入任务，修改接入任务配置、实时调配任务的资源，设定任务通知等相关内容，保障接入任务顺畅进行。</w:t>
      </w:r>
    </w:p>
    <w:p w14:paraId="0B6B2AF2">
      <w:pPr>
        <w:spacing w:line="360" w:lineRule="auto"/>
        <w:ind w:firstLine="480"/>
        <w:rPr>
          <w:rFonts w:ascii="宋体" w:hAnsi="宋体" w:cs="宋体"/>
          <w:sz w:val="24"/>
          <w:highlight w:val="none"/>
        </w:rPr>
      </w:pPr>
      <w:r>
        <w:rPr>
          <w:rFonts w:hint="eastAsia" w:ascii="宋体" w:hAnsi="宋体" w:cs="宋体"/>
          <w:sz w:val="24"/>
          <w:highlight w:val="none"/>
        </w:rPr>
        <w:t>8）断点传续保障：通过断点记录、断点标识、断点恢复，保障数据在下载或上传时,将下载或上传任务进行切分,每一个部分采用一个线程进行上传或下载,如果碰到网络故障,保障从已经上传或下载的部分开始继续上传下载未完成的部分，确保数据不重复、不缺失，从而提升数据传输效率、提高数据传输稳定性、减少网络带宽占用。</w:t>
      </w:r>
    </w:p>
    <w:p w14:paraId="3331C6EA">
      <w:pPr>
        <w:spacing w:line="360" w:lineRule="auto"/>
        <w:ind w:firstLine="480"/>
        <w:rPr>
          <w:rFonts w:ascii="宋体" w:hAnsi="宋体" w:cs="宋体"/>
          <w:sz w:val="24"/>
          <w:highlight w:val="none"/>
        </w:rPr>
      </w:pPr>
      <w:r>
        <w:rPr>
          <w:rFonts w:hint="eastAsia" w:ascii="宋体" w:hAnsi="宋体" w:cs="宋体"/>
          <w:sz w:val="24"/>
          <w:highlight w:val="none"/>
        </w:rPr>
        <w:t>（3）数据透出服务</w:t>
      </w:r>
    </w:p>
    <w:p w14:paraId="33871C91">
      <w:pPr>
        <w:spacing w:line="360" w:lineRule="auto"/>
        <w:ind w:firstLine="480"/>
        <w:rPr>
          <w:rFonts w:ascii="宋体" w:hAnsi="宋体" w:cs="宋体"/>
          <w:sz w:val="24"/>
          <w:highlight w:val="none"/>
        </w:rPr>
      </w:pPr>
      <w:r>
        <w:rPr>
          <w:rFonts w:hint="eastAsia" w:ascii="宋体" w:hAnsi="宋体" w:cs="宋体"/>
          <w:sz w:val="24"/>
          <w:highlight w:val="none"/>
        </w:rPr>
        <w:t>数据透出开发：按照业务场景的数据需求，提供对应的数据开发服务，实现数据的共享。完成接口透出的开发，可用于进行路网运行、交通事件、交通需求、交通舆情等决策分析业务。</w:t>
      </w:r>
    </w:p>
    <w:p w14:paraId="5983C0E4">
      <w:pPr>
        <w:spacing w:line="360" w:lineRule="auto"/>
        <w:ind w:firstLine="480"/>
        <w:rPr>
          <w:rFonts w:ascii="宋体" w:hAnsi="宋体" w:cs="宋体"/>
          <w:sz w:val="24"/>
          <w:highlight w:val="none"/>
        </w:rPr>
      </w:pPr>
      <w:r>
        <w:rPr>
          <w:rFonts w:hint="eastAsia" w:ascii="宋体" w:hAnsi="宋体" w:cs="宋体"/>
          <w:sz w:val="24"/>
          <w:highlight w:val="none"/>
        </w:rPr>
        <w:t>（4）数据统计服务</w:t>
      </w:r>
    </w:p>
    <w:p w14:paraId="0F2052B9">
      <w:pPr>
        <w:spacing w:line="360" w:lineRule="auto"/>
        <w:ind w:firstLine="480"/>
        <w:rPr>
          <w:rFonts w:ascii="宋体" w:hAnsi="宋体" w:cs="宋体"/>
          <w:sz w:val="24"/>
          <w:highlight w:val="none"/>
        </w:rPr>
      </w:pPr>
      <w:r>
        <w:rPr>
          <w:rFonts w:hint="eastAsia" w:ascii="宋体" w:hAnsi="宋体" w:cs="宋体"/>
          <w:sz w:val="24"/>
          <w:highlight w:val="none"/>
        </w:rPr>
        <w:t>1）统计类数据开发服务：满足支队日常统计类业务保障，如拥堵统计、事故统计、警情统计等，并实现数字、excel、word等多样式统计结果呈现。</w:t>
      </w:r>
    </w:p>
    <w:p w14:paraId="42CC5BF5">
      <w:pPr>
        <w:spacing w:line="360" w:lineRule="auto"/>
        <w:ind w:firstLine="480"/>
        <w:rPr>
          <w:rFonts w:ascii="宋体" w:hAnsi="宋体" w:cs="宋体"/>
          <w:sz w:val="24"/>
          <w:highlight w:val="none"/>
        </w:rPr>
      </w:pPr>
      <w:r>
        <w:rPr>
          <w:rFonts w:hint="eastAsia" w:ascii="宋体" w:hAnsi="宋体" w:cs="宋体"/>
          <w:sz w:val="24"/>
          <w:highlight w:val="none"/>
        </w:rPr>
        <w:t>2）持续提供工程类、秩序类等的数据模型、算子模型开发工作，预计开发模型200个。</w:t>
      </w:r>
    </w:p>
    <w:p w14:paraId="5B70581F">
      <w:pPr>
        <w:spacing w:line="360" w:lineRule="auto"/>
        <w:ind w:firstLine="480"/>
        <w:rPr>
          <w:rFonts w:ascii="宋体" w:hAnsi="宋体" w:cs="宋体"/>
          <w:sz w:val="24"/>
          <w:highlight w:val="none"/>
        </w:rPr>
      </w:pPr>
      <w:r>
        <w:rPr>
          <w:rFonts w:hint="eastAsia" w:ascii="宋体" w:hAnsi="宋体" w:cs="宋体"/>
          <w:sz w:val="24"/>
          <w:highlight w:val="none"/>
        </w:rPr>
        <w:t>（5）运营服务</w:t>
      </w:r>
    </w:p>
    <w:p w14:paraId="37D481E6">
      <w:pPr>
        <w:spacing w:line="360" w:lineRule="auto"/>
        <w:ind w:firstLine="480"/>
        <w:rPr>
          <w:rFonts w:ascii="宋体" w:hAnsi="宋体" w:cs="宋体"/>
          <w:sz w:val="24"/>
          <w:highlight w:val="none"/>
        </w:rPr>
      </w:pPr>
      <w:r>
        <w:rPr>
          <w:rFonts w:hint="eastAsia" w:ascii="宋体" w:hAnsi="宋体" w:cs="宋体"/>
          <w:sz w:val="24"/>
          <w:highlight w:val="none"/>
        </w:rPr>
        <w:t>对开发完成的数据魔方等进行运营保障工作。</w:t>
      </w:r>
    </w:p>
    <w:p w14:paraId="3B75624C">
      <w:pPr>
        <w:spacing w:line="360" w:lineRule="auto"/>
        <w:ind w:firstLine="480"/>
        <w:rPr>
          <w:rFonts w:ascii="宋体" w:hAnsi="宋体" w:cs="宋体"/>
          <w:sz w:val="24"/>
          <w:highlight w:val="none"/>
        </w:rPr>
      </w:pPr>
      <w:r>
        <w:rPr>
          <w:rFonts w:hint="eastAsia" w:ascii="宋体" w:hAnsi="宋体" w:cs="宋体"/>
          <w:sz w:val="24"/>
          <w:highlight w:val="none"/>
        </w:rPr>
        <w:t>监测类数据工作：满足支队日常监测类业务保障，如在途量监测、拥堵指数监测、平均速度监测及某重点路段、重点路口拥堵监测等。同时，结合监测类数据接口开发，为甲方的大脑2.0各应用平台提供监测运营保障，每天巡检，每周出具运行监测报告一份。</w:t>
      </w:r>
    </w:p>
    <w:p w14:paraId="712CA97A">
      <w:pPr>
        <w:spacing w:line="360" w:lineRule="auto"/>
        <w:ind w:firstLine="480"/>
        <w:rPr>
          <w:rFonts w:ascii="宋体" w:hAnsi="宋体" w:cs="宋体"/>
          <w:sz w:val="24"/>
          <w:highlight w:val="none"/>
        </w:rPr>
      </w:pPr>
      <w:r>
        <w:rPr>
          <w:rFonts w:hint="eastAsia" w:ascii="宋体" w:hAnsi="宋体" w:cs="宋体"/>
          <w:sz w:val="24"/>
          <w:highlight w:val="none"/>
        </w:rPr>
        <w:t>（6）专网云平台运行保障</w:t>
      </w:r>
    </w:p>
    <w:p w14:paraId="1B8B691B">
      <w:pPr>
        <w:spacing w:line="360" w:lineRule="auto"/>
        <w:ind w:firstLine="480"/>
        <w:rPr>
          <w:rFonts w:ascii="宋体" w:hAnsi="宋体" w:cs="宋体"/>
          <w:sz w:val="24"/>
          <w:highlight w:val="none"/>
        </w:rPr>
      </w:pPr>
      <w:r>
        <w:rPr>
          <w:rFonts w:hint="eastAsia" w:ascii="宋体" w:hAnsi="宋体" w:cs="宋体"/>
          <w:sz w:val="24"/>
          <w:highlight w:val="none"/>
        </w:rPr>
        <w:t>针对专网云平台运行提供驻点服务和应急响应，保障平日系统云资源的规划、开通、监测和运营保障。在重大活动和重大节日期间，提供云平台的应急保障。每天巡检，每天出具城市大脑云平台运行监测报告一份。</w:t>
      </w:r>
    </w:p>
    <w:p w14:paraId="12034E4B">
      <w:pPr>
        <w:spacing w:line="360" w:lineRule="auto"/>
        <w:ind w:firstLine="480"/>
        <w:rPr>
          <w:rFonts w:ascii="宋体" w:hAnsi="宋体" w:cs="宋体"/>
          <w:sz w:val="24"/>
          <w:highlight w:val="none"/>
        </w:rPr>
      </w:pPr>
      <w:r>
        <w:rPr>
          <w:rFonts w:hint="eastAsia" w:ascii="宋体" w:hAnsi="宋体" w:cs="宋体"/>
          <w:sz w:val="24"/>
          <w:highlight w:val="none"/>
        </w:rPr>
        <w:t>2、公安网数据治理</w:t>
      </w:r>
    </w:p>
    <w:p w14:paraId="0B60EE5C">
      <w:pPr>
        <w:spacing w:line="360" w:lineRule="auto"/>
        <w:ind w:firstLine="480"/>
        <w:rPr>
          <w:rFonts w:ascii="宋体" w:hAnsi="宋体" w:cs="宋体"/>
          <w:sz w:val="24"/>
          <w:highlight w:val="none"/>
        </w:rPr>
      </w:pPr>
      <w:r>
        <w:rPr>
          <w:rFonts w:hint="eastAsia" w:ascii="宋体" w:hAnsi="宋体" w:cs="宋体"/>
          <w:sz w:val="24"/>
          <w:highlight w:val="none"/>
        </w:rPr>
        <w:t>（1）数据上云服务</w:t>
      </w:r>
    </w:p>
    <w:p w14:paraId="58932242">
      <w:pPr>
        <w:spacing w:line="360" w:lineRule="auto"/>
        <w:ind w:firstLine="480"/>
        <w:rPr>
          <w:rFonts w:ascii="宋体" w:hAnsi="宋体" w:cs="宋体"/>
          <w:sz w:val="24"/>
          <w:highlight w:val="none"/>
        </w:rPr>
      </w:pPr>
      <w:r>
        <w:rPr>
          <w:rFonts w:hint="eastAsia" w:ascii="宋体" w:hAnsi="宋体" w:cs="宋体"/>
          <w:sz w:val="24"/>
          <w:highlight w:val="none"/>
        </w:rPr>
        <w:t>1）数据源管理：对数据接入的源端和目的端进行基本信息维护，提供对接入组件内数据源统一操作管理的能力，支持根据数据源名称搜索数据源，支持各种异构数据源的新增、编辑、删除等操作。</w:t>
      </w:r>
    </w:p>
    <w:p w14:paraId="692EB580">
      <w:pPr>
        <w:spacing w:line="360" w:lineRule="auto"/>
        <w:ind w:firstLine="480"/>
        <w:rPr>
          <w:rFonts w:ascii="宋体" w:hAnsi="宋体" w:cs="宋体"/>
          <w:sz w:val="24"/>
          <w:highlight w:val="none"/>
        </w:rPr>
      </w:pPr>
      <w:r>
        <w:rPr>
          <w:rFonts w:hint="eastAsia" w:ascii="宋体" w:hAnsi="宋体" w:cs="宋体"/>
          <w:sz w:val="24"/>
          <w:highlight w:val="none"/>
        </w:rPr>
        <w:t>2）数据探查：以可视化配置的形式提供对数据的探查功能，包括数据接入方式探查、业务探查、字段探查、数据项集探查、问题数据探查等，可用于对来源数据存储位置、提供方式、总量和更新情况、取值分布、数据质量等进行多维度探查，以达到认识数据的目的，预计完成约200张表的数据探查工作，主要包括在专网经过初步治理后的数据、以及市局大数据平台中和甲方业务强相关的部分数据。</w:t>
      </w:r>
    </w:p>
    <w:p w14:paraId="014642AB">
      <w:pPr>
        <w:spacing w:line="360" w:lineRule="auto"/>
        <w:ind w:firstLine="480"/>
        <w:rPr>
          <w:rFonts w:ascii="宋体" w:hAnsi="宋体" w:cs="宋体"/>
          <w:sz w:val="24"/>
          <w:highlight w:val="none"/>
        </w:rPr>
      </w:pPr>
      <w:r>
        <w:rPr>
          <w:rFonts w:hint="eastAsia" w:ascii="宋体" w:hAnsi="宋体" w:cs="宋体"/>
          <w:sz w:val="24"/>
          <w:highlight w:val="none"/>
        </w:rPr>
        <w:t>3）数据定义：包括数据分级分类定义、数据提取策略定义等步骤。按照部标GA/DSJ 230-2019和GA/DSJ 231-2019规范，定义数据项的字段性质分类和字段敏感度分类；对结构化/半结构化数据提取策略进行定义，实现来源数据资源/数据项到目的数据资源/数据项的提取映射关系，为数据治理提供依据。</w:t>
      </w:r>
    </w:p>
    <w:p w14:paraId="0DB69FF2">
      <w:pPr>
        <w:spacing w:line="360" w:lineRule="auto"/>
        <w:ind w:firstLine="480"/>
        <w:rPr>
          <w:rFonts w:ascii="宋体" w:hAnsi="宋体" w:cs="宋体"/>
          <w:sz w:val="24"/>
          <w:highlight w:val="none"/>
        </w:rPr>
      </w:pPr>
      <w:r>
        <w:rPr>
          <w:rFonts w:hint="eastAsia" w:ascii="宋体" w:hAnsi="宋体" w:cs="宋体"/>
          <w:sz w:val="24"/>
          <w:highlight w:val="none"/>
        </w:rPr>
        <w:t>4）数据读取：建立跨网络、跨平台的数据安全接入通道，为内部及存在信息共享的部门间数据抽取汇聚提供接口通道，支持多源异构数据的源系统读取数据，包括文件读取、数据库读取及服务接口读取等，预计完成约200张表的数据读取工作，主要包括在专网经过初步治理后的数据、以及市局大数据平台中和甲方业务强相关的部分数据。</w:t>
      </w:r>
    </w:p>
    <w:p w14:paraId="63C5CCDC">
      <w:pPr>
        <w:spacing w:line="360" w:lineRule="auto"/>
        <w:ind w:firstLine="480"/>
        <w:rPr>
          <w:rFonts w:ascii="宋体" w:hAnsi="宋体" w:cs="宋体"/>
          <w:sz w:val="24"/>
          <w:highlight w:val="none"/>
        </w:rPr>
      </w:pPr>
      <w:r>
        <w:rPr>
          <w:rFonts w:hint="eastAsia" w:ascii="宋体" w:hAnsi="宋体" w:cs="宋体"/>
          <w:sz w:val="24"/>
          <w:highlight w:val="none"/>
        </w:rPr>
        <w:t>（2）数据治理服务</w:t>
      </w:r>
    </w:p>
    <w:p w14:paraId="28E7F7C8">
      <w:pPr>
        <w:spacing w:line="360" w:lineRule="auto"/>
        <w:ind w:firstLine="480"/>
        <w:rPr>
          <w:rFonts w:ascii="宋体" w:hAnsi="宋体" w:cs="宋体"/>
          <w:sz w:val="24"/>
          <w:highlight w:val="none"/>
        </w:rPr>
      </w:pPr>
      <w:r>
        <w:rPr>
          <w:rFonts w:hint="eastAsia" w:ascii="宋体" w:hAnsi="宋体" w:cs="宋体"/>
          <w:sz w:val="24"/>
          <w:highlight w:val="none"/>
        </w:rPr>
        <w:t>1）数据清洗：按照数据清洗标准进行数据过滤、去重、格转、校验等数据清洗操作，从而实现数据标准化，包括数据对标、数据去重、数据格转、数据校验等，预计完成约200张表的数据清洗工作。</w:t>
      </w:r>
    </w:p>
    <w:p w14:paraId="5362CB67">
      <w:pPr>
        <w:spacing w:line="360" w:lineRule="auto"/>
        <w:ind w:firstLine="480"/>
        <w:rPr>
          <w:rFonts w:ascii="宋体" w:hAnsi="宋体" w:cs="宋体"/>
          <w:sz w:val="24"/>
          <w:highlight w:val="none"/>
        </w:rPr>
      </w:pPr>
      <w:r>
        <w:rPr>
          <w:rFonts w:hint="eastAsia" w:ascii="宋体" w:hAnsi="宋体" w:cs="宋体"/>
          <w:sz w:val="24"/>
          <w:highlight w:val="none"/>
        </w:rPr>
        <w:t>2）数据关联：根据数据定义中的关联规则或算法，将数据和其它知识数据、业务数据等进行关联，并输出关联信息，包括关联回填、关联提取。</w:t>
      </w:r>
    </w:p>
    <w:p w14:paraId="58C709E1">
      <w:pPr>
        <w:spacing w:line="360" w:lineRule="auto"/>
        <w:ind w:firstLine="480"/>
        <w:rPr>
          <w:rFonts w:ascii="宋体" w:hAnsi="宋体" w:cs="宋体"/>
          <w:sz w:val="24"/>
          <w:highlight w:val="none"/>
        </w:rPr>
      </w:pPr>
      <w:r>
        <w:rPr>
          <w:rFonts w:hint="eastAsia" w:ascii="宋体" w:hAnsi="宋体" w:cs="宋体"/>
          <w:sz w:val="24"/>
          <w:highlight w:val="none"/>
        </w:rPr>
        <w:t>3）数据提取：按照数据标准进行字段映射提取和处理函数配置，实现对源数据中各类数据的关键信息提取，预计完成约200张表的数据提取工作。</w:t>
      </w:r>
    </w:p>
    <w:p w14:paraId="6E330C97">
      <w:pPr>
        <w:spacing w:line="360" w:lineRule="auto"/>
        <w:ind w:firstLine="480"/>
        <w:rPr>
          <w:rFonts w:ascii="宋体" w:hAnsi="宋体" w:cs="宋体"/>
          <w:sz w:val="24"/>
          <w:highlight w:val="none"/>
        </w:rPr>
      </w:pPr>
      <w:r>
        <w:rPr>
          <w:rFonts w:hint="eastAsia" w:ascii="宋体" w:hAnsi="宋体" w:cs="宋体"/>
          <w:sz w:val="24"/>
          <w:highlight w:val="none"/>
        </w:rPr>
        <w:t>4）数据分发：通过数据分发，实现对提取、清洗、关联、比对和标识后的数据进行分发处理（如：将结果数据对应分发到原始库、资源库等），预计完成约200张表的数据分发工作。</w:t>
      </w:r>
    </w:p>
    <w:p w14:paraId="615AD67B">
      <w:pPr>
        <w:spacing w:line="360" w:lineRule="auto"/>
        <w:ind w:firstLine="480"/>
        <w:rPr>
          <w:rFonts w:ascii="宋体" w:hAnsi="宋体" w:cs="宋体"/>
          <w:sz w:val="24"/>
          <w:highlight w:val="none"/>
        </w:rPr>
      </w:pPr>
      <w:r>
        <w:rPr>
          <w:rFonts w:hint="eastAsia" w:ascii="宋体" w:hAnsi="宋体" w:cs="宋体"/>
          <w:sz w:val="24"/>
          <w:highlight w:val="none"/>
        </w:rPr>
        <w:t>（3）数据开发服务</w:t>
      </w:r>
    </w:p>
    <w:p w14:paraId="7217C173">
      <w:pPr>
        <w:spacing w:line="360" w:lineRule="auto"/>
        <w:ind w:firstLine="480"/>
        <w:rPr>
          <w:rFonts w:ascii="宋体" w:hAnsi="宋体" w:cs="宋体"/>
          <w:sz w:val="24"/>
          <w:highlight w:val="none"/>
        </w:rPr>
      </w:pPr>
      <w:r>
        <w:rPr>
          <w:rFonts w:hint="eastAsia" w:ascii="宋体" w:hAnsi="宋体" w:cs="宋体"/>
          <w:sz w:val="24"/>
          <w:highlight w:val="none"/>
        </w:rPr>
        <w:t>1）数据指标服务：包括指标计算、指标推送、指标采集；</w:t>
      </w:r>
    </w:p>
    <w:p w14:paraId="6D3A6023">
      <w:pPr>
        <w:spacing w:line="360" w:lineRule="auto"/>
        <w:ind w:firstLine="480"/>
        <w:rPr>
          <w:rFonts w:ascii="宋体" w:hAnsi="宋体" w:cs="宋体"/>
          <w:sz w:val="24"/>
          <w:highlight w:val="none"/>
        </w:rPr>
      </w:pPr>
      <w:r>
        <w:rPr>
          <w:rFonts w:hint="eastAsia" w:ascii="宋体" w:hAnsi="宋体" w:cs="宋体"/>
          <w:sz w:val="24"/>
          <w:highlight w:val="none"/>
        </w:rPr>
        <w:t>2）指标计算：基于客户需求完成指标内容的开发，整体流程包括：指标数据对接、指标详细设计、指标代码实现等，预计完成约50类的指标计算工作。</w:t>
      </w:r>
    </w:p>
    <w:p w14:paraId="1377134C">
      <w:pPr>
        <w:spacing w:line="360" w:lineRule="auto"/>
        <w:ind w:firstLine="480"/>
        <w:rPr>
          <w:rFonts w:ascii="宋体" w:hAnsi="宋体" w:cs="宋体"/>
          <w:sz w:val="24"/>
          <w:highlight w:val="none"/>
        </w:rPr>
      </w:pPr>
      <w:r>
        <w:rPr>
          <w:rFonts w:hint="eastAsia" w:ascii="宋体" w:hAnsi="宋体" w:cs="宋体"/>
          <w:sz w:val="24"/>
          <w:highlight w:val="none"/>
        </w:rPr>
        <w:t>3）指标推送：基于指标注册的更新频率要求将指标结果推送到指标中心，以可视化配置的形式对指标推送任务进行管理，同时支持以查看日志的形式对历史推送情况进行验证，预计完成约50类的指标推送工作。</w:t>
      </w:r>
    </w:p>
    <w:p w14:paraId="079E2FFB">
      <w:pPr>
        <w:spacing w:line="360" w:lineRule="auto"/>
        <w:ind w:firstLine="480"/>
        <w:rPr>
          <w:rFonts w:ascii="宋体" w:hAnsi="宋体" w:cs="宋体"/>
          <w:sz w:val="24"/>
          <w:highlight w:val="none"/>
        </w:rPr>
      </w:pPr>
      <w:r>
        <w:rPr>
          <w:rFonts w:hint="eastAsia" w:ascii="宋体" w:hAnsi="宋体" w:cs="宋体"/>
          <w:sz w:val="24"/>
          <w:highlight w:val="none"/>
        </w:rPr>
        <w:t>4）指标采集：指标推送是从指标中心推送指标结果，而指标采集是从指标中心将指标结果进行采集，采集的范围可以根据甲方的实际使用需求进行申请；将指标结果从指标中心进行采集之后可以用于甲方相关业务系统的应用，预计完成约20类的指标采集工作。</w:t>
      </w:r>
    </w:p>
    <w:p w14:paraId="274D2F25">
      <w:pPr>
        <w:spacing w:line="360" w:lineRule="auto"/>
        <w:ind w:firstLine="480"/>
        <w:rPr>
          <w:rFonts w:ascii="宋体" w:hAnsi="宋体" w:cs="宋体"/>
          <w:sz w:val="24"/>
          <w:highlight w:val="none"/>
        </w:rPr>
      </w:pPr>
      <w:r>
        <w:rPr>
          <w:rFonts w:hint="eastAsia" w:ascii="宋体" w:hAnsi="宋体" w:cs="宋体"/>
          <w:sz w:val="24"/>
          <w:highlight w:val="none"/>
        </w:rPr>
        <w:t>5）数据融合服务：支撑客户特殊的数据使用需求，包括：数据关联、数据融合等，生成特定的结果表数据可以用于后续数据建模、数据查询、数据透出等数据使用需求，方便业务使用的同时也可以在数据安全层面进行把控，预计完成约20项的数据融合工作。</w:t>
      </w:r>
    </w:p>
    <w:p w14:paraId="5E456460">
      <w:pPr>
        <w:spacing w:line="360" w:lineRule="auto"/>
        <w:ind w:firstLine="480"/>
        <w:rPr>
          <w:rFonts w:ascii="宋体" w:hAnsi="宋体" w:cs="宋体"/>
          <w:sz w:val="24"/>
          <w:highlight w:val="none"/>
        </w:rPr>
      </w:pPr>
      <w:r>
        <w:rPr>
          <w:rFonts w:hint="eastAsia" w:ascii="宋体" w:hAnsi="宋体" w:cs="宋体"/>
          <w:sz w:val="24"/>
          <w:highlight w:val="none"/>
        </w:rPr>
        <w:t>6）计算分析服务：基于特定需求完成计算逻辑设计，针对云上已交付的数据治理成果开展统计分析并产出计算结果，满足客户数据分析需求，预计完成约20项的计算分析工作</w:t>
      </w:r>
    </w:p>
    <w:p w14:paraId="783F52F9">
      <w:pPr>
        <w:spacing w:line="360" w:lineRule="auto"/>
        <w:ind w:firstLine="480"/>
        <w:rPr>
          <w:rFonts w:ascii="宋体" w:hAnsi="宋体" w:cs="宋体"/>
          <w:sz w:val="24"/>
          <w:highlight w:val="none"/>
        </w:rPr>
      </w:pPr>
      <w:r>
        <w:rPr>
          <w:rFonts w:hint="eastAsia" w:ascii="宋体" w:hAnsi="宋体" w:cs="宋体"/>
          <w:sz w:val="24"/>
          <w:highlight w:val="none"/>
        </w:rPr>
        <w:t>7）进行现有200类数据魔方业务模型的梳理工作；在数据域进行200类数据魔方模型的重新设计、重新构建等工作（由于视频专网上的数据魔方模型不能直接迁移到数据域，故需要在数据域中将视频专网的里面的魔方重新在进行搭建并维护；因视频专网和数据中的数据存在一定的差距，且为了提升模型的多用途、计算等能力，故进行重构），涉及到的模型包括每日交通量、道路速度统计查询、高峰延误指数、道路早晚高峰速度模型等；实现重构200类数据魔方模型的测试、运行、优化等工作</w:t>
      </w:r>
    </w:p>
    <w:p w14:paraId="736CAA72">
      <w:pPr>
        <w:spacing w:line="360" w:lineRule="auto"/>
        <w:ind w:firstLine="480"/>
        <w:rPr>
          <w:rFonts w:ascii="宋体" w:hAnsi="宋体" w:cs="宋体"/>
          <w:sz w:val="24"/>
          <w:highlight w:val="none"/>
        </w:rPr>
      </w:pPr>
      <w:r>
        <w:rPr>
          <w:rFonts w:hint="eastAsia" w:ascii="宋体" w:hAnsi="宋体" w:cs="宋体"/>
          <w:sz w:val="24"/>
          <w:highlight w:val="none"/>
        </w:rPr>
        <w:t>8）根据业务发展以及云上数据治理需要，新增50个业务类、服务类等相关模型的设计、开发、测试、运营、优化等工作，涵盖交通卡口流量统计模型、卡口间车流OD统计模型等模型。</w:t>
      </w:r>
    </w:p>
    <w:p w14:paraId="51E83E23">
      <w:pPr>
        <w:spacing w:line="360" w:lineRule="auto"/>
        <w:ind w:firstLine="480"/>
        <w:rPr>
          <w:rFonts w:ascii="宋体" w:hAnsi="宋体" w:cs="宋体"/>
          <w:sz w:val="24"/>
          <w:highlight w:val="none"/>
        </w:rPr>
      </w:pPr>
      <w:r>
        <w:rPr>
          <w:rFonts w:hint="eastAsia" w:ascii="宋体" w:hAnsi="宋体" w:cs="宋体"/>
          <w:sz w:val="24"/>
          <w:highlight w:val="none"/>
        </w:rPr>
        <w:t>（4）数据能力支撑</w:t>
      </w:r>
    </w:p>
    <w:p w14:paraId="5D200AFC">
      <w:pPr>
        <w:spacing w:line="360" w:lineRule="auto"/>
        <w:ind w:firstLine="480"/>
        <w:rPr>
          <w:rFonts w:ascii="宋体" w:hAnsi="宋体" w:cs="宋体"/>
          <w:sz w:val="24"/>
          <w:highlight w:val="none"/>
        </w:rPr>
      </w:pPr>
      <w:r>
        <w:rPr>
          <w:rFonts w:hint="eastAsia" w:ascii="宋体" w:hAnsi="宋体" w:cs="宋体"/>
          <w:sz w:val="24"/>
          <w:highlight w:val="none"/>
        </w:rPr>
        <w:t>1）数据资源管理：包括资源市场、资源档案、资源审批；</w:t>
      </w:r>
    </w:p>
    <w:p w14:paraId="296D742A">
      <w:pPr>
        <w:spacing w:line="360" w:lineRule="auto"/>
        <w:ind w:firstLine="480"/>
        <w:rPr>
          <w:rFonts w:ascii="宋体" w:hAnsi="宋体" w:cs="宋体"/>
          <w:sz w:val="24"/>
          <w:highlight w:val="none"/>
        </w:rPr>
      </w:pPr>
      <w:r>
        <w:rPr>
          <w:rFonts w:hint="eastAsia" w:ascii="宋体" w:hAnsi="宋体" w:cs="宋体"/>
          <w:sz w:val="24"/>
          <w:highlight w:val="none"/>
        </w:rPr>
        <w:t>2）资源市场：按照统一的标准规范对数据资源进行管理，实现数据资源科学、有序、安全使用。</w:t>
      </w:r>
    </w:p>
    <w:p w14:paraId="4FC1D2AE">
      <w:pPr>
        <w:spacing w:line="360" w:lineRule="auto"/>
        <w:ind w:firstLine="480"/>
        <w:rPr>
          <w:rFonts w:ascii="宋体" w:hAnsi="宋体" w:cs="宋体"/>
          <w:sz w:val="24"/>
          <w:highlight w:val="none"/>
        </w:rPr>
      </w:pPr>
      <w:r>
        <w:rPr>
          <w:rFonts w:hint="eastAsia" w:ascii="宋体" w:hAnsi="宋体" w:cs="宋体"/>
          <w:sz w:val="24"/>
          <w:highlight w:val="none"/>
        </w:rPr>
        <w:t>3）资源档案：对数据资源进行档案式管理，使的用户更方便地了解和使用数据资源，简化用户认知数据表的难度，提高数据易用性。</w:t>
      </w:r>
    </w:p>
    <w:p w14:paraId="7C907CB7">
      <w:pPr>
        <w:spacing w:line="360" w:lineRule="auto"/>
        <w:ind w:firstLine="480"/>
        <w:rPr>
          <w:rFonts w:ascii="宋体" w:hAnsi="宋体" w:cs="宋体"/>
          <w:sz w:val="24"/>
          <w:highlight w:val="none"/>
        </w:rPr>
      </w:pPr>
      <w:r>
        <w:rPr>
          <w:rFonts w:hint="eastAsia" w:ascii="宋体" w:hAnsi="宋体" w:cs="宋体"/>
          <w:sz w:val="24"/>
          <w:highlight w:val="none"/>
        </w:rPr>
        <w:t>4）资源审批：提供资源审批功能供民警进行合理性验证，同时，以线上资源审批工单的形式进行管理，方便后续进行溯源管理。</w:t>
      </w:r>
    </w:p>
    <w:p w14:paraId="39CADB89">
      <w:pPr>
        <w:spacing w:line="360" w:lineRule="auto"/>
        <w:ind w:firstLine="480"/>
        <w:rPr>
          <w:rFonts w:ascii="宋体" w:hAnsi="宋体" w:cs="宋体"/>
          <w:sz w:val="24"/>
          <w:highlight w:val="none"/>
        </w:rPr>
      </w:pPr>
      <w:r>
        <w:rPr>
          <w:rFonts w:hint="eastAsia" w:ascii="宋体" w:hAnsi="宋体" w:cs="宋体"/>
          <w:sz w:val="24"/>
          <w:highlight w:val="none"/>
        </w:rPr>
        <w:t>预计完成200张表的资源的注册与管理工作。</w:t>
      </w:r>
    </w:p>
    <w:p w14:paraId="175E4C80">
      <w:pPr>
        <w:spacing w:line="360" w:lineRule="auto"/>
        <w:ind w:firstLine="480"/>
        <w:rPr>
          <w:rFonts w:ascii="宋体" w:hAnsi="宋体" w:cs="宋体"/>
          <w:sz w:val="24"/>
          <w:highlight w:val="none"/>
        </w:rPr>
      </w:pPr>
      <w:r>
        <w:rPr>
          <w:rFonts w:hint="eastAsia" w:ascii="宋体" w:hAnsi="宋体" w:cs="宋体"/>
          <w:sz w:val="24"/>
          <w:highlight w:val="none"/>
        </w:rPr>
        <w:t>5）服务资源管理：包括服务市场、服务安全。</w:t>
      </w:r>
    </w:p>
    <w:p w14:paraId="67B23B96">
      <w:pPr>
        <w:spacing w:line="360" w:lineRule="auto"/>
        <w:ind w:firstLine="480"/>
        <w:rPr>
          <w:rFonts w:ascii="宋体" w:hAnsi="宋体" w:cs="宋体"/>
          <w:sz w:val="24"/>
          <w:highlight w:val="none"/>
        </w:rPr>
      </w:pPr>
      <w:r>
        <w:rPr>
          <w:rFonts w:hint="eastAsia" w:ascii="宋体" w:hAnsi="宋体" w:cs="宋体"/>
          <w:sz w:val="24"/>
          <w:highlight w:val="none"/>
        </w:rPr>
        <w:t>6）服务市场：以界面化的形式进行表转服务的注册，已发布的数据服务将展示在服务市场中供业务方申请使用。</w:t>
      </w:r>
    </w:p>
    <w:p w14:paraId="69065125">
      <w:pPr>
        <w:spacing w:line="360" w:lineRule="auto"/>
        <w:ind w:firstLine="480"/>
        <w:rPr>
          <w:rFonts w:ascii="宋体" w:hAnsi="宋体" w:cs="宋体"/>
          <w:sz w:val="24"/>
          <w:highlight w:val="none"/>
        </w:rPr>
      </w:pPr>
      <w:r>
        <w:rPr>
          <w:rFonts w:hint="eastAsia" w:ascii="宋体" w:hAnsi="宋体" w:cs="宋体"/>
          <w:sz w:val="24"/>
          <w:highlight w:val="none"/>
        </w:rPr>
        <w:t>7）服务安全：以数据应用的身份对服务接口进行白名单权限认证，支持对服务接口进行调用限额，避免单应用的异常调用影响整体系统。</w:t>
      </w:r>
    </w:p>
    <w:p w14:paraId="1347C357">
      <w:pPr>
        <w:spacing w:line="360" w:lineRule="auto"/>
        <w:ind w:firstLine="480"/>
        <w:rPr>
          <w:rFonts w:ascii="宋体" w:hAnsi="宋体" w:cs="宋体"/>
          <w:sz w:val="24"/>
          <w:highlight w:val="none"/>
        </w:rPr>
      </w:pPr>
      <w:r>
        <w:rPr>
          <w:rFonts w:hint="eastAsia" w:ascii="宋体" w:hAnsi="宋体" w:cs="宋体"/>
          <w:sz w:val="24"/>
          <w:highlight w:val="none"/>
        </w:rPr>
        <w:t>预计完成30个服务的注册与管理工作。</w:t>
      </w:r>
    </w:p>
    <w:p w14:paraId="32B60285">
      <w:pPr>
        <w:spacing w:line="360" w:lineRule="auto"/>
        <w:ind w:firstLine="480"/>
        <w:rPr>
          <w:rFonts w:ascii="宋体" w:hAnsi="宋体" w:cs="宋体"/>
          <w:sz w:val="24"/>
          <w:highlight w:val="none"/>
        </w:rPr>
      </w:pPr>
      <w:r>
        <w:rPr>
          <w:rFonts w:hint="eastAsia" w:ascii="宋体" w:hAnsi="宋体" w:cs="宋体"/>
          <w:sz w:val="24"/>
          <w:highlight w:val="none"/>
        </w:rPr>
        <w:t>8）数据推送服务：数据推送服务主要用于支撑甲方内部系统在云上的数据使用需求，包括离线数据推送、实时数据推送；</w:t>
      </w:r>
    </w:p>
    <w:p w14:paraId="527CDBC0">
      <w:pPr>
        <w:spacing w:line="360" w:lineRule="auto"/>
        <w:ind w:firstLine="480"/>
        <w:rPr>
          <w:rFonts w:ascii="宋体" w:hAnsi="宋体" w:cs="宋体"/>
          <w:sz w:val="24"/>
          <w:highlight w:val="none"/>
        </w:rPr>
      </w:pPr>
      <w:r>
        <w:rPr>
          <w:rFonts w:hint="eastAsia" w:ascii="宋体" w:hAnsi="宋体" w:cs="宋体"/>
          <w:sz w:val="24"/>
          <w:highlight w:val="none"/>
        </w:rPr>
        <w:t>9）离线数据推送：离线数据推送指的是将上云或治理完成的结果表推送到应用方特定的关系型数据库，预计完成50张表的离线数据推送。</w:t>
      </w:r>
    </w:p>
    <w:p w14:paraId="38305683">
      <w:pPr>
        <w:spacing w:line="360" w:lineRule="auto"/>
        <w:ind w:firstLine="480"/>
        <w:rPr>
          <w:rFonts w:ascii="宋体" w:hAnsi="宋体" w:cs="宋体"/>
          <w:sz w:val="24"/>
          <w:highlight w:val="none"/>
        </w:rPr>
      </w:pPr>
      <w:r>
        <w:rPr>
          <w:rFonts w:hint="eastAsia" w:ascii="宋体" w:hAnsi="宋体" w:cs="宋体"/>
          <w:sz w:val="24"/>
          <w:highlight w:val="none"/>
        </w:rPr>
        <w:t>10）实时数据推送：实时数据指的是将实时数据推送到应用方的datahub，用于满足应用方的实时数据使用需求，预计完成30张表的实时数据推送。</w:t>
      </w:r>
    </w:p>
    <w:p w14:paraId="44497032">
      <w:pPr>
        <w:spacing w:line="360" w:lineRule="auto"/>
        <w:ind w:firstLine="480"/>
        <w:rPr>
          <w:rFonts w:ascii="宋体" w:hAnsi="宋体" w:cs="宋体"/>
          <w:sz w:val="24"/>
          <w:highlight w:val="none"/>
        </w:rPr>
      </w:pPr>
      <w:r>
        <w:rPr>
          <w:rFonts w:hint="eastAsia" w:ascii="宋体" w:hAnsi="宋体" w:cs="宋体"/>
          <w:sz w:val="24"/>
          <w:highlight w:val="none"/>
        </w:rPr>
        <w:t>11）数据透出服务：数据透出服务用于支撑甲方对外的数据共享需求，主要针对历史共享数据清单的数据链路进行梳理与切换，预计完成50张表的数据透出工作。</w:t>
      </w:r>
    </w:p>
    <w:p w14:paraId="18CD5BAA">
      <w:pPr>
        <w:spacing w:line="360" w:lineRule="auto"/>
        <w:ind w:firstLine="480"/>
        <w:rPr>
          <w:rFonts w:ascii="宋体" w:hAnsi="宋体" w:cs="宋体"/>
          <w:sz w:val="24"/>
          <w:highlight w:val="none"/>
        </w:rPr>
      </w:pPr>
      <w:r>
        <w:rPr>
          <w:rFonts w:hint="eastAsia" w:ascii="宋体" w:hAnsi="宋体" w:cs="宋体"/>
          <w:sz w:val="24"/>
          <w:highlight w:val="none"/>
        </w:rPr>
        <w:t>12）能力中心对接，包括指标中心对接、IT服务平台对接。</w:t>
      </w:r>
    </w:p>
    <w:p w14:paraId="534DE7D0">
      <w:pPr>
        <w:spacing w:line="360" w:lineRule="auto"/>
        <w:ind w:firstLine="480"/>
        <w:rPr>
          <w:rFonts w:ascii="宋体" w:hAnsi="宋体" w:cs="宋体"/>
          <w:sz w:val="24"/>
          <w:highlight w:val="none"/>
        </w:rPr>
      </w:pPr>
      <w:r>
        <w:rPr>
          <w:rFonts w:hint="eastAsia" w:ascii="宋体" w:hAnsi="宋体" w:cs="宋体"/>
          <w:sz w:val="24"/>
          <w:highlight w:val="none"/>
        </w:rPr>
        <w:t>13）指标中心对接：包括指标推送与指标采集：指标推送是将甲方的相关系统、模型的成果转化为指标服务，发布到指标中心；指标采集是将指标中心各个业务系统和大屏已经开发好的指标成果进行采集共享，避免重复开发。</w:t>
      </w:r>
    </w:p>
    <w:p w14:paraId="61E782CB">
      <w:pPr>
        <w:spacing w:line="360" w:lineRule="auto"/>
        <w:ind w:firstLine="480"/>
        <w:rPr>
          <w:rFonts w:ascii="宋体" w:hAnsi="宋体" w:cs="宋体"/>
          <w:sz w:val="24"/>
          <w:highlight w:val="none"/>
        </w:rPr>
      </w:pPr>
      <w:r>
        <w:rPr>
          <w:rFonts w:hint="eastAsia" w:ascii="宋体" w:hAnsi="宋体" w:cs="宋体"/>
          <w:sz w:val="24"/>
          <w:highlight w:val="none"/>
        </w:rPr>
        <w:t>14）IT服务平台对接：对接IT服务平台注册的相关服务接口，通过服务接口可以查询其它部门共享的业务系统数据，满足甲方特定的数据使用需求。</w:t>
      </w:r>
    </w:p>
    <w:p w14:paraId="594B9D3B">
      <w:pPr>
        <w:spacing w:line="360" w:lineRule="auto"/>
        <w:ind w:firstLine="480"/>
        <w:rPr>
          <w:rFonts w:ascii="宋体" w:hAnsi="宋体" w:cs="宋体"/>
          <w:sz w:val="24"/>
          <w:highlight w:val="none"/>
        </w:rPr>
      </w:pPr>
      <w:r>
        <w:rPr>
          <w:rFonts w:hint="eastAsia" w:ascii="宋体" w:hAnsi="宋体" w:cs="宋体"/>
          <w:sz w:val="24"/>
          <w:highlight w:val="none"/>
        </w:rPr>
        <w:t>（5）数据预警运营</w:t>
      </w:r>
    </w:p>
    <w:p w14:paraId="27C3481C">
      <w:pPr>
        <w:spacing w:line="360" w:lineRule="auto"/>
        <w:ind w:firstLine="480"/>
        <w:rPr>
          <w:rFonts w:ascii="宋体" w:hAnsi="宋体" w:cs="宋体"/>
          <w:sz w:val="24"/>
          <w:highlight w:val="none"/>
        </w:rPr>
      </w:pPr>
      <w:r>
        <w:rPr>
          <w:rFonts w:hint="eastAsia" w:ascii="宋体" w:hAnsi="宋体" w:cs="宋体"/>
          <w:sz w:val="24"/>
          <w:highlight w:val="none"/>
        </w:rPr>
        <w:t>1）上云任务监控运营：对接入组件的运行状况做一个整体的监控、包括任务监控、事件通知以及节点监控，通过监控中心发现任务或者执行节点的异常信息，及时预警通知运营人员，及时解决，预计需要完成400+个接入任务的运营管理。</w:t>
      </w:r>
    </w:p>
    <w:p w14:paraId="38171E87">
      <w:pPr>
        <w:spacing w:line="360" w:lineRule="auto"/>
        <w:ind w:firstLine="480"/>
        <w:rPr>
          <w:rFonts w:ascii="宋体" w:hAnsi="宋体" w:cs="宋体"/>
          <w:sz w:val="24"/>
          <w:highlight w:val="none"/>
        </w:rPr>
      </w:pPr>
      <w:r>
        <w:rPr>
          <w:rFonts w:hint="eastAsia" w:ascii="宋体" w:hAnsi="宋体" w:cs="宋体"/>
          <w:sz w:val="24"/>
          <w:highlight w:val="none"/>
        </w:rPr>
        <w:t>2）治理任务监控运营：将当前数据治理组件中的异常预警按照预警时间的倒序来进行展示，提供预警时间、处理状态、预警级别、监控对象、预警类型五种筛选条件来对预警进行分类，方便运营人员快速定位并修复数据治理问题，保障数据稳定性，预计需要完成200+个治理任务的运营管理。</w:t>
      </w:r>
    </w:p>
    <w:p w14:paraId="43979B33">
      <w:pPr>
        <w:spacing w:line="360" w:lineRule="auto"/>
        <w:ind w:firstLine="480"/>
        <w:rPr>
          <w:rFonts w:ascii="宋体" w:hAnsi="宋体" w:cs="宋体"/>
          <w:sz w:val="24"/>
          <w:highlight w:val="none"/>
        </w:rPr>
      </w:pPr>
      <w:r>
        <w:rPr>
          <w:rFonts w:hint="eastAsia" w:ascii="宋体" w:hAnsi="宋体" w:cs="宋体"/>
          <w:sz w:val="24"/>
          <w:highlight w:val="none"/>
        </w:rPr>
        <w:t>3）针对已经完成的200+数据模型和魔方算子进行维护、升级、运营等工作。</w:t>
      </w:r>
    </w:p>
    <w:p w14:paraId="45475A74">
      <w:pPr>
        <w:spacing w:line="360" w:lineRule="auto"/>
        <w:ind w:firstLine="480"/>
        <w:rPr>
          <w:rFonts w:ascii="宋体" w:hAnsi="宋体" w:cs="宋体"/>
          <w:b/>
          <w:bCs/>
          <w:sz w:val="24"/>
          <w:highlight w:val="none"/>
        </w:rPr>
      </w:pPr>
      <w:r>
        <w:rPr>
          <w:rFonts w:hint="eastAsia" w:ascii="宋体" w:hAnsi="宋体" w:cs="宋体"/>
          <w:b/>
          <w:bCs/>
          <w:sz w:val="24"/>
          <w:highlight w:val="none"/>
        </w:rPr>
        <w:t>（二）安全加固及应用迁移改造服务</w:t>
      </w:r>
    </w:p>
    <w:p w14:paraId="0C173C8B">
      <w:pPr>
        <w:spacing w:line="360" w:lineRule="auto"/>
        <w:ind w:firstLine="480"/>
        <w:rPr>
          <w:rFonts w:ascii="宋体" w:hAnsi="宋体" w:cs="宋体"/>
          <w:sz w:val="24"/>
          <w:highlight w:val="none"/>
        </w:rPr>
      </w:pPr>
      <w:r>
        <w:rPr>
          <w:rFonts w:hint="eastAsia" w:ascii="宋体" w:hAnsi="宋体" w:cs="宋体"/>
          <w:sz w:val="24"/>
          <w:highlight w:val="none"/>
        </w:rPr>
        <w:t xml:space="preserve">1、网络安全服务 </w:t>
      </w:r>
    </w:p>
    <w:p w14:paraId="6FA2B358">
      <w:pPr>
        <w:spacing w:line="360" w:lineRule="auto"/>
        <w:ind w:firstLine="480"/>
        <w:rPr>
          <w:rFonts w:ascii="宋体" w:hAnsi="宋体" w:cs="宋体"/>
          <w:sz w:val="24"/>
          <w:highlight w:val="none"/>
        </w:rPr>
      </w:pPr>
      <w:r>
        <w:rPr>
          <w:rFonts w:hint="eastAsia" w:ascii="宋体" w:hAnsi="宋体" w:cs="宋体"/>
          <w:sz w:val="24"/>
          <w:highlight w:val="none"/>
        </w:rPr>
        <w:t>针对甲方公安网、车管专网与视频专网的现状，公安网的网络安全性能尚能满足现有业务的安全保障工作。视频专网内仅建设有网络安全网关与大量的边界防护设备，网络内部安全隐患较大，故本期着重针对视频专网进行安全保障服务。</w:t>
      </w:r>
    </w:p>
    <w:p w14:paraId="32E512C9">
      <w:pPr>
        <w:spacing w:line="360" w:lineRule="auto"/>
        <w:ind w:firstLine="480"/>
        <w:rPr>
          <w:rFonts w:ascii="宋体" w:hAnsi="宋体" w:cs="宋体"/>
          <w:sz w:val="24"/>
          <w:highlight w:val="none"/>
        </w:rPr>
      </w:pPr>
      <w:r>
        <w:rPr>
          <w:rFonts w:hint="eastAsia" w:ascii="宋体" w:hAnsi="宋体" w:cs="宋体"/>
          <w:sz w:val="24"/>
          <w:highlight w:val="none"/>
        </w:rPr>
        <w:t>（1）漏洞扫描服务</w:t>
      </w:r>
    </w:p>
    <w:p w14:paraId="1725E9AD">
      <w:pPr>
        <w:spacing w:line="360" w:lineRule="auto"/>
        <w:ind w:firstLine="480"/>
        <w:rPr>
          <w:rFonts w:ascii="宋体" w:hAnsi="宋体" w:cs="宋体"/>
          <w:sz w:val="24"/>
          <w:highlight w:val="none"/>
        </w:rPr>
      </w:pPr>
      <w:r>
        <w:rPr>
          <w:rFonts w:hint="eastAsia" w:ascii="宋体" w:hAnsi="宋体" w:cs="宋体"/>
          <w:sz w:val="24"/>
          <w:highlight w:val="none"/>
        </w:rPr>
        <w:t>安全漏洞检测是脆弱性识别的重要手段，能够发现设备和系统中存在的风险点，分析技术措施的有效执行，了解漏洞的危害，通过及时修补完善，避免对信息系统造成严重影响。</w:t>
      </w:r>
    </w:p>
    <w:p w14:paraId="7848A2A3">
      <w:pPr>
        <w:spacing w:line="360" w:lineRule="auto"/>
        <w:ind w:firstLine="480"/>
        <w:rPr>
          <w:rFonts w:ascii="宋体" w:hAnsi="宋体" w:cs="宋体"/>
          <w:sz w:val="24"/>
          <w:highlight w:val="none"/>
        </w:rPr>
      </w:pPr>
      <w:r>
        <w:rPr>
          <w:rFonts w:hint="eastAsia" w:ascii="宋体" w:hAnsi="宋体" w:cs="宋体"/>
          <w:sz w:val="24"/>
          <w:highlight w:val="none"/>
        </w:rPr>
        <w:t>采用漏洞扫描工具对服务范围内各种软硬件设备进行网络层、系统层、数据库、应用层面的扫描与分析，扫描完成后并人工验证所发现的操作系统漏洞、数据库漏洞、弱口令、信息泄露及配置不当等脆弱性问题。提供准确有效的扫描报告，并针对漏洞扫描中出现的问题，提供解决方案，协助甲方进行解决。</w:t>
      </w:r>
    </w:p>
    <w:p w14:paraId="586EC24E">
      <w:pPr>
        <w:spacing w:line="360" w:lineRule="auto"/>
        <w:ind w:firstLine="480"/>
        <w:rPr>
          <w:rFonts w:ascii="宋体" w:hAnsi="宋体" w:cs="宋体"/>
          <w:sz w:val="24"/>
          <w:highlight w:val="none"/>
        </w:rPr>
      </w:pPr>
      <w:r>
        <w:rPr>
          <w:rFonts w:hint="eastAsia" w:ascii="宋体" w:hAnsi="宋体" w:cs="宋体"/>
          <w:sz w:val="24"/>
          <w:highlight w:val="none"/>
        </w:rPr>
        <w:t>（2）数据库审计服务</w:t>
      </w:r>
    </w:p>
    <w:p w14:paraId="77A9FE46">
      <w:pPr>
        <w:spacing w:line="360" w:lineRule="auto"/>
        <w:ind w:firstLine="480"/>
        <w:rPr>
          <w:rFonts w:ascii="宋体" w:hAnsi="宋体" w:cs="宋体"/>
          <w:sz w:val="24"/>
          <w:highlight w:val="none"/>
        </w:rPr>
      </w:pPr>
      <w:r>
        <w:rPr>
          <w:rFonts w:hint="eastAsia" w:ascii="宋体" w:hAnsi="宋体" w:cs="宋体"/>
          <w:sz w:val="24"/>
          <w:highlight w:val="none"/>
        </w:rPr>
        <w:t>以安全为核心的审计服务，以全面审计和精确审计为基础，通过全面管理手段贯穿安全事件处理生命周期，致力于全面降低安全风险。通过全面审计，深入了解安全事件的多层次方面，包括对潜在威胁的深入分析和对系统漏洞的详尽检查，确保系统在安全方面的高度韧性。强调精确审计，通过高度精细的审计过程，发现并识别任何异常活动，包括微小的安全漏洞和未经授权的访问，有效地防范潜在风险。全面管理贯穿整个安全事件处理生命周期，建立起强大而可持续的安全框架，包括对安全策略的不断优化和更新，以适应不断演变的威胁环境。这项审计服务不仅仅关注技术层面的保障，更注重整个组织的安全文化建设。通过构建的审计服务，实现了全面降低安全风险的目标，为甲方提供持久而可靠的安全保障。</w:t>
      </w:r>
    </w:p>
    <w:p w14:paraId="62BC9DAE">
      <w:pPr>
        <w:spacing w:line="360" w:lineRule="auto"/>
        <w:ind w:firstLine="480"/>
        <w:rPr>
          <w:rFonts w:ascii="宋体" w:hAnsi="宋体" w:cs="宋体"/>
          <w:sz w:val="24"/>
          <w:highlight w:val="none"/>
        </w:rPr>
      </w:pPr>
      <w:r>
        <w:rPr>
          <w:rFonts w:hint="eastAsia" w:ascii="宋体" w:hAnsi="宋体" w:cs="宋体"/>
          <w:sz w:val="24"/>
          <w:highlight w:val="none"/>
        </w:rPr>
        <w:t>（3）日志审计服务</w:t>
      </w:r>
    </w:p>
    <w:p w14:paraId="78B0B063">
      <w:pPr>
        <w:spacing w:line="360" w:lineRule="auto"/>
        <w:ind w:firstLine="480"/>
        <w:rPr>
          <w:rFonts w:ascii="宋体" w:hAnsi="宋体" w:cs="宋体"/>
          <w:sz w:val="24"/>
          <w:highlight w:val="none"/>
        </w:rPr>
      </w:pPr>
      <w:r>
        <w:rPr>
          <w:rFonts w:hint="eastAsia" w:ascii="宋体" w:hAnsi="宋体" w:cs="宋体"/>
          <w:sz w:val="24"/>
          <w:highlight w:val="none"/>
        </w:rPr>
        <w:t>通过对网络设备、安全设备、主机和应用系统日志进行全面标准化处理，实现一个高效的安全监控体系。通过及时发现各类安全威胁和异常行为事件，以保障甲方业务的持续、安全运营。通过标准化处理各种日志信息，建立一个有机的关联体系，使得管理人员能够从全局的视角深入了解系统运行状态，确保任何潜在威胁都不会对业务造成中断。</w:t>
      </w:r>
    </w:p>
    <w:p w14:paraId="1B10E804">
      <w:pPr>
        <w:spacing w:line="360" w:lineRule="auto"/>
        <w:ind w:firstLine="480"/>
        <w:rPr>
          <w:rFonts w:ascii="宋体" w:hAnsi="宋体" w:cs="宋体"/>
          <w:sz w:val="24"/>
          <w:highlight w:val="none"/>
        </w:rPr>
      </w:pPr>
      <w:r>
        <w:rPr>
          <w:rFonts w:hint="eastAsia" w:ascii="宋体" w:hAnsi="宋体" w:cs="宋体"/>
          <w:sz w:val="24"/>
          <w:highlight w:val="none"/>
        </w:rPr>
        <w:t>基于国际标准的关联分析引擎服务工具，提供全维度、跨设备、细粒度的关联分析，通过透过事件表象还原事件背后的信息，提供真正可信赖的事件追责依据，为业务运行的深度安全提供坚实支持。实现信息资产的统一管理和监控资产的运行状况，提供集中化的统一管理平台工具。完成所有的日志信息集中收集与处理。</w:t>
      </w:r>
    </w:p>
    <w:p w14:paraId="40EE2CAE">
      <w:pPr>
        <w:spacing w:line="360" w:lineRule="auto"/>
        <w:ind w:firstLine="480"/>
        <w:rPr>
          <w:rFonts w:ascii="宋体" w:hAnsi="宋体" w:cs="宋体"/>
          <w:sz w:val="24"/>
          <w:highlight w:val="none"/>
        </w:rPr>
      </w:pPr>
      <w:r>
        <w:rPr>
          <w:rFonts w:hint="eastAsia" w:ascii="宋体" w:hAnsi="宋体" w:cs="宋体"/>
          <w:sz w:val="24"/>
          <w:highlight w:val="none"/>
        </w:rPr>
        <w:t>通过对整体安全状况的全面审计，在第一时间发现潜在的问题并采取相应的措施。服务通过标准化处理日志信息，确保系统中的各类信息得到规范、统一的管理。通过关联分析引擎服务工具，深入挖掘事件背后的信息，为管理人员提供更为全面的安全视角。</w:t>
      </w:r>
    </w:p>
    <w:p w14:paraId="5A8703AA">
      <w:pPr>
        <w:spacing w:line="360" w:lineRule="auto"/>
        <w:ind w:firstLine="480"/>
        <w:rPr>
          <w:rFonts w:ascii="宋体" w:hAnsi="宋体" w:cs="宋体"/>
          <w:sz w:val="24"/>
          <w:highlight w:val="none"/>
        </w:rPr>
      </w:pPr>
      <w:r>
        <w:rPr>
          <w:rFonts w:hint="eastAsia" w:ascii="宋体" w:hAnsi="宋体" w:cs="宋体"/>
          <w:sz w:val="24"/>
          <w:highlight w:val="none"/>
        </w:rPr>
        <w:t>（4）安全运营服务</w:t>
      </w:r>
    </w:p>
    <w:p w14:paraId="1753C6FB">
      <w:pPr>
        <w:spacing w:line="360" w:lineRule="auto"/>
        <w:ind w:firstLine="480"/>
        <w:rPr>
          <w:rFonts w:ascii="宋体" w:hAnsi="宋体" w:cs="宋体"/>
          <w:sz w:val="24"/>
          <w:highlight w:val="none"/>
        </w:rPr>
      </w:pPr>
      <w:r>
        <w:rPr>
          <w:rFonts w:hint="eastAsia" w:ascii="宋体" w:hAnsi="宋体" w:cs="宋体"/>
          <w:sz w:val="24"/>
          <w:highlight w:val="none"/>
        </w:rPr>
        <w:t>提供1名专业安全服务人员配合甲方开展安全运营管理工作，提供5*8小时服务，负责公安信息网、视频专网、电子政务外网等相关网络的安全运营管理工作。协助开展网络安全主管部门安全检查，协助开展等级保护定级、备案、建设整改、测评和监督检查等。</w:t>
      </w:r>
    </w:p>
    <w:p w14:paraId="06495141">
      <w:pPr>
        <w:spacing w:line="360" w:lineRule="auto"/>
        <w:ind w:firstLine="480"/>
        <w:rPr>
          <w:rFonts w:ascii="宋体" w:hAnsi="宋体" w:cs="宋体"/>
          <w:sz w:val="24"/>
          <w:highlight w:val="none"/>
        </w:rPr>
      </w:pPr>
      <w:r>
        <w:rPr>
          <w:rFonts w:hint="eastAsia" w:ascii="宋体" w:hAnsi="宋体" w:cs="宋体"/>
          <w:sz w:val="24"/>
          <w:highlight w:val="none"/>
        </w:rPr>
        <w:t>网络安全技术防护策略持续改进主要针对日常安全监测和安全风险检查的结果进行综合分析研判，识别网络安全威胁和脆弱性，从整体网络安全技术防护策略的角度提出准确、有效的改进措施，协助开展策略配置调优，并定期开展策略配置备份、系统软件、特征库升级等操作。</w:t>
      </w:r>
    </w:p>
    <w:p w14:paraId="28FCC540">
      <w:pPr>
        <w:spacing w:line="360" w:lineRule="auto"/>
        <w:ind w:firstLine="480"/>
        <w:rPr>
          <w:rFonts w:ascii="宋体" w:hAnsi="宋体" w:cs="宋体"/>
          <w:sz w:val="24"/>
          <w:highlight w:val="none"/>
        </w:rPr>
      </w:pPr>
      <w:r>
        <w:rPr>
          <w:rFonts w:hint="eastAsia" w:ascii="宋体" w:hAnsi="宋体" w:cs="宋体"/>
          <w:sz w:val="24"/>
          <w:highlight w:val="none"/>
        </w:rPr>
        <w:t>定期针对日常安全监测和安全风险检查的结果进行综合分析研判，识别网络安全威胁、脆弱性和不合规配置项，从整体网络安全技术防护策略的角度提出准确、有效的改进措施，协助开展策略配置调优，以持续提升安全运行和防护能力。</w:t>
      </w:r>
    </w:p>
    <w:p w14:paraId="66D296CA">
      <w:pPr>
        <w:spacing w:line="360" w:lineRule="auto"/>
        <w:ind w:firstLine="480"/>
        <w:rPr>
          <w:rFonts w:ascii="宋体" w:hAnsi="宋体" w:cs="宋体"/>
          <w:sz w:val="24"/>
          <w:highlight w:val="none"/>
        </w:rPr>
      </w:pPr>
      <w:r>
        <w:rPr>
          <w:rFonts w:hint="eastAsia" w:ascii="宋体" w:hAnsi="宋体" w:cs="宋体"/>
          <w:sz w:val="24"/>
          <w:highlight w:val="none"/>
        </w:rPr>
        <w:t>（5）应急响应服务</w:t>
      </w:r>
    </w:p>
    <w:p w14:paraId="22664398">
      <w:pPr>
        <w:spacing w:line="360" w:lineRule="auto"/>
        <w:ind w:firstLine="480"/>
        <w:rPr>
          <w:rFonts w:ascii="宋体" w:hAnsi="宋体" w:cs="宋体"/>
          <w:sz w:val="24"/>
          <w:highlight w:val="none"/>
        </w:rPr>
      </w:pPr>
      <w:r>
        <w:rPr>
          <w:rFonts w:hint="eastAsia" w:ascii="宋体" w:hAnsi="宋体" w:cs="宋体"/>
          <w:sz w:val="24"/>
          <w:highlight w:val="none"/>
        </w:rPr>
        <w:t>应急响应服务通常包括采取远程、现场等紧急措施和行动，恢复业务到正常服务状态；调查安全事件发生的原因，避免同类安全事件再次发生；在需要司法机关介入时，提供法律认可的数字证据等。</w:t>
      </w:r>
    </w:p>
    <w:p w14:paraId="41C30709">
      <w:pPr>
        <w:spacing w:line="360" w:lineRule="auto"/>
        <w:ind w:firstLine="480"/>
        <w:rPr>
          <w:rFonts w:ascii="宋体" w:hAnsi="宋体" w:cs="宋体"/>
          <w:sz w:val="24"/>
          <w:highlight w:val="none"/>
        </w:rPr>
      </w:pPr>
      <w:r>
        <w:rPr>
          <w:rFonts w:hint="eastAsia" w:ascii="宋体" w:hAnsi="宋体" w:cs="宋体"/>
          <w:sz w:val="24"/>
          <w:highlight w:val="none"/>
        </w:rPr>
        <w:t>安全专家采取远程、现场等方式应对甲方突发的安全事件和安全问题。专家通过事件分析、原因查找、事件处置、证据保留、及事件溯源等方式，快速解决甲方信息安全事件及问题，恢复业务及系统的安全运行，并确保所有事件应急处置过程得到有效控制和记录。</w:t>
      </w:r>
    </w:p>
    <w:p w14:paraId="11CC4D64">
      <w:pPr>
        <w:spacing w:line="360" w:lineRule="auto"/>
        <w:ind w:firstLine="480"/>
        <w:rPr>
          <w:rFonts w:ascii="宋体" w:hAnsi="宋体" w:cs="宋体"/>
          <w:sz w:val="24"/>
          <w:highlight w:val="none"/>
        </w:rPr>
      </w:pPr>
      <w:r>
        <w:rPr>
          <w:rFonts w:hint="eastAsia" w:ascii="宋体" w:hAnsi="宋体" w:cs="宋体"/>
          <w:sz w:val="24"/>
          <w:highlight w:val="none"/>
        </w:rPr>
        <w:t>当需要应急响应协助甲方针对应用系统发生安全事件，并产生重大影响时，提供应急资源支持和应急人员支持，评估影响范围、事件抑制、溯源分析和复盘安全事件，协助开展业务恢复工作，并针对安全事件提供有效的整改意见。每年提供不少于4次应急响应服务。</w:t>
      </w:r>
    </w:p>
    <w:p w14:paraId="2AA08BAE">
      <w:pPr>
        <w:spacing w:line="360" w:lineRule="auto"/>
        <w:ind w:firstLine="480"/>
        <w:rPr>
          <w:rFonts w:ascii="宋体" w:hAnsi="宋体" w:cs="宋体"/>
          <w:sz w:val="24"/>
          <w:highlight w:val="none"/>
        </w:rPr>
      </w:pPr>
      <w:r>
        <w:rPr>
          <w:rFonts w:hint="eastAsia" w:ascii="宋体" w:hAnsi="宋体" w:cs="宋体"/>
          <w:sz w:val="24"/>
          <w:highlight w:val="none"/>
        </w:rPr>
        <w:t xml:space="preserve">（6）高级渗透测试服务 </w:t>
      </w:r>
    </w:p>
    <w:p w14:paraId="13485089">
      <w:pPr>
        <w:spacing w:line="360" w:lineRule="auto"/>
        <w:ind w:firstLine="480"/>
        <w:rPr>
          <w:rFonts w:ascii="宋体" w:hAnsi="宋体" w:cs="宋体"/>
          <w:sz w:val="24"/>
          <w:highlight w:val="none"/>
        </w:rPr>
      </w:pPr>
      <w:r>
        <w:rPr>
          <w:rFonts w:hint="eastAsia" w:ascii="宋体" w:hAnsi="宋体" w:cs="宋体"/>
          <w:sz w:val="24"/>
          <w:highlight w:val="none"/>
        </w:rPr>
        <w:t>渗透测试服务是安全专家通过利用目标应用系统的安全弱点，模拟黑客可能使用的攻击方法和漏洞发现技术，以人工渗透为主，漏洞扫描工具为辅，在保证整个渗透测试过程都在可以控制和调整的范围之内，尽可能的获取目标信息系统的管理权限以及敏感信息的过程。</w:t>
      </w:r>
    </w:p>
    <w:p w14:paraId="0BFBDC7E">
      <w:pPr>
        <w:spacing w:line="360" w:lineRule="auto"/>
        <w:ind w:firstLine="480"/>
        <w:rPr>
          <w:rFonts w:ascii="宋体" w:hAnsi="宋体" w:cs="宋体"/>
          <w:sz w:val="24"/>
          <w:highlight w:val="none"/>
        </w:rPr>
      </w:pPr>
      <w:r>
        <w:rPr>
          <w:rFonts w:hint="eastAsia" w:ascii="宋体" w:hAnsi="宋体" w:cs="宋体"/>
          <w:sz w:val="24"/>
          <w:highlight w:val="none"/>
        </w:rPr>
        <w:t>通过真实模拟黑客使用的工具和分析方法对甲方指定的信息系统进行模拟攻击，结合智能工具扫描结果，由网络安全高级专家进行深入的手工测试和分析，旨在识别工具弱点扫描无法发现的问题。这一过程包括先进的渗透测试工具的运用，模拟各类攻击场景，全面评估系统对于潜在威胁的抵抗能力。手工测试和分析与智能工具扫描相结合，通过深入的测试，发现那些仅依靠工具难以察觉的问题，提高对系统安全性的全面把控。服务注重发现系统中存在的潜在问题，如未经授权的访问、敏感数据的泄漏等，并为每个问题提供详尽的反馈和加固建议，确保信息系统能够在未来面对各类安全挑战时更为坚固和可靠。通过全面的、深度的渗透测试将为甲方信息系统提供实用而有效的安全加固方向，确保其在不断演进的网络威胁环境中保持最佳的安全状态。每年提供不少于20个系统的渗透测试服务。</w:t>
      </w:r>
    </w:p>
    <w:p w14:paraId="56517566">
      <w:pPr>
        <w:spacing w:line="360" w:lineRule="auto"/>
        <w:ind w:firstLine="480"/>
        <w:rPr>
          <w:rFonts w:ascii="宋体" w:hAnsi="宋体" w:cs="宋体"/>
          <w:sz w:val="24"/>
          <w:highlight w:val="none"/>
        </w:rPr>
      </w:pPr>
      <w:r>
        <w:rPr>
          <w:rFonts w:hint="eastAsia" w:ascii="宋体" w:hAnsi="宋体" w:cs="宋体"/>
          <w:sz w:val="24"/>
          <w:highlight w:val="none"/>
        </w:rPr>
        <w:t>（7）应急预案服务</w:t>
      </w:r>
    </w:p>
    <w:p w14:paraId="7DE1D1F9">
      <w:pPr>
        <w:spacing w:line="360" w:lineRule="auto"/>
        <w:ind w:firstLine="480"/>
        <w:rPr>
          <w:rFonts w:ascii="宋体" w:hAnsi="宋体" w:cs="宋体"/>
          <w:sz w:val="24"/>
          <w:highlight w:val="none"/>
        </w:rPr>
      </w:pPr>
      <w:r>
        <w:rPr>
          <w:rFonts w:hint="eastAsia" w:ascii="宋体" w:hAnsi="宋体" w:cs="宋体"/>
          <w:sz w:val="24"/>
          <w:highlight w:val="none"/>
        </w:rPr>
        <w:t>为了保障应急响应的服务质量，提供修订、完善应急预案服务。协助建立健全应急响应组织以及预防、预警机制，针对信息系统特点和可能的突发性安全事件拟制规范的应急处理流程，落实物质条件、人力和技术支撑等保障措施，制定出规范、全面、体系化的应急预案。</w:t>
      </w:r>
    </w:p>
    <w:p w14:paraId="5E659CF6">
      <w:pPr>
        <w:spacing w:line="360" w:lineRule="auto"/>
        <w:ind w:firstLine="480"/>
        <w:rPr>
          <w:rFonts w:ascii="宋体" w:hAnsi="宋体" w:cs="宋体"/>
          <w:sz w:val="24"/>
          <w:highlight w:val="none"/>
        </w:rPr>
      </w:pPr>
      <w:r>
        <w:rPr>
          <w:rFonts w:hint="eastAsia" w:ascii="宋体" w:hAnsi="宋体" w:cs="宋体"/>
          <w:sz w:val="24"/>
          <w:highlight w:val="none"/>
        </w:rPr>
        <w:t>应急预案的制定和完善将规范应急处理行为，避免应急处理过程中出现混乱、无序状况，减少处理过程中错误的发生，从而避免不必要的损失。</w:t>
      </w:r>
    </w:p>
    <w:p w14:paraId="2637471E">
      <w:pPr>
        <w:spacing w:line="360" w:lineRule="auto"/>
        <w:ind w:firstLine="480"/>
        <w:rPr>
          <w:rFonts w:ascii="宋体" w:hAnsi="宋体" w:cs="宋体"/>
          <w:sz w:val="24"/>
          <w:highlight w:val="none"/>
        </w:rPr>
      </w:pPr>
      <w:r>
        <w:rPr>
          <w:rFonts w:hint="eastAsia" w:ascii="宋体" w:hAnsi="宋体" w:cs="宋体"/>
          <w:sz w:val="24"/>
          <w:highlight w:val="none"/>
        </w:rPr>
        <w:t>（8）应急演练服务</w:t>
      </w:r>
    </w:p>
    <w:p w14:paraId="3258B8F9">
      <w:pPr>
        <w:spacing w:line="360" w:lineRule="auto"/>
        <w:ind w:firstLine="480"/>
        <w:rPr>
          <w:rFonts w:ascii="宋体" w:hAnsi="宋体" w:cs="宋体"/>
          <w:sz w:val="24"/>
          <w:highlight w:val="none"/>
        </w:rPr>
      </w:pPr>
      <w:r>
        <w:rPr>
          <w:rFonts w:hint="eastAsia" w:ascii="宋体" w:hAnsi="宋体" w:cs="宋体"/>
          <w:sz w:val="24"/>
          <w:highlight w:val="none"/>
        </w:rPr>
        <w:t>应急演练服务根据国家、行业等相关规章和标准，结合近年发生的安全事件和面临的安全风险，对甲方的网络安全应急预案进行全面评估与修订。基于符合甲方自身组织架构的网络安全应急预案服务，明确各个部门的责任，准备措施以及应对突发事件的配合机制，提供特定场景的安全演练。</w:t>
      </w:r>
    </w:p>
    <w:p w14:paraId="491417E2">
      <w:pPr>
        <w:spacing w:line="360" w:lineRule="auto"/>
        <w:ind w:firstLine="480"/>
        <w:rPr>
          <w:rFonts w:ascii="宋体" w:hAnsi="宋体" w:cs="宋体"/>
          <w:sz w:val="24"/>
          <w:highlight w:val="none"/>
        </w:rPr>
      </w:pPr>
      <w:r>
        <w:rPr>
          <w:rFonts w:hint="eastAsia" w:ascii="宋体" w:hAnsi="宋体" w:cs="宋体"/>
          <w:sz w:val="24"/>
          <w:highlight w:val="none"/>
        </w:rPr>
        <w:t>根据甲方需求提供特定场景的演练，可选形式：桌面演练、现场演练。桌面推演服务包括：演练场景分析、演练剧本编写、现场调研、人员组织等。现场演练服务内容包括：现状调研、演练方案编制、演练流程编制、现场演练组织、演练总结等。通过应急演练有效检验并完善应急预案、应急流程，提升甲方人员整体应急能力。</w:t>
      </w:r>
    </w:p>
    <w:p w14:paraId="5CDFC015">
      <w:pPr>
        <w:spacing w:line="360" w:lineRule="auto"/>
        <w:ind w:firstLine="480"/>
        <w:rPr>
          <w:rFonts w:ascii="宋体" w:hAnsi="宋体" w:cs="宋体"/>
          <w:sz w:val="24"/>
          <w:highlight w:val="none"/>
        </w:rPr>
      </w:pPr>
      <w:r>
        <w:rPr>
          <w:rFonts w:hint="eastAsia" w:ascii="宋体" w:hAnsi="宋体" w:cs="宋体"/>
          <w:sz w:val="24"/>
          <w:highlight w:val="none"/>
        </w:rPr>
        <w:t>（9）重要时期安全专家保障服务</w:t>
      </w:r>
    </w:p>
    <w:p w14:paraId="1C87D82C">
      <w:pPr>
        <w:spacing w:line="360" w:lineRule="auto"/>
        <w:ind w:firstLine="480"/>
        <w:rPr>
          <w:rFonts w:ascii="宋体" w:hAnsi="宋体" w:cs="宋体"/>
          <w:sz w:val="24"/>
          <w:highlight w:val="none"/>
        </w:rPr>
      </w:pPr>
      <w:r>
        <w:rPr>
          <w:rFonts w:hint="eastAsia" w:ascii="宋体" w:hAnsi="宋体" w:cs="宋体"/>
          <w:sz w:val="24"/>
          <w:highlight w:val="none"/>
        </w:rPr>
        <w:t>在重要时期，网络安全保障服务在重大活动的前、中、后阶段发挥着至关重要的作用。服务涵盖活动前的安全自查和运维，活动中的日志分析、安全值守、应急响应等，以及活动后的复盘总结。通过真实模拟黑客攻击手段，结合智能工具扫描和深入的手工测试与分析，专业团队识别工具弱点扫描难以发现的问题。这一全方位的服务体系致力于全面提升活动相关网络的安全性，增强网络的防御能力，以为甲方提供安全、快速、有效的安全服务。早期的安全自查和运维消除潜在隐患，实时的分析和值守保障网络安全，而活动后的复盘总结提供宝贵经验教训，不断优化服务流程。这一综合性的服务策略为重要时期的活动提供了强有力的网络支持，确保其在安全、稳定的网络环境中顺利展开，最大程度地降低潜在风险。每年提供不少于4次保障服务并提供安全日报。</w:t>
      </w:r>
    </w:p>
    <w:p w14:paraId="77B874BB">
      <w:pPr>
        <w:spacing w:line="360" w:lineRule="auto"/>
        <w:ind w:firstLine="480"/>
        <w:rPr>
          <w:rFonts w:ascii="宋体" w:hAnsi="宋体" w:cs="宋体"/>
          <w:sz w:val="24"/>
          <w:highlight w:val="none"/>
        </w:rPr>
      </w:pPr>
      <w:r>
        <w:rPr>
          <w:rFonts w:hint="eastAsia" w:ascii="宋体" w:hAnsi="宋体" w:cs="宋体"/>
          <w:sz w:val="24"/>
          <w:highlight w:val="none"/>
        </w:rPr>
        <w:t xml:space="preserve">（10）跨网数据请求与响应服务 </w:t>
      </w:r>
    </w:p>
    <w:p w14:paraId="60A7C2D8">
      <w:pPr>
        <w:spacing w:line="360" w:lineRule="auto"/>
        <w:ind w:firstLine="480"/>
        <w:rPr>
          <w:rFonts w:ascii="宋体" w:hAnsi="宋体" w:cs="宋体"/>
          <w:sz w:val="24"/>
          <w:highlight w:val="none"/>
        </w:rPr>
      </w:pPr>
      <w:r>
        <w:rPr>
          <w:rFonts w:hint="eastAsia" w:ascii="宋体" w:hAnsi="宋体" w:cs="宋体"/>
          <w:sz w:val="24"/>
          <w:highlight w:val="none"/>
        </w:rPr>
        <w:t>提供跨网数据请求与响应工具，为系统和用户在异构网络环境下实现了高度灵活而无缝的数据交流能力。通过协议适配，服务克服了不同网络通信障碍，确保数据在不同网络之间的顺畅传输。安全性需得到充分保障，采用先进的加密技术、身份验证和访问控制，有效预防未经授权的访问和数据泄露。服务通过优化性能，包括对数据传输通道的优化、带宽管理和网络流量的控制，确保了高效、快速的数据交换；提供适当的错误处理机制，能够及时检测并解决问题，保障数据交流的连续性和稳定性；通过引入校验和机制，确保在数据传输过程中不会发生数据损坏或篡改。</w:t>
      </w:r>
    </w:p>
    <w:p w14:paraId="6476AF4B">
      <w:pPr>
        <w:spacing w:line="360" w:lineRule="auto"/>
        <w:ind w:firstLine="480"/>
        <w:rPr>
          <w:rFonts w:ascii="宋体" w:hAnsi="宋体" w:cs="宋体"/>
          <w:sz w:val="24"/>
          <w:highlight w:val="none"/>
        </w:rPr>
      </w:pPr>
      <w:r>
        <w:rPr>
          <w:rFonts w:hint="eastAsia" w:ascii="宋体" w:hAnsi="宋体" w:cs="宋体"/>
          <w:sz w:val="24"/>
          <w:highlight w:val="none"/>
        </w:rPr>
        <w:t xml:space="preserve">（11）数据交换边界防护服务 </w:t>
      </w:r>
    </w:p>
    <w:p w14:paraId="631933FA">
      <w:pPr>
        <w:spacing w:line="360" w:lineRule="auto"/>
        <w:ind w:firstLine="480"/>
        <w:rPr>
          <w:rFonts w:ascii="宋体" w:hAnsi="宋体" w:cs="宋体"/>
          <w:sz w:val="24"/>
          <w:highlight w:val="none"/>
        </w:rPr>
      </w:pPr>
      <w:r>
        <w:rPr>
          <w:rFonts w:hint="eastAsia" w:ascii="宋体" w:hAnsi="宋体" w:cs="宋体"/>
          <w:sz w:val="24"/>
          <w:highlight w:val="none"/>
        </w:rPr>
        <w:t>提供数据交换边界防护服务工具，在甲方视频专网与公安网业务进行数据交换过程中，提供数据的机密性、完整性和可用性的服务，保护数据在跨网传输和通信过程中的安全。在网络边界部署边界防护工具，对进行细粒度的访问控制。对进出网络的信息内容进行过滤，实现对应用层 HTTP、FTP、TELNET、SMTP、POP3等协议命令级的控制；拥有细粒度为端口级，并根据会话状态信息为数据流提供明确的允许/拒绝访问处理，可将会话处于非活跃一定时间或会话结束后终止网络连接并通过限制网络最大流量数及网络连接数以提升安全等访问控制能力。</w:t>
      </w:r>
    </w:p>
    <w:p w14:paraId="5D2B7885">
      <w:pPr>
        <w:spacing w:line="360" w:lineRule="auto"/>
        <w:ind w:firstLine="480"/>
        <w:rPr>
          <w:rFonts w:ascii="宋体" w:hAnsi="宋体" w:cs="宋体"/>
          <w:sz w:val="24"/>
          <w:highlight w:val="none"/>
        </w:rPr>
      </w:pPr>
      <w:r>
        <w:rPr>
          <w:rFonts w:hint="eastAsia" w:ascii="宋体" w:hAnsi="宋体" w:cs="宋体"/>
          <w:sz w:val="24"/>
          <w:highlight w:val="none"/>
        </w:rPr>
        <w:t>（12）违规外联监测服务</w:t>
      </w:r>
    </w:p>
    <w:p w14:paraId="14F17EC6">
      <w:pPr>
        <w:spacing w:line="360" w:lineRule="auto"/>
        <w:ind w:firstLine="480"/>
        <w:rPr>
          <w:rFonts w:ascii="宋体" w:hAnsi="宋体" w:cs="宋体"/>
          <w:sz w:val="24"/>
          <w:highlight w:val="none"/>
        </w:rPr>
      </w:pPr>
      <w:r>
        <w:rPr>
          <w:rFonts w:hint="eastAsia" w:ascii="宋体" w:hAnsi="宋体" w:cs="宋体"/>
          <w:sz w:val="24"/>
          <w:highlight w:val="none"/>
        </w:rPr>
        <w:t>引入先进的监测技术和安全审计工具，实时监测网络流量、检测异常访问和识别不寻常的数据传输模式，以主动发现违规外联行为，提高对潜在威胁的感知。建立快速响应机制，一旦检测到异常行为，立即向本级监管方报告，以便迅速采取应对措施，增强监管方对整个网络系统的掌控。完成监测系统的定期检查和更新，修复系统漏洞，升级防护机制，保持系统的健康状态。采用智能化的边界安全防护系统，通过深度学习和行为分析，系统能够学习并识别正常的网络活动模式，实现对异常行为的自动识别和响应。</w:t>
      </w:r>
    </w:p>
    <w:p w14:paraId="465F48AD">
      <w:pPr>
        <w:spacing w:line="360" w:lineRule="auto"/>
        <w:ind w:firstLine="480"/>
        <w:rPr>
          <w:rFonts w:ascii="宋体" w:hAnsi="宋体" w:cs="宋体"/>
          <w:sz w:val="24"/>
          <w:highlight w:val="none"/>
        </w:rPr>
      </w:pPr>
      <w:r>
        <w:rPr>
          <w:rFonts w:hint="eastAsia" w:ascii="宋体" w:hAnsi="宋体" w:cs="宋体"/>
          <w:sz w:val="24"/>
          <w:highlight w:val="none"/>
        </w:rPr>
        <w:t>2、关键业务安全迁移及改造</w:t>
      </w:r>
    </w:p>
    <w:p w14:paraId="634C03AD">
      <w:pPr>
        <w:spacing w:line="360" w:lineRule="auto"/>
        <w:ind w:firstLine="480"/>
        <w:rPr>
          <w:rFonts w:ascii="宋体" w:hAnsi="宋体" w:cs="宋体"/>
          <w:sz w:val="24"/>
          <w:highlight w:val="none"/>
        </w:rPr>
      </w:pPr>
      <w:r>
        <w:rPr>
          <w:rFonts w:hint="eastAsia" w:ascii="宋体" w:hAnsi="宋体" w:cs="宋体"/>
          <w:sz w:val="24"/>
          <w:highlight w:val="none"/>
        </w:rPr>
        <w:t>2.1合成作战应用迁移服务</w:t>
      </w:r>
    </w:p>
    <w:p w14:paraId="085D6DF5">
      <w:pPr>
        <w:spacing w:line="360" w:lineRule="auto"/>
        <w:ind w:firstLine="480"/>
        <w:rPr>
          <w:rFonts w:ascii="宋体" w:hAnsi="宋体" w:cs="宋体"/>
          <w:sz w:val="24"/>
          <w:highlight w:val="none"/>
        </w:rPr>
      </w:pPr>
      <w:r>
        <w:rPr>
          <w:rFonts w:hint="eastAsia" w:ascii="宋体" w:hAnsi="宋体" w:cs="宋体"/>
          <w:sz w:val="24"/>
          <w:highlight w:val="none"/>
        </w:rPr>
        <w:t>提供交管专有云平台合成作战应用向警务云迁移改造服务，满足信创要求，包括人车查询、电动车智控、勤务管理、视频巡查、预警中心、警情打标等模块迁移改造。乙方应保证在服务期内完成该项服务。具体内容如下：</w:t>
      </w:r>
    </w:p>
    <w:p w14:paraId="327FC071">
      <w:pPr>
        <w:spacing w:line="360" w:lineRule="auto"/>
        <w:ind w:firstLine="480"/>
        <w:rPr>
          <w:rFonts w:ascii="宋体" w:hAnsi="宋体" w:cs="宋体"/>
          <w:sz w:val="24"/>
          <w:highlight w:val="none"/>
        </w:rPr>
      </w:pPr>
      <w:r>
        <w:rPr>
          <w:rFonts w:hint="eastAsia" w:ascii="宋体" w:hAnsi="宋体" w:cs="宋体"/>
          <w:sz w:val="24"/>
          <w:highlight w:val="none"/>
        </w:rPr>
        <w:t>（1）人车查询模块。包括机动车信息查询、驾驶人信息查询，具体工作包括：迁移表及数据的整理、应用前后端架构分离、应用升级改造、安全访问改造、应用配置改造、应用数据链路调整、整体系统调试及优化。</w:t>
      </w:r>
    </w:p>
    <w:p w14:paraId="7C9EBE37">
      <w:pPr>
        <w:spacing w:line="360" w:lineRule="auto"/>
        <w:ind w:firstLine="480"/>
        <w:rPr>
          <w:rFonts w:ascii="宋体" w:hAnsi="宋体" w:cs="宋体"/>
          <w:sz w:val="24"/>
          <w:highlight w:val="none"/>
        </w:rPr>
      </w:pPr>
      <w:r>
        <w:rPr>
          <w:rFonts w:hint="eastAsia" w:ascii="宋体" w:hAnsi="宋体" w:cs="宋体"/>
          <w:sz w:val="24"/>
          <w:highlight w:val="none"/>
        </w:rPr>
        <w:t>（2）电动车智控PC端。电动自行车智控闭环应用根据设定的违法查处、撤控规则，并串联移动端查处应用，支撑违法处置高效开展，绩效考核准确快捷。具体工作包括：迁移表及数据的整理、应用前后端架构分离、应用升级改造、安全访问改造、应用配置改造、应用数据链路调整、图片链路调整及保存、整体系统调试及优化。</w:t>
      </w:r>
    </w:p>
    <w:p w14:paraId="5A7957C9">
      <w:pPr>
        <w:spacing w:line="360" w:lineRule="auto"/>
        <w:ind w:firstLine="480"/>
        <w:rPr>
          <w:rFonts w:ascii="宋体" w:hAnsi="宋体" w:cs="宋体"/>
          <w:sz w:val="24"/>
          <w:highlight w:val="none"/>
        </w:rPr>
      </w:pPr>
      <w:r>
        <w:rPr>
          <w:rFonts w:hint="eastAsia" w:ascii="宋体" w:hAnsi="宋体" w:cs="宋体"/>
          <w:sz w:val="24"/>
          <w:highlight w:val="none"/>
        </w:rPr>
        <w:t>（3）勤务管理模块。包含巡防区管理、勤务智检、在线警力、勤务排班等功能。具体工作包括：迁移表及数据的整理、应用前后端架构分离、应用升级改造、安全访问改造、应用配置改造、应用数据链路调整、图片链路调整及保存、整体系统调试及优化。</w:t>
      </w:r>
    </w:p>
    <w:p w14:paraId="16ECC66E">
      <w:pPr>
        <w:spacing w:line="360" w:lineRule="auto"/>
        <w:ind w:firstLine="480"/>
        <w:rPr>
          <w:rFonts w:ascii="宋体" w:hAnsi="宋体" w:cs="宋体"/>
          <w:sz w:val="24"/>
          <w:highlight w:val="none"/>
        </w:rPr>
      </w:pPr>
      <w:r>
        <w:rPr>
          <w:rFonts w:hint="eastAsia" w:ascii="宋体" w:hAnsi="宋体" w:cs="宋体"/>
          <w:sz w:val="24"/>
          <w:highlight w:val="none"/>
        </w:rPr>
        <w:t>（4）视频巡查PC端。包括视频巡查处置流程及视频巡查驾驶舱展示。具体工作包括：迁移表及数据的整理、应用前后端架构分离、应用升级改造、安全访问改造、应用配置改造、应用数据链路调整、图片链路调整及保存、整体系统调试及优化。</w:t>
      </w:r>
    </w:p>
    <w:p w14:paraId="5213FE42">
      <w:pPr>
        <w:spacing w:line="360" w:lineRule="auto"/>
        <w:ind w:firstLine="480"/>
        <w:rPr>
          <w:rFonts w:ascii="宋体" w:hAnsi="宋体" w:cs="宋体"/>
          <w:sz w:val="24"/>
          <w:highlight w:val="none"/>
        </w:rPr>
      </w:pPr>
      <w:r>
        <w:rPr>
          <w:rFonts w:hint="eastAsia" w:ascii="宋体" w:hAnsi="宋体" w:cs="宋体"/>
          <w:sz w:val="24"/>
          <w:highlight w:val="none"/>
        </w:rPr>
        <w:t>（5）预警中心。应用对接多个第三方平台数据包括过车、违法等数据，直接预警或通过模型和算法产生预警。具体工作包括：迁移表及数据的整理、应用前后端架构分离、应用升级改造、安全访问改造、应用配置改造、应用数据链路调整、图片链路调整及保存、整体系统调试及优化。</w:t>
      </w:r>
    </w:p>
    <w:p w14:paraId="30C7FA8B">
      <w:pPr>
        <w:spacing w:line="360" w:lineRule="auto"/>
        <w:ind w:firstLine="480"/>
        <w:rPr>
          <w:rFonts w:ascii="宋体" w:hAnsi="宋体" w:cs="宋体"/>
          <w:sz w:val="24"/>
          <w:highlight w:val="none"/>
        </w:rPr>
      </w:pPr>
      <w:r>
        <w:rPr>
          <w:rFonts w:hint="eastAsia" w:ascii="宋体" w:hAnsi="宋体" w:cs="宋体"/>
          <w:sz w:val="24"/>
          <w:highlight w:val="none"/>
        </w:rPr>
        <w:t>（6）警情打标模块。包括标签设置、标签项自定义、警情打标、查案打标、标签筛选、相关统计、打标导出详情等功能。具体工作包括：迁移表及数据的整理、应用前后端架构分离、应用升级改造、安全访问改造、应用配置改造、应用数据链路调整、整体系统调试及优化。</w:t>
      </w:r>
    </w:p>
    <w:p w14:paraId="3D885442">
      <w:pPr>
        <w:spacing w:line="360" w:lineRule="auto"/>
        <w:ind w:firstLine="480"/>
        <w:rPr>
          <w:rFonts w:ascii="宋体" w:hAnsi="宋体" w:cs="宋体"/>
          <w:sz w:val="24"/>
          <w:highlight w:val="none"/>
        </w:rPr>
      </w:pPr>
      <w:r>
        <w:rPr>
          <w:rFonts w:hint="eastAsia" w:ascii="宋体" w:hAnsi="宋体" w:cs="宋体"/>
          <w:sz w:val="24"/>
          <w:highlight w:val="none"/>
        </w:rPr>
        <w:t>2.2非现场执法平台升级改造服务</w:t>
      </w:r>
    </w:p>
    <w:p w14:paraId="202D60B1">
      <w:pPr>
        <w:spacing w:line="360" w:lineRule="auto"/>
        <w:ind w:firstLine="480"/>
        <w:rPr>
          <w:rFonts w:ascii="宋体" w:hAnsi="宋体" w:cs="宋体"/>
          <w:sz w:val="24"/>
          <w:highlight w:val="none"/>
        </w:rPr>
      </w:pPr>
      <w:r>
        <w:rPr>
          <w:rFonts w:hint="eastAsia" w:ascii="宋体" w:hAnsi="宋体" w:cs="宋体"/>
          <w:sz w:val="24"/>
          <w:highlight w:val="none"/>
        </w:rPr>
        <w:t>提供支队非现场执法平台软件迁移改造服务，满足信创要求，包括软件服务以及硬件支撑环境搭建服务。乙方应保证在服务期内完成该项服务。具体内容如下：</w:t>
      </w:r>
    </w:p>
    <w:p w14:paraId="09F83EE6">
      <w:pPr>
        <w:widowControl/>
        <w:spacing w:line="360" w:lineRule="auto"/>
        <w:ind w:firstLine="480"/>
        <w:jc w:val="left"/>
        <w:rPr>
          <w:rFonts w:ascii="宋体" w:hAnsi="宋体" w:cs="宋体"/>
          <w:sz w:val="24"/>
          <w:highlight w:val="none"/>
        </w:rPr>
      </w:pPr>
      <w:r>
        <w:rPr>
          <w:rFonts w:hint="eastAsia" w:ascii="宋体" w:hAnsi="宋体" w:cs="宋体"/>
          <w:sz w:val="24"/>
          <w:highlight w:val="none"/>
        </w:rPr>
        <w:t>（1）提供软件服务，包括非现场平台功能迁移、特色需求优化迁移、平台数据对接和扩容、平台业务接口迁移、专网数据转发、非现场功能升级等服务，构建公安网环境下的支队非现场执法平台，支撑非现场业务的高效运转。</w:t>
      </w:r>
    </w:p>
    <w:p w14:paraId="080A21FC">
      <w:pPr>
        <w:spacing w:line="360" w:lineRule="auto"/>
        <w:ind w:firstLine="480"/>
        <w:rPr>
          <w:rFonts w:ascii="宋体" w:hAnsi="宋体" w:cs="宋体"/>
          <w:sz w:val="24"/>
          <w:highlight w:val="none"/>
        </w:rPr>
      </w:pPr>
      <w:r>
        <w:rPr>
          <w:rFonts w:hint="eastAsia" w:ascii="宋体" w:hAnsi="宋体" w:cs="宋体"/>
          <w:sz w:val="24"/>
          <w:highlight w:val="none"/>
        </w:rPr>
        <w:t>1）非现场平台功能迁移服务：主要涉及将现有非现场执法平台的所有功能迁移至新的软件平台。这包括但不限于数据采集、处理、存储、查询和分析等功能的完整迁移。</w:t>
      </w:r>
    </w:p>
    <w:p w14:paraId="767701E7">
      <w:pPr>
        <w:spacing w:line="360" w:lineRule="auto"/>
        <w:ind w:firstLine="480"/>
        <w:rPr>
          <w:rFonts w:ascii="宋体" w:hAnsi="宋体" w:cs="宋体"/>
          <w:sz w:val="24"/>
          <w:highlight w:val="none"/>
        </w:rPr>
      </w:pPr>
      <w:r>
        <w:rPr>
          <w:rFonts w:hint="eastAsia" w:ascii="宋体" w:hAnsi="宋体" w:cs="宋体"/>
          <w:sz w:val="24"/>
          <w:highlight w:val="none"/>
        </w:rPr>
        <w:t>2）特色需求优化迁移服务：由于业务需求可能存在差异，因此需要进行特定的优化以满足甲方特色需求。包括优驾容错功能的优化、急事通功能的完善等。</w:t>
      </w:r>
    </w:p>
    <w:p w14:paraId="5FF3F9CF">
      <w:pPr>
        <w:spacing w:line="360" w:lineRule="auto"/>
        <w:ind w:firstLine="480"/>
        <w:rPr>
          <w:rFonts w:ascii="宋体" w:hAnsi="宋体" w:cs="宋体"/>
          <w:sz w:val="24"/>
          <w:highlight w:val="none"/>
        </w:rPr>
      </w:pPr>
      <w:r>
        <w:rPr>
          <w:rFonts w:hint="eastAsia" w:ascii="宋体" w:hAnsi="宋体" w:cs="宋体"/>
          <w:sz w:val="24"/>
          <w:highlight w:val="none"/>
        </w:rPr>
        <w:t>3）平台数据对接和扩容服务：在迁移过程中，需要确保新旧平台之间的数据无缝对接，同时考虑到未来数据增长的需求，进行必要的扩容准备，以支撑更大规模的数据处理和分析。</w:t>
      </w:r>
    </w:p>
    <w:p w14:paraId="433488D5">
      <w:pPr>
        <w:spacing w:line="360" w:lineRule="auto"/>
        <w:ind w:firstLine="480"/>
        <w:rPr>
          <w:rFonts w:ascii="宋体" w:hAnsi="宋体" w:cs="宋体"/>
          <w:sz w:val="24"/>
          <w:highlight w:val="none"/>
        </w:rPr>
      </w:pPr>
      <w:r>
        <w:rPr>
          <w:rFonts w:hint="eastAsia" w:ascii="宋体" w:hAnsi="宋体" w:cs="宋体"/>
          <w:sz w:val="24"/>
          <w:highlight w:val="none"/>
        </w:rPr>
        <w:t>4）平台业务接口迁移服务：对于与外部系统或应用之间的业务接口，需要进行相应的迁移，以确保与外部系统的兼容性和数据交互的顺畅性。</w:t>
      </w:r>
    </w:p>
    <w:p w14:paraId="5664E616">
      <w:pPr>
        <w:spacing w:line="360" w:lineRule="auto"/>
        <w:ind w:firstLine="480"/>
        <w:rPr>
          <w:rFonts w:ascii="宋体" w:hAnsi="宋体" w:cs="宋体"/>
          <w:sz w:val="24"/>
          <w:highlight w:val="none"/>
        </w:rPr>
      </w:pPr>
      <w:r>
        <w:rPr>
          <w:rFonts w:hint="eastAsia" w:ascii="宋体" w:hAnsi="宋体" w:cs="宋体"/>
          <w:sz w:val="24"/>
          <w:highlight w:val="none"/>
        </w:rPr>
        <w:t>5）专网数据转发服务：在视频和专网采集的非现场数据，统一经过安全边界摆渡至公安网侧。</w:t>
      </w:r>
    </w:p>
    <w:p w14:paraId="14D25C8A">
      <w:pPr>
        <w:spacing w:line="360" w:lineRule="auto"/>
        <w:ind w:firstLine="480"/>
        <w:rPr>
          <w:rFonts w:ascii="宋体" w:hAnsi="宋体" w:cs="宋体"/>
          <w:sz w:val="24"/>
          <w:highlight w:val="none"/>
        </w:rPr>
      </w:pPr>
      <w:r>
        <w:rPr>
          <w:rFonts w:hint="eastAsia" w:ascii="宋体" w:hAnsi="宋体" w:cs="宋体"/>
          <w:sz w:val="24"/>
          <w:highlight w:val="none"/>
        </w:rPr>
        <w:t>6）非现场功能升级服务：根据中国信息安全评测中心发布的《安全可靠测评工作指南》要求，需要对非现场执法平台的功能进行升级和改进。涉及到使用国产信创产品来构建新的平台，以满足公安网环境下对数据安全和隐私保护的高标准要求。</w:t>
      </w:r>
    </w:p>
    <w:p w14:paraId="2A9B2E29">
      <w:pPr>
        <w:spacing w:line="360" w:lineRule="auto"/>
        <w:ind w:firstLine="480"/>
        <w:rPr>
          <w:rFonts w:ascii="宋体" w:hAnsi="宋体" w:cs="宋体"/>
          <w:sz w:val="24"/>
          <w:highlight w:val="none"/>
        </w:rPr>
      </w:pPr>
      <w:r>
        <w:rPr>
          <w:rFonts w:hint="eastAsia" w:ascii="宋体" w:hAnsi="宋体" w:cs="宋体"/>
          <w:sz w:val="24"/>
          <w:highlight w:val="none"/>
        </w:rPr>
        <w:t>（2）支队非现场执法平台硬件支撑环境搭建服务。</w:t>
      </w:r>
    </w:p>
    <w:p w14:paraId="692399CE">
      <w:pPr>
        <w:spacing w:line="360" w:lineRule="auto"/>
        <w:ind w:firstLine="480"/>
        <w:rPr>
          <w:rFonts w:ascii="宋体" w:hAnsi="宋体" w:cs="宋体"/>
          <w:sz w:val="24"/>
          <w:highlight w:val="none"/>
        </w:rPr>
      </w:pPr>
      <w:r>
        <w:rPr>
          <w:rFonts w:hint="eastAsia" w:ascii="宋体" w:hAnsi="宋体" w:cs="宋体"/>
          <w:sz w:val="24"/>
          <w:highlight w:val="none"/>
        </w:rPr>
        <w:t>2.3视频业务安全改造</w:t>
      </w:r>
    </w:p>
    <w:p w14:paraId="425A0E2B">
      <w:pPr>
        <w:spacing w:line="360" w:lineRule="auto"/>
        <w:ind w:firstLine="480"/>
        <w:rPr>
          <w:rFonts w:ascii="宋体" w:hAnsi="宋体" w:cs="宋体"/>
          <w:sz w:val="24"/>
          <w:highlight w:val="none"/>
        </w:rPr>
      </w:pPr>
      <w:r>
        <w:rPr>
          <w:rFonts w:hint="eastAsia" w:ascii="宋体" w:hAnsi="宋体" w:cs="宋体"/>
          <w:sz w:val="24"/>
          <w:highlight w:val="none"/>
        </w:rPr>
        <w:t>提供视频业务安全改造服务，满足信创要求，包含软件改造和硬件租赁，乙方应保证在服务期内完成软件改造服务和硬件租赁服务上线。 具体内容如下：</w:t>
      </w:r>
    </w:p>
    <w:p w14:paraId="0C4DC4DB">
      <w:pPr>
        <w:spacing w:line="360" w:lineRule="auto"/>
        <w:ind w:firstLine="480"/>
        <w:rPr>
          <w:rFonts w:ascii="宋体" w:hAnsi="宋体" w:cs="宋体"/>
          <w:sz w:val="24"/>
          <w:highlight w:val="none"/>
        </w:rPr>
      </w:pPr>
      <w:r>
        <w:rPr>
          <w:rFonts w:hint="eastAsia" w:ascii="宋体" w:hAnsi="宋体" w:cs="宋体"/>
          <w:sz w:val="24"/>
          <w:highlight w:val="none"/>
        </w:rPr>
        <w:t>（1）软件改造服务，视频专网视频平台国产化系统改造服务为视频监控客户端软件升级服务，主要对客户端进行国产化芯片、操作系统的适配升级。</w:t>
      </w:r>
    </w:p>
    <w:p w14:paraId="79E3D6F8">
      <w:pPr>
        <w:spacing w:line="360" w:lineRule="auto"/>
        <w:ind w:firstLine="480"/>
        <w:rPr>
          <w:rFonts w:ascii="宋体" w:hAnsi="宋体" w:cs="宋体"/>
          <w:sz w:val="24"/>
          <w:highlight w:val="none"/>
        </w:rPr>
      </w:pPr>
      <w:r>
        <w:rPr>
          <w:rFonts w:hint="eastAsia" w:ascii="宋体" w:hAnsi="宋体" w:cs="宋体"/>
          <w:sz w:val="24"/>
          <w:highlight w:val="none"/>
        </w:rPr>
        <w:t>（2）硬件租赁服务，主要对视频专网视频平台与国产化PC端的交互信令、码流信令进行适配。</w:t>
      </w:r>
    </w:p>
    <w:p w14:paraId="29D7C42B">
      <w:pPr>
        <w:spacing w:line="360" w:lineRule="auto"/>
        <w:ind w:firstLine="480"/>
        <w:rPr>
          <w:rFonts w:ascii="宋体" w:hAnsi="宋体" w:cs="宋体"/>
          <w:b/>
          <w:bCs/>
          <w:sz w:val="24"/>
          <w:highlight w:val="none"/>
        </w:rPr>
      </w:pPr>
      <w:r>
        <w:rPr>
          <w:rFonts w:hint="eastAsia" w:ascii="宋体" w:hAnsi="宋体" w:cs="宋体"/>
          <w:b/>
          <w:bCs/>
          <w:sz w:val="24"/>
          <w:highlight w:val="none"/>
        </w:rPr>
        <w:t>（三）货运导航数据及运营保障服务</w:t>
      </w:r>
    </w:p>
    <w:p w14:paraId="7620D862">
      <w:pPr>
        <w:spacing w:line="360" w:lineRule="auto"/>
        <w:ind w:firstLine="480"/>
        <w:rPr>
          <w:rFonts w:ascii="宋体" w:hAnsi="宋体" w:cs="宋体"/>
          <w:sz w:val="24"/>
          <w:highlight w:val="none"/>
        </w:rPr>
      </w:pPr>
      <w:r>
        <w:rPr>
          <w:rFonts w:hint="eastAsia" w:ascii="宋体" w:hAnsi="宋体" w:cs="宋体"/>
          <w:sz w:val="24"/>
          <w:highlight w:val="none"/>
        </w:rPr>
        <w:t>1、互联网地图导航基础服务</w:t>
      </w:r>
    </w:p>
    <w:p w14:paraId="3F97E8E5">
      <w:pPr>
        <w:spacing w:line="360" w:lineRule="auto"/>
        <w:ind w:firstLine="480"/>
        <w:rPr>
          <w:rFonts w:ascii="宋体" w:hAnsi="宋体" w:cs="宋体"/>
          <w:sz w:val="24"/>
          <w:highlight w:val="none"/>
        </w:rPr>
      </w:pPr>
      <w:r>
        <w:rPr>
          <w:rFonts w:hint="eastAsia" w:ascii="宋体" w:hAnsi="宋体" w:cs="宋体"/>
          <w:sz w:val="24"/>
          <w:highlight w:val="none"/>
        </w:rPr>
        <w:t>（1）基于货车长宽高重等整体信息，结合限行政策、限行区内黑白名单等信息，为货车做线路规划；提供每天访问量100w次，并发访问个数100个的能力。</w:t>
      </w:r>
    </w:p>
    <w:p w14:paraId="7BA4DD0F">
      <w:pPr>
        <w:spacing w:line="360" w:lineRule="auto"/>
        <w:ind w:firstLine="480"/>
        <w:rPr>
          <w:rFonts w:ascii="宋体" w:hAnsi="宋体" w:cs="宋体"/>
          <w:sz w:val="24"/>
          <w:highlight w:val="none"/>
        </w:rPr>
      </w:pPr>
      <w:r>
        <w:rPr>
          <w:rFonts w:hint="eastAsia" w:ascii="宋体" w:hAnsi="宋体" w:cs="宋体"/>
          <w:sz w:val="24"/>
          <w:highlight w:val="none"/>
        </w:rPr>
        <w:t>（2）基于货车长宽高重等整体信息，结合限行政策、限行区内黑白名单等信息，为货车做导航，提供显示、播报等sdk能力；提供每天访问量100w次，并发访问个数100个的能力。</w:t>
      </w:r>
    </w:p>
    <w:p w14:paraId="79791C9E">
      <w:pPr>
        <w:spacing w:line="360" w:lineRule="auto"/>
        <w:ind w:firstLine="480"/>
        <w:rPr>
          <w:rFonts w:ascii="宋体" w:hAnsi="宋体" w:cs="宋体"/>
          <w:sz w:val="24"/>
          <w:highlight w:val="none"/>
        </w:rPr>
      </w:pPr>
      <w:r>
        <w:rPr>
          <w:rFonts w:hint="eastAsia" w:ascii="宋体" w:hAnsi="宋体" w:cs="宋体"/>
          <w:sz w:val="24"/>
          <w:highlight w:val="none"/>
        </w:rPr>
        <w:t>（3）基于规划的货车通行证线路信息，将其上传到互联网导航平台云端并做持久化保存；提供每天访问量30w次，并发访问个数50个的能力。</w:t>
      </w:r>
    </w:p>
    <w:p w14:paraId="5221BF97">
      <w:pPr>
        <w:spacing w:line="360" w:lineRule="auto"/>
        <w:ind w:firstLine="480"/>
        <w:rPr>
          <w:rFonts w:ascii="宋体" w:hAnsi="宋体" w:cs="宋体"/>
          <w:sz w:val="24"/>
          <w:highlight w:val="none"/>
        </w:rPr>
      </w:pPr>
      <w:r>
        <w:rPr>
          <w:rFonts w:hint="eastAsia" w:ascii="宋体" w:hAnsi="宋体" w:cs="宋体"/>
          <w:sz w:val="24"/>
          <w:highlight w:val="none"/>
        </w:rPr>
        <w:t>（4）基于互联网导航平台云端增加的线路信息，将其与路网绑定，形成唯一的货车通行证线路；提供每天访问量30w次，并发访问个数50个的能力。</w:t>
      </w:r>
    </w:p>
    <w:p w14:paraId="3CEAC488">
      <w:pPr>
        <w:spacing w:line="360" w:lineRule="auto"/>
        <w:ind w:firstLine="480"/>
        <w:rPr>
          <w:rFonts w:ascii="宋体" w:hAnsi="宋体" w:cs="宋体"/>
          <w:sz w:val="24"/>
          <w:highlight w:val="none"/>
        </w:rPr>
      </w:pPr>
      <w:r>
        <w:rPr>
          <w:rFonts w:hint="eastAsia" w:ascii="宋体" w:hAnsi="宋体" w:cs="宋体"/>
          <w:sz w:val="24"/>
          <w:highlight w:val="none"/>
        </w:rPr>
        <w:t>（5）基于关键字信息获取周边的POI信息，供货车导航确定起终点；提供每天访问量50w次，并发访问个数100个的能力。</w:t>
      </w:r>
    </w:p>
    <w:p w14:paraId="4F7C00BE">
      <w:pPr>
        <w:spacing w:line="360" w:lineRule="auto"/>
        <w:ind w:firstLine="480"/>
        <w:rPr>
          <w:rFonts w:ascii="宋体" w:hAnsi="宋体" w:cs="宋体"/>
          <w:sz w:val="24"/>
          <w:highlight w:val="none"/>
        </w:rPr>
      </w:pPr>
      <w:r>
        <w:rPr>
          <w:rFonts w:hint="eastAsia" w:ascii="宋体" w:hAnsi="宋体" w:cs="宋体"/>
          <w:sz w:val="24"/>
          <w:highlight w:val="none"/>
        </w:rPr>
        <w:t>（6）基于定线导航id获取其线路规划的信息，供定线导航；提供每天访问量50w次，并发访问个数50个的能力。</w:t>
      </w:r>
    </w:p>
    <w:p w14:paraId="3B81C499">
      <w:pPr>
        <w:spacing w:line="360" w:lineRule="auto"/>
        <w:ind w:firstLine="480"/>
        <w:rPr>
          <w:rFonts w:ascii="宋体" w:hAnsi="宋体" w:cs="宋体"/>
          <w:sz w:val="24"/>
          <w:highlight w:val="none"/>
        </w:rPr>
      </w:pPr>
      <w:r>
        <w:rPr>
          <w:rFonts w:hint="eastAsia" w:ascii="宋体" w:hAnsi="宋体" w:cs="宋体"/>
          <w:sz w:val="24"/>
          <w:highlight w:val="none"/>
        </w:rPr>
        <w:t>2、城市货运导航数据运营服务</w:t>
      </w:r>
    </w:p>
    <w:p w14:paraId="31DE75BB">
      <w:pPr>
        <w:spacing w:line="360" w:lineRule="auto"/>
        <w:ind w:firstLine="480"/>
        <w:rPr>
          <w:rFonts w:ascii="宋体" w:hAnsi="宋体" w:cs="宋体"/>
          <w:sz w:val="24"/>
          <w:highlight w:val="none"/>
        </w:rPr>
      </w:pPr>
      <w:r>
        <w:rPr>
          <w:rFonts w:hint="eastAsia" w:ascii="宋体" w:hAnsi="宋体" w:cs="宋体"/>
          <w:sz w:val="24"/>
          <w:highlight w:val="none"/>
        </w:rPr>
        <w:t>2.1常态化货运交通组织优化调整服务</w:t>
      </w:r>
    </w:p>
    <w:p w14:paraId="568386FB">
      <w:pPr>
        <w:spacing w:line="360" w:lineRule="auto"/>
        <w:ind w:firstLine="480"/>
        <w:rPr>
          <w:rFonts w:ascii="宋体" w:hAnsi="宋体" w:cs="宋体"/>
          <w:sz w:val="24"/>
          <w:highlight w:val="none"/>
        </w:rPr>
      </w:pPr>
      <w:r>
        <w:rPr>
          <w:rFonts w:hint="eastAsia" w:ascii="宋体" w:hAnsi="宋体" w:cs="宋体"/>
          <w:sz w:val="24"/>
          <w:highlight w:val="none"/>
        </w:rPr>
        <w:t>（1）限行区域数据调整、制作、数据测试、数据发布服务；</w:t>
      </w:r>
    </w:p>
    <w:p w14:paraId="38A0F78D">
      <w:pPr>
        <w:spacing w:line="360" w:lineRule="auto"/>
        <w:ind w:firstLine="480"/>
        <w:rPr>
          <w:rFonts w:ascii="宋体" w:hAnsi="宋体" w:cs="宋体"/>
          <w:sz w:val="24"/>
          <w:highlight w:val="none"/>
        </w:rPr>
      </w:pPr>
      <w:r>
        <w:rPr>
          <w:rFonts w:hint="eastAsia" w:ascii="宋体" w:hAnsi="宋体" w:cs="宋体"/>
          <w:sz w:val="24"/>
          <w:highlight w:val="none"/>
        </w:rPr>
        <w:t>（2）禁行区域数据调整、制作、数据测试、数据发布服务；</w:t>
      </w:r>
    </w:p>
    <w:p w14:paraId="0FD65C05">
      <w:pPr>
        <w:spacing w:line="360" w:lineRule="auto"/>
        <w:ind w:firstLine="480"/>
        <w:rPr>
          <w:rFonts w:ascii="宋体" w:hAnsi="宋体" w:cs="宋体"/>
          <w:sz w:val="24"/>
          <w:highlight w:val="none"/>
        </w:rPr>
      </w:pPr>
      <w:r>
        <w:rPr>
          <w:rFonts w:hint="eastAsia" w:ascii="宋体" w:hAnsi="宋体" w:cs="宋体"/>
          <w:sz w:val="24"/>
          <w:highlight w:val="none"/>
        </w:rPr>
        <w:t>（3）黑名单道路调整、数据制作、数据测试、数据发布服务；</w:t>
      </w:r>
    </w:p>
    <w:p w14:paraId="462C32DB">
      <w:pPr>
        <w:spacing w:line="360" w:lineRule="auto"/>
        <w:ind w:firstLine="480"/>
        <w:rPr>
          <w:rFonts w:ascii="宋体" w:hAnsi="宋体" w:cs="宋体"/>
          <w:sz w:val="24"/>
          <w:highlight w:val="none"/>
        </w:rPr>
      </w:pPr>
      <w:r>
        <w:rPr>
          <w:rFonts w:hint="eastAsia" w:ascii="宋体" w:hAnsi="宋体" w:cs="宋体"/>
          <w:sz w:val="24"/>
          <w:highlight w:val="none"/>
        </w:rPr>
        <w:t>（4）避让区域的调整、数据制作、数据测试、数据发布服务；</w:t>
      </w:r>
    </w:p>
    <w:p w14:paraId="44622C42">
      <w:pPr>
        <w:spacing w:line="360" w:lineRule="auto"/>
        <w:ind w:firstLine="480"/>
        <w:rPr>
          <w:rFonts w:ascii="宋体" w:hAnsi="宋体" w:cs="宋体"/>
          <w:sz w:val="24"/>
          <w:highlight w:val="none"/>
        </w:rPr>
      </w:pPr>
      <w:r>
        <w:rPr>
          <w:rFonts w:hint="eastAsia" w:ascii="宋体" w:hAnsi="宋体" w:cs="宋体"/>
          <w:sz w:val="24"/>
          <w:highlight w:val="none"/>
        </w:rPr>
        <w:t>2.2大型活动、节假日等货运交通组织调整服务。</w:t>
      </w:r>
    </w:p>
    <w:p w14:paraId="4C93D0D3">
      <w:pPr>
        <w:spacing w:line="360" w:lineRule="auto"/>
        <w:ind w:firstLine="480"/>
        <w:rPr>
          <w:rFonts w:ascii="宋体" w:hAnsi="宋体" w:cs="宋体"/>
          <w:sz w:val="24"/>
          <w:highlight w:val="none"/>
        </w:rPr>
      </w:pPr>
      <w:r>
        <w:rPr>
          <w:rFonts w:hint="eastAsia" w:ascii="宋体" w:hAnsi="宋体" w:cs="宋体"/>
          <w:sz w:val="24"/>
          <w:highlight w:val="none"/>
        </w:rPr>
        <w:t>（1）限行区域数据调整、制作、数据测试、数据发布服务；</w:t>
      </w:r>
    </w:p>
    <w:p w14:paraId="28F7CB21">
      <w:pPr>
        <w:spacing w:line="360" w:lineRule="auto"/>
        <w:ind w:firstLine="480"/>
        <w:rPr>
          <w:rFonts w:ascii="宋体" w:hAnsi="宋体" w:cs="宋体"/>
          <w:sz w:val="24"/>
          <w:highlight w:val="none"/>
        </w:rPr>
      </w:pPr>
      <w:r>
        <w:rPr>
          <w:rFonts w:hint="eastAsia" w:ascii="宋体" w:hAnsi="宋体" w:cs="宋体"/>
          <w:sz w:val="24"/>
          <w:highlight w:val="none"/>
        </w:rPr>
        <w:t>（2）禁行区域数据调整、制作、数据测试、数据发布服务；</w:t>
      </w:r>
    </w:p>
    <w:p w14:paraId="62403539">
      <w:pPr>
        <w:spacing w:line="360" w:lineRule="auto"/>
        <w:ind w:firstLine="480"/>
        <w:rPr>
          <w:rFonts w:ascii="宋体" w:hAnsi="宋体" w:cs="宋体"/>
          <w:sz w:val="24"/>
          <w:highlight w:val="none"/>
        </w:rPr>
      </w:pPr>
      <w:r>
        <w:rPr>
          <w:rFonts w:hint="eastAsia" w:ascii="宋体" w:hAnsi="宋体" w:cs="宋体"/>
          <w:sz w:val="24"/>
          <w:highlight w:val="none"/>
        </w:rPr>
        <w:t>（3）黑名单道路数据制作、数据测试、数据发布服务；</w:t>
      </w:r>
    </w:p>
    <w:p w14:paraId="2DB9AB4C">
      <w:pPr>
        <w:spacing w:line="360" w:lineRule="auto"/>
        <w:ind w:firstLine="480"/>
        <w:rPr>
          <w:rFonts w:ascii="宋体" w:hAnsi="宋体" w:cs="宋体"/>
          <w:sz w:val="24"/>
          <w:highlight w:val="none"/>
        </w:rPr>
      </w:pPr>
      <w:r>
        <w:rPr>
          <w:rFonts w:hint="eastAsia" w:ascii="宋体" w:hAnsi="宋体" w:cs="宋体"/>
          <w:sz w:val="24"/>
          <w:highlight w:val="none"/>
        </w:rPr>
        <w:t>（4）避让区域的调整、数据制作、数据测试、数据发布服务。</w:t>
      </w:r>
    </w:p>
    <w:p w14:paraId="6BCCC241">
      <w:pPr>
        <w:spacing w:line="360" w:lineRule="auto"/>
        <w:ind w:firstLine="480"/>
        <w:rPr>
          <w:rFonts w:ascii="宋体" w:hAnsi="宋体" w:cs="宋体"/>
          <w:sz w:val="24"/>
          <w:highlight w:val="none"/>
        </w:rPr>
      </w:pPr>
      <w:r>
        <w:rPr>
          <w:rFonts w:hint="eastAsia" w:ascii="宋体" w:hAnsi="宋体" w:cs="宋体"/>
          <w:sz w:val="24"/>
          <w:highlight w:val="none"/>
        </w:rPr>
        <w:t>2.3省厅行政审批系统、货车通行证系统数据接口对接、数据运营服务</w:t>
      </w:r>
    </w:p>
    <w:p w14:paraId="14260850">
      <w:pPr>
        <w:spacing w:line="360" w:lineRule="auto"/>
        <w:ind w:firstLine="480"/>
        <w:rPr>
          <w:rFonts w:ascii="宋体" w:hAnsi="宋体" w:cs="宋体"/>
          <w:sz w:val="24"/>
          <w:highlight w:val="none"/>
        </w:rPr>
      </w:pPr>
      <w:r>
        <w:rPr>
          <w:rFonts w:hint="eastAsia" w:ascii="宋体" w:hAnsi="宋体" w:cs="宋体"/>
          <w:sz w:val="24"/>
          <w:highlight w:val="none"/>
        </w:rPr>
        <w:t>（1）可申请路线修改接口</w:t>
      </w:r>
    </w:p>
    <w:p w14:paraId="290A034F">
      <w:pPr>
        <w:spacing w:line="360" w:lineRule="auto"/>
        <w:ind w:firstLine="480"/>
        <w:rPr>
          <w:rFonts w:ascii="宋体" w:hAnsi="宋体" w:cs="宋体"/>
          <w:sz w:val="24"/>
          <w:highlight w:val="none"/>
        </w:rPr>
      </w:pPr>
      <w:r>
        <w:rPr>
          <w:rFonts w:hint="eastAsia" w:ascii="宋体" w:hAnsi="宋体" w:cs="宋体"/>
          <w:sz w:val="24"/>
          <w:highlight w:val="none"/>
        </w:rPr>
        <w:t>（2）可申请路线获取接口</w:t>
      </w:r>
    </w:p>
    <w:p w14:paraId="74A435A4">
      <w:pPr>
        <w:spacing w:line="360" w:lineRule="auto"/>
        <w:ind w:firstLine="480"/>
        <w:rPr>
          <w:rFonts w:ascii="宋体" w:hAnsi="宋体" w:cs="宋体"/>
          <w:sz w:val="24"/>
          <w:highlight w:val="none"/>
        </w:rPr>
      </w:pPr>
      <w:r>
        <w:rPr>
          <w:rFonts w:hint="eastAsia" w:ascii="宋体" w:hAnsi="宋体" w:cs="宋体"/>
          <w:sz w:val="24"/>
          <w:highlight w:val="none"/>
        </w:rPr>
        <w:t>（3）办件接收接口</w:t>
      </w:r>
    </w:p>
    <w:p w14:paraId="3DF20CF3">
      <w:pPr>
        <w:spacing w:line="360" w:lineRule="auto"/>
        <w:ind w:firstLine="480"/>
        <w:rPr>
          <w:rFonts w:ascii="宋体" w:hAnsi="宋体" w:cs="宋体"/>
          <w:sz w:val="24"/>
          <w:highlight w:val="none"/>
        </w:rPr>
      </w:pPr>
      <w:r>
        <w:rPr>
          <w:rFonts w:hint="eastAsia" w:ascii="宋体" w:hAnsi="宋体" w:cs="宋体"/>
          <w:sz w:val="24"/>
          <w:highlight w:val="none"/>
        </w:rPr>
        <w:t>（4）审批结果接收接口</w:t>
      </w:r>
    </w:p>
    <w:p w14:paraId="348AE9CF">
      <w:pPr>
        <w:spacing w:line="360" w:lineRule="auto"/>
        <w:ind w:firstLine="480"/>
        <w:rPr>
          <w:rFonts w:ascii="宋体" w:hAnsi="宋体" w:cs="宋体"/>
          <w:sz w:val="24"/>
          <w:highlight w:val="none"/>
        </w:rPr>
      </w:pPr>
      <w:r>
        <w:rPr>
          <w:rFonts w:hint="eastAsia" w:ascii="宋体" w:hAnsi="宋体" w:cs="宋体"/>
          <w:sz w:val="24"/>
          <w:highlight w:val="none"/>
        </w:rPr>
        <w:t>（5）通行证允许申请车辆接收接口</w:t>
      </w:r>
    </w:p>
    <w:p w14:paraId="21171BE5">
      <w:pPr>
        <w:spacing w:line="360" w:lineRule="auto"/>
        <w:ind w:firstLine="480"/>
        <w:rPr>
          <w:rFonts w:ascii="宋体" w:hAnsi="宋体" w:cs="宋体"/>
          <w:sz w:val="24"/>
          <w:highlight w:val="none"/>
        </w:rPr>
      </w:pPr>
      <w:r>
        <w:rPr>
          <w:rFonts w:hint="eastAsia" w:ascii="宋体" w:hAnsi="宋体" w:cs="宋体"/>
          <w:sz w:val="24"/>
          <w:highlight w:val="none"/>
        </w:rPr>
        <w:t>（6）通行证允许申请车辆修改接口</w:t>
      </w:r>
    </w:p>
    <w:p w14:paraId="28C1CA25">
      <w:pPr>
        <w:spacing w:line="360" w:lineRule="auto"/>
        <w:ind w:firstLine="480"/>
        <w:rPr>
          <w:rFonts w:ascii="宋体" w:hAnsi="宋体" w:cs="宋体"/>
          <w:sz w:val="24"/>
          <w:highlight w:val="none"/>
        </w:rPr>
      </w:pPr>
      <w:r>
        <w:rPr>
          <w:rFonts w:hint="eastAsia" w:ascii="宋体" w:hAnsi="宋体" w:cs="宋体"/>
          <w:sz w:val="24"/>
          <w:highlight w:val="none"/>
        </w:rPr>
        <w:t>（7）通行证允许申请车辆获取接口</w:t>
      </w:r>
    </w:p>
    <w:p w14:paraId="686BFA01">
      <w:pPr>
        <w:spacing w:line="360" w:lineRule="auto"/>
        <w:ind w:firstLine="480"/>
        <w:rPr>
          <w:rFonts w:ascii="宋体" w:hAnsi="宋体" w:cs="宋体"/>
          <w:sz w:val="24"/>
          <w:highlight w:val="none"/>
        </w:rPr>
      </w:pPr>
      <w:r>
        <w:rPr>
          <w:rFonts w:hint="eastAsia" w:ascii="宋体" w:hAnsi="宋体" w:cs="宋体"/>
          <w:sz w:val="24"/>
          <w:highlight w:val="none"/>
        </w:rPr>
        <w:t>（8）办件审批进度获取接口</w:t>
      </w:r>
    </w:p>
    <w:p w14:paraId="5889C982">
      <w:pPr>
        <w:spacing w:line="360" w:lineRule="auto"/>
        <w:ind w:firstLine="480"/>
        <w:rPr>
          <w:rFonts w:ascii="宋体" w:hAnsi="宋体" w:cs="宋体"/>
          <w:sz w:val="24"/>
          <w:highlight w:val="none"/>
        </w:rPr>
      </w:pPr>
      <w:r>
        <w:rPr>
          <w:rFonts w:hint="eastAsia" w:ascii="宋体" w:hAnsi="宋体" w:cs="宋体"/>
          <w:sz w:val="24"/>
          <w:highlight w:val="none"/>
        </w:rPr>
        <w:t>（9）通行证允许申请线路接收接口</w:t>
      </w:r>
    </w:p>
    <w:p w14:paraId="43B3F742">
      <w:pPr>
        <w:spacing w:line="360" w:lineRule="auto"/>
        <w:ind w:firstLine="480"/>
        <w:rPr>
          <w:rFonts w:ascii="宋体" w:hAnsi="宋体" w:cs="宋体"/>
          <w:sz w:val="24"/>
          <w:highlight w:val="none"/>
        </w:rPr>
      </w:pPr>
      <w:r>
        <w:rPr>
          <w:rFonts w:hint="eastAsia" w:ascii="宋体" w:hAnsi="宋体" w:cs="宋体"/>
          <w:sz w:val="24"/>
          <w:highlight w:val="none"/>
        </w:rPr>
        <w:t>（10）通行证允许申请线路修改接口</w:t>
      </w:r>
    </w:p>
    <w:p w14:paraId="1D88834D">
      <w:pPr>
        <w:spacing w:line="360" w:lineRule="auto"/>
        <w:ind w:firstLine="480"/>
        <w:rPr>
          <w:rFonts w:ascii="宋体" w:hAnsi="宋体" w:cs="宋体"/>
          <w:sz w:val="24"/>
          <w:highlight w:val="none"/>
        </w:rPr>
      </w:pPr>
      <w:r>
        <w:rPr>
          <w:rFonts w:hint="eastAsia" w:ascii="宋体" w:hAnsi="宋体" w:cs="宋体"/>
          <w:sz w:val="24"/>
          <w:highlight w:val="none"/>
        </w:rPr>
        <w:t>（11）通行证允许申请线路获取接口</w:t>
      </w:r>
    </w:p>
    <w:p w14:paraId="3DDA0B32">
      <w:pPr>
        <w:spacing w:line="360" w:lineRule="auto"/>
        <w:ind w:firstLine="480"/>
        <w:rPr>
          <w:rFonts w:ascii="宋体" w:hAnsi="宋体" w:cs="宋体"/>
          <w:sz w:val="24"/>
          <w:highlight w:val="none"/>
        </w:rPr>
      </w:pPr>
      <w:r>
        <w:rPr>
          <w:rFonts w:hint="eastAsia" w:ascii="宋体" w:hAnsi="宋体" w:cs="宋体"/>
          <w:sz w:val="24"/>
          <w:highlight w:val="none"/>
        </w:rPr>
        <w:t>（12）获取/刷新数字证书接口</w:t>
      </w:r>
    </w:p>
    <w:p w14:paraId="7ECFA846">
      <w:pPr>
        <w:spacing w:line="360" w:lineRule="auto"/>
        <w:ind w:firstLine="480"/>
        <w:rPr>
          <w:rFonts w:ascii="宋体" w:hAnsi="宋体" w:cs="宋体"/>
          <w:sz w:val="24"/>
          <w:highlight w:val="none"/>
        </w:rPr>
      </w:pPr>
      <w:r>
        <w:rPr>
          <w:rFonts w:hint="eastAsia" w:ascii="宋体" w:hAnsi="宋体" w:cs="宋体"/>
          <w:sz w:val="24"/>
          <w:highlight w:val="none"/>
        </w:rPr>
        <w:t>（13）办件接收接口</w:t>
      </w:r>
    </w:p>
    <w:p w14:paraId="34610256">
      <w:pPr>
        <w:spacing w:line="360" w:lineRule="auto"/>
        <w:ind w:firstLine="480"/>
        <w:rPr>
          <w:rFonts w:ascii="宋体" w:hAnsi="宋体" w:cs="宋体"/>
          <w:sz w:val="24"/>
          <w:highlight w:val="none"/>
        </w:rPr>
      </w:pPr>
      <w:r>
        <w:rPr>
          <w:rFonts w:hint="eastAsia" w:ascii="宋体" w:hAnsi="宋体" w:cs="宋体"/>
          <w:sz w:val="24"/>
          <w:highlight w:val="none"/>
        </w:rPr>
        <w:t>（14）办件结果接收接口</w:t>
      </w:r>
    </w:p>
    <w:p w14:paraId="48C76577">
      <w:pPr>
        <w:spacing w:line="360" w:lineRule="auto"/>
        <w:ind w:firstLine="480"/>
        <w:rPr>
          <w:rFonts w:ascii="宋体" w:hAnsi="宋体" w:cs="宋体"/>
          <w:sz w:val="24"/>
          <w:highlight w:val="none"/>
        </w:rPr>
      </w:pPr>
      <w:r>
        <w:rPr>
          <w:rFonts w:hint="eastAsia" w:ascii="宋体" w:hAnsi="宋体" w:cs="宋体"/>
          <w:sz w:val="24"/>
          <w:highlight w:val="none"/>
        </w:rPr>
        <w:t>（15）可申请路线接收接口</w:t>
      </w:r>
    </w:p>
    <w:p w14:paraId="211AEB7A">
      <w:pPr>
        <w:spacing w:line="360" w:lineRule="auto"/>
        <w:ind w:firstLine="480"/>
        <w:rPr>
          <w:rFonts w:ascii="宋体" w:hAnsi="宋体" w:cs="宋体"/>
          <w:sz w:val="24"/>
          <w:highlight w:val="none"/>
        </w:rPr>
      </w:pPr>
      <w:r>
        <w:rPr>
          <w:rFonts w:hint="eastAsia" w:ascii="宋体" w:hAnsi="宋体" w:cs="宋体"/>
          <w:sz w:val="24"/>
          <w:highlight w:val="none"/>
        </w:rPr>
        <w:t>2.4大型活动、节假日等期间省厅行政审批系统、货车通行证系统数据接口对接、数据运营服务。</w:t>
      </w:r>
    </w:p>
    <w:p w14:paraId="20A336AD">
      <w:pPr>
        <w:spacing w:line="360" w:lineRule="auto"/>
        <w:ind w:firstLine="480"/>
        <w:rPr>
          <w:rFonts w:ascii="宋体" w:hAnsi="宋体" w:cs="宋体"/>
          <w:sz w:val="24"/>
          <w:highlight w:val="none"/>
        </w:rPr>
      </w:pPr>
      <w:r>
        <w:rPr>
          <w:rFonts w:hint="eastAsia" w:ascii="宋体" w:hAnsi="宋体" w:cs="宋体"/>
          <w:sz w:val="24"/>
          <w:highlight w:val="none"/>
        </w:rPr>
        <w:t>（1）通行证允许申请车辆接收接口</w:t>
      </w:r>
    </w:p>
    <w:p w14:paraId="4FA210E4">
      <w:pPr>
        <w:spacing w:line="360" w:lineRule="auto"/>
        <w:ind w:firstLine="480"/>
        <w:rPr>
          <w:rFonts w:ascii="宋体" w:hAnsi="宋体" w:cs="宋体"/>
          <w:sz w:val="24"/>
          <w:highlight w:val="none"/>
        </w:rPr>
      </w:pPr>
      <w:r>
        <w:rPr>
          <w:rFonts w:hint="eastAsia" w:ascii="宋体" w:hAnsi="宋体" w:cs="宋体"/>
          <w:sz w:val="24"/>
          <w:highlight w:val="none"/>
        </w:rPr>
        <w:t>（2）通行证允许申请车辆修改接口</w:t>
      </w:r>
    </w:p>
    <w:p w14:paraId="5BEAACD7">
      <w:pPr>
        <w:spacing w:line="360" w:lineRule="auto"/>
        <w:ind w:firstLine="480"/>
        <w:rPr>
          <w:rFonts w:ascii="宋体" w:hAnsi="宋体" w:cs="宋体"/>
          <w:sz w:val="24"/>
          <w:highlight w:val="none"/>
        </w:rPr>
      </w:pPr>
      <w:r>
        <w:rPr>
          <w:rFonts w:hint="eastAsia" w:ascii="宋体" w:hAnsi="宋体" w:cs="宋体"/>
          <w:sz w:val="24"/>
          <w:highlight w:val="none"/>
        </w:rPr>
        <w:t>（3）通行证允许申请车辆获取接口</w:t>
      </w:r>
    </w:p>
    <w:p w14:paraId="2AF7F547">
      <w:pPr>
        <w:spacing w:line="360" w:lineRule="auto"/>
        <w:ind w:firstLine="480"/>
        <w:rPr>
          <w:rFonts w:ascii="宋体" w:hAnsi="宋体" w:cs="宋体"/>
          <w:b/>
          <w:bCs/>
          <w:sz w:val="24"/>
          <w:highlight w:val="none"/>
        </w:rPr>
      </w:pPr>
      <w:r>
        <w:rPr>
          <w:rFonts w:hint="eastAsia" w:ascii="宋体" w:hAnsi="宋体" w:cs="宋体"/>
          <w:b/>
          <w:bCs/>
          <w:sz w:val="24"/>
          <w:highlight w:val="none"/>
        </w:rPr>
        <w:t>（四）安全防控风险预警服务</w:t>
      </w:r>
    </w:p>
    <w:p w14:paraId="4DD73944">
      <w:pPr>
        <w:spacing w:line="360" w:lineRule="auto"/>
        <w:ind w:firstLine="480"/>
        <w:rPr>
          <w:rFonts w:ascii="宋体" w:hAnsi="宋体" w:cs="宋体"/>
          <w:sz w:val="24"/>
          <w:highlight w:val="none"/>
        </w:rPr>
      </w:pPr>
      <w:r>
        <w:rPr>
          <w:rFonts w:hint="eastAsia" w:ascii="宋体" w:hAnsi="宋体" w:cs="宋体"/>
          <w:sz w:val="24"/>
          <w:highlight w:val="none"/>
        </w:rPr>
        <w:t>通过研判分析近期和历史的高发事故或违法查处数据，为安全防控工作提供行动预警、趋势分析、事故地图等数据分析和应用服务，为安全防控工作提供决策依据、力争精准防控，有效提升安全防控管理效能。 具体内容如下：</w:t>
      </w:r>
    </w:p>
    <w:p w14:paraId="4106948F">
      <w:pPr>
        <w:spacing w:line="360" w:lineRule="auto"/>
        <w:ind w:firstLine="480"/>
        <w:rPr>
          <w:rFonts w:ascii="宋体" w:hAnsi="宋体" w:cs="宋体"/>
          <w:sz w:val="24"/>
          <w:highlight w:val="none"/>
        </w:rPr>
      </w:pPr>
      <w:r>
        <w:rPr>
          <w:rFonts w:hint="eastAsia" w:ascii="宋体" w:hAnsi="宋体" w:cs="宋体"/>
          <w:sz w:val="24"/>
          <w:highlight w:val="none"/>
        </w:rPr>
        <w:t>1、“波次统一行动”预警</w:t>
      </w:r>
    </w:p>
    <w:p w14:paraId="722088DD">
      <w:pPr>
        <w:spacing w:line="360" w:lineRule="auto"/>
        <w:ind w:firstLine="480"/>
        <w:rPr>
          <w:rFonts w:ascii="宋体" w:hAnsi="宋体" w:cs="宋体"/>
          <w:sz w:val="24"/>
          <w:highlight w:val="none"/>
        </w:rPr>
      </w:pPr>
      <w:r>
        <w:rPr>
          <w:rFonts w:hint="eastAsia" w:ascii="宋体" w:hAnsi="宋体" w:cs="宋体"/>
          <w:sz w:val="24"/>
          <w:highlight w:val="none"/>
        </w:rPr>
        <w:t>针对全市和辖区高发的事故类型，针对“波次统一行动”，提供包含“预警-派单-落地-反馈”闭环流程的行动管理服务，为“波次统一行动”工作提供精准防控决策依据。</w:t>
      </w:r>
    </w:p>
    <w:p w14:paraId="3CF84F2D">
      <w:pPr>
        <w:spacing w:line="360" w:lineRule="auto"/>
        <w:ind w:firstLine="480"/>
        <w:rPr>
          <w:rFonts w:ascii="宋体" w:hAnsi="宋体" w:cs="宋体"/>
          <w:sz w:val="24"/>
          <w:highlight w:val="none"/>
        </w:rPr>
      </w:pPr>
      <w:r>
        <w:rPr>
          <w:rFonts w:hint="eastAsia" w:ascii="宋体" w:hAnsi="宋体" w:cs="宋体"/>
          <w:sz w:val="24"/>
          <w:highlight w:val="none"/>
        </w:rPr>
        <w:t>1）预警规则与内容</w:t>
      </w:r>
    </w:p>
    <w:p w14:paraId="7CDBE23B">
      <w:pPr>
        <w:spacing w:line="360" w:lineRule="auto"/>
        <w:ind w:firstLine="480"/>
        <w:rPr>
          <w:rFonts w:ascii="宋体" w:hAnsi="宋体" w:cs="宋体"/>
          <w:sz w:val="24"/>
          <w:highlight w:val="none"/>
        </w:rPr>
      </w:pPr>
      <w:r>
        <w:rPr>
          <w:rFonts w:hint="eastAsia" w:ascii="宋体" w:hAnsi="宋体" w:cs="宋体"/>
          <w:sz w:val="24"/>
          <w:highlight w:val="none"/>
        </w:rPr>
        <w:t>A.行动模式。按照不同时间维度、强度的区分，提供多种行动模式。</w:t>
      </w:r>
    </w:p>
    <w:p w14:paraId="1795E991">
      <w:pPr>
        <w:spacing w:line="360" w:lineRule="auto"/>
        <w:ind w:firstLine="480"/>
        <w:rPr>
          <w:rFonts w:ascii="宋体" w:hAnsi="宋体" w:cs="宋体"/>
          <w:sz w:val="24"/>
          <w:highlight w:val="none"/>
        </w:rPr>
      </w:pPr>
      <w:r>
        <w:rPr>
          <w:rFonts w:hint="eastAsia" w:ascii="宋体" w:hAnsi="宋体" w:cs="宋体"/>
          <w:sz w:val="24"/>
          <w:highlight w:val="none"/>
        </w:rPr>
        <w:t>B.预警规则数据分析。根据历史行动数据分析提供预警规则推荐值。</w:t>
      </w:r>
    </w:p>
    <w:p w14:paraId="7DD1A1E1">
      <w:pPr>
        <w:spacing w:line="360" w:lineRule="auto"/>
        <w:ind w:firstLine="480"/>
        <w:rPr>
          <w:rFonts w:ascii="宋体" w:hAnsi="宋体" w:cs="宋体"/>
          <w:sz w:val="24"/>
          <w:highlight w:val="none"/>
        </w:rPr>
      </w:pPr>
      <w:r>
        <w:rPr>
          <w:rFonts w:hint="eastAsia" w:ascii="宋体" w:hAnsi="宋体" w:cs="宋体"/>
          <w:sz w:val="24"/>
          <w:highlight w:val="none"/>
        </w:rPr>
        <w:t>C.预警规则。支持根据历史事故数据统计情况，推出不同区域事故连续高发规则；支持设定专项整治行动预警规则。</w:t>
      </w:r>
    </w:p>
    <w:p w14:paraId="337F77DA">
      <w:pPr>
        <w:spacing w:line="360" w:lineRule="auto"/>
        <w:ind w:firstLine="480"/>
        <w:rPr>
          <w:rFonts w:ascii="宋体" w:hAnsi="宋体" w:cs="宋体"/>
          <w:sz w:val="24"/>
          <w:highlight w:val="none"/>
        </w:rPr>
      </w:pPr>
      <w:r>
        <w:rPr>
          <w:rFonts w:hint="eastAsia" w:ascii="宋体" w:hAnsi="宋体" w:cs="宋体"/>
          <w:sz w:val="24"/>
          <w:highlight w:val="none"/>
        </w:rPr>
        <w:t>D.预警规则调整。事故预警数值、预警事故类型可根据不同区域进行配置。</w:t>
      </w:r>
    </w:p>
    <w:p w14:paraId="6847C083">
      <w:pPr>
        <w:spacing w:line="360" w:lineRule="auto"/>
        <w:ind w:firstLine="480"/>
        <w:rPr>
          <w:rFonts w:ascii="宋体" w:hAnsi="宋体" w:cs="宋体"/>
          <w:sz w:val="24"/>
          <w:highlight w:val="none"/>
        </w:rPr>
      </w:pPr>
      <w:r>
        <w:rPr>
          <w:rFonts w:hint="eastAsia" w:ascii="宋体" w:hAnsi="宋体" w:cs="宋体"/>
          <w:sz w:val="24"/>
          <w:highlight w:val="none"/>
        </w:rPr>
        <w:t>E.预警内容。包含基于上群事故数据的近期全市某类型事故高发相关信息。</w:t>
      </w:r>
    </w:p>
    <w:p w14:paraId="75A35C73">
      <w:pPr>
        <w:spacing w:line="360" w:lineRule="auto"/>
        <w:ind w:firstLine="480"/>
        <w:rPr>
          <w:rFonts w:ascii="宋体" w:hAnsi="宋体" w:cs="宋体"/>
          <w:sz w:val="24"/>
          <w:highlight w:val="none"/>
        </w:rPr>
      </w:pPr>
      <w:r>
        <w:rPr>
          <w:rFonts w:hint="eastAsia" w:ascii="宋体" w:hAnsi="宋体" w:cs="宋体"/>
          <w:sz w:val="24"/>
          <w:highlight w:val="none"/>
        </w:rPr>
        <w:t>F.预警内容推送。提过消息中间件实现预警内容及时推送。</w:t>
      </w:r>
    </w:p>
    <w:p w14:paraId="3D5980AC">
      <w:pPr>
        <w:spacing w:line="360" w:lineRule="auto"/>
        <w:ind w:firstLine="480"/>
        <w:rPr>
          <w:rFonts w:ascii="宋体" w:hAnsi="宋体" w:cs="宋体"/>
          <w:sz w:val="24"/>
          <w:highlight w:val="none"/>
        </w:rPr>
      </w:pPr>
      <w:r>
        <w:rPr>
          <w:rFonts w:hint="eastAsia" w:ascii="宋体" w:hAnsi="宋体" w:cs="宋体"/>
          <w:sz w:val="24"/>
          <w:highlight w:val="none"/>
        </w:rPr>
        <w:t>2）派单</w:t>
      </w:r>
    </w:p>
    <w:p w14:paraId="4371F5D3">
      <w:pPr>
        <w:spacing w:line="360" w:lineRule="auto"/>
        <w:ind w:firstLine="480"/>
        <w:rPr>
          <w:rFonts w:ascii="宋体" w:hAnsi="宋体" w:cs="宋体"/>
          <w:sz w:val="24"/>
          <w:highlight w:val="none"/>
        </w:rPr>
      </w:pPr>
      <w:r>
        <w:rPr>
          <w:rFonts w:hint="eastAsia" w:ascii="宋体" w:hAnsi="宋体" w:cs="宋体"/>
          <w:sz w:val="24"/>
          <w:highlight w:val="none"/>
        </w:rPr>
        <w:t>A.预警呈现。根据预警规则和推送设定，在列表中查看预警内容、关联区域。</w:t>
      </w:r>
    </w:p>
    <w:p w14:paraId="2C164D6A">
      <w:pPr>
        <w:spacing w:line="360" w:lineRule="auto"/>
        <w:ind w:firstLine="480"/>
        <w:rPr>
          <w:rFonts w:ascii="宋体" w:hAnsi="宋体" w:cs="宋体"/>
          <w:sz w:val="24"/>
          <w:highlight w:val="none"/>
        </w:rPr>
      </w:pPr>
      <w:r>
        <w:rPr>
          <w:rFonts w:hint="eastAsia" w:ascii="宋体" w:hAnsi="宋体" w:cs="宋体"/>
          <w:sz w:val="24"/>
          <w:highlight w:val="none"/>
        </w:rPr>
        <w:t>B.预警确认。可查看预警列表内容，人工确认并做派发。</w:t>
      </w:r>
    </w:p>
    <w:p w14:paraId="337844CB">
      <w:pPr>
        <w:spacing w:line="360" w:lineRule="auto"/>
        <w:ind w:firstLine="480"/>
        <w:rPr>
          <w:rFonts w:ascii="宋体" w:hAnsi="宋体" w:cs="宋体"/>
          <w:sz w:val="24"/>
          <w:highlight w:val="none"/>
        </w:rPr>
      </w:pPr>
      <w:r>
        <w:rPr>
          <w:rFonts w:hint="eastAsia" w:ascii="宋体" w:hAnsi="宋体" w:cs="宋体"/>
          <w:sz w:val="24"/>
          <w:highlight w:val="none"/>
        </w:rPr>
        <w:t>C.大队查收。被派发大队可在系统界面中收到预警消息，查看派单行动信息。大队可根据实际情况关闭无需处理的预警。</w:t>
      </w:r>
    </w:p>
    <w:p w14:paraId="22E57E8A">
      <w:pPr>
        <w:spacing w:line="360" w:lineRule="auto"/>
        <w:ind w:firstLine="480"/>
        <w:rPr>
          <w:rFonts w:ascii="宋体" w:hAnsi="宋体" w:cs="宋体"/>
          <w:sz w:val="24"/>
          <w:highlight w:val="none"/>
        </w:rPr>
      </w:pPr>
      <w:r>
        <w:rPr>
          <w:rFonts w:hint="eastAsia" w:ascii="宋体" w:hAnsi="宋体" w:cs="宋体"/>
          <w:sz w:val="24"/>
          <w:highlight w:val="none"/>
        </w:rPr>
        <w:t>3）落地</w:t>
      </w:r>
    </w:p>
    <w:p w14:paraId="774608AD">
      <w:pPr>
        <w:spacing w:line="360" w:lineRule="auto"/>
        <w:ind w:firstLine="480"/>
        <w:rPr>
          <w:rFonts w:ascii="宋体" w:hAnsi="宋体" w:cs="宋体"/>
          <w:sz w:val="24"/>
          <w:highlight w:val="none"/>
        </w:rPr>
      </w:pPr>
      <w:r>
        <w:rPr>
          <w:rFonts w:hint="eastAsia" w:ascii="宋体" w:hAnsi="宋体" w:cs="宋体"/>
          <w:sz w:val="24"/>
          <w:highlight w:val="none"/>
        </w:rPr>
        <w:t>A.行动落地。在实施过程中线下收集行动相关的执行结果数据。</w:t>
      </w:r>
    </w:p>
    <w:p w14:paraId="0DEB855B">
      <w:pPr>
        <w:spacing w:line="360" w:lineRule="auto"/>
        <w:ind w:firstLine="480"/>
        <w:rPr>
          <w:rFonts w:ascii="宋体" w:hAnsi="宋体" w:cs="宋体"/>
          <w:sz w:val="24"/>
          <w:highlight w:val="none"/>
        </w:rPr>
      </w:pPr>
      <w:r>
        <w:rPr>
          <w:rFonts w:hint="eastAsia" w:ascii="宋体" w:hAnsi="宋体" w:cs="宋体"/>
          <w:sz w:val="24"/>
          <w:highlight w:val="none"/>
        </w:rPr>
        <w:t>B.行动执行反馈。实施行动完成后，在系统中反馈本次实施落地情况。</w:t>
      </w:r>
    </w:p>
    <w:p w14:paraId="614502B1">
      <w:pPr>
        <w:spacing w:line="360" w:lineRule="auto"/>
        <w:ind w:firstLine="480"/>
        <w:rPr>
          <w:rFonts w:ascii="宋体" w:hAnsi="宋体" w:cs="宋体"/>
          <w:sz w:val="24"/>
          <w:highlight w:val="none"/>
        </w:rPr>
      </w:pPr>
      <w:r>
        <w:rPr>
          <w:rFonts w:hint="eastAsia" w:ascii="宋体" w:hAnsi="宋体" w:cs="宋体"/>
          <w:sz w:val="24"/>
          <w:highlight w:val="none"/>
        </w:rPr>
        <w:t>4）反馈</w:t>
      </w:r>
    </w:p>
    <w:p w14:paraId="55EFA6CE">
      <w:pPr>
        <w:spacing w:line="360" w:lineRule="auto"/>
        <w:ind w:firstLine="480"/>
        <w:rPr>
          <w:rFonts w:ascii="宋体" w:hAnsi="宋体" w:cs="宋体"/>
          <w:sz w:val="24"/>
          <w:highlight w:val="none"/>
        </w:rPr>
      </w:pPr>
      <w:r>
        <w:rPr>
          <w:rFonts w:hint="eastAsia" w:ascii="宋体" w:hAnsi="宋体" w:cs="宋体"/>
          <w:sz w:val="24"/>
          <w:highlight w:val="none"/>
        </w:rPr>
        <w:t>A.反馈数据汇聚。将行动执行结果数据进行自动汇聚，形成统一的反馈库。</w:t>
      </w:r>
    </w:p>
    <w:p w14:paraId="55B54BA2">
      <w:pPr>
        <w:spacing w:line="360" w:lineRule="auto"/>
        <w:ind w:firstLine="480"/>
        <w:rPr>
          <w:rFonts w:ascii="宋体" w:hAnsi="宋体" w:cs="宋体"/>
          <w:sz w:val="24"/>
          <w:highlight w:val="none"/>
        </w:rPr>
      </w:pPr>
      <w:r>
        <w:rPr>
          <w:rFonts w:hint="eastAsia" w:ascii="宋体" w:hAnsi="宋体" w:cs="宋体"/>
          <w:sz w:val="24"/>
          <w:highlight w:val="none"/>
        </w:rPr>
        <w:t>B.战果分析配置。配置战果分析模板，将反馈数据进行人工或自动清理。</w:t>
      </w:r>
    </w:p>
    <w:p w14:paraId="389B8477">
      <w:pPr>
        <w:spacing w:line="360" w:lineRule="auto"/>
        <w:ind w:firstLine="480"/>
        <w:rPr>
          <w:rFonts w:ascii="宋体" w:hAnsi="宋体" w:cs="宋体"/>
          <w:sz w:val="24"/>
          <w:highlight w:val="none"/>
        </w:rPr>
      </w:pPr>
      <w:r>
        <w:rPr>
          <w:rFonts w:hint="eastAsia" w:ascii="宋体" w:hAnsi="宋体" w:cs="宋体"/>
          <w:sz w:val="24"/>
          <w:highlight w:val="none"/>
        </w:rPr>
        <w:t>C.战果查看。根据战果分析模板，自动生成本次行动及全年的战果分析报告。</w:t>
      </w:r>
    </w:p>
    <w:p w14:paraId="4D139CB2">
      <w:pPr>
        <w:spacing w:line="360" w:lineRule="auto"/>
        <w:ind w:firstLine="480"/>
        <w:rPr>
          <w:rFonts w:ascii="宋体" w:hAnsi="宋体" w:cs="宋体"/>
          <w:sz w:val="24"/>
          <w:highlight w:val="none"/>
        </w:rPr>
      </w:pPr>
      <w:r>
        <w:rPr>
          <w:rFonts w:hint="eastAsia" w:ascii="宋体" w:hAnsi="宋体" w:cs="宋体"/>
          <w:sz w:val="24"/>
          <w:highlight w:val="none"/>
        </w:rPr>
        <w:t>2、事故与违法查处趋势分析</w:t>
      </w:r>
    </w:p>
    <w:p w14:paraId="6261DF31">
      <w:pPr>
        <w:spacing w:line="360" w:lineRule="auto"/>
        <w:ind w:firstLine="480"/>
        <w:rPr>
          <w:rFonts w:ascii="宋体" w:hAnsi="宋体" w:cs="宋体"/>
          <w:sz w:val="24"/>
          <w:highlight w:val="none"/>
        </w:rPr>
      </w:pPr>
      <w:r>
        <w:rPr>
          <w:rFonts w:hint="eastAsia" w:ascii="宋体" w:hAnsi="宋体" w:cs="宋体"/>
          <w:sz w:val="24"/>
          <w:highlight w:val="none"/>
        </w:rPr>
        <w:t>通过对事故和违法查处变化趋势的数据分析，通过模型分析同事故/违法关联的潜在因素以及违法查处数据，绘制上述因素的变化趋势折线图。</w:t>
      </w:r>
    </w:p>
    <w:p w14:paraId="26100393">
      <w:pPr>
        <w:spacing w:line="360" w:lineRule="auto"/>
        <w:ind w:firstLine="480"/>
        <w:rPr>
          <w:rFonts w:ascii="宋体" w:hAnsi="宋体" w:cs="宋体"/>
          <w:sz w:val="24"/>
          <w:highlight w:val="none"/>
        </w:rPr>
      </w:pPr>
      <w:r>
        <w:rPr>
          <w:rFonts w:hint="eastAsia" w:ascii="宋体" w:hAnsi="宋体" w:cs="宋体"/>
          <w:sz w:val="24"/>
          <w:highlight w:val="none"/>
        </w:rPr>
        <w:t>1）可控违法类型筛选</w:t>
      </w:r>
    </w:p>
    <w:p w14:paraId="6E8250C7">
      <w:pPr>
        <w:spacing w:line="360" w:lineRule="auto"/>
        <w:ind w:firstLine="480"/>
        <w:rPr>
          <w:rFonts w:ascii="宋体" w:hAnsi="宋体" w:cs="宋体"/>
          <w:sz w:val="24"/>
          <w:highlight w:val="none"/>
        </w:rPr>
      </w:pPr>
      <w:r>
        <w:rPr>
          <w:rFonts w:hint="eastAsia" w:ascii="宋体" w:hAnsi="宋体" w:cs="宋体"/>
          <w:sz w:val="24"/>
          <w:highlight w:val="none"/>
        </w:rPr>
        <w:t>A.专家经验筛选。根据时空属性分析，结合专家的经验和建议，筛选可防控型事故/违法作为分析对象。</w:t>
      </w:r>
    </w:p>
    <w:p w14:paraId="18DAE199">
      <w:pPr>
        <w:spacing w:line="360" w:lineRule="auto"/>
        <w:ind w:firstLine="480"/>
        <w:rPr>
          <w:rFonts w:ascii="宋体" w:hAnsi="宋体" w:cs="宋体"/>
          <w:sz w:val="24"/>
          <w:highlight w:val="none"/>
        </w:rPr>
      </w:pPr>
      <w:r>
        <w:rPr>
          <w:rFonts w:hint="eastAsia" w:ascii="宋体" w:hAnsi="宋体" w:cs="宋体"/>
          <w:sz w:val="24"/>
          <w:highlight w:val="none"/>
        </w:rPr>
        <w:t>B.数据自动筛选。根据时空属性分析，以及近期违法查处数据进行多因素关联分析结果数据，自动推荐、筛选可防控型事故/违法作为分析对象，作为专家经验筛选的补充。</w:t>
      </w:r>
    </w:p>
    <w:p w14:paraId="2485591A">
      <w:pPr>
        <w:spacing w:line="360" w:lineRule="auto"/>
        <w:ind w:firstLine="480"/>
        <w:rPr>
          <w:rFonts w:ascii="宋体" w:hAnsi="宋体" w:cs="宋体"/>
          <w:sz w:val="24"/>
          <w:highlight w:val="none"/>
        </w:rPr>
      </w:pPr>
      <w:r>
        <w:rPr>
          <w:rFonts w:hint="eastAsia" w:ascii="宋体" w:hAnsi="宋体" w:cs="宋体"/>
          <w:sz w:val="24"/>
          <w:highlight w:val="none"/>
        </w:rPr>
        <w:t>C.可控违法类型调整。参考近期可控违法类型分析的结果数据，以及专家的经验和建议，可对原有筛选的可防控型事故/违法做调整。</w:t>
      </w:r>
    </w:p>
    <w:p w14:paraId="7321865D">
      <w:pPr>
        <w:spacing w:line="360" w:lineRule="auto"/>
        <w:ind w:firstLine="480"/>
        <w:rPr>
          <w:rFonts w:ascii="宋体" w:hAnsi="宋体" w:cs="宋体"/>
          <w:sz w:val="24"/>
          <w:highlight w:val="none"/>
        </w:rPr>
      </w:pPr>
      <w:r>
        <w:rPr>
          <w:rFonts w:hint="eastAsia" w:ascii="宋体" w:hAnsi="宋体" w:cs="宋体"/>
          <w:sz w:val="24"/>
          <w:highlight w:val="none"/>
        </w:rPr>
        <w:t>2）事故/违法关联的潜在因素分析</w:t>
      </w:r>
    </w:p>
    <w:p w14:paraId="3282B124">
      <w:pPr>
        <w:spacing w:line="360" w:lineRule="auto"/>
        <w:ind w:firstLine="480"/>
        <w:rPr>
          <w:rFonts w:ascii="宋体" w:hAnsi="宋体" w:cs="宋体"/>
          <w:sz w:val="24"/>
          <w:highlight w:val="none"/>
        </w:rPr>
      </w:pPr>
      <w:r>
        <w:rPr>
          <w:rFonts w:hint="eastAsia" w:ascii="宋体" w:hAnsi="宋体" w:cs="宋体"/>
          <w:sz w:val="24"/>
          <w:highlight w:val="none"/>
        </w:rPr>
        <w:t>A.数据质量分析。对事故/违法数据的数据质量进行初步分析，形成质量分析报告，进行数据质量的修正。</w:t>
      </w:r>
    </w:p>
    <w:p w14:paraId="58F932CA">
      <w:pPr>
        <w:spacing w:line="360" w:lineRule="auto"/>
        <w:ind w:firstLine="480"/>
        <w:rPr>
          <w:rFonts w:ascii="宋体" w:hAnsi="宋体" w:cs="宋体"/>
          <w:sz w:val="24"/>
          <w:highlight w:val="none"/>
        </w:rPr>
      </w:pPr>
      <w:r>
        <w:rPr>
          <w:rFonts w:hint="eastAsia" w:ascii="宋体" w:hAnsi="宋体" w:cs="宋体"/>
          <w:sz w:val="24"/>
          <w:highlight w:val="none"/>
        </w:rPr>
        <w:t>B.基础信息分析。对上述事故/违法类型的各类潜在因素进行基础信息分析，获取事故/违法的分布规律。</w:t>
      </w:r>
    </w:p>
    <w:p w14:paraId="23274267">
      <w:pPr>
        <w:spacing w:line="360" w:lineRule="auto"/>
        <w:ind w:firstLine="480"/>
        <w:rPr>
          <w:rFonts w:ascii="宋体" w:hAnsi="宋体" w:cs="宋体"/>
          <w:sz w:val="24"/>
          <w:highlight w:val="none"/>
        </w:rPr>
      </w:pPr>
      <w:r>
        <w:rPr>
          <w:rFonts w:hint="eastAsia" w:ascii="宋体" w:hAnsi="宋体" w:cs="宋体"/>
          <w:sz w:val="24"/>
          <w:highlight w:val="none"/>
        </w:rPr>
        <w:t>C.多因素关联分析模型。将事故/违法关联潜在因素与违法查处数据进行多因素关联分析，设定关联度阈值，形成两者的关联关系模型。</w:t>
      </w:r>
    </w:p>
    <w:p w14:paraId="1D809F08">
      <w:pPr>
        <w:spacing w:line="360" w:lineRule="auto"/>
        <w:ind w:firstLine="480"/>
        <w:rPr>
          <w:rFonts w:ascii="宋体" w:hAnsi="宋体" w:cs="宋体"/>
          <w:sz w:val="24"/>
          <w:highlight w:val="none"/>
        </w:rPr>
      </w:pPr>
      <w:r>
        <w:rPr>
          <w:rFonts w:hint="eastAsia" w:ascii="宋体" w:hAnsi="宋体" w:cs="宋体"/>
          <w:sz w:val="24"/>
          <w:highlight w:val="none"/>
        </w:rPr>
        <w:t>3）趋势分析</w:t>
      </w:r>
    </w:p>
    <w:p w14:paraId="19B055C6">
      <w:pPr>
        <w:spacing w:line="360" w:lineRule="auto"/>
        <w:ind w:firstLine="480"/>
        <w:rPr>
          <w:rFonts w:ascii="宋体" w:hAnsi="宋体" w:cs="宋体"/>
          <w:sz w:val="24"/>
          <w:highlight w:val="none"/>
        </w:rPr>
      </w:pPr>
      <w:r>
        <w:rPr>
          <w:rFonts w:hint="eastAsia" w:ascii="宋体" w:hAnsi="宋体" w:cs="宋体"/>
          <w:sz w:val="24"/>
          <w:highlight w:val="none"/>
        </w:rPr>
        <w:t>A.趋势分析模型配置。根据模型分析结果数据，配置趋势分析模型，生成事故与违法查处趋势分析专题表。</w:t>
      </w:r>
    </w:p>
    <w:p w14:paraId="0A31BB55">
      <w:pPr>
        <w:spacing w:line="360" w:lineRule="auto"/>
        <w:ind w:firstLine="480"/>
        <w:rPr>
          <w:rFonts w:ascii="宋体" w:hAnsi="宋体" w:cs="宋体"/>
          <w:sz w:val="24"/>
          <w:highlight w:val="none"/>
        </w:rPr>
      </w:pPr>
      <w:r>
        <w:rPr>
          <w:rFonts w:hint="eastAsia" w:ascii="宋体" w:hAnsi="宋体" w:cs="宋体"/>
          <w:sz w:val="24"/>
          <w:highlight w:val="none"/>
        </w:rPr>
        <w:t>B.趋势分析查看。可以查看各部门某项违法及事故的日趋势，通过折线图对比找到某项违法查处薄弱的部门。</w:t>
      </w:r>
    </w:p>
    <w:p w14:paraId="3A32CDD5">
      <w:pPr>
        <w:spacing w:line="360" w:lineRule="auto"/>
        <w:ind w:firstLine="480"/>
        <w:rPr>
          <w:rFonts w:ascii="宋体" w:hAnsi="宋体" w:cs="宋体"/>
          <w:sz w:val="24"/>
          <w:highlight w:val="none"/>
        </w:rPr>
      </w:pPr>
      <w:r>
        <w:rPr>
          <w:rFonts w:hint="eastAsia" w:ascii="宋体" w:hAnsi="宋体" w:cs="宋体"/>
          <w:sz w:val="24"/>
          <w:highlight w:val="none"/>
        </w:rPr>
        <w:t>4）事故与违法查处预演</w:t>
      </w:r>
    </w:p>
    <w:p w14:paraId="6B4A6883">
      <w:pPr>
        <w:spacing w:line="360" w:lineRule="auto"/>
        <w:ind w:firstLine="480"/>
        <w:rPr>
          <w:rFonts w:ascii="宋体" w:hAnsi="宋体" w:cs="宋体"/>
          <w:sz w:val="24"/>
          <w:highlight w:val="none"/>
        </w:rPr>
      </w:pPr>
      <w:r>
        <w:rPr>
          <w:rFonts w:hint="eastAsia" w:ascii="宋体" w:hAnsi="宋体" w:cs="宋体"/>
          <w:sz w:val="24"/>
          <w:highlight w:val="none"/>
        </w:rPr>
        <w:t>A.目标设定预演。结合趋势分析专题表，用户可设定未来某个周期事故/违法的目标值，给出查处的数量推荐/预期值。</w:t>
      </w:r>
    </w:p>
    <w:p w14:paraId="35359513">
      <w:pPr>
        <w:spacing w:line="360" w:lineRule="auto"/>
        <w:ind w:firstLine="480"/>
        <w:rPr>
          <w:rFonts w:ascii="宋体" w:hAnsi="宋体" w:cs="宋体"/>
          <w:sz w:val="24"/>
          <w:highlight w:val="none"/>
        </w:rPr>
      </w:pPr>
      <w:r>
        <w:rPr>
          <w:rFonts w:hint="eastAsia" w:ascii="宋体" w:hAnsi="宋体" w:cs="宋体"/>
          <w:sz w:val="24"/>
          <w:highlight w:val="none"/>
        </w:rPr>
        <w:t>B.目标达到预演。结合趋势分析专题表，用户可设定未来某个周期查处值，给出事故与违法目标预计达到的值。</w:t>
      </w:r>
    </w:p>
    <w:p w14:paraId="3275DC8B">
      <w:pPr>
        <w:spacing w:line="360" w:lineRule="auto"/>
        <w:ind w:firstLine="480"/>
        <w:rPr>
          <w:rFonts w:ascii="宋体" w:hAnsi="宋体" w:cs="宋体"/>
          <w:sz w:val="24"/>
          <w:highlight w:val="none"/>
        </w:rPr>
      </w:pPr>
      <w:r>
        <w:rPr>
          <w:rFonts w:hint="eastAsia" w:ascii="宋体" w:hAnsi="宋体" w:cs="宋体"/>
          <w:sz w:val="24"/>
          <w:highlight w:val="none"/>
        </w:rPr>
        <w:t>C.复盘。根据某个周期完成内目标设定或目标达到的预演信息，针对预演的信息和实际执行的结果数据进行分析，复盘预演效果。</w:t>
      </w:r>
    </w:p>
    <w:p w14:paraId="20920F64">
      <w:pPr>
        <w:spacing w:line="360" w:lineRule="auto"/>
        <w:ind w:firstLine="480"/>
        <w:rPr>
          <w:rFonts w:ascii="宋体" w:hAnsi="宋体" w:cs="宋体"/>
          <w:sz w:val="24"/>
          <w:highlight w:val="none"/>
        </w:rPr>
      </w:pPr>
      <w:r>
        <w:rPr>
          <w:rFonts w:hint="eastAsia" w:ascii="宋体" w:hAnsi="宋体" w:cs="宋体"/>
          <w:sz w:val="24"/>
          <w:highlight w:val="none"/>
        </w:rPr>
        <w:t>3、亡人事故地图</w:t>
      </w:r>
    </w:p>
    <w:p w14:paraId="549C79CB">
      <w:pPr>
        <w:spacing w:line="360" w:lineRule="auto"/>
        <w:ind w:firstLine="480"/>
        <w:rPr>
          <w:rFonts w:ascii="宋体" w:hAnsi="宋体" w:cs="宋体"/>
          <w:sz w:val="24"/>
          <w:highlight w:val="none"/>
        </w:rPr>
      </w:pPr>
      <w:r>
        <w:rPr>
          <w:rFonts w:hint="eastAsia" w:ascii="宋体" w:hAnsi="宋体" w:cs="宋体"/>
          <w:sz w:val="24"/>
          <w:highlight w:val="none"/>
        </w:rPr>
        <w:t>根据大队提供近3年亡人事故，根据事故数据的类型、区域、时间、经纬度等信息，将亡人事故按照不同年限、不同区域进行图上展示，便于从整体、区域上分析亡人事故。</w:t>
      </w:r>
    </w:p>
    <w:p w14:paraId="09F70CAD">
      <w:pPr>
        <w:spacing w:line="360" w:lineRule="auto"/>
        <w:ind w:firstLine="480"/>
        <w:rPr>
          <w:rFonts w:ascii="宋体" w:hAnsi="宋体" w:cs="宋体"/>
          <w:sz w:val="24"/>
          <w:highlight w:val="none"/>
        </w:rPr>
      </w:pPr>
      <w:r>
        <w:rPr>
          <w:rFonts w:hint="eastAsia" w:ascii="宋体" w:hAnsi="宋体" w:cs="宋体"/>
          <w:sz w:val="24"/>
          <w:highlight w:val="none"/>
        </w:rPr>
        <w:t>1）事故经纬度数据治理</w:t>
      </w:r>
    </w:p>
    <w:p w14:paraId="2EA46F51">
      <w:pPr>
        <w:spacing w:line="360" w:lineRule="auto"/>
        <w:ind w:firstLine="480"/>
        <w:rPr>
          <w:rFonts w:ascii="宋体" w:hAnsi="宋体" w:cs="宋体"/>
          <w:sz w:val="24"/>
          <w:highlight w:val="none"/>
        </w:rPr>
      </w:pPr>
      <w:r>
        <w:rPr>
          <w:rFonts w:hint="eastAsia" w:ascii="宋体" w:hAnsi="宋体" w:cs="宋体"/>
          <w:sz w:val="24"/>
          <w:highlight w:val="none"/>
        </w:rPr>
        <w:t>将2020年起的亡人事故数据中的经纬度信息进行人工治理。</w:t>
      </w:r>
    </w:p>
    <w:p w14:paraId="4F5807D4">
      <w:pPr>
        <w:spacing w:line="360" w:lineRule="auto"/>
        <w:ind w:firstLine="480"/>
        <w:rPr>
          <w:rFonts w:ascii="宋体" w:hAnsi="宋体" w:cs="宋体"/>
          <w:sz w:val="24"/>
          <w:highlight w:val="none"/>
        </w:rPr>
      </w:pPr>
      <w:r>
        <w:rPr>
          <w:rFonts w:hint="eastAsia" w:ascii="宋体" w:hAnsi="宋体" w:cs="宋体"/>
          <w:sz w:val="24"/>
          <w:highlight w:val="none"/>
        </w:rPr>
        <w:t>2）亡人事故地图撒点</w:t>
      </w:r>
    </w:p>
    <w:p w14:paraId="690CEE7D">
      <w:pPr>
        <w:spacing w:line="360" w:lineRule="auto"/>
        <w:ind w:firstLine="480"/>
        <w:rPr>
          <w:rFonts w:ascii="宋体" w:hAnsi="宋体" w:cs="宋体"/>
          <w:sz w:val="24"/>
          <w:highlight w:val="none"/>
        </w:rPr>
      </w:pPr>
      <w:r>
        <w:rPr>
          <w:rFonts w:hint="eastAsia" w:ascii="宋体" w:hAnsi="宋体" w:cs="宋体"/>
          <w:sz w:val="24"/>
          <w:highlight w:val="none"/>
        </w:rPr>
        <w:t>适配用户已有GIS地图，将2020年起治理后的亡人事故（包含经纬度）数据在GIS地图撒点、展示。</w:t>
      </w:r>
    </w:p>
    <w:p w14:paraId="3F7F105C">
      <w:pPr>
        <w:spacing w:line="360" w:lineRule="auto"/>
        <w:ind w:firstLine="480"/>
        <w:rPr>
          <w:rFonts w:ascii="宋体" w:hAnsi="宋体" w:cs="宋体"/>
          <w:sz w:val="24"/>
          <w:highlight w:val="none"/>
        </w:rPr>
      </w:pPr>
      <w:r>
        <w:rPr>
          <w:rFonts w:hint="eastAsia" w:ascii="宋体" w:hAnsi="宋体" w:cs="宋体"/>
          <w:sz w:val="24"/>
          <w:highlight w:val="none"/>
        </w:rPr>
        <w:t>A.</w:t>
      </w:r>
      <w:r>
        <w:rPr>
          <w:rFonts w:hint="eastAsia" w:ascii="宋体" w:hAnsi="宋体" w:cs="宋体"/>
          <w:sz w:val="24"/>
          <w:highlight w:val="none"/>
        </w:rPr>
        <w:tab/>
      </w:r>
      <w:r>
        <w:rPr>
          <w:rFonts w:hint="eastAsia" w:ascii="宋体" w:hAnsi="宋体" w:cs="宋体"/>
          <w:sz w:val="24"/>
          <w:highlight w:val="none"/>
        </w:rPr>
        <w:t>首屏显示。根据登录的用户信息、默认地图图层信息在首屏展示地图撒点。</w:t>
      </w:r>
    </w:p>
    <w:p w14:paraId="0CF6648D">
      <w:pPr>
        <w:spacing w:line="360" w:lineRule="auto"/>
        <w:ind w:firstLine="480"/>
        <w:rPr>
          <w:rFonts w:ascii="宋体" w:hAnsi="宋体" w:cs="宋体"/>
          <w:sz w:val="24"/>
          <w:highlight w:val="none"/>
        </w:rPr>
      </w:pPr>
      <w:r>
        <w:rPr>
          <w:rFonts w:hint="eastAsia" w:ascii="宋体" w:hAnsi="宋体" w:cs="宋体"/>
          <w:sz w:val="24"/>
          <w:highlight w:val="none"/>
        </w:rPr>
        <w:t>B.</w:t>
      </w:r>
      <w:r>
        <w:rPr>
          <w:rFonts w:hint="eastAsia" w:ascii="宋体" w:hAnsi="宋体" w:cs="宋体"/>
          <w:sz w:val="24"/>
          <w:highlight w:val="none"/>
        </w:rPr>
        <w:tab/>
      </w:r>
      <w:r>
        <w:rPr>
          <w:rFonts w:hint="eastAsia" w:ascii="宋体" w:hAnsi="宋体" w:cs="宋体"/>
          <w:sz w:val="24"/>
          <w:highlight w:val="none"/>
        </w:rPr>
        <w:t>事故聚合。根据用户在地图图层上的操作，自动将图层范围内的事故进行聚合、分散。</w:t>
      </w:r>
    </w:p>
    <w:p w14:paraId="4CC6C23A">
      <w:pPr>
        <w:spacing w:line="360" w:lineRule="auto"/>
        <w:ind w:firstLine="480"/>
        <w:rPr>
          <w:rFonts w:ascii="宋体" w:hAnsi="宋体" w:cs="宋体"/>
          <w:sz w:val="24"/>
          <w:highlight w:val="none"/>
        </w:rPr>
      </w:pPr>
      <w:r>
        <w:rPr>
          <w:rFonts w:hint="eastAsia" w:ascii="宋体" w:hAnsi="宋体" w:cs="宋体"/>
          <w:sz w:val="24"/>
          <w:highlight w:val="none"/>
        </w:rPr>
        <w:t>C.</w:t>
      </w:r>
      <w:r>
        <w:rPr>
          <w:rFonts w:hint="eastAsia" w:ascii="宋体" w:hAnsi="宋体" w:cs="宋体"/>
          <w:sz w:val="24"/>
          <w:highlight w:val="none"/>
        </w:rPr>
        <w:tab/>
      </w:r>
      <w:r>
        <w:rPr>
          <w:rFonts w:hint="eastAsia" w:ascii="宋体" w:hAnsi="宋体" w:cs="宋体"/>
          <w:sz w:val="24"/>
          <w:highlight w:val="none"/>
        </w:rPr>
        <w:t>分类显示。在事故地图上根据固定的分类，支持用户可根据提供的分类信息进行筛选，将筛选结果自动在地图上分类显示。</w:t>
      </w:r>
    </w:p>
    <w:p w14:paraId="68BB807E">
      <w:pPr>
        <w:spacing w:line="360" w:lineRule="auto"/>
        <w:ind w:firstLine="480"/>
        <w:rPr>
          <w:rFonts w:ascii="宋体" w:hAnsi="宋体" w:cs="宋体"/>
          <w:sz w:val="24"/>
          <w:highlight w:val="none"/>
        </w:rPr>
      </w:pPr>
      <w:r>
        <w:rPr>
          <w:rFonts w:hint="eastAsia" w:ascii="宋体" w:hAnsi="宋体" w:cs="宋体"/>
          <w:sz w:val="24"/>
          <w:highlight w:val="none"/>
        </w:rPr>
        <w:t>2）权限控制</w:t>
      </w:r>
    </w:p>
    <w:p w14:paraId="233B69D2">
      <w:pPr>
        <w:spacing w:line="360" w:lineRule="auto"/>
        <w:ind w:firstLine="480"/>
        <w:rPr>
          <w:rFonts w:ascii="宋体" w:hAnsi="宋体" w:cs="宋体"/>
          <w:sz w:val="24"/>
          <w:highlight w:val="none"/>
        </w:rPr>
      </w:pPr>
      <w:r>
        <w:rPr>
          <w:rFonts w:hint="eastAsia" w:ascii="宋体" w:hAnsi="宋体" w:cs="宋体"/>
          <w:sz w:val="24"/>
          <w:highlight w:val="none"/>
        </w:rPr>
        <w:t>A.权限配置。支持通过用户组织架构数，配置不同的权限。</w:t>
      </w:r>
    </w:p>
    <w:p w14:paraId="46E1100D">
      <w:pPr>
        <w:spacing w:line="360" w:lineRule="auto"/>
        <w:ind w:firstLine="480"/>
        <w:rPr>
          <w:rFonts w:ascii="宋体" w:hAnsi="宋体" w:cs="宋体"/>
          <w:sz w:val="24"/>
          <w:highlight w:val="none"/>
        </w:rPr>
      </w:pPr>
      <w:r>
        <w:rPr>
          <w:rFonts w:hint="eastAsia" w:ascii="宋体" w:hAnsi="宋体" w:cs="宋体"/>
          <w:sz w:val="24"/>
          <w:highlight w:val="none"/>
        </w:rPr>
        <w:t>B.权限查看。根据不同权限可查看本级及下级亡人事故地图。</w:t>
      </w:r>
    </w:p>
    <w:p w14:paraId="22B655B1">
      <w:pPr>
        <w:spacing w:line="360" w:lineRule="auto"/>
        <w:ind w:firstLine="480"/>
        <w:rPr>
          <w:rFonts w:ascii="宋体" w:hAnsi="宋体" w:cs="宋体"/>
          <w:sz w:val="24"/>
          <w:highlight w:val="none"/>
        </w:rPr>
      </w:pPr>
      <w:r>
        <w:rPr>
          <w:rFonts w:hint="eastAsia" w:ascii="宋体" w:hAnsi="宋体" w:cs="宋体"/>
          <w:sz w:val="24"/>
          <w:highlight w:val="none"/>
        </w:rPr>
        <w:t>3）标签筛选</w:t>
      </w:r>
    </w:p>
    <w:p w14:paraId="1834CDC8">
      <w:pPr>
        <w:spacing w:line="360" w:lineRule="auto"/>
        <w:ind w:firstLine="480"/>
        <w:rPr>
          <w:rFonts w:ascii="宋体" w:hAnsi="宋体" w:cs="宋体"/>
          <w:sz w:val="24"/>
          <w:highlight w:val="none"/>
        </w:rPr>
      </w:pPr>
      <w:r>
        <w:rPr>
          <w:rFonts w:hint="eastAsia" w:ascii="宋体" w:hAnsi="宋体" w:cs="宋体"/>
          <w:sz w:val="24"/>
          <w:highlight w:val="none"/>
        </w:rPr>
        <w:t>A.筛选标签管理。根据亡人事故的标签，可配置不同的标签到筛选界面，满足用户筛选标签变化的需求。</w:t>
      </w:r>
    </w:p>
    <w:p w14:paraId="08C32CE5">
      <w:pPr>
        <w:spacing w:line="360" w:lineRule="auto"/>
        <w:ind w:firstLine="480"/>
        <w:rPr>
          <w:rFonts w:ascii="宋体" w:hAnsi="宋体" w:cs="宋体"/>
          <w:sz w:val="24"/>
          <w:highlight w:val="none"/>
        </w:rPr>
      </w:pPr>
      <w:r>
        <w:rPr>
          <w:rFonts w:hint="eastAsia" w:ascii="宋体" w:hAnsi="宋体" w:cs="宋体"/>
          <w:sz w:val="24"/>
          <w:highlight w:val="none"/>
        </w:rPr>
        <w:t>B.标签筛选。可按亡人事故的标签来筛选查看不同类型事故的地图分布情况。</w:t>
      </w:r>
    </w:p>
    <w:p w14:paraId="26F16B2D">
      <w:pPr>
        <w:spacing w:line="360" w:lineRule="auto"/>
        <w:ind w:firstLine="480"/>
        <w:rPr>
          <w:rFonts w:ascii="宋体" w:hAnsi="宋体" w:cs="宋体"/>
          <w:sz w:val="24"/>
          <w:highlight w:val="none"/>
        </w:rPr>
      </w:pPr>
      <w:r>
        <w:rPr>
          <w:rFonts w:hint="eastAsia" w:ascii="宋体" w:hAnsi="宋体" w:cs="宋体"/>
          <w:sz w:val="24"/>
          <w:highlight w:val="none"/>
        </w:rPr>
        <w:t>C.数据上色。可根据时间范围，将各年数据在地图上使用不同颜色进行上图，便于直观查看各年的亡人事故变化情况。</w:t>
      </w:r>
    </w:p>
    <w:p w14:paraId="3564EBC9">
      <w:pPr>
        <w:spacing w:line="360" w:lineRule="auto"/>
        <w:ind w:firstLine="480"/>
        <w:rPr>
          <w:rFonts w:ascii="宋体" w:hAnsi="宋体" w:cs="宋体"/>
          <w:sz w:val="24"/>
          <w:highlight w:val="none"/>
        </w:rPr>
      </w:pPr>
      <w:r>
        <w:rPr>
          <w:rFonts w:hint="eastAsia" w:ascii="宋体" w:hAnsi="宋体" w:cs="宋体"/>
          <w:sz w:val="24"/>
          <w:highlight w:val="none"/>
        </w:rPr>
        <w:t>4、违法查处数据轻应用</w:t>
      </w:r>
    </w:p>
    <w:p w14:paraId="5126DF1A">
      <w:pPr>
        <w:spacing w:line="360" w:lineRule="auto"/>
        <w:ind w:firstLine="480"/>
        <w:rPr>
          <w:rFonts w:ascii="宋体" w:hAnsi="宋体" w:cs="宋体"/>
          <w:sz w:val="24"/>
          <w:highlight w:val="none"/>
        </w:rPr>
      </w:pPr>
      <w:r>
        <w:rPr>
          <w:rFonts w:hint="eastAsia" w:ascii="宋体" w:hAnsi="宋体" w:cs="宋体"/>
          <w:sz w:val="24"/>
          <w:highlight w:val="none"/>
        </w:rPr>
        <w:t>数据轻应用模块部分的主要功能为：自动接入不同业务系统的违法数据，通过可视化数据建模和数据展示功能，配置出符合业务需求的违法明细数据和统计指标查询轻应用，便于用户快速查询不同标签的违法数据，起到为基层民警减负的作用。</w:t>
      </w:r>
    </w:p>
    <w:p w14:paraId="31361F91">
      <w:pPr>
        <w:spacing w:line="360" w:lineRule="auto"/>
        <w:ind w:firstLine="480"/>
        <w:rPr>
          <w:rFonts w:ascii="宋体" w:hAnsi="宋体" w:cs="宋体"/>
          <w:sz w:val="24"/>
          <w:highlight w:val="none"/>
        </w:rPr>
      </w:pPr>
      <w:r>
        <w:rPr>
          <w:rFonts w:hint="eastAsia" w:ascii="宋体" w:hAnsi="宋体" w:cs="宋体"/>
          <w:sz w:val="24"/>
          <w:highlight w:val="none"/>
        </w:rPr>
        <w:t xml:space="preserve">1）数据接入：支持对接目标数据源，获取应用所需业务数据，实现数据源共享。 </w:t>
      </w:r>
    </w:p>
    <w:p w14:paraId="53DD8F7E">
      <w:pPr>
        <w:spacing w:line="360" w:lineRule="auto"/>
        <w:ind w:firstLine="480"/>
        <w:rPr>
          <w:rFonts w:ascii="宋体" w:hAnsi="宋体" w:cs="宋体"/>
          <w:sz w:val="24"/>
          <w:highlight w:val="none"/>
        </w:rPr>
      </w:pPr>
      <w:r>
        <w:rPr>
          <w:rFonts w:hint="eastAsia" w:ascii="宋体" w:hAnsi="宋体" w:cs="宋体"/>
          <w:sz w:val="24"/>
          <w:highlight w:val="none"/>
        </w:rPr>
        <w:t>2）违法数据治理：从云上获取各业务系统的违法数据，根据日常违法查处工作关注的信息和标签，将各类违法数据治理成违法主题明细数据表。</w:t>
      </w:r>
    </w:p>
    <w:p w14:paraId="24181E78">
      <w:pPr>
        <w:spacing w:line="360" w:lineRule="auto"/>
        <w:ind w:firstLine="480"/>
        <w:rPr>
          <w:rFonts w:ascii="宋体" w:hAnsi="宋体" w:cs="宋体"/>
          <w:sz w:val="24"/>
          <w:highlight w:val="none"/>
        </w:rPr>
      </w:pPr>
      <w:r>
        <w:rPr>
          <w:rFonts w:hint="eastAsia" w:ascii="宋体" w:hAnsi="宋体" w:cs="宋体"/>
          <w:sz w:val="24"/>
          <w:highlight w:val="none"/>
        </w:rPr>
        <w:t>3）数据查询：根据不同标签数据作为查询条件，自定义选择次维设置数据统计的维度和指标项，满足民警快速获取日常违法数据分析的数据需求。</w:t>
      </w:r>
    </w:p>
    <w:p w14:paraId="2356CC75">
      <w:pPr>
        <w:spacing w:line="360" w:lineRule="auto"/>
        <w:ind w:firstLine="480"/>
        <w:rPr>
          <w:rFonts w:ascii="宋体" w:hAnsi="宋体" w:cs="宋体"/>
          <w:sz w:val="24"/>
          <w:highlight w:val="none"/>
        </w:rPr>
      </w:pPr>
      <w:r>
        <w:rPr>
          <w:rFonts w:hint="eastAsia" w:ascii="宋体" w:hAnsi="宋体" w:cs="宋体"/>
          <w:sz w:val="24"/>
          <w:highlight w:val="none"/>
        </w:rPr>
        <w:t>4）数据管理：自定义配置和保存违法统计指标规则，自动统计违法考核指标并导出报表。</w:t>
      </w:r>
    </w:p>
    <w:p w14:paraId="387543E2">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二）服务要求</w:t>
      </w:r>
    </w:p>
    <w:p w14:paraId="56518BBA">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1、应具有较强的云计算及大数据开发、运维及服务能力，应具备网络安全技术、运维及服务能力； </w:t>
      </w:r>
    </w:p>
    <w:p w14:paraId="05FA027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2、应为本项目投入必要安全硬件专业设备进行服务，以成熟技术进行必要的安全保障； </w:t>
      </w:r>
    </w:p>
    <w:p w14:paraId="485DB20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3、应具备公安数据领域云平台和大数据建设能力、安全保障能力和丰富的项目经验。</w:t>
      </w:r>
    </w:p>
    <w:p w14:paraId="009E1068">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三）服务响应时间</w:t>
      </w:r>
    </w:p>
    <w:p w14:paraId="7BF74EE3">
      <w:pPr>
        <w:spacing w:line="360" w:lineRule="auto"/>
        <w:ind w:firstLine="482" w:firstLineChars="200"/>
        <w:jc w:val="left"/>
        <w:rPr>
          <w:rFonts w:ascii="宋体" w:hAnsi="宋体" w:cs="宋体"/>
          <w:b/>
          <w:sz w:val="24"/>
          <w:highlight w:val="none"/>
          <w:u w:val="single"/>
        </w:rPr>
      </w:pPr>
      <w:r>
        <w:rPr>
          <w:rFonts w:hint="eastAsia" w:ascii="宋体" w:hAnsi="宋体" w:cs="宋体"/>
          <w:b/>
          <w:sz w:val="24"/>
          <w:highlight w:val="none"/>
          <w:u w:val="single"/>
        </w:rPr>
        <w:t xml:space="preserve"> 乙方提供7*24小时响应服务。接到甲方通知后应于30分钟内响应，2小时内解决问题；如现场驻点人员无法解决需乙方公司提供技术支持的，技术支持人员需3小时内到达现场，48小时内解决问题。</w:t>
      </w:r>
    </w:p>
    <w:p w14:paraId="652DDA42">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四）人员要求</w:t>
      </w:r>
    </w:p>
    <w:p w14:paraId="30D93F11">
      <w:pPr>
        <w:tabs>
          <w:tab w:val="left" w:pos="432"/>
        </w:tabs>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1、配备数量</w:t>
      </w:r>
    </w:p>
    <w:p w14:paraId="153A8E5D">
      <w:pPr>
        <w:tabs>
          <w:tab w:val="left" w:pos="432"/>
        </w:tabs>
        <w:spacing w:line="360" w:lineRule="auto"/>
        <w:ind w:firstLine="482" w:firstLineChars="200"/>
        <w:jc w:val="left"/>
        <w:outlineLvl w:val="1"/>
        <w:rPr>
          <w:rFonts w:ascii="宋体" w:hAnsi="宋体" w:cs="宋体"/>
          <w:b/>
          <w:sz w:val="24"/>
          <w:highlight w:val="none"/>
          <w:u w:val="single"/>
        </w:rPr>
      </w:pPr>
      <w:r>
        <w:rPr>
          <w:rFonts w:hint="eastAsia" w:ascii="宋体" w:hAnsi="宋体" w:cs="宋体"/>
          <w:b/>
          <w:sz w:val="24"/>
          <w:highlight w:val="none"/>
          <w:u w:val="single"/>
        </w:rPr>
        <w:t>按照实际工作需要，配备项目负责人1名，驻点人员不少于11名，不得与其他项目兼任。非驻点服务人员根据甲方实际要求进行安排。承担本项目中的实施、服务、安全保障和技术支持工作。</w:t>
      </w:r>
    </w:p>
    <w:p w14:paraId="5821C997">
      <w:pPr>
        <w:tabs>
          <w:tab w:val="left" w:pos="432"/>
        </w:tabs>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2、人员服务时间</w:t>
      </w:r>
    </w:p>
    <w:p w14:paraId="2C8C84D2">
      <w:pPr>
        <w:tabs>
          <w:tab w:val="left" w:pos="432"/>
        </w:tabs>
        <w:spacing w:line="360" w:lineRule="auto"/>
        <w:ind w:firstLine="480" w:firstLineChars="200"/>
        <w:jc w:val="left"/>
        <w:outlineLvl w:val="1"/>
        <w:rPr>
          <w:rFonts w:ascii="宋体" w:hAnsi="宋体" w:cs="宋体"/>
          <w:sz w:val="24"/>
          <w:highlight w:val="none"/>
        </w:rPr>
      </w:pPr>
      <w:r>
        <w:rPr>
          <w:rFonts w:hint="eastAsia" w:ascii="宋体" w:hAnsi="宋体" w:cs="宋体"/>
          <w:sz w:val="24"/>
          <w:highlight w:val="none"/>
        </w:rPr>
        <w:t>1）项目负责人服务时间：7*24小时；</w:t>
      </w:r>
    </w:p>
    <w:p w14:paraId="01DBA7A1">
      <w:pPr>
        <w:tabs>
          <w:tab w:val="left" w:pos="432"/>
        </w:tabs>
        <w:spacing w:line="360" w:lineRule="auto"/>
        <w:ind w:firstLine="480" w:firstLineChars="200"/>
        <w:jc w:val="left"/>
        <w:outlineLvl w:val="1"/>
        <w:rPr>
          <w:rFonts w:ascii="宋体" w:hAnsi="宋体" w:cs="宋体"/>
          <w:sz w:val="24"/>
          <w:highlight w:val="none"/>
        </w:rPr>
      </w:pPr>
      <w:r>
        <w:rPr>
          <w:rFonts w:hint="eastAsia" w:ascii="宋体" w:hAnsi="宋体" w:cs="宋体"/>
          <w:bCs/>
          <w:sz w:val="24"/>
          <w:highlight w:val="none"/>
        </w:rPr>
        <w:t>2）驻点</w:t>
      </w:r>
      <w:r>
        <w:rPr>
          <w:rFonts w:hint="eastAsia" w:ascii="宋体" w:hAnsi="宋体" w:cs="宋体"/>
          <w:sz w:val="24"/>
          <w:highlight w:val="none"/>
        </w:rPr>
        <w:t>人员服务时间：5*8小时，工作时间9：00-17：30；</w:t>
      </w:r>
    </w:p>
    <w:p w14:paraId="077F3D03">
      <w:pPr>
        <w:tabs>
          <w:tab w:val="left" w:pos="432"/>
        </w:tabs>
        <w:spacing w:line="360" w:lineRule="auto"/>
        <w:ind w:firstLine="480" w:firstLineChars="200"/>
        <w:jc w:val="left"/>
        <w:outlineLvl w:val="1"/>
        <w:rPr>
          <w:rFonts w:ascii="宋体" w:hAnsi="宋体" w:cs="宋体"/>
          <w:sz w:val="24"/>
          <w:highlight w:val="none"/>
        </w:rPr>
      </w:pPr>
      <w:r>
        <w:rPr>
          <w:rFonts w:hint="eastAsia" w:ascii="宋体" w:hAnsi="宋体" w:cs="宋体"/>
          <w:sz w:val="24"/>
          <w:highlight w:val="none"/>
        </w:rPr>
        <w:t>3）工作地点：杭州市公安局交通警察支队（杭州市文晖路336号）</w:t>
      </w:r>
    </w:p>
    <w:p w14:paraId="7A4BF52B">
      <w:pPr>
        <w:tabs>
          <w:tab w:val="left" w:pos="432"/>
        </w:tabs>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3、人员配备标准</w:t>
      </w:r>
    </w:p>
    <w:p w14:paraId="712ADC1B">
      <w:pPr>
        <w:tabs>
          <w:tab w:val="left" w:pos="432"/>
        </w:tabs>
        <w:spacing w:line="360" w:lineRule="auto"/>
        <w:ind w:firstLine="480" w:firstLineChars="200"/>
        <w:jc w:val="left"/>
        <w:outlineLvl w:val="1"/>
        <w:rPr>
          <w:rFonts w:ascii="宋体" w:hAnsi="宋体" w:cs="宋体"/>
          <w:b/>
          <w:sz w:val="24"/>
          <w:highlight w:val="none"/>
        </w:rPr>
      </w:pPr>
      <w:r>
        <w:rPr>
          <w:rFonts w:hint="eastAsia" w:ascii="宋体" w:hAnsi="宋体" w:cs="宋体"/>
          <w:sz w:val="24"/>
          <w:highlight w:val="none"/>
        </w:rPr>
        <w:t>1）</w:t>
      </w:r>
      <w:r>
        <w:rPr>
          <w:rFonts w:hint="eastAsia" w:ascii="宋体" w:hAnsi="宋体" w:cs="宋体"/>
          <w:b/>
          <w:sz w:val="24"/>
          <w:highlight w:val="none"/>
        </w:rPr>
        <w:t>项目负责人配备标准：年龄55周岁（含）以下，本科及以上学历，具有信息化软硬件运维工作服务经验（投标时提供身份证、学历证书、类似业绩合同或业主证明材料、项目负责人与乙方共同出具的在服务期内为本项目提供服务的承诺函或社保证明）。项目负责人主要负责项目整体实施管理、驻点人员管理，及与甲方的沟通协调等工作。</w:t>
      </w:r>
    </w:p>
    <w:p w14:paraId="224A920A">
      <w:pPr>
        <w:tabs>
          <w:tab w:val="left" w:pos="432"/>
        </w:tabs>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2）驻点人员配备标准：年龄55周岁（含）以下，大专及以上学历，具有信息化软硬件运维工作服务经验（投标时提供身份证、学历证书、类似业绩合同或业主证明材料、驻点人员与乙方共同出具的在服务期内为本项目提供服务的承诺函或社保证明）。驻点人员主要负责项目的具体实施工作，接受甲方统一管理，配合甲方工作。</w:t>
      </w:r>
    </w:p>
    <w:p w14:paraId="5EF426F8">
      <w:pPr>
        <w:tabs>
          <w:tab w:val="left" w:pos="432"/>
        </w:tabs>
        <w:spacing w:line="360" w:lineRule="auto"/>
        <w:ind w:firstLine="482" w:firstLineChars="200"/>
        <w:jc w:val="left"/>
        <w:outlineLvl w:val="1"/>
        <w:rPr>
          <w:rFonts w:ascii="宋体" w:hAnsi="宋体" w:cs="宋体"/>
          <w:sz w:val="24"/>
          <w:highlight w:val="none"/>
        </w:rPr>
      </w:pPr>
      <w:r>
        <w:rPr>
          <w:rFonts w:hint="eastAsia" w:ascii="宋体" w:hAnsi="宋体" w:cs="宋体"/>
          <w:b/>
          <w:sz w:val="24"/>
          <w:highlight w:val="none"/>
        </w:rPr>
        <w:t>驻点人员分</w:t>
      </w:r>
      <w:r>
        <w:rPr>
          <w:rFonts w:hint="eastAsia" w:ascii="宋体" w:hAnsi="宋体" w:cs="宋体"/>
          <w:b/>
          <w:bCs/>
          <w:sz w:val="24"/>
          <w:highlight w:val="none"/>
        </w:rPr>
        <w:t>工要求如下：</w:t>
      </w:r>
    </w:p>
    <w:p w14:paraId="7EC24F3B">
      <w:pPr>
        <w:spacing w:line="360" w:lineRule="auto"/>
        <w:ind w:firstLine="480"/>
        <w:rPr>
          <w:rFonts w:ascii="宋体" w:hAnsi="宋体" w:cs="宋体"/>
          <w:bCs/>
          <w:sz w:val="24"/>
          <w:highlight w:val="none"/>
        </w:rPr>
      </w:pPr>
      <w:r>
        <w:rPr>
          <w:rFonts w:hint="eastAsia" w:ascii="宋体" w:hAnsi="宋体" w:cs="宋体"/>
          <w:bCs/>
          <w:sz w:val="24"/>
          <w:highlight w:val="none"/>
        </w:rPr>
        <w:t>（1）专网云平台系统运行及数据治理服务、公安网数据治理服务，驻点人员8人，主要工作：</w:t>
      </w:r>
    </w:p>
    <w:p w14:paraId="47492C43">
      <w:pPr>
        <w:spacing w:line="360" w:lineRule="auto"/>
        <w:ind w:firstLine="480"/>
        <w:rPr>
          <w:rFonts w:ascii="宋体" w:hAnsi="宋体" w:cs="宋体"/>
          <w:bCs/>
          <w:sz w:val="24"/>
          <w:highlight w:val="none"/>
        </w:rPr>
      </w:pPr>
      <w:r>
        <w:rPr>
          <w:rFonts w:hint="eastAsia" w:ascii="宋体" w:hAnsi="宋体" w:cs="宋体"/>
          <w:bCs/>
          <w:sz w:val="24"/>
          <w:highlight w:val="none"/>
        </w:rPr>
        <w:t>1）日常维护杭州日常数据服务工作，常态化技术支持，完成数据接入及透出、数据开发和技术支持服务。</w:t>
      </w:r>
    </w:p>
    <w:p w14:paraId="7535CC97">
      <w:pPr>
        <w:spacing w:line="360" w:lineRule="auto"/>
        <w:ind w:firstLine="480"/>
        <w:rPr>
          <w:rFonts w:ascii="宋体" w:hAnsi="宋体" w:cs="宋体"/>
          <w:bCs/>
          <w:sz w:val="24"/>
          <w:highlight w:val="none"/>
        </w:rPr>
      </w:pPr>
      <w:r>
        <w:rPr>
          <w:rFonts w:hint="eastAsia" w:ascii="宋体" w:hAnsi="宋体" w:cs="宋体"/>
          <w:bCs/>
          <w:sz w:val="24"/>
          <w:highlight w:val="none"/>
        </w:rPr>
        <w:t>2）按要求完成每日平台巡查、数据服务链路维护和数据统计分析工作，检查系统运行情况，每周一上报并出具上周的巡检报告，确保系统的稳定运行，在服务期间驻点人员电话应保持畅通。</w:t>
      </w:r>
    </w:p>
    <w:p w14:paraId="1CD6479F">
      <w:pPr>
        <w:spacing w:line="360" w:lineRule="auto"/>
        <w:ind w:firstLine="480"/>
        <w:rPr>
          <w:rFonts w:ascii="宋体" w:hAnsi="宋体" w:cs="宋体"/>
          <w:bCs/>
          <w:sz w:val="24"/>
          <w:highlight w:val="none"/>
        </w:rPr>
      </w:pPr>
      <w:r>
        <w:rPr>
          <w:rFonts w:hint="eastAsia" w:ascii="宋体" w:hAnsi="宋体" w:cs="宋体"/>
          <w:bCs/>
          <w:sz w:val="24"/>
          <w:highlight w:val="none"/>
        </w:rPr>
        <w:t>3）完善数据上云申请流程，完成公安网数据资源的汇聚整合，实现数据统一汇聚。</w:t>
      </w:r>
    </w:p>
    <w:p w14:paraId="5FCF7EE9">
      <w:pPr>
        <w:spacing w:line="360" w:lineRule="auto"/>
        <w:ind w:firstLine="480"/>
        <w:rPr>
          <w:rFonts w:ascii="宋体" w:hAnsi="宋体" w:cs="宋体"/>
          <w:bCs/>
          <w:sz w:val="24"/>
          <w:highlight w:val="none"/>
        </w:rPr>
      </w:pPr>
      <w:r>
        <w:rPr>
          <w:rFonts w:hint="eastAsia" w:ascii="宋体" w:hAnsi="宋体" w:cs="宋体"/>
          <w:bCs/>
          <w:sz w:val="24"/>
          <w:highlight w:val="none"/>
        </w:rPr>
        <w:t>4）汇聚的数据进行标准化处理，根据公安大数据处理标准要求对数据进行重新整合。</w:t>
      </w:r>
    </w:p>
    <w:p w14:paraId="0D7FBC65">
      <w:pPr>
        <w:spacing w:line="360" w:lineRule="auto"/>
        <w:ind w:firstLine="480"/>
        <w:rPr>
          <w:rFonts w:ascii="宋体" w:hAnsi="宋体" w:cs="宋体"/>
          <w:bCs/>
          <w:sz w:val="24"/>
          <w:highlight w:val="none"/>
        </w:rPr>
      </w:pPr>
      <w:r>
        <w:rPr>
          <w:rFonts w:hint="eastAsia" w:ascii="宋体" w:hAnsi="宋体" w:cs="宋体"/>
          <w:bCs/>
          <w:sz w:val="24"/>
          <w:highlight w:val="none"/>
        </w:rPr>
        <w:t>5）以数据应用为导向，提升数据价值密度。</w:t>
      </w:r>
    </w:p>
    <w:p w14:paraId="524639F5">
      <w:pPr>
        <w:spacing w:line="360" w:lineRule="auto"/>
        <w:ind w:firstLine="480"/>
        <w:rPr>
          <w:rFonts w:ascii="宋体" w:hAnsi="宋体" w:cs="宋体"/>
          <w:bCs/>
          <w:sz w:val="24"/>
          <w:highlight w:val="none"/>
        </w:rPr>
      </w:pPr>
      <w:r>
        <w:rPr>
          <w:rFonts w:hint="eastAsia" w:ascii="宋体" w:hAnsi="宋体" w:cs="宋体"/>
          <w:bCs/>
          <w:sz w:val="24"/>
          <w:highlight w:val="none"/>
        </w:rPr>
        <w:t>6）保障上云数据链路，负责维护云上链路新建、维护等。</w:t>
      </w:r>
    </w:p>
    <w:p w14:paraId="3A3E8361">
      <w:pPr>
        <w:spacing w:line="360" w:lineRule="auto"/>
        <w:ind w:firstLine="480"/>
        <w:rPr>
          <w:rFonts w:ascii="宋体" w:hAnsi="宋体" w:cs="宋体"/>
          <w:bCs/>
          <w:sz w:val="24"/>
          <w:highlight w:val="none"/>
        </w:rPr>
      </w:pPr>
      <w:r>
        <w:rPr>
          <w:rFonts w:hint="eastAsia" w:ascii="宋体" w:hAnsi="宋体" w:cs="宋体"/>
          <w:bCs/>
          <w:sz w:val="24"/>
          <w:highlight w:val="none"/>
        </w:rPr>
        <w:t>（2）网络安全服务，驻点人员1人，主要工作：配合</w:t>
      </w:r>
      <w:r>
        <w:rPr>
          <w:rFonts w:hint="eastAsia" w:ascii="宋体" w:hAnsi="宋体" w:cs="宋体"/>
          <w:sz w:val="24"/>
          <w:highlight w:val="none"/>
        </w:rPr>
        <w:t>甲方</w:t>
      </w:r>
      <w:r>
        <w:rPr>
          <w:rFonts w:hint="eastAsia" w:ascii="宋体" w:hAnsi="宋体" w:cs="宋体"/>
          <w:bCs/>
          <w:sz w:val="24"/>
          <w:highlight w:val="none"/>
        </w:rPr>
        <w:t>开展安全运营管理工作，提供5*8小时服务，负责公安信息网、视频专网、电子政务外网等相关网络的安全运营管理工作。</w:t>
      </w:r>
    </w:p>
    <w:p w14:paraId="23D71398">
      <w:pPr>
        <w:spacing w:line="360" w:lineRule="auto"/>
        <w:ind w:firstLine="480"/>
        <w:rPr>
          <w:rFonts w:ascii="宋体" w:hAnsi="宋体" w:cs="宋体"/>
          <w:bCs/>
          <w:sz w:val="24"/>
          <w:highlight w:val="none"/>
        </w:rPr>
      </w:pPr>
      <w:r>
        <w:rPr>
          <w:rFonts w:hint="eastAsia" w:ascii="宋体" w:hAnsi="宋体" w:cs="宋体"/>
          <w:bCs/>
          <w:sz w:val="24"/>
          <w:highlight w:val="none"/>
        </w:rPr>
        <w:t>1）对系统软硬件设施检查检测，系统参数调整；</w:t>
      </w:r>
    </w:p>
    <w:p w14:paraId="38CF4A51">
      <w:pPr>
        <w:spacing w:line="360" w:lineRule="auto"/>
        <w:ind w:firstLine="480"/>
        <w:rPr>
          <w:rFonts w:ascii="宋体" w:hAnsi="宋体" w:cs="宋体"/>
          <w:bCs/>
          <w:sz w:val="24"/>
          <w:highlight w:val="none"/>
        </w:rPr>
      </w:pPr>
      <w:r>
        <w:rPr>
          <w:rFonts w:hint="eastAsia" w:ascii="宋体" w:hAnsi="宋体" w:cs="宋体"/>
          <w:bCs/>
          <w:sz w:val="24"/>
          <w:highlight w:val="none"/>
        </w:rPr>
        <w:t>2）保障系统的正常运行（包括防火墙设置、杀毒库升级、杀毒服务、系统优化等）；</w:t>
      </w:r>
    </w:p>
    <w:p w14:paraId="24679AE5">
      <w:pPr>
        <w:spacing w:line="360" w:lineRule="auto"/>
        <w:ind w:firstLine="480"/>
        <w:rPr>
          <w:rFonts w:ascii="宋体" w:hAnsi="宋体" w:cs="宋体"/>
          <w:bCs/>
          <w:sz w:val="24"/>
          <w:highlight w:val="none"/>
        </w:rPr>
      </w:pPr>
      <w:r>
        <w:rPr>
          <w:rFonts w:hint="eastAsia" w:ascii="宋体" w:hAnsi="宋体" w:cs="宋体"/>
          <w:bCs/>
          <w:sz w:val="24"/>
          <w:highlight w:val="none"/>
        </w:rPr>
        <w:t>3）重大活动中的保障工作。</w:t>
      </w:r>
    </w:p>
    <w:p w14:paraId="70E57D29">
      <w:pPr>
        <w:spacing w:line="360" w:lineRule="auto"/>
        <w:ind w:firstLine="480"/>
        <w:rPr>
          <w:rFonts w:ascii="宋体" w:hAnsi="宋体" w:cs="宋体"/>
          <w:bCs/>
          <w:sz w:val="24"/>
          <w:highlight w:val="none"/>
        </w:rPr>
      </w:pPr>
      <w:r>
        <w:rPr>
          <w:rFonts w:hint="eastAsia" w:ascii="宋体" w:hAnsi="宋体" w:cs="宋体"/>
          <w:bCs/>
          <w:sz w:val="24"/>
          <w:highlight w:val="none"/>
        </w:rPr>
        <w:t>4）服务期内提供《应急响应报告》不少于4份、《渗透测试报告》20份、《重保期间安全日报》至少4份、《网络安全事件应急演练报告》1份、《网络安全事件应急预案》1份、服务期结束后提供《网络安全总结报告》1份</w:t>
      </w:r>
    </w:p>
    <w:p w14:paraId="1F34983D">
      <w:pPr>
        <w:spacing w:line="360" w:lineRule="auto"/>
        <w:ind w:firstLine="480"/>
        <w:rPr>
          <w:rFonts w:ascii="宋体" w:hAnsi="宋体" w:cs="宋体"/>
          <w:bCs/>
          <w:sz w:val="24"/>
          <w:highlight w:val="none"/>
        </w:rPr>
      </w:pPr>
      <w:r>
        <w:rPr>
          <w:rFonts w:hint="eastAsia" w:ascii="宋体" w:hAnsi="宋体" w:cs="宋体"/>
          <w:bCs/>
          <w:sz w:val="24"/>
          <w:highlight w:val="none"/>
        </w:rPr>
        <w:t>（3）货运导航数据及运营保障服务，驻点人员2人</w:t>
      </w:r>
    </w:p>
    <w:p w14:paraId="6E4C5B63">
      <w:pPr>
        <w:spacing w:line="360" w:lineRule="auto"/>
        <w:ind w:firstLine="480"/>
        <w:rPr>
          <w:rFonts w:ascii="宋体" w:hAnsi="宋体" w:cs="宋体"/>
          <w:bCs/>
          <w:sz w:val="24"/>
          <w:highlight w:val="none"/>
        </w:rPr>
      </w:pPr>
      <w:r>
        <w:rPr>
          <w:rFonts w:hint="eastAsia" w:ascii="宋体" w:hAnsi="宋体" w:cs="宋体"/>
          <w:bCs/>
          <w:sz w:val="24"/>
          <w:highlight w:val="none"/>
        </w:rPr>
        <w:t>1）提供常态化货运交通组织优化调整数据服务。</w:t>
      </w:r>
    </w:p>
    <w:p w14:paraId="08596330">
      <w:pPr>
        <w:spacing w:line="360" w:lineRule="auto"/>
        <w:ind w:firstLine="480"/>
        <w:rPr>
          <w:rFonts w:ascii="宋体" w:hAnsi="宋体" w:cs="宋体"/>
          <w:bCs/>
          <w:sz w:val="24"/>
          <w:highlight w:val="none"/>
        </w:rPr>
      </w:pPr>
      <w:r>
        <w:rPr>
          <w:rFonts w:hint="eastAsia" w:ascii="宋体" w:hAnsi="宋体" w:cs="宋体"/>
          <w:bCs/>
          <w:sz w:val="24"/>
          <w:highlight w:val="none"/>
        </w:rPr>
        <w:t>2）提供城市货运导航推广运营服务，包括运输企业、货车驾驶员系统使用、信息咨询服务等。</w:t>
      </w:r>
    </w:p>
    <w:p w14:paraId="26AF4168">
      <w:pPr>
        <w:spacing w:line="360" w:lineRule="auto"/>
        <w:ind w:firstLine="480"/>
        <w:rPr>
          <w:rFonts w:ascii="宋体" w:hAnsi="宋体" w:cs="宋体"/>
          <w:bCs/>
          <w:sz w:val="24"/>
          <w:highlight w:val="none"/>
        </w:rPr>
      </w:pPr>
      <w:r>
        <w:rPr>
          <w:rFonts w:hint="eastAsia" w:ascii="宋体" w:hAnsi="宋体" w:cs="宋体"/>
          <w:bCs/>
          <w:sz w:val="24"/>
          <w:highlight w:val="none"/>
        </w:rPr>
        <w:t>3）提供大型活动保障服务，在大型活动、会议期间，负责货运交通组织调整数据服务。不限于1、限行区域数据调整、制作、数据测试、数据发布服务；2、禁行区域数据调整、制作、数据测试、数据发布服务；3、黑名单道路调整、数据制作、数据测试、数据发布服务；4、避让区域的调整、数据制作、数据测试、数据发布服务等</w:t>
      </w:r>
    </w:p>
    <w:p w14:paraId="160A7780">
      <w:pPr>
        <w:spacing w:line="360" w:lineRule="auto"/>
        <w:ind w:firstLine="480" w:firstLineChars="200"/>
        <w:rPr>
          <w:rFonts w:ascii="宋体" w:hAnsi="宋体" w:cs="宋体"/>
          <w:sz w:val="24"/>
          <w:highlight w:val="none"/>
        </w:rPr>
      </w:pPr>
      <w:r>
        <w:rPr>
          <w:rFonts w:hint="eastAsia" w:ascii="宋体" w:hAnsi="宋体" w:cs="宋体"/>
          <w:bCs/>
          <w:sz w:val="24"/>
          <w:highlight w:val="none"/>
        </w:rPr>
        <w:t>4）提供系统开发和对接服务，完成常态化的系统正常运行保障和需求实现，包括省厅行政审批系统、货车通行证系统数据接口对接、数据运维服务。</w:t>
      </w:r>
    </w:p>
    <w:p w14:paraId="503427F9">
      <w:pPr>
        <w:tabs>
          <w:tab w:val="left" w:pos="432"/>
        </w:tabs>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4、其他要求：</w:t>
      </w:r>
    </w:p>
    <w:p w14:paraId="0305C551">
      <w:pPr>
        <w:tabs>
          <w:tab w:val="left" w:pos="432"/>
        </w:tabs>
        <w:spacing w:line="360" w:lineRule="auto"/>
        <w:ind w:firstLine="480" w:firstLineChars="200"/>
        <w:outlineLvl w:val="1"/>
        <w:rPr>
          <w:rFonts w:ascii="宋体" w:hAnsi="宋体" w:cs="宋体"/>
          <w:bCs/>
          <w:sz w:val="24"/>
          <w:highlight w:val="none"/>
        </w:rPr>
      </w:pPr>
      <w:r>
        <w:rPr>
          <w:rFonts w:hint="eastAsia" w:ascii="宋体" w:hAnsi="宋体" w:cs="宋体"/>
          <w:bCs/>
          <w:sz w:val="24"/>
          <w:highlight w:val="none"/>
        </w:rPr>
        <w:t>1）乙方应派驻固定的驻点人员，合同期内人员不得随意变动，因</w:t>
      </w:r>
      <w:r>
        <w:rPr>
          <w:rFonts w:hint="eastAsia" w:ascii="宋体" w:hAnsi="宋体" w:cs="宋体"/>
          <w:sz w:val="24"/>
          <w:highlight w:val="none"/>
        </w:rPr>
        <w:t>甲方</w:t>
      </w:r>
      <w:r>
        <w:rPr>
          <w:rFonts w:hint="eastAsia" w:ascii="宋体" w:hAnsi="宋体" w:cs="宋体"/>
          <w:bCs/>
          <w:sz w:val="24"/>
          <w:highlight w:val="none"/>
        </w:rPr>
        <w:t>工作存在即时性和突发性，能够随时响应配合甲方的工作，利于合作的顺利开展；人员如需发生变更，乙方应提前48小时通知甲方，经甲方书面同意后方可更换，更换人员需在24小时内到位，确保任何时间都不得出现人员缺位现象，更换人员素质应不低于合同要求。</w:t>
      </w:r>
    </w:p>
    <w:p w14:paraId="14C8C1C7">
      <w:pPr>
        <w:tabs>
          <w:tab w:val="left" w:pos="432"/>
        </w:tabs>
        <w:spacing w:line="360" w:lineRule="auto"/>
        <w:ind w:firstLine="480" w:firstLineChars="200"/>
        <w:outlineLvl w:val="1"/>
        <w:rPr>
          <w:rFonts w:ascii="宋体" w:hAnsi="宋体" w:cs="宋体"/>
          <w:bCs/>
          <w:sz w:val="24"/>
          <w:highlight w:val="none"/>
        </w:rPr>
      </w:pPr>
      <w:r>
        <w:rPr>
          <w:rFonts w:hint="eastAsia" w:ascii="宋体" w:hAnsi="宋体" w:cs="宋体"/>
          <w:bCs/>
          <w:sz w:val="24"/>
          <w:highlight w:val="none"/>
        </w:rPr>
        <w:t>2）对于本项目中提供的软硬件，需根据信创要求，完成信创测评，如因乙方人原因未符合要求的，需负责整改到位。</w:t>
      </w:r>
    </w:p>
    <w:p w14:paraId="54D87624">
      <w:pPr>
        <w:tabs>
          <w:tab w:val="left" w:pos="432"/>
        </w:tabs>
        <w:spacing w:line="360" w:lineRule="auto"/>
        <w:ind w:firstLine="482" w:firstLineChars="200"/>
        <w:outlineLvl w:val="1"/>
        <w:rPr>
          <w:rFonts w:ascii="宋体" w:hAnsi="宋体" w:cs="宋体"/>
          <w:b/>
          <w:sz w:val="24"/>
          <w:highlight w:val="none"/>
        </w:rPr>
      </w:pPr>
      <w:r>
        <w:rPr>
          <w:rFonts w:hint="eastAsia" w:ascii="宋体" w:hAnsi="宋体" w:cs="宋体"/>
          <w:b/>
          <w:sz w:val="24"/>
          <w:highlight w:val="none"/>
        </w:rPr>
        <w:t>3）在本项目合同履行过程中，乙方提供的服务中部分内容（货运导航数据及运营保障服务中的城市货运导航数据运营服务）需要由第三方充分配合，相关费用包含在合同总价内，乙方提供承诺函（格式自拟）。若合同履行过程中，未按承诺实施，则处以违约金处罚，违约金金额由乙方自行在承诺函中明确，单次违约金金额不低于5万元且不高于20万元。</w:t>
      </w:r>
    </w:p>
    <w:p w14:paraId="1A51CF75">
      <w:pPr>
        <w:tabs>
          <w:tab w:val="left" w:pos="432"/>
        </w:tabs>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5.培训要求：</w:t>
      </w:r>
    </w:p>
    <w:p w14:paraId="22B3D7CF">
      <w:pPr>
        <w:tabs>
          <w:tab w:val="left" w:pos="432"/>
        </w:tabs>
        <w:spacing w:line="360" w:lineRule="auto"/>
        <w:ind w:firstLine="480" w:firstLineChars="200"/>
        <w:jc w:val="left"/>
        <w:outlineLvl w:val="1"/>
        <w:rPr>
          <w:rFonts w:ascii="宋体" w:hAnsi="宋体" w:cs="宋体"/>
          <w:bCs/>
          <w:sz w:val="24"/>
          <w:highlight w:val="none"/>
        </w:rPr>
      </w:pPr>
      <w:r>
        <w:rPr>
          <w:rFonts w:hint="eastAsia" w:ascii="宋体" w:hAnsi="宋体" w:cs="宋体"/>
          <w:bCs/>
          <w:sz w:val="24"/>
          <w:highlight w:val="none"/>
        </w:rPr>
        <w:t>培训对象：</w:t>
      </w:r>
      <w:r>
        <w:rPr>
          <w:rFonts w:hint="eastAsia" w:ascii="宋体" w:hAnsi="宋体" w:cs="宋体"/>
          <w:sz w:val="24"/>
          <w:highlight w:val="none"/>
        </w:rPr>
        <w:t>甲方</w:t>
      </w:r>
      <w:r>
        <w:rPr>
          <w:rFonts w:hint="eastAsia" w:ascii="宋体" w:hAnsi="宋体" w:cs="宋体"/>
          <w:bCs/>
          <w:sz w:val="24"/>
          <w:highlight w:val="none"/>
        </w:rPr>
        <w:t>相关处室人员。培训人数根据甲方要求确定（不少于5人）。</w:t>
      </w:r>
    </w:p>
    <w:p w14:paraId="1D94FEB1">
      <w:pPr>
        <w:tabs>
          <w:tab w:val="left" w:pos="432"/>
        </w:tabs>
        <w:spacing w:line="360" w:lineRule="auto"/>
        <w:ind w:firstLine="480" w:firstLineChars="200"/>
        <w:jc w:val="left"/>
        <w:outlineLvl w:val="1"/>
        <w:rPr>
          <w:rFonts w:ascii="宋体" w:hAnsi="宋体" w:cs="宋体"/>
          <w:bCs/>
          <w:sz w:val="24"/>
          <w:highlight w:val="none"/>
        </w:rPr>
      </w:pPr>
      <w:r>
        <w:rPr>
          <w:rFonts w:hint="eastAsia" w:ascii="宋体" w:hAnsi="宋体" w:cs="宋体"/>
          <w:bCs/>
          <w:sz w:val="24"/>
          <w:highlight w:val="none"/>
        </w:rPr>
        <w:t>培训方式：主要为集中授课和现场操作应用指导培训，提供至少一年一次的培训。</w:t>
      </w:r>
    </w:p>
    <w:p w14:paraId="294C5E76">
      <w:pPr>
        <w:tabs>
          <w:tab w:val="left" w:pos="432"/>
        </w:tabs>
        <w:spacing w:line="360" w:lineRule="auto"/>
        <w:ind w:firstLine="480" w:firstLineChars="200"/>
        <w:jc w:val="left"/>
        <w:outlineLvl w:val="1"/>
        <w:rPr>
          <w:rFonts w:ascii="宋体" w:hAnsi="宋体" w:cs="宋体"/>
          <w:bCs/>
          <w:sz w:val="24"/>
          <w:highlight w:val="none"/>
        </w:rPr>
      </w:pPr>
      <w:r>
        <w:rPr>
          <w:rFonts w:hint="eastAsia" w:ascii="宋体" w:hAnsi="宋体" w:cs="宋体"/>
          <w:bCs/>
          <w:sz w:val="24"/>
          <w:highlight w:val="none"/>
        </w:rPr>
        <w:t>培训地点：培训地点由项目乙方与甲方共同协商确定。</w:t>
      </w:r>
    </w:p>
    <w:p w14:paraId="43375885">
      <w:pPr>
        <w:tabs>
          <w:tab w:val="left" w:pos="432"/>
        </w:tabs>
        <w:spacing w:line="360" w:lineRule="auto"/>
        <w:ind w:firstLine="480" w:firstLineChars="200"/>
        <w:jc w:val="left"/>
        <w:outlineLvl w:val="1"/>
        <w:rPr>
          <w:rFonts w:ascii="宋体" w:hAnsi="宋体" w:cs="宋体"/>
          <w:bCs/>
          <w:sz w:val="24"/>
          <w:highlight w:val="none"/>
        </w:rPr>
      </w:pPr>
      <w:r>
        <w:rPr>
          <w:rFonts w:hint="eastAsia" w:ascii="宋体" w:hAnsi="宋体" w:cs="宋体"/>
          <w:bCs/>
          <w:sz w:val="24"/>
          <w:highlight w:val="none"/>
        </w:rPr>
        <w:t>培训内容：培训包括安全体系、视频专网数据体系、公安网数据体系以及应用改造流程普及。</w:t>
      </w:r>
    </w:p>
    <w:p w14:paraId="27776BC1">
      <w:pPr>
        <w:tabs>
          <w:tab w:val="left" w:pos="432"/>
        </w:tabs>
        <w:ind w:firstLine="480" w:firstLineChars="200"/>
        <w:jc w:val="left"/>
        <w:rPr>
          <w:rFonts w:ascii="宋体" w:hAnsi="宋体" w:cs="宋体"/>
          <w:bCs/>
          <w:sz w:val="24"/>
          <w:highlight w:val="none"/>
        </w:rPr>
      </w:pPr>
      <w:r>
        <w:rPr>
          <w:rFonts w:hint="eastAsia" w:ascii="宋体" w:hAnsi="宋体" w:cs="宋体"/>
          <w:bCs/>
          <w:sz w:val="24"/>
          <w:highlight w:val="none"/>
          <w:lang w:bidi="zh-CN"/>
        </w:rPr>
        <w:t>培训师资：由乙方提供1名技术人员或工程师。</w:t>
      </w:r>
    </w:p>
    <w:p w14:paraId="5CA812A6">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五）乙方网络安全责任和义务</w:t>
      </w:r>
    </w:p>
    <w:p w14:paraId="6A351B5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（1）明确乙方法定代表人为合作事项网络安全第一责任人，具体承担合作事项的部门主要负责人为直接责任人。</w:t>
      </w:r>
    </w:p>
    <w:p w14:paraId="0F1E35E8">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z w:val="24"/>
          <w:highlight w:val="none"/>
        </w:rPr>
        <w:t>不得将除非主体、非关键性的工作外的合同内容进行分包或转包</w:t>
      </w:r>
      <w:r>
        <w:rPr>
          <w:rFonts w:hint="eastAsia" w:ascii="宋体" w:hAnsi="宋体" w:cs="宋体"/>
          <w:kern w:val="0"/>
          <w:sz w:val="24"/>
          <w:highlight w:val="none"/>
        </w:rPr>
        <w:t>。</w:t>
      </w:r>
    </w:p>
    <w:p w14:paraId="6FA7F4B2">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（3）乙方应制订与合作事项相关的网络安全保障方案和网络安全事件应急预案。</w:t>
      </w:r>
    </w:p>
    <w:p w14:paraId="112C6EF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（4）乙方发现网络安全漏洞、缺陷或者其他严重网络安全风险，应10分钟内向甲方报告。</w:t>
      </w:r>
    </w:p>
    <w:p w14:paraId="32B7B8F6">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（5）处理合作事项的信息平台应当采用安全可信的硬件和软件产品。</w:t>
      </w:r>
    </w:p>
    <w:p w14:paraId="72C36AC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（6）发生可能影响合作事项的网络安全重大事项，包括负责人及重要工作人员变更、业务转型、合并重组和投资并购等，乙方应提前向甲方报告。</w:t>
      </w:r>
    </w:p>
    <w:p w14:paraId="3A6AABD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（7）采用社会公共网络平台实施合作事项时，严禁涉及国家秘密和警务工作秘密。</w:t>
      </w:r>
    </w:p>
    <w:p w14:paraId="3292BB6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（8）乙方应2025年8月1日前向甲方提交一份网络安全报告。</w:t>
      </w:r>
    </w:p>
    <w:p w14:paraId="6DE7E89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（9）其他应当落实的网络安全责任和义务。</w:t>
      </w:r>
    </w:p>
    <w:p w14:paraId="70C3DFB5">
      <w:pPr>
        <w:spacing w:line="360" w:lineRule="auto"/>
        <w:ind w:firstLine="723" w:firstLineChars="300"/>
        <w:jc w:val="left"/>
        <w:rPr>
          <w:rFonts w:ascii="宋体" w:hAnsi="宋体" w:cs="宋体"/>
          <w:b/>
          <w:sz w:val="24"/>
          <w:highlight w:val="none"/>
        </w:rPr>
      </w:pPr>
      <w:r>
        <w:rPr>
          <w:rFonts w:hint="eastAsia" w:ascii="宋体" w:hAnsi="宋体" w:cs="宋体"/>
          <w:b/>
          <w:sz w:val="24"/>
          <w:highlight w:val="none"/>
        </w:rPr>
        <w:t>六）保密条款：</w:t>
      </w:r>
    </w:p>
    <w:p w14:paraId="5CA025A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甲方对乙方及工作人员开展常态化安全保密教育，组织签订安全保密承诺书，明确具体安全管理内容、安全保密义务和责任； 乙方及工作人员违反保密安全管理要求，构成违法犯罪的，甲方将及时报送本级政府采购和市场监督管理部门，提请列入政府采购严重违法失信行为记录名单、市场监督管理严重失信名单，并追究相关责任。</w:t>
      </w:r>
    </w:p>
    <w:p w14:paraId="49D3695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严格按照甲方规定使用、存储、处理文档资料和数据。合同终止时，应当交还全部资料和数据。</w:t>
      </w:r>
    </w:p>
    <w:p w14:paraId="512F2F7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乙方需与甲方签署保密协议，乙方对在项目实施期间所获得的甲方的情报和资料有保密义务（包括但不限于合同服务期内），泄漏秘密应承担的责任。如有违反，按合同的违约条款向甲方支付违约金，造成甲方损失的应予赔偿，涉嫌犯罪的依法追究刑事责任。</w:t>
      </w:r>
    </w:p>
    <w:p w14:paraId="4FA8DAB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若项目涉及分包的，乙方须按照以上保密要求，与分包供应商签订单位保密协议、个人保密承诺书、开展日常保密教育等措施，确保分包供应商严格落实各项保密规定。</w:t>
      </w:r>
    </w:p>
    <w:p w14:paraId="03434E02">
      <w:pPr>
        <w:spacing w:line="360" w:lineRule="auto"/>
        <w:ind w:firstLine="723" w:firstLineChars="300"/>
        <w:rPr>
          <w:rFonts w:ascii="宋体" w:hAnsi="宋体" w:cs="宋体"/>
          <w:b/>
          <w:sz w:val="24"/>
          <w:highlight w:val="none"/>
        </w:rPr>
      </w:pPr>
      <w:r>
        <w:rPr>
          <w:rFonts w:hint="eastAsia" w:ascii="宋体" w:hAnsi="宋体" w:cs="宋体"/>
          <w:b/>
          <w:sz w:val="24"/>
          <w:highlight w:val="none"/>
        </w:rPr>
        <w:t>七）安全事故责任条款：</w:t>
      </w:r>
    </w:p>
    <w:p w14:paraId="58942BDE">
      <w:pPr>
        <w:spacing w:line="360" w:lineRule="auto"/>
        <w:ind w:firstLine="480" w:firstLineChars="200"/>
        <w:rPr>
          <w:rFonts w:ascii="宋体" w:hAnsi="宋体" w:cs="宋体"/>
          <w:sz w:val="24"/>
          <w:highlight w:val="none"/>
        </w:rPr>
      </w:pPr>
      <w:r>
        <w:rPr>
          <w:rFonts w:hint="eastAsia" w:ascii="宋体" w:hAnsi="宋体" w:cs="宋体"/>
          <w:sz w:val="24"/>
          <w:highlight w:val="none"/>
        </w:rPr>
        <w:t>因乙方或乙方派遣人员工作过错造成的安全管理事故，乙方负全部责任及相关费用。</w:t>
      </w:r>
    </w:p>
    <w:p w14:paraId="6684EB64">
      <w:pPr>
        <w:spacing w:line="360" w:lineRule="auto"/>
        <w:ind w:firstLine="723" w:firstLineChars="300"/>
        <w:jc w:val="left"/>
        <w:rPr>
          <w:rFonts w:ascii="宋体" w:hAnsi="宋体" w:cs="宋体"/>
          <w:b/>
          <w:sz w:val="24"/>
          <w:highlight w:val="none"/>
        </w:rPr>
      </w:pPr>
      <w:r>
        <w:rPr>
          <w:rFonts w:hint="eastAsia" w:ascii="宋体" w:hAnsi="宋体" w:cs="宋体"/>
          <w:b/>
          <w:sz w:val="24"/>
          <w:highlight w:val="none"/>
        </w:rPr>
        <w:t>八）履约验收：</w:t>
      </w:r>
    </w:p>
    <w:p w14:paraId="4E8448A6">
      <w:pPr>
        <w:spacing w:line="360" w:lineRule="auto"/>
        <w:ind w:firstLine="480" w:firstLineChars="200"/>
        <w:rPr>
          <w:rFonts w:ascii="宋体" w:hAnsi="宋体" w:cs="宋体"/>
          <w:sz w:val="24"/>
          <w:highlight w:val="none"/>
        </w:rPr>
      </w:pPr>
      <w:r>
        <w:rPr>
          <w:rFonts w:hint="eastAsia" w:ascii="宋体" w:hAnsi="宋体" w:cs="宋体"/>
          <w:sz w:val="24"/>
          <w:highlight w:val="none"/>
        </w:rPr>
        <w:t>1）甲方按照《杭州市政府采购履约验收暂行办法》（杭财采监[2019]10号）规定组织对乙方履约的验收。验收方成员应当在验收书上签字，并承担相应的法律责任。如果发现与合同中要求不符，供应商须承担由此发生的一切损失和费用，并接受相应的处理。</w:t>
      </w:r>
    </w:p>
    <w:p w14:paraId="32F0F84C">
      <w:pPr>
        <w:spacing w:line="360" w:lineRule="auto"/>
        <w:ind w:firstLine="480" w:firstLineChars="200"/>
        <w:rPr>
          <w:rFonts w:ascii="宋体" w:hAnsi="宋体" w:cs="宋体"/>
          <w:sz w:val="24"/>
          <w:highlight w:val="none"/>
        </w:rPr>
      </w:pPr>
      <w:r>
        <w:rPr>
          <w:rFonts w:hint="eastAsia" w:ascii="宋体" w:hAnsi="宋体" w:cs="宋体"/>
          <w:sz w:val="24"/>
          <w:highlight w:val="none"/>
        </w:rPr>
        <w:t>2）本项目为信息化项目，根据甲方内控要求,信息化项目服务期满后,项目单位应向市公安局科信局提交《信息化建设项目验收表》及验收所需相应材料,由市公安局科信局按照市政府履约验收相关管理办法的程序,结合市局相关内控制度组织开展终验。</w:t>
      </w:r>
    </w:p>
    <w:p w14:paraId="68E0FB7A">
      <w:pPr>
        <w:spacing w:line="360" w:lineRule="auto"/>
        <w:ind w:firstLine="480" w:firstLineChars="200"/>
        <w:rPr>
          <w:rFonts w:ascii="宋体" w:hAnsi="宋体" w:cs="宋体"/>
          <w:sz w:val="24"/>
          <w:highlight w:val="none"/>
        </w:rPr>
      </w:pPr>
      <w:r>
        <w:rPr>
          <w:rFonts w:hint="eastAsia" w:ascii="宋体" w:hAnsi="宋体" w:cs="宋体"/>
          <w:sz w:val="24"/>
          <w:highlight w:val="none"/>
        </w:rPr>
        <w:t>3）严格按照采购合同开展履约验收。甲方委托第三方机构组织验收，成立验收小组（验收小组由5人组成：其中甲方1名，经政采云政企区平台相关专业随机抽取专家4名），按照采购合同的约定对乙方履约情况进行验收，验收时，按照采购合同的约定对每一项技术、服务、安全标准的履约情况进行确认，出具验收报告并经验收小组全体成员签字。甲方根据验收报告形成验收意见并经甲方与乙方签字盖章。验收结果与采购合同约定的资金支付及履约保证金返还条件挂钩。履约验收的各项资料应当存档备查。</w:t>
      </w:r>
    </w:p>
    <w:p w14:paraId="6D389892">
      <w:pPr>
        <w:spacing w:line="360" w:lineRule="auto"/>
        <w:ind w:firstLine="480" w:firstLineChars="200"/>
        <w:rPr>
          <w:rFonts w:ascii="宋体" w:hAnsi="宋体" w:cs="宋体"/>
          <w:sz w:val="24"/>
          <w:highlight w:val="none"/>
        </w:rPr>
      </w:pPr>
      <w:r>
        <w:rPr>
          <w:rFonts w:hint="eastAsia" w:ascii="宋体" w:hAnsi="宋体" w:cs="宋体"/>
          <w:sz w:val="24"/>
          <w:highlight w:val="none"/>
        </w:rPr>
        <w:t>4）验收合格的项目，甲方将根据采购合同的约定及时向乙方支付采购资金、退还履约保证金。验收不合格的项目，甲方将依法及时处理。采购合同的履行、违约责任和解决争议的方式等适用《中华人民共和国民法典》。</w:t>
      </w:r>
    </w:p>
    <w:p w14:paraId="7274B343">
      <w:pPr>
        <w:spacing w:line="360" w:lineRule="auto"/>
        <w:ind w:firstLine="480" w:firstLineChars="200"/>
        <w:rPr>
          <w:rFonts w:ascii="宋体" w:hAnsi="宋体" w:cs="宋体"/>
          <w:sz w:val="24"/>
          <w:highlight w:val="none"/>
        </w:rPr>
      </w:pPr>
      <w:r>
        <w:rPr>
          <w:rFonts w:hint="eastAsia" w:ascii="宋体" w:hAnsi="宋体" w:cs="宋体"/>
          <w:sz w:val="24"/>
          <w:highlight w:val="none"/>
        </w:rPr>
        <w:t>5）验收产生的费用首次验收费用由甲方承担，如首次验收不合格，后续验收费用由乙方支付。</w:t>
      </w:r>
    </w:p>
    <w:p w14:paraId="19B7FBF9">
      <w:pPr>
        <w:spacing w:line="360" w:lineRule="auto"/>
        <w:ind w:firstLine="480" w:firstLineChars="200"/>
        <w:rPr>
          <w:rFonts w:ascii="宋体" w:hAnsi="宋体" w:cs="宋体"/>
          <w:sz w:val="24"/>
          <w:highlight w:val="none"/>
        </w:rPr>
      </w:pPr>
      <w:r>
        <w:rPr>
          <w:rFonts w:hint="eastAsia" w:ascii="宋体" w:hAnsi="宋体" w:cs="宋体"/>
          <w:sz w:val="24"/>
          <w:highlight w:val="none"/>
        </w:rPr>
        <w:t>6）验收内容</w:t>
      </w:r>
    </w:p>
    <w:tbl>
      <w:tblPr>
        <w:tblStyle w:val="6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376"/>
        <w:gridCol w:w="6214"/>
      </w:tblGrid>
      <w:tr w14:paraId="7AA3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14:paraId="5BE39459">
            <w:pPr>
              <w:spacing w:line="360" w:lineRule="auto"/>
              <w:rPr>
                <w:rFonts w:ascii="宋体" w:hAnsi="宋体" w:cs="宋体"/>
                <w:sz w:val="24"/>
                <w:highlight w:val="none"/>
              </w:rPr>
            </w:pPr>
            <w:r>
              <w:rPr>
                <w:rFonts w:hint="eastAsia" w:ascii="宋体" w:hAnsi="宋体" w:cs="宋体"/>
                <w:sz w:val="24"/>
                <w:highlight w:val="none"/>
              </w:rPr>
              <w:t>序号</w:t>
            </w:r>
          </w:p>
        </w:tc>
        <w:tc>
          <w:tcPr>
            <w:tcW w:w="2376" w:type="dxa"/>
            <w:vAlign w:val="center"/>
          </w:tcPr>
          <w:p w14:paraId="4D2EC923">
            <w:pPr>
              <w:spacing w:line="360" w:lineRule="auto"/>
              <w:rPr>
                <w:rFonts w:ascii="宋体" w:hAnsi="宋体" w:cs="宋体"/>
                <w:sz w:val="24"/>
                <w:highlight w:val="none"/>
              </w:rPr>
            </w:pPr>
            <w:r>
              <w:rPr>
                <w:rFonts w:hint="eastAsia" w:ascii="宋体" w:hAnsi="宋体" w:cs="宋体"/>
                <w:sz w:val="24"/>
                <w:highlight w:val="none"/>
              </w:rPr>
              <w:t>验收内容</w:t>
            </w:r>
          </w:p>
        </w:tc>
        <w:tc>
          <w:tcPr>
            <w:tcW w:w="6214" w:type="dxa"/>
            <w:vAlign w:val="center"/>
          </w:tcPr>
          <w:p w14:paraId="0A10EDA1">
            <w:pPr>
              <w:spacing w:line="360" w:lineRule="auto"/>
              <w:rPr>
                <w:rFonts w:ascii="宋体" w:hAnsi="宋体" w:cs="宋体"/>
                <w:sz w:val="24"/>
                <w:highlight w:val="none"/>
              </w:rPr>
            </w:pPr>
            <w:r>
              <w:rPr>
                <w:rFonts w:hint="eastAsia" w:ascii="宋体" w:hAnsi="宋体" w:cs="宋体"/>
                <w:sz w:val="24"/>
                <w:highlight w:val="none"/>
              </w:rPr>
              <w:t>验收标准</w:t>
            </w:r>
          </w:p>
        </w:tc>
      </w:tr>
      <w:tr w14:paraId="76CA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96" w:type="dxa"/>
            <w:vAlign w:val="center"/>
          </w:tcPr>
          <w:p w14:paraId="54A245C4">
            <w:pPr>
              <w:spacing w:line="360" w:lineRule="auto"/>
              <w:rPr>
                <w:rFonts w:ascii="宋体" w:hAnsi="宋体" w:cs="宋体"/>
                <w:sz w:val="24"/>
                <w:highlight w:val="none"/>
              </w:rPr>
            </w:pPr>
            <w:r>
              <w:rPr>
                <w:rFonts w:hint="eastAsia" w:ascii="宋体" w:hAnsi="宋体" w:cs="宋体"/>
                <w:sz w:val="24"/>
                <w:highlight w:val="none"/>
              </w:rPr>
              <w:t>1</w:t>
            </w:r>
          </w:p>
        </w:tc>
        <w:tc>
          <w:tcPr>
            <w:tcW w:w="2376" w:type="dxa"/>
            <w:vAlign w:val="center"/>
          </w:tcPr>
          <w:p w14:paraId="4C147F0E">
            <w:pPr>
              <w:spacing w:line="360" w:lineRule="auto"/>
              <w:rPr>
                <w:rFonts w:ascii="宋体" w:hAnsi="宋体" w:cs="宋体"/>
                <w:sz w:val="24"/>
                <w:highlight w:val="none"/>
              </w:rPr>
            </w:pPr>
            <w:r>
              <w:rPr>
                <w:rFonts w:hint="eastAsia" w:ascii="宋体" w:hAnsi="宋体" w:cs="宋体"/>
                <w:sz w:val="24"/>
                <w:highlight w:val="none"/>
              </w:rPr>
              <w:t>质量</w:t>
            </w:r>
          </w:p>
        </w:tc>
        <w:tc>
          <w:tcPr>
            <w:tcW w:w="6214" w:type="dxa"/>
            <w:vAlign w:val="center"/>
          </w:tcPr>
          <w:p w14:paraId="117BC932">
            <w:pPr>
              <w:spacing w:line="360" w:lineRule="auto"/>
              <w:rPr>
                <w:rFonts w:ascii="宋体" w:hAnsi="宋体" w:cs="宋体"/>
                <w:sz w:val="24"/>
                <w:highlight w:val="none"/>
              </w:rPr>
            </w:pPr>
            <w:r>
              <w:rPr>
                <w:rFonts w:hint="eastAsia" w:ascii="宋体" w:hAnsi="宋体" w:cs="宋体"/>
                <w:sz w:val="24"/>
                <w:highlight w:val="none"/>
              </w:rPr>
              <w:t>乙方保证其提供的技术手段安全成熟，硬件、软件均有安全保障。租赁硬件满足采购需求要求。</w:t>
            </w:r>
          </w:p>
        </w:tc>
      </w:tr>
      <w:tr w14:paraId="41C24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14:paraId="3045E87A">
            <w:pPr>
              <w:spacing w:line="360" w:lineRule="auto"/>
              <w:rPr>
                <w:rFonts w:ascii="宋体" w:hAnsi="宋体" w:cs="宋体"/>
                <w:sz w:val="24"/>
                <w:highlight w:val="none"/>
              </w:rPr>
            </w:pPr>
            <w:r>
              <w:rPr>
                <w:rFonts w:hint="eastAsia" w:ascii="宋体" w:hAnsi="宋体" w:cs="宋体"/>
                <w:sz w:val="24"/>
                <w:highlight w:val="none"/>
              </w:rPr>
              <w:t>2</w:t>
            </w:r>
          </w:p>
        </w:tc>
        <w:tc>
          <w:tcPr>
            <w:tcW w:w="2376" w:type="dxa"/>
            <w:vAlign w:val="center"/>
          </w:tcPr>
          <w:p w14:paraId="1450BF7E">
            <w:pPr>
              <w:spacing w:line="360" w:lineRule="auto"/>
              <w:rPr>
                <w:rFonts w:ascii="宋体" w:hAnsi="宋体" w:cs="宋体"/>
                <w:sz w:val="24"/>
                <w:highlight w:val="none"/>
              </w:rPr>
            </w:pPr>
            <w:r>
              <w:rPr>
                <w:rFonts w:hint="eastAsia" w:ascii="宋体" w:hAnsi="宋体" w:cs="宋体"/>
                <w:sz w:val="24"/>
                <w:highlight w:val="none"/>
              </w:rPr>
              <w:t>进度</w:t>
            </w:r>
          </w:p>
        </w:tc>
        <w:tc>
          <w:tcPr>
            <w:tcW w:w="6214" w:type="dxa"/>
            <w:vAlign w:val="center"/>
          </w:tcPr>
          <w:p w14:paraId="1734B393">
            <w:pPr>
              <w:spacing w:line="360" w:lineRule="auto"/>
              <w:rPr>
                <w:rFonts w:ascii="宋体" w:hAnsi="宋体" w:cs="宋体"/>
                <w:sz w:val="24"/>
                <w:highlight w:val="none"/>
              </w:rPr>
            </w:pPr>
            <w:r>
              <w:rPr>
                <w:rFonts w:hint="eastAsia" w:ascii="宋体" w:hAnsi="宋体" w:cs="宋体"/>
                <w:sz w:val="24"/>
                <w:highlight w:val="none"/>
              </w:rPr>
              <w:t>项目按合同要求服务时间、应急响应的时间等按响应文件落实到位。</w:t>
            </w:r>
          </w:p>
        </w:tc>
      </w:tr>
      <w:tr w14:paraId="38CD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restart"/>
            <w:vAlign w:val="center"/>
          </w:tcPr>
          <w:p w14:paraId="0CC49B07">
            <w:pPr>
              <w:spacing w:line="360" w:lineRule="auto"/>
              <w:rPr>
                <w:rFonts w:ascii="宋体" w:hAnsi="宋体" w:cs="宋体"/>
                <w:sz w:val="24"/>
                <w:highlight w:val="none"/>
              </w:rPr>
            </w:pPr>
            <w:r>
              <w:rPr>
                <w:rFonts w:hint="eastAsia" w:ascii="宋体" w:hAnsi="宋体" w:cs="宋体"/>
                <w:sz w:val="24"/>
                <w:highlight w:val="none"/>
              </w:rPr>
              <w:t>3</w:t>
            </w:r>
          </w:p>
        </w:tc>
        <w:tc>
          <w:tcPr>
            <w:tcW w:w="2376" w:type="dxa"/>
            <w:vMerge w:val="restart"/>
            <w:vAlign w:val="center"/>
          </w:tcPr>
          <w:p w14:paraId="51E39722">
            <w:pPr>
              <w:spacing w:line="360" w:lineRule="auto"/>
              <w:rPr>
                <w:rFonts w:ascii="宋体" w:hAnsi="宋体" w:cs="宋体"/>
                <w:sz w:val="24"/>
                <w:highlight w:val="none"/>
              </w:rPr>
            </w:pPr>
            <w:r>
              <w:rPr>
                <w:rFonts w:hint="eastAsia" w:ascii="宋体" w:hAnsi="宋体" w:cs="宋体"/>
                <w:sz w:val="24"/>
                <w:highlight w:val="none"/>
              </w:rPr>
              <w:t>网络安全责任和保密</w:t>
            </w:r>
          </w:p>
        </w:tc>
        <w:tc>
          <w:tcPr>
            <w:tcW w:w="6214" w:type="dxa"/>
            <w:vAlign w:val="center"/>
          </w:tcPr>
          <w:p w14:paraId="47F021F6">
            <w:pPr>
              <w:spacing w:line="360" w:lineRule="auto"/>
              <w:rPr>
                <w:rFonts w:ascii="宋体" w:hAnsi="宋体" w:cs="宋体"/>
                <w:sz w:val="24"/>
                <w:highlight w:val="none"/>
              </w:rPr>
            </w:pPr>
            <w:r>
              <w:rPr>
                <w:rFonts w:hint="eastAsia" w:ascii="宋体" w:hAnsi="宋体" w:cs="宋体"/>
                <w:kern w:val="0"/>
                <w:sz w:val="24"/>
                <w:highlight w:val="none"/>
              </w:rPr>
              <w:t>制定网络安全保障方案和网络安全事件应急预案，减少网络安全风险等。</w:t>
            </w:r>
          </w:p>
        </w:tc>
      </w:tr>
      <w:tr w14:paraId="08F57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96" w:type="dxa"/>
            <w:vMerge w:val="continue"/>
            <w:vAlign w:val="center"/>
          </w:tcPr>
          <w:p w14:paraId="433E3506">
            <w:pPr>
              <w:spacing w:line="360" w:lineRule="auto"/>
              <w:rPr>
                <w:rFonts w:ascii="宋体" w:hAnsi="宋体" w:cs="宋体"/>
                <w:sz w:val="24"/>
                <w:highlight w:val="none"/>
              </w:rPr>
            </w:pPr>
          </w:p>
        </w:tc>
        <w:tc>
          <w:tcPr>
            <w:tcW w:w="2376" w:type="dxa"/>
            <w:vMerge w:val="continue"/>
            <w:vAlign w:val="center"/>
          </w:tcPr>
          <w:p w14:paraId="047A8006">
            <w:pPr>
              <w:spacing w:line="360" w:lineRule="auto"/>
              <w:rPr>
                <w:rFonts w:ascii="宋体" w:hAnsi="宋体" w:cs="宋体"/>
                <w:sz w:val="24"/>
                <w:highlight w:val="none"/>
              </w:rPr>
            </w:pPr>
          </w:p>
        </w:tc>
        <w:tc>
          <w:tcPr>
            <w:tcW w:w="6214" w:type="dxa"/>
            <w:vAlign w:val="center"/>
          </w:tcPr>
          <w:p w14:paraId="78666096">
            <w:pPr>
              <w:spacing w:line="360" w:lineRule="auto"/>
              <w:rPr>
                <w:rFonts w:ascii="宋体" w:hAnsi="宋体" w:cs="宋体"/>
                <w:sz w:val="24"/>
                <w:highlight w:val="none"/>
              </w:rPr>
            </w:pPr>
            <w:r>
              <w:rPr>
                <w:rFonts w:hint="eastAsia" w:ascii="宋体" w:hAnsi="宋体" w:cs="宋体"/>
                <w:sz w:val="24"/>
                <w:highlight w:val="none"/>
              </w:rPr>
              <w:t>服务人员签订保密协议，安全管理制度完善。未发生重大数据丢失和泄漏问题。对项目人员进行保密教育培训并签订保密承诺书，并在项目验收时作为相关资料，一并提交验收小组审核。</w:t>
            </w:r>
          </w:p>
        </w:tc>
      </w:tr>
      <w:tr w14:paraId="55F9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restart"/>
            <w:vAlign w:val="center"/>
          </w:tcPr>
          <w:p w14:paraId="12BFD4D2">
            <w:pPr>
              <w:spacing w:line="360" w:lineRule="auto"/>
              <w:rPr>
                <w:rFonts w:ascii="宋体" w:hAnsi="宋体" w:cs="宋体"/>
                <w:sz w:val="24"/>
                <w:highlight w:val="none"/>
              </w:rPr>
            </w:pPr>
            <w:r>
              <w:rPr>
                <w:rFonts w:hint="eastAsia" w:ascii="宋体" w:hAnsi="宋体" w:cs="宋体"/>
                <w:sz w:val="24"/>
                <w:highlight w:val="none"/>
              </w:rPr>
              <w:t>4</w:t>
            </w:r>
          </w:p>
        </w:tc>
        <w:tc>
          <w:tcPr>
            <w:tcW w:w="2376" w:type="dxa"/>
            <w:vMerge w:val="restart"/>
            <w:vAlign w:val="center"/>
          </w:tcPr>
          <w:p w14:paraId="781753B5">
            <w:pPr>
              <w:spacing w:line="360" w:lineRule="auto"/>
              <w:rPr>
                <w:rFonts w:ascii="宋体" w:hAnsi="宋体" w:cs="宋体"/>
                <w:sz w:val="24"/>
                <w:highlight w:val="none"/>
              </w:rPr>
            </w:pPr>
            <w:r>
              <w:rPr>
                <w:rFonts w:hint="eastAsia" w:ascii="宋体" w:hAnsi="宋体" w:cs="宋体"/>
                <w:sz w:val="24"/>
                <w:highlight w:val="none"/>
              </w:rPr>
              <w:t>服务</w:t>
            </w:r>
          </w:p>
        </w:tc>
        <w:tc>
          <w:tcPr>
            <w:tcW w:w="6214" w:type="dxa"/>
            <w:vAlign w:val="center"/>
          </w:tcPr>
          <w:p w14:paraId="412B64EE">
            <w:pPr>
              <w:spacing w:line="360" w:lineRule="auto"/>
              <w:rPr>
                <w:rFonts w:ascii="宋体" w:hAnsi="宋体" w:cs="宋体"/>
                <w:sz w:val="24"/>
                <w:highlight w:val="none"/>
              </w:rPr>
            </w:pPr>
            <w:r>
              <w:rPr>
                <w:rFonts w:hint="eastAsia" w:ascii="宋体" w:hAnsi="宋体" w:cs="宋体"/>
                <w:sz w:val="24"/>
                <w:highlight w:val="none"/>
              </w:rPr>
              <w:t>在服务期间，按公安网数据治理服务、专网云平台系统运行及数据治理服务、安全加固服务及应用迁移改造服务、货运导数据及运营保障、安全防控风险预警服务方案实施专业服务。</w:t>
            </w:r>
          </w:p>
        </w:tc>
      </w:tr>
      <w:tr w14:paraId="18DA1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96" w:type="dxa"/>
            <w:vMerge w:val="continue"/>
            <w:vAlign w:val="center"/>
          </w:tcPr>
          <w:p w14:paraId="6400FE07">
            <w:pPr>
              <w:spacing w:line="360" w:lineRule="auto"/>
              <w:rPr>
                <w:rFonts w:ascii="宋体" w:hAnsi="宋体" w:cs="宋体"/>
                <w:sz w:val="24"/>
                <w:highlight w:val="none"/>
              </w:rPr>
            </w:pPr>
          </w:p>
        </w:tc>
        <w:tc>
          <w:tcPr>
            <w:tcW w:w="2376" w:type="dxa"/>
            <w:vMerge w:val="continue"/>
            <w:vAlign w:val="center"/>
          </w:tcPr>
          <w:p w14:paraId="68D1FD6F">
            <w:pPr>
              <w:spacing w:line="360" w:lineRule="auto"/>
              <w:rPr>
                <w:rFonts w:ascii="宋体" w:hAnsi="宋体" w:cs="宋体"/>
                <w:sz w:val="24"/>
                <w:highlight w:val="none"/>
              </w:rPr>
            </w:pPr>
          </w:p>
        </w:tc>
        <w:tc>
          <w:tcPr>
            <w:tcW w:w="6214" w:type="dxa"/>
            <w:vAlign w:val="center"/>
          </w:tcPr>
          <w:p w14:paraId="4C013E1B">
            <w:pPr>
              <w:spacing w:line="360" w:lineRule="auto"/>
              <w:jc w:val="left"/>
              <w:rPr>
                <w:rFonts w:ascii="宋体" w:hAnsi="宋体" w:cs="宋体"/>
                <w:sz w:val="24"/>
                <w:highlight w:val="none"/>
              </w:rPr>
            </w:pPr>
            <w:r>
              <w:rPr>
                <w:rFonts w:hint="eastAsia" w:ascii="宋体" w:hAnsi="宋体" w:cs="宋体"/>
                <w:sz w:val="24"/>
                <w:highlight w:val="none"/>
              </w:rPr>
              <w:t>在服务期间，乙方的项目组人员对系统运行情况每天进行巡检，并建立巡检台账。</w:t>
            </w:r>
          </w:p>
        </w:tc>
      </w:tr>
      <w:tr w14:paraId="14281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14:paraId="3F21A26C">
            <w:pPr>
              <w:spacing w:line="360" w:lineRule="auto"/>
              <w:rPr>
                <w:rFonts w:ascii="宋体" w:hAnsi="宋体" w:cs="宋体"/>
                <w:sz w:val="24"/>
                <w:highlight w:val="none"/>
              </w:rPr>
            </w:pPr>
            <w:r>
              <w:rPr>
                <w:rFonts w:hint="eastAsia" w:ascii="宋体" w:hAnsi="宋体" w:cs="宋体"/>
                <w:sz w:val="24"/>
                <w:highlight w:val="none"/>
              </w:rPr>
              <w:t>5</w:t>
            </w:r>
          </w:p>
        </w:tc>
        <w:tc>
          <w:tcPr>
            <w:tcW w:w="2376" w:type="dxa"/>
            <w:vAlign w:val="center"/>
          </w:tcPr>
          <w:p w14:paraId="53C32EDD">
            <w:pPr>
              <w:spacing w:line="360" w:lineRule="auto"/>
              <w:rPr>
                <w:rFonts w:ascii="宋体" w:hAnsi="宋体" w:cs="宋体"/>
                <w:sz w:val="24"/>
                <w:highlight w:val="none"/>
              </w:rPr>
            </w:pPr>
            <w:r>
              <w:rPr>
                <w:rFonts w:hint="eastAsia" w:ascii="宋体" w:hAnsi="宋体" w:cs="宋体"/>
                <w:sz w:val="24"/>
                <w:highlight w:val="none"/>
              </w:rPr>
              <w:t>人员管理</w:t>
            </w:r>
          </w:p>
        </w:tc>
        <w:tc>
          <w:tcPr>
            <w:tcW w:w="6214" w:type="dxa"/>
            <w:vAlign w:val="center"/>
          </w:tcPr>
          <w:p w14:paraId="2AB513BE">
            <w:pPr>
              <w:spacing w:line="360" w:lineRule="auto"/>
              <w:rPr>
                <w:rFonts w:ascii="宋体" w:hAnsi="宋体" w:cs="宋体"/>
                <w:sz w:val="24"/>
                <w:highlight w:val="none"/>
              </w:rPr>
            </w:pPr>
            <w:r>
              <w:rPr>
                <w:rFonts w:hint="eastAsia" w:ascii="宋体" w:hAnsi="宋体" w:cs="宋体"/>
                <w:sz w:val="24"/>
                <w:highlight w:val="none"/>
              </w:rPr>
              <w:t>在服务期间，按合同和投标文件投入相应资质的项目管理和技术人员。按合同和投标文件投入相应资质的项目管理和技术人员。</w:t>
            </w:r>
          </w:p>
        </w:tc>
      </w:tr>
      <w:tr w14:paraId="30E92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14:paraId="49A29434">
            <w:pPr>
              <w:spacing w:line="360" w:lineRule="auto"/>
              <w:rPr>
                <w:rFonts w:ascii="宋体" w:hAnsi="宋体" w:cs="宋体"/>
                <w:sz w:val="24"/>
                <w:highlight w:val="none"/>
              </w:rPr>
            </w:pPr>
            <w:r>
              <w:rPr>
                <w:rFonts w:hint="eastAsia" w:ascii="宋体" w:hAnsi="宋体" w:cs="宋体"/>
                <w:sz w:val="24"/>
                <w:highlight w:val="none"/>
              </w:rPr>
              <w:t>6</w:t>
            </w:r>
          </w:p>
        </w:tc>
        <w:tc>
          <w:tcPr>
            <w:tcW w:w="2376" w:type="dxa"/>
            <w:vAlign w:val="center"/>
          </w:tcPr>
          <w:p w14:paraId="2765CB30">
            <w:pPr>
              <w:spacing w:line="360" w:lineRule="auto"/>
              <w:rPr>
                <w:rFonts w:ascii="宋体" w:hAnsi="宋体" w:cs="宋体"/>
                <w:sz w:val="24"/>
                <w:highlight w:val="none"/>
              </w:rPr>
            </w:pPr>
            <w:r>
              <w:rPr>
                <w:rFonts w:hint="eastAsia" w:ascii="宋体" w:hAnsi="宋体" w:cs="宋体"/>
                <w:sz w:val="24"/>
                <w:highlight w:val="none"/>
              </w:rPr>
              <w:t>培训</w:t>
            </w:r>
          </w:p>
        </w:tc>
        <w:tc>
          <w:tcPr>
            <w:tcW w:w="6214" w:type="dxa"/>
            <w:vAlign w:val="center"/>
          </w:tcPr>
          <w:p w14:paraId="02E32392">
            <w:pPr>
              <w:spacing w:line="360" w:lineRule="auto"/>
              <w:rPr>
                <w:rFonts w:ascii="宋体" w:hAnsi="宋体" w:cs="宋体"/>
                <w:sz w:val="24"/>
                <w:highlight w:val="none"/>
              </w:rPr>
            </w:pPr>
            <w:r>
              <w:rPr>
                <w:rFonts w:hint="eastAsia" w:ascii="宋体" w:hAnsi="宋体" w:cs="宋体"/>
                <w:sz w:val="24"/>
                <w:highlight w:val="none"/>
              </w:rPr>
              <w:t>按合同要求对甲方系统操作人员、系统管理人员、系统运维人员进行培训，形成相应培训记录。</w:t>
            </w:r>
          </w:p>
        </w:tc>
      </w:tr>
      <w:tr w14:paraId="7A118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14:paraId="674F5AAD">
            <w:pPr>
              <w:spacing w:line="360" w:lineRule="auto"/>
              <w:rPr>
                <w:rFonts w:ascii="宋体" w:hAnsi="宋体" w:cs="宋体"/>
                <w:sz w:val="24"/>
                <w:highlight w:val="none"/>
              </w:rPr>
            </w:pPr>
            <w:r>
              <w:rPr>
                <w:rFonts w:hint="eastAsia" w:ascii="宋体" w:hAnsi="宋体" w:cs="宋体"/>
                <w:sz w:val="24"/>
                <w:highlight w:val="none"/>
              </w:rPr>
              <w:t>7</w:t>
            </w:r>
          </w:p>
        </w:tc>
        <w:tc>
          <w:tcPr>
            <w:tcW w:w="2376" w:type="dxa"/>
            <w:vAlign w:val="center"/>
          </w:tcPr>
          <w:p w14:paraId="39730AC1">
            <w:pPr>
              <w:spacing w:line="360" w:lineRule="auto"/>
              <w:rPr>
                <w:rFonts w:ascii="宋体" w:hAnsi="宋体" w:cs="宋体"/>
                <w:sz w:val="24"/>
                <w:highlight w:val="none"/>
              </w:rPr>
            </w:pPr>
            <w:r>
              <w:rPr>
                <w:rFonts w:hint="eastAsia" w:ascii="宋体" w:hAnsi="宋体" w:cs="宋体"/>
                <w:sz w:val="24"/>
                <w:highlight w:val="none"/>
              </w:rPr>
              <w:t>台帐</w:t>
            </w:r>
          </w:p>
        </w:tc>
        <w:tc>
          <w:tcPr>
            <w:tcW w:w="6214" w:type="dxa"/>
            <w:vAlign w:val="center"/>
          </w:tcPr>
          <w:p w14:paraId="3442BFE7">
            <w:pPr>
              <w:spacing w:line="360" w:lineRule="auto"/>
              <w:rPr>
                <w:rFonts w:ascii="宋体" w:hAnsi="宋体" w:cs="宋体"/>
                <w:sz w:val="24"/>
                <w:highlight w:val="none"/>
              </w:rPr>
            </w:pPr>
            <w:r>
              <w:rPr>
                <w:rFonts w:hint="eastAsia" w:ascii="宋体" w:hAnsi="宋体" w:cs="宋体"/>
                <w:sz w:val="24"/>
                <w:highlight w:val="none"/>
              </w:rPr>
              <w:t>要做好日常的台帐记录，做到记录及时、完整。每周巡检记录、租赁总结报告。</w:t>
            </w:r>
          </w:p>
        </w:tc>
      </w:tr>
      <w:tr w14:paraId="62BC4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14:paraId="07E64B99">
            <w:pPr>
              <w:spacing w:line="360" w:lineRule="auto"/>
              <w:rPr>
                <w:rFonts w:ascii="宋体" w:hAnsi="宋体" w:cs="宋体"/>
                <w:sz w:val="24"/>
                <w:highlight w:val="none"/>
              </w:rPr>
            </w:pPr>
            <w:r>
              <w:rPr>
                <w:rFonts w:hint="eastAsia" w:ascii="宋体" w:hAnsi="宋体" w:cs="宋体"/>
                <w:sz w:val="24"/>
                <w:highlight w:val="none"/>
              </w:rPr>
              <w:t>8</w:t>
            </w:r>
          </w:p>
        </w:tc>
        <w:tc>
          <w:tcPr>
            <w:tcW w:w="2376" w:type="dxa"/>
            <w:vAlign w:val="center"/>
          </w:tcPr>
          <w:p w14:paraId="47CBC9FE">
            <w:pPr>
              <w:spacing w:line="360" w:lineRule="auto"/>
              <w:rPr>
                <w:rFonts w:ascii="宋体" w:hAnsi="宋体" w:cs="宋体"/>
                <w:sz w:val="24"/>
                <w:highlight w:val="none"/>
              </w:rPr>
            </w:pPr>
            <w:r>
              <w:rPr>
                <w:rFonts w:hint="eastAsia" w:ascii="宋体" w:hAnsi="宋体" w:cs="宋体"/>
                <w:sz w:val="24"/>
                <w:highlight w:val="none"/>
              </w:rPr>
              <w:t>其他工作</w:t>
            </w:r>
          </w:p>
        </w:tc>
        <w:tc>
          <w:tcPr>
            <w:tcW w:w="6214" w:type="dxa"/>
            <w:vAlign w:val="center"/>
          </w:tcPr>
          <w:p w14:paraId="3862D842">
            <w:pPr>
              <w:spacing w:line="360" w:lineRule="auto"/>
              <w:rPr>
                <w:rFonts w:ascii="宋体" w:hAnsi="宋体" w:cs="宋体"/>
                <w:sz w:val="24"/>
                <w:highlight w:val="none"/>
              </w:rPr>
            </w:pPr>
            <w:r>
              <w:rPr>
                <w:rFonts w:hint="eastAsia" w:ascii="宋体" w:hAnsi="宋体" w:cs="宋体"/>
                <w:sz w:val="24"/>
                <w:highlight w:val="none"/>
              </w:rPr>
              <w:t>履行项目采购文件、投标文件、合同条款中涉及的其他承诺的情况。</w:t>
            </w:r>
          </w:p>
        </w:tc>
      </w:tr>
    </w:tbl>
    <w:p w14:paraId="31B48263">
      <w:pPr>
        <w:spacing w:line="360" w:lineRule="auto"/>
        <w:ind w:firstLine="480" w:firstLineChars="200"/>
        <w:rPr>
          <w:rFonts w:ascii="宋体" w:hAnsi="宋体" w:cs="宋体"/>
          <w:sz w:val="24"/>
          <w:highlight w:val="none"/>
        </w:rPr>
      </w:pPr>
      <w:r>
        <w:rPr>
          <w:rFonts w:hint="eastAsia" w:ascii="宋体" w:hAnsi="宋体" w:cs="宋体"/>
          <w:sz w:val="24"/>
          <w:highlight w:val="none"/>
        </w:rPr>
        <w:t>7）验收资料：</w:t>
      </w:r>
    </w:p>
    <w:p w14:paraId="6F1F81E2">
      <w:pPr>
        <w:spacing w:line="360" w:lineRule="auto"/>
        <w:ind w:firstLine="480" w:firstLineChars="200"/>
        <w:rPr>
          <w:rFonts w:ascii="宋体" w:hAnsi="宋体" w:cs="宋体"/>
          <w:sz w:val="24"/>
          <w:highlight w:val="none"/>
        </w:rPr>
      </w:pPr>
      <w:r>
        <w:rPr>
          <w:rFonts w:hint="eastAsia" w:ascii="宋体" w:hAnsi="宋体" w:cs="宋体"/>
          <w:sz w:val="24"/>
          <w:highlight w:val="none"/>
        </w:rPr>
        <w:t>验收资料和文件是项目验收的重要依据，乙方从项目实施开始就应完整地积累和保管，验收时在职能部门的指导、配合下按照甲方有关要求编目建档。</w:t>
      </w:r>
    </w:p>
    <w:p w14:paraId="37FD686D">
      <w:pPr>
        <w:numPr>
          <w:ilvl w:val="0"/>
          <w:numId w:val="10"/>
        </w:numPr>
        <w:tabs>
          <w:tab w:val="left" w:pos="904"/>
        </w:tabs>
        <w:adjustRightInd/>
        <w:snapToGrid w:val="0"/>
        <w:spacing w:line="360" w:lineRule="auto"/>
        <w:jc w:val="left"/>
        <w:rPr>
          <w:rFonts w:ascii="宋体" w:hAnsi="宋体" w:cs="宋体"/>
          <w:sz w:val="24"/>
          <w:highlight w:val="none"/>
        </w:rPr>
      </w:pPr>
      <w:r>
        <w:rPr>
          <w:rFonts w:hint="eastAsia" w:ascii="宋体" w:hAnsi="宋体" w:cs="宋体"/>
          <w:sz w:val="24"/>
          <w:highlight w:val="none"/>
        </w:rPr>
        <w:t>采购文件</w:t>
      </w:r>
    </w:p>
    <w:p w14:paraId="010CF6F9">
      <w:pPr>
        <w:numPr>
          <w:ilvl w:val="0"/>
          <w:numId w:val="10"/>
        </w:numPr>
        <w:tabs>
          <w:tab w:val="left" w:pos="904"/>
        </w:tabs>
        <w:adjustRightInd/>
        <w:snapToGrid w:val="0"/>
        <w:spacing w:line="360" w:lineRule="auto"/>
        <w:jc w:val="left"/>
        <w:rPr>
          <w:rFonts w:ascii="宋体" w:hAnsi="宋体" w:cs="宋体"/>
          <w:sz w:val="24"/>
          <w:highlight w:val="none"/>
        </w:rPr>
      </w:pPr>
      <w:r>
        <w:rPr>
          <w:rFonts w:hint="eastAsia" w:ascii="宋体" w:hAnsi="宋体" w:cs="宋体"/>
          <w:sz w:val="24"/>
          <w:highlight w:val="none"/>
        </w:rPr>
        <w:t>投标文件</w:t>
      </w:r>
    </w:p>
    <w:p w14:paraId="21511807">
      <w:pPr>
        <w:numPr>
          <w:ilvl w:val="0"/>
          <w:numId w:val="10"/>
        </w:numPr>
        <w:tabs>
          <w:tab w:val="left" w:pos="904"/>
        </w:tabs>
        <w:adjustRightInd/>
        <w:snapToGrid w:val="0"/>
        <w:spacing w:line="360" w:lineRule="auto"/>
        <w:jc w:val="left"/>
        <w:rPr>
          <w:rFonts w:ascii="宋体" w:hAnsi="宋体" w:cs="宋体"/>
          <w:sz w:val="24"/>
          <w:highlight w:val="none"/>
        </w:rPr>
      </w:pPr>
      <w:r>
        <w:rPr>
          <w:rFonts w:hint="eastAsia" w:ascii="宋体" w:hAnsi="宋体" w:cs="宋体"/>
          <w:sz w:val="24"/>
          <w:highlight w:val="none"/>
        </w:rPr>
        <w:t>采购合同</w:t>
      </w:r>
    </w:p>
    <w:p w14:paraId="25919111">
      <w:pPr>
        <w:numPr>
          <w:ilvl w:val="0"/>
          <w:numId w:val="10"/>
        </w:numPr>
        <w:tabs>
          <w:tab w:val="left" w:pos="904"/>
        </w:tabs>
        <w:adjustRightInd/>
        <w:snapToGrid w:val="0"/>
        <w:spacing w:line="360" w:lineRule="auto"/>
        <w:jc w:val="left"/>
        <w:rPr>
          <w:rFonts w:ascii="宋体" w:hAnsi="宋体" w:cs="宋体"/>
          <w:sz w:val="24"/>
          <w:highlight w:val="none"/>
        </w:rPr>
      </w:pPr>
      <w:r>
        <w:rPr>
          <w:rFonts w:hint="eastAsia" w:ascii="宋体" w:hAnsi="宋体" w:cs="宋体"/>
          <w:sz w:val="24"/>
          <w:highlight w:val="none"/>
        </w:rPr>
        <w:t>人员清单、学历证书、身份证、工作服务经验、人员变更申请（如有）；</w:t>
      </w:r>
    </w:p>
    <w:p w14:paraId="050387B5">
      <w:pPr>
        <w:numPr>
          <w:ilvl w:val="0"/>
          <w:numId w:val="10"/>
        </w:numPr>
        <w:tabs>
          <w:tab w:val="left" w:pos="904"/>
        </w:tabs>
        <w:adjustRightInd/>
        <w:snapToGrid w:val="0"/>
        <w:spacing w:line="360" w:lineRule="auto"/>
        <w:jc w:val="left"/>
        <w:rPr>
          <w:rFonts w:ascii="宋体" w:hAnsi="宋体" w:cs="宋体"/>
          <w:sz w:val="24"/>
          <w:highlight w:val="none"/>
        </w:rPr>
      </w:pPr>
      <w:r>
        <w:rPr>
          <w:rFonts w:hint="eastAsia" w:ascii="宋体" w:hAnsi="宋体" w:cs="宋体"/>
          <w:sz w:val="24"/>
          <w:highlight w:val="none"/>
        </w:rPr>
        <w:t>驻点人员每日钉钉考勤签到表：需甲方经办人、复核人、乙方签字并盖章</w:t>
      </w:r>
    </w:p>
    <w:p w14:paraId="048D7FDE">
      <w:pPr>
        <w:numPr>
          <w:ilvl w:val="0"/>
          <w:numId w:val="10"/>
        </w:numPr>
        <w:tabs>
          <w:tab w:val="left" w:pos="904"/>
        </w:tabs>
        <w:adjustRightInd/>
        <w:snapToGrid w:val="0"/>
        <w:spacing w:line="360" w:lineRule="auto"/>
        <w:jc w:val="left"/>
        <w:rPr>
          <w:rFonts w:ascii="宋体" w:hAnsi="宋体" w:cs="宋体"/>
          <w:sz w:val="24"/>
          <w:highlight w:val="none"/>
        </w:rPr>
      </w:pPr>
      <w:r>
        <w:rPr>
          <w:rFonts w:hint="eastAsia" w:ascii="宋体" w:hAnsi="宋体" w:cs="宋体"/>
          <w:sz w:val="24"/>
          <w:highlight w:val="none"/>
        </w:rPr>
        <w:t>租赁设备清单、产品生产日期凭证、产品合格证、质保承诺书；</w:t>
      </w:r>
    </w:p>
    <w:p w14:paraId="00F0F57C">
      <w:pPr>
        <w:numPr>
          <w:ilvl w:val="0"/>
          <w:numId w:val="10"/>
        </w:numPr>
        <w:tabs>
          <w:tab w:val="left" w:pos="904"/>
        </w:tabs>
        <w:adjustRightInd/>
        <w:snapToGrid w:val="0"/>
        <w:spacing w:line="360" w:lineRule="auto"/>
        <w:jc w:val="left"/>
        <w:rPr>
          <w:rFonts w:ascii="宋体" w:hAnsi="宋体" w:cs="宋体"/>
          <w:sz w:val="24"/>
          <w:highlight w:val="none"/>
        </w:rPr>
      </w:pPr>
      <w:r>
        <w:rPr>
          <w:rFonts w:hint="eastAsia" w:ascii="宋体" w:hAnsi="宋体" w:cs="宋体"/>
          <w:sz w:val="24"/>
          <w:highlight w:val="none"/>
        </w:rPr>
        <w:t>服务方案；</w:t>
      </w:r>
    </w:p>
    <w:p w14:paraId="01967D9C">
      <w:pPr>
        <w:numPr>
          <w:ilvl w:val="0"/>
          <w:numId w:val="10"/>
        </w:numPr>
        <w:tabs>
          <w:tab w:val="left" w:pos="904"/>
        </w:tabs>
        <w:adjustRightInd/>
        <w:snapToGrid w:val="0"/>
        <w:spacing w:line="360" w:lineRule="auto"/>
        <w:jc w:val="left"/>
        <w:rPr>
          <w:rFonts w:ascii="宋体" w:hAnsi="宋体" w:cs="宋体"/>
          <w:sz w:val="24"/>
          <w:highlight w:val="none"/>
        </w:rPr>
      </w:pPr>
      <w:r>
        <w:rPr>
          <w:rFonts w:hint="eastAsia" w:ascii="宋体" w:hAnsi="宋体" w:cs="宋体"/>
          <w:sz w:val="24"/>
          <w:highlight w:val="none"/>
        </w:rPr>
        <w:t>专网云平台监测报告、巡检报告；</w:t>
      </w:r>
    </w:p>
    <w:p w14:paraId="035FB141">
      <w:pPr>
        <w:numPr>
          <w:ilvl w:val="0"/>
          <w:numId w:val="10"/>
        </w:numPr>
        <w:tabs>
          <w:tab w:val="left" w:pos="904"/>
        </w:tabs>
        <w:adjustRightInd/>
        <w:snapToGrid w:val="0"/>
        <w:spacing w:line="360" w:lineRule="auto"/>
        <w:jc w:val="left"/>
        <w:rPr>
          <w:rFonts w:ascii="宋体" w:hAnsi="宋体" w:cs="宋体"/>
          <w:sz w:val="24"/>
          <w:highlight w:val="none"/>
        </w:rPr>
      </w:pPr>
      <w:r>
        <w:rPr>
          <w:rFonts w:hint="eastAsia" w:ascii="宋体" w:hAnsi="宋体" w:cs="宋体"/>
          <w:sz w:val="24"/>
          <w:highlight w:val="none"/>
        </w:rPr>
        <w:t>每月考核材料；</w:t>
      </w:r>
    </w:p>
    <w:p w14:paraId="49F131AD">
      <w:pPr>
        <w:numPr>
          <w:ilvl w:val="0"/>
          <w:numId w:val="10"/>
        </w:numPr>
        <w:tabs>
          <w:tab w:val="left" w:pos="904"/>
        </w:tabs>
        <w:adjustRightInd/>
        <w:snapToGrid w:val="0"/>
        <w:spacing w:line="360" w:lineRule="auto"/>
        <w:jc w:val="left"/>
        <w:rPr>
          <w:rFonts w:ascii="宋体" w:hAnsi="宋体" w:cs="宋体"/>
          <w:sz w:val="24"/>
          <w:highlight w:val="none"/>
        </w:rPr>
      </w:pPr>
      <w:r>
        <w:rPr>
          <w:rFonts w:hint="eastAsia" w:ascii="宋体" w:hAnsi="宋体" w:cs="宋体"/>
          <w:sz w:val="24"/>
          <w:highlight w:val="none"/>
        </w:rPr>
        <w:t>数据接入清单；</w:t>
      </w:r>
    </w:p>
    <w:p w14:paraId="734B03C1">
      <w:pPr>
        <w:numPr>
          <w:ilvl w:val="0"/>
          <w:numId w:val="10"/>
        </w:numPr>
        <w:tabs>
          <w:tab w:val="left" w:pos="904"/>
        </w:tabs>
        <w:adjustRightInd/>
        <w:snapToGrid w:val="0"/>
        <w:spacing w:line="360" w:lineRule="auto"/>
        <w:jc w:val="left"/>
        <w:rPr>
          <w:rFonts w:ascii="宋体" w:hAnsi="宋体" w:cs="宋体"/>
          <w:sz w:val="24"/>
          <w:highlight w:val="none"/>
        </w:rPr>
      </w:pPr>
      <w:r>
        <w:rPr>
          <w:rFonts w:hint="eastAsia" w:ascii="宋体" w:hAnsi="宋体" w:cs="宋体"/>
          <w:sz w:val="24"/>
          <w:highlight w:val="none"/>
        </w:rPr>
        <w:t>验收报审表；</w:t>
      </w:r>
    </w:p>
    <w:p w14:paraId="7D8CBE43">
      <w:pPr>
        <w:numPr>
          <w:ilvl w:val="0"/>
          <w:numId w:val="10"/>
        </w:numPr>
        <w:tabs>
          <w:tab w:val="left" w:pos="904"/>
        </w:tabs>
        <w:adjustRightInd/>
        <w:snapToGrid w:val="0"/>
        <w:spacing w:line="360" w:lineRule="auto"/>
        <w:jc w:val="left"/>
        <w:rPr>
          <w:rFonts w:ascii="宋体" w:hAnsi="宋体" w:cs="宋体"/>
          <w:sz w:val="24"/>
          <w:highlight w:val="none"/>
        </w:rPr>
      </w:pPr>
      <w:r>
        <w:rPr>
          <w:rFonts w:hint="eastAsia" w:ascii="宋体" w:hAnsi="宋体" w:cs="宋体"/>
          <w:sz w:val="24"/>
          <w:highlight w:val="none"/>
        </w:rPr>
        <w:t>系统渗透测试报告；</w:t>
      </w:r>
    </w:p>
    <w:p w14:paraId="4142308A">
      <w:pPr>
        <w:numPr>
          <w:ilvl w:val="0"/>
          <w:numId w:val="10"/>
        </w:numPr>
        <w:tabs>
          <w:tab w:val="left" w:pos="904"/>
        </w:tabs>
        <w:adjustRightInd/>
        <w:snapToGrid w:val="0"/>
        <w:spacing w:line="360" w:lineRule="auto"/>
        <w:jc w:val="left"/>
        <w:rPr>
          <w:rFonts w:ascii="宋体" w:hAnsi="宋体" w:cs="宋体"/>
          <w:sz w:val="24"/>
          <w:highlight w:val="none"/>
        </w:rPr>
      </w:pPr>
      <w:r>
        <w:rPr>
          <w:rFonts w:hint="eastAsia" w:ascii="宋体" w:hAnsi="宋体" w:cs="宋体"/>
          <w:sz w:val="24"/>
          <w:highlight w:val="none"/>
        </w:rPr>
        <w:t>应急响应报告；</w:t>
      </w:r>
    </w:p>
    <w:p w14:paraId="63EE7BED">
      <w:pPr>
        <w:numPr>
          <w:ilvl w:val="0"/>
          <w:numId w:val="10"/>
        </w:numPr>
        <w:tabs>
          <w:tab w:val="left" w:pos="904"/>
        </w:tabs>
        <w:adjustRightInd/>
        <w:snapToGrid w:val="0"/>
        <w:spacing w:line="360" w:lineRule="auto"/>
        <w:jc w:val="left"/>
        <w:rPr>
          <w:rFonts w:ascii="宋体" w:hAnsi="宋体" w:cs="宋体"/>
          <w:sz w:val="24"/>
          <w:highlight w:val="none"/>
        </w:rPr>
      </w:pPr>
      <w:r>
        <w:rPr>
          <w:rFonts w:hint="eastAsia" w:ascii="宋体" w:hAnsi="宋体" w:cs="宋体"/>
          <w:sz w:val="24"/>
          <w:highlight w:val="none"/>
        </w:rPr>
        <w:t>网络安全事件应急预案；</w:t>
      </w:r>
    </w:p>
    <w:p w14:paraId="7A4CB901">
      <w:pPr>
        <w:numPr>
          <w:ilvl w:val="0"/>
          <w:numId w:val="10"/>
        </w:numPr>
        <w:tabs>
          <w:tab w:val="left" w:pos="904"/>
        </w:tabs>
        <w:adjustRightInd/>
        <w:snapToGrid w:val="0"/>
        <w:spacing w:line="360" w:lineRule="auto"/>
        <w:jc w:val="left"/>
        <w:rPr>
          <w:rFonts w:ascii="宋体" w:hAnsi="宋体" w:cs="宋体"/>
          <w:sz w:val="24"/>
          <w:highlight w:val="none"/>
        </w:rPr>
      </w:pPr>
      <w:r>
        <w:rPr>
          <w:rFonts w:hint="eastAsia" w:ascii="宋体" w:hAnsi="宋体" w:cs="宋体"/>
          <w:sz w:val="24"/>
          <w:highlight w:val="none"/>
        </w:rPr>
        <w:t>网络安全事件应急演练报告；</w:t>
      </w:r>
    </w:p>
    <w:p w14:paraId="69B65A45">
      <w:pPr>
        <w:numPr>
          <w:ilvl w:val="0"/>
          <w:numId w:val="10"/>
        </w:numPr>
        <w:tabs>
          <w:tab w:val="left" w:pos="904"/>
        </w:tabs>
        <w:adjustRightInd/>
        <w:snapToGrid w:val="0"/>
        <w:spacing w:line="360" w:lineRule="auto"/>
        <w:jc w:val="left"/>
        <w:rPr>
          <w:rFonts w:ascii="宋体" w:hAnsi="宋体" w:cs="宋体"/>
          <w:sz w:val="24"/>
          <w:highlight w:val="none"/>
        </w:rPr>
      </w:pPr>
      <w:r>
        <w:rPr>
          <w:rFonts w:hint="eastAsia" w:ascii="宋体" w:hAnsi="宋体" w:cs="宋体"/>
          <w:sz w:val="24"/>
          <w:highlight w:val="none"/>
        </w:rPr>
        <w:t>重保期间安全日报；</w:t>
      </w:r>
    </w:p>
    <w:p w14:paraId="3708EF73">
      <w:pPr>
        <w:numPr>
          <w:ilvl w:val="0"/>
          <w:numId w:val="10"/>
        </w:numPr>
        <w:tabs>
          <w:tab w:val="left" w:pos="904"/>
        </w:tabs>
        <w:adjustRightInd/>
        <w:snapToGrid w:val="0"/>
        <w:spacing w:line="360" w:lineRule="auto"/>
        <w:jc w:val="left"/>
        <w:rPr>
          <w:rFonts w:ascii="宋体" w:hAnsi="宋体" w:cs="宋体"/>
          <w:sz w:val="24"/>
          <w:highlight w:val="none"/>
        </w:rPr>
      </w:pPr>
      <w:r>
        <w:rPr>
          <w:rFonts w:hint="eastAsia" w:ascii="宋体" w:hAnsi="宋体" w:cs="宋体"/>
          <w:sz w:val="24"/>
          <w:highlight w:val="none"/>
        </w:rPr>
        <w:t>网络安全保障方案、网络安全风险书面报告（如有）、网络安全重大事项书面报告（如有）、网络安全总结报告；</w:t>
      </w:r>
    </w:p>
    <w:p w14:paraId="0931C53D">
      <w:pPr>
        <w:numPr>
          <w:ilvl w:val="0"/>
          <w:numId w:val="10"/>
        </w:numPr>
        <w:tabs>
          <w:tab w:val="left" w:pos="904"/>
        </w:tabs>
        <w:adjustRightInd/>
        <w:snapToGrid w:val="0"/>
        <w:spacing w:line="360" w:lineRule="auto"/>
        <w:jc w:val="left"/>
        <w:rPr>
          <w:rFonts w:ascii="宋体" w:hAnsi="宋体" w:cs="宋体"/>
          <w:sz w:val="24"/>
          <w:highlight w:val="none"/>
        </w:rPr>
      </w:pPr>
      <w:r>
        <w:rPr>
          <w:rFonts w:hint="eastAsia" w:ascii="宋体" w:hAnsi="宋体" w:cs="宋体"/>
          <w:sz w:val="24"/>
          <w:highlight w:val="none"/>
        </w:rPr>
        <w:t>满足信创要求的检测材料；</w:t>
      </w:r>
    </w:p>
    <w:p w14:paraId="2A7F25F0">
      <w:pPr>
        <w:numPr>
          <w:ilvl w:val="0"/>
          <w:numId w:val="10"/>
        </w:numPr>
        <w:tabs>
          <w:tab w:val="left" w:pos="904"/>
        </w:tabs>
        <w:adjustRightInd/>
        <w:snapToGrid w:val="0"/>
        <w:spacing w:line="360" w:lineRule="auto"/>
        <w:jc w:val="left"/>
        <w:rPr>
          <w:rFonts w:ascii="宋体" w:hAnsi="宋体" w:cs="宋体"/>
          <w:sz w:val="24"/>
          <w:highlight w:val="none"/>
        </w:rPr>
      </w:pPr>
      <w:r>
        <w:rPr>
          <w:rFonts w:hint="eastAsia" w:ascii="宋体" w:hAnsi="宋体" w:cs="宋体"/>
          <w:sz w:val="24"/>
          <w:highlight w:val="none"/>
        </w:rPr>
        <w:t>其他相关材料：培训材料、分包协议、单位保密协议、个人保密承诺、日常保密教育台账等。</w:t>
      </w:r>
    </w:p>
    <w:p w14:paraId="1745BF85">
      <w:pPr>
        <w:tabs>
          <w:tab w:val="left" w:pos="904"/>
        </w:tabs>
        <w:adjustRightInd/>
        <w:snapToGrid w:val="0"/>
        <w:spacing w:line="360" w:lineRule="auto"/>
        <w:ind w:left="142"/>
        <w:jc w:val="left"/>
        <w:rPr>
          <w:rFonts w:ascii="宋体" w:hAnsi="宋体" w:cs="宋体"/>
          <w:sz w:val="24"/>
          <w:highlight w:val="none"/>
        </w:rPr>
      </w:pPr>
      <w:r>
        <w:rPr>
          <w:rFonts w:hint="eastAsia" w:ascii="仿宋" w:hAnsi="仿宋" w:eastAsia="仿宋" w:cs="宋体"/>
          <w:b/>
          <w:snapToGrid w:val="0"/>
          <w:kern w:val="0"/>
          <w:sz w:val="24"/>
          <w:highlight w:val="none"/>
        </w:rPr>
        <w:t>附件一：项目小组人员表</w:t>
      </w:r>
    </w:p>
    <w:tbl>
      <w:tblPr>
        <w:tblStyle w:val="62"/>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941"/>
        <w:gridCol w:w="2060"/>
        <w:gridCol w:w="1579"/>
        <w:gridCol w:w="2143"/>
        <w:gridCol w:w="1630"/>
      </w:tblGrid>
      <w:tr w14:paraId="74D8A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47" w:type="dxa"/>
            <w:vAlign w:val="center"/>
          </w:tcPr>
          <w:p w14:paraId="2E0797C5">
            <w:pPr>
              <w:snapToGrid w:val="0"/>
              <w:spacing w:line="360" w:lineRule="auto"/>
              <w:jc w:val="center"/>
              <w:rPr>
                <w:rFonts w:ascii="宋体" w:hAnsi="宋体" w:cs="仿宋"/>
                <w:sz w:val="24"/>
                <w:highlight w:val="none"/>
              </w:rPr>
            </w:pPr>
            <w:r>
              <w:rPr>
                <w:rFonts w:ascii="宋体" w:hAnsi="宋体" w:cs="仿宋"/>
                <w:sz w:val="24"/>
                <w:highlight w:val="none"/>
              </w:rPr>
              <w:t>序号</w:t>
            </w:r>
          </w:p>
        </w:tc>
        <w:tc>
          <w:tcPr>
            <w:tcW w:w="941" w:type="dxa"/>
            <w:vAlign w:val="center"/>
          </w:tcPr>
          <w:p w14:paraId="2E52E21C">
            <w:pPr>
              <w:snapToGrid w:val="0"/>
              <w:spacing w:line="360" w:lineRule="auto"/>
              <w:jc w:val="center"/>
              <w:rPr>
                <w:rFonts w:ascii="宋体" w:hAnsi="宋体" w:cs="仿宋"/>
                <w:sz w:val="24"/>
                <w:highlight w:val="none"/>
              </w:rPr>
            </w:pPr>
            <w:r>
              <w:rPr>
                <w:rFonts w:ascii="宋体" w:hAnsi="宋体" w:cs="仿宋"/>
                <w:sz w:val="24"/>
                <w:highlight w:val="none"/>
              </w:rPr>
              <w:t>姓名</w:t>
            </w:r>
          </w:p>
        </w:tc>
        <w:tc>
          <w:tcPr>
            <w:tcW w:w="2060" w:type="dxa"/>
            <w:vAlign w:val="center"/>
          </w:tcPr>
          <w:p w14:paraId="30598819">
            <w:pPr>
              <w:snapToGrid w:val="0"/>
              <w:spacing w:line="360" w:lineRule="auto"/>
              <w:jc w:val="center"/>
              <w:rPr>
                <w:rFonts w:ascii="宋体" w:hAnsi="宋体" w:cs="仿宋"/>
                <w:sz w:val="24"/>
                <w:highlight w:val="none"/>
              </w:rPr>
            </w:pPr>
            <w:r>
              <w:rPr>
                <w:rFonts w:hint="eastAsia" w:ascii="宋体" w:hAnsi="宋体" w:cs="仿宋"/>
                <w:sz w:val="24"/>
                <w:highlight w:val="none"/>
              </w:rPr>
              <w:t>身份证号码</w:t>
            </w:r>
          </w:p>
        </w:tc>
        <w:tc>
          <w:tcPr>
            <w:tcW w:w="1579" w:type="dxa"/>
            <w:vAlign w:val="center"/>
          </w:tcPr>
          <w:p w14:paraId="23AB976A">
            <w:pPr>
              <w:snapToGrid w:val="0"/>
              <w:spacing w:line="360" w:lineRule="auto"/>
              <w:jc w:val="center"/>
              <w:rPr>
                <w:rFonts w:ascii="宋体" w:hAnsi="宋体" w:cs="仿宋"/>
                <w:sz w:val="24"/>
                <w:highlight w:val="none"/>
              </w:rPr>
            </w:pPr>
            <w:r>
              <w:rPr>
                <w:rFonts w:ascii="宋体" w:hAnsi="宋体" w:cs="仿宋"/>
                <w:sz w:val="24"/>
                <w:highlight w:val="none"/>
              </w:rPr>
              <w:t>联系方式</w:t>
            </w:r>
          </w:p>
        </w:tc>
        <w:tc>
          <w:tcPr>
            <w:tcW w:w="2143" w:type="dxa"/>
            <w:vAlign w:val="center"/>
          </w:tcPr>
          <w:p w14:paraId="0F09262D">
            <w:pPr>
              <w:snapToGrid w:val="0"/>
              <w:spacing w:line="360" w:lineRule="auto"/>
              <w:jc w:val="center"/>
              <w:rPr>
                <w:rFonts w:ascii="宋体" w:hAnsi="宋体" w:cs="仿宋"/>
                <w:sz w:val="24"/>
                <w:highlight w:val="none"/>
              </w:rPr>
            </w:pPr>
            <w:r>
              <w:rPr>
                <w:rFonts w:ascii="宋体" w:hAnsi="宋体" w:cs="仿宋"/>
                <w:sz w:val="24"/>
                <w:highlight w:val="none"/>
              </w:rPr>
              <w:t>本项目承担的职责</w:t>
            </w:r>
          </w:p>
        </w:tc>
        <w:tc>
          <w:tcPr>
            <w:tcW w:w="1630" w:type="dxa"/>
            <w:vAlign w:val="center"/>
          </w:tcPr>
          <w:p w14:paraId="0E517404">
            <w:pPr>
              <w:snapToGrid w:val="0"/>
              <w:spacing w:line="360" w:lineRule="auto"/>
              <w:jc w:val="center"/>
              <w:rPr>
                <w:rFonts w:ascii="宋体" w:hAnsi="宋体" w:cs="仿宋"/>
                <w:sz w:val="24"/>
                <w:highlight w:val="none"/>
              </w:rPr>
            </w:pPr>
            <w:r>
              <w:rPr>
                <w:rFonts w:hint="eastAsia" w:ascii="宋体" w:hAnsi="宋体" w:cs="仿宋"/>
                <w:sz w:val="24"/>
                <w:highlight w:val="none"/>
              </w:rPr>
              <w:t>备注</w:t>
            </w:r>
          </w:p>
        </w:tc>
      </w:tr>
      <w:tr w14:paraId="400A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47" w:type="dxa"/>
            <w:vAlign w:val="center"/>
          </w:tcPr>
          <w:p w14:paraId="697BD05A">
            <w:pPr>
              <w:snapToGrid w:val="0"/>
              <w:spacing w:line="360" w:lineRule="auto"/>
              <w:jc w:val="center"/>
              <w:rPr>
                <w:rFonts w:ascii="宋体" w:hAnsi="宋体" w:cs="仿宋"/>
                <w:sz w:val="24"/>
                <w:highlight w:val="none"/>
              </w:rPr>
            </w:pPr>
            <w:r>
              <w:rPr>
                <w:rFonts w:hint="eastAsia" w:ascii="宋体" w:hAnsi="宋体" w:cs="仿宋"/>
                <w:sz w:val="24"/>
                <w:highlight w:val="none"/>
              </w:rPr>
              <w:t>1</w:t>
            </w:r>
          </w:p>
        </w:tc>
        <w:tc>
          <w:tcPr>
            <w:tcW w:w="941" w:type="dxa"/>
            <w:vAlign w:val="center"/>
          </w:tcPr>
          <w:p w14:paraId="0D654848">
            <w:pPr>
              <w:snapToGrid w:val="0"/>
              <w:spacing w:line="360" w:lineRule="auto"/>
              <w:jc w:val="center"/>
              <w:rPr>
                <w:rFonts w:ascii="宋体" w:hAnsi="宋体" w:cs="仿宋"/>
                <w:sz w:val="24"/>
                <w:highlight w:val="none"/>
              </w:rPr>
            </w:pPr>
          </w:p>
        </w:tc>
        <w:tc>
          <w:tcPr>
            <w:tcW w:w="2060" w:type="dxa"/>
          </w:tcPr>
          <w:p w14:paraId="1C0EF809">
            <w:pPr>
              <w:spacing w:line="360" w:lineRule="auto"/>
              <w:jc w:val="center"/>
              <w:rPr>
                <w:rFonts w:ascii="宋体" w:hAnsi="宋体" w:cs="仿宋"/>
                <w:b/>
                <w:sz w:val="24"/>
                <w:highlight w:val="none"/>
              </w:rPr>
            </w:pPr>
          </w:p>
        </w:tc>
        <w:tc>
          <w:tcPr>
            <w:tcW w:w="1579" w:type="dxa"/>
            <w:vAlign w:val="center"/>
          </w:tcPr>
          <w:p w14:paraId="7896042C">
            <w:pPr>
              <w:spacing w:line="360" w:lineRule="auto"/>
              <w:jc w:val="center"/>
              <w:rPr>
                <w:rFonts w:ascii="宋体" w:hAnsi="宋体" w:cs="仿宋"/>
                <w:b/>
                <w:sz w:val="24"/>
                <w:highlight w:val="none"/>
              </w:rPr>
            </w:pPr>
          </w:p>
        </w:tc>
        <w:tc>
          <w:tcPr>
            <w:tcW w:w="2143" w:type="dxa"/>
            <w:vAlign w:val="center"/>
          </w:tcPr>
          <w:p w14:paraId="3DF08256">
            <w:pPr>
              <w:snapToGrid w:val="0"/>
              <w:spacing w:line="360" w:lineRule="auto"/>
              <w:jc w:val="center"/>
              <w:rPr>
                <w:rFonts w:ascii="宋体" w:hAnsi="宋体" w:cs="仿宋"/>
                <w:sz w:val="24"/>
                <w:highlight w:val="none"/>
              </w:rPr>
            </w:pPr>
            <w:r>
              <w:rPr>
                <w:rFonts w:hint="eastAsia" w:ascii="宋体" w:hAnsi="宋体" w:cs="仿宋"/>
                <w:sz w:val="24"/>
                <w:highlight w:val="none"/>
              </w:rPr>
              <w:t>项目负责人</w:t>
            </w:r>
          </w:p>
        </w:tc>
        <w:tc>
          <w:tcPr>
            <w:tcW w:w="1630" w:type="dxa"/>
          </w:tcPr>
          <w:p w14:paraId="4BBE7910">
            <w:pPr>
              <w:spacing w:line="360" w:lineRule="auto"/>
              <w:jc w:val="center"/>
              <w:rPr>
                <w:rFonts w:ascii="宋体" w:hAnsi="宋体" w:cs="仿宋"/>
                <w:sz w:val="24"/>
                <w:highlight w:val="none"/>
              </w:rPr>
            </w:pPr>
          </w:p>
        </w:tc>
      </w:tr>
      <w:tr w14:paraId="524A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147" w:type="dxa"/>
            <w:vAlign w:val="center"/>
          </w:tcPr>
          <w:p w14:paraId="10A69E5E">
            <w:pPr>
              <w:snapToGrid w:val="0"/>
              <w:spacing w:line="360" w:lineRule="auto"/>
              <w:jc w:val="center"/>
              <w:rPr>
                <w:rFonts w:ascii="宋体" w:hAnsi="宋体" w:cs="仿宋"/>
                <w:sz w:val="24"/>
                <w:highlight w:val="none"/>
              </w:rPr>
            </w:pPr>
            <w:r>
              <w:rPr>
                <w:rFonts w:hint="eastAsia" w:ascii="宋体" w:hAnsi="宋体" w:cs="仿宋"/>
                <w:sz w:val="24"/>
                <w:highlight w:val="none"/>
              </w:rPr>
              <w:t>2</w:t>
            </w:r>
          </w:p>
        </w:tc>
        <w:tc>
          <w:tcPr>
            <w:tcW w:w="941" w:type="dxa"/>
            <w:vAlign w:val="center"/>
          </w:tcPr>
          <w:p w14:paraId="23671818">
            <w:pPr>
              <w:snapToGrid w:val="0"/>
              <w:spacing w:line="360" w:lineRule="auto"/>
              <w:jc w:val="center"/>
              <w:rPr>
                <w:rFonts w:ascii="宋体" w:hAnsi="宋体" w:cs="仿宋"/>
                <w:sz w:val="24"/>
                <w:highlight w:val="none"/>
              </w:rPr>
            </w:pPr>
          </w:p>
        </w:tc>
        <w:tc>
          <w:tcPr>
            <w:tcW w:w="2060" w:type="dxa"/>
          </w:tcPr>
          <w:p w14:paraId="0494EFCF">
            <w:pPr>
              <w:spacing w:line="360" w:lineRule="auto"/>
              <w:jc w:val="center"/>
              <w:rPr>
                <w:rFonts w:ascii="宋体" w:hAnsi="宋体" w:cs="仿宋"/>
                <w:b/>
                <w:sz w:val="24"/>
                <w:highlight w:val="none"/>
              </w:rPr>
            </w:pPr>
          </w:p>
        </w:tc>
        <w:tc>
          <w:tcPr>
            <w:tcW w:w="1579" w:type="dxa"/>
            <w:vAlign w:val="center"/>
          </w:tcPr>
          <w:p w14:paraId="6734A1FC">
            <w:pPr>
              <w:spacing w:line="360" w:lineRule="auto"/>
              <w:jc w:val="center"/>
              <w:rPr>
                <w:rFonts w:ascii="宋体" w:hAnsi="宋体" w:cs="仿宋"/>
                <w:b/>
                <w:sz w:val="24"/>
                <w:highlight w:val="none"/>
              </w:rPr>
            </w:pPr>
          </w:p>
        </w:tc>
        <w:tc>
          <w:tcPr>
            <w:tcW w:w="2143" w:type="dxa"/>
            <w:vAlign w:val="center"/>
          </w:tcPr>
          <w:p w14:paraId="5EA4FA2D">
            <w:pPr>
              <w:snapToGrid w:val="0"/>
              <w:spacing w:line="360" w:lineRule="auto"/>
              <w:jc w:val="center"/>
              <w:rPr>
                <w:rFonts w:ascii="宋体" w:hAnsi="宋体" w:cs="仿宋"/>
                <w:sz w:val="24"/>
                <w:highlight w:val="none"/>
              </w:rPr>
            </w:pPr>
            <w:r>
              <w:rPr>
                <w:rFonts w:hint="eastAsia" w:ascii="宋体" w:hAnsi="宋体" w:cs="仿宋"/>
                <w:sz w:val="24"/>
                <w:highlight w:val="none"/>
              </w:rPr>
              <w:t>驻点人员</w:t>
            </w:r>
          </w:p>
        </w:tc>
        <w:tc>
          <w:tcPr>
            <w:tcW w:w="1630" w:type="dxa"/>
          </w:tcPr>
          <w:p w14:paraId="7295B385">
            <w:pPr>
              <w:spacing w:line="360" w:lineRule="auto"/>
              <w:jc w:val="center"/>
              <w:rPr>
                <w:rFonts w:ascii="宋体" w:hAnsi="宋体" w:cs="仿宋"/>
                <w:sz w:val="24"/>
                <w:highlight w:val="none"/>
              </w:rPr>
            </w:pPr>
          </w:p>
        </w:tc>
      </w:tr>
      <w:tr w14:paraId="7E7FA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47" w:type="dxa"/>
            <w:vAlign w:val="center"/>
          </w:tcPr>
          <w:p w14:paraId="264EC22A">
            <w:pPr>
              <w:snapToGrid w:val="0"/>
              <w:spacing w:line="360" w:lineRule="auto"/>
              <w:jc w:val="center"/>
              <w:rPr>
                <w:rFonts w:ascii="宋体" w:hAnsi="宋体" w:cs="仿宋"/>
                <w:sz w:val="24"/>
                <w:highlight w:val="none"/>
              </w:rPr>
            </w:pPr>
            <w:r>
              <w:rPr>
                <w:rFonts w:hint="eastAsia" w:ascii="宋体" w:hAnsi="宋体" w:cs="仿宋"/>
                <w:sz w:val="24"/>
                <w:highlight w:val="none"/>
              </w:rPr>
              <w:t>3</w:t>
            </w:r>
          </w:p>
        </w:tc>
        <w:tc>
          <w:tcPr>
            <w:tcW w:w="941" w:type="dxa"/>
            <w:vAlign w:val="center"/>
          </w:tcPr>
          <w:p w14:paraId="101C31A2">
            <w:pPr>
              <w:snapToGrid w:val="0"/>
              <w:spacing w:line="360" w:lineRule="auto"/>
              <w:jc w:val="center"/>
              <w:rPr>
                <w:rFonts w:ascii="宋体" w:hAnsi="宋体" w:cs="仿宋"/>
                <w:sz w:val="24"/>
                <w:highlight w:val="none"/>
              </w:rPr>
            </w:pPr>
          </w:p>
        </w:tc>
        <w:tc>
          <w:tcPr>
            <w:tcW w:w="2060" w:type="dxa"/>
          </w:tcPr>
          <w:p w14:paraId="1E06B15E">
            <w:pPr>
              <w:snapToGrid w:val="0"/>
              <w:spacing w:line="360" w:lineRule="auto"/>
              <w:jc w:val="center"/>
              <w:rPr>
                <w:rFonts w:ascii="宋体" w:hAnsi="宋体" w:cs="仿宋"/>
                <w:sz w:val="24"/>
                <w:highlight w:val="none"/>
              </w:rPr>
            </w:pPr>
          </w:p>
        </w:tc>
        <w:tc>
          <w:tcPr>
            <w:tcW w:w="1579" w:type="dxa"/>
            <w:vAlign w:val="center"/>
          </w:tcPr>
          <w:p w14:paraId="30466A4E">
            <w:pPr>
              <w:snapToGrid w:val="0"/>
              <w:spacing w:line="360" w:lineRule="auto"/>
              <w:jc w:val="center"/>
              <w:rPr>
                <w:rFonts w:ascii="宋体" w:hAnsi="宋体" w:cs="仿宋"/>
                <w:sz w:val="24"/>
                <w:highlight w:val="none"/>
              </w:rPr>
            </w:pPr>
          </w:p>
        </w:tc>
        <w:tc>
          <w:tcPr>
            <w:tcW w:w="2143" w:type="dxa"/>
            <w:vAlign w:val="center"/>
          </w:tcPr>
          <w:p w14:paraId="7FC1DD58">
            <w:pPr>
              <w:snapToGrid w:val="0"/>
              <w:spacing w:line="360" w:lineRule="auto"/>
              <w:jc w:val="center"/>
              <w:rPr>
                <w:rFonts w:ascii="宋体" w:hAnsi="宋体" w:cs="仿宋"/>
                <w:sz w:val="24"/>
                <w:highlight w:val="none"/>
              </w:rPr>
            </w:pPr>
            <w:r>
              <w:rPr>
                <w:rFonts w:hint="eastAsia" w:ascii="宋体" w:hAnsi="宋体" w:cs="仿宋"/>
                <w:sz w:val="24"/>
                <w:highlight w:val="none"/>
              </w:rPr>
              <w:t>驻点人员</w:t>
            </w:r>
          </w:p>
        </w:tc>
        <w:tc>
          <w:tcPr>
            <w:tcW w:w="1630" w:type="dxa"/>
          </w:tcPr>
          <w:p w14:paraId="4F6F8FB2">
            <w:pPr>
              <w:snapToGrid w:val="0"/>
              <w:spacing w:line="360" w:lineRule="auto"/>
              <w:jc w:val="center"/>
              <w:rPr>
                <w:rFonts w:ascii="宋体" w:hAnsi="宋体" w:cs="仿宋"/>
                <w:sz w:val="24"/>
                <w:highlight w:val="none"/>
              </w:rPr>
            </w:pPr>
          </w:p>
        </w:tc>
      </w:tr>
      <w:tr w14:paraId="0C209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47" w:type="dxa"/>
            <w:vAlign w:val="center"/>
          </w:tcPr>
          <w:p w14:paraId="678C2306">
            <w:pPr>
              <w:snapToGrid w:val="0"/>
              <w:spacing w:line="360" w:lineRule="auto"/>
              <w:jc w:val="center"/>
              <w:rPr>
                <w:rFonts w:ascii="宋体" w:hAnsi="宋体" w:cs="仿宋"/>
                <w:sz w:val="24"/>
                <w:highlight w:val="none"/>
              </w:rPr>
            </w:pPr>
            <w:r>
              <w:rPr>
                <w:rFonts w:hint="eastAsia" w:ascii="宋体" w:hAnsi="宋体" w:cs="仿宋"/>
                <w:sz w:val="24"/>
                <w:highlight w:val="none"/>
              </w:rPr>
              <w:t>4</w:t>
            </w:r>
          </w:p>
        </w:tc>
        <w:tc>
          <w:tcPr>
            <w:tcW w:w="941" w:type="dxa"/>
            <w:vAlign w:val="center"/>
          </w:tcPr>
          <w:p w14:paraId="25C5D041">
            <w:pPr>
              <w:snapToGrid w:val="0"/>
              <w:spacing w:line="360" w:lineRule="auto"/>
              <w:jc w:val="center"/>
              <w:rPr>
                <w:rFonts w:ascii="宋体" w:hAnsi="宋体" w:cs="仿宋"/>
                <w:sz w:val="24"/>
                <w:highlight w:val="none"/>
              </w:rPr>
            </w:pPr>
          </w:p>
        </w:tc>
        <w:tc>
          <w:tcPr>
            <w:tcW w:w="2060" w:type="dxa"/>
          </w:tcPr>
          <w:p w14:paraId="1CC3D6EF">
            <w:pPr>
              <w:snapToGrid w:val="0"/>
              <w:spacing w:line="360" w:lineRule="auto"/>
              <w:jc w:val="center"/>
              <w:rPr>
                <w:rFonts w:ascii="宋体" w:hAnsi="宋体" w:cs="仿宋"/>
                <w:sz w:val="24"/>
                <w:highlight w:val="none"/>
              </w:rPr>
            </w:pPr>
          </w:p>
        </w:tc>
        <w:tc>
          <w:tcPr>
            <w:tcW w:w="1579" w:type="dxa"/>
            <w:vAlign w:val="center"/>
          </w:tcPr>
          <w:p w14:paraId="7CD26A4E">
            <w:pPr>
              <w:snapToGrid w:val="0"/>
              <w:spacing w:line="360" w:lineRule="auto"/>
              <w:jc w:val="center"/>
              <w:rPr>
                <w:rFonts w:ascii="宋体" w:hAnsi="宋体" w:cs="仿宋"/>
                <w:sz w:val="24"/>
                <w:highlight w:val="none"/>
              </w:rPr>
            </w:pPr>
          </w:p>
        </w:tc>
        <w:tc>
          <w:tcPr>
            <w:tcW w:w="2143" w:type="dxa"/>
            <w:vAlign w:val="center"/>
          </w:tcPr>
          <w:p w14:paraId="512F384F">
            <w:pPr>
              <w:snapToGrid w:val="0"/>
              <w:spacing w:line="360" w:lineRule="auto"/>
              <w:jc w:val="center"/>
              <w:rPr>
                <w:rFonts w:ascii="宋体" w:hAnsi="宋体" w:cs="仿宋"/>
                <w:sz w:val="24"/>
                <w:highlight w:val="none"/>
              </w:rPr>
            </w:pPr>
          </w:p>
        </w:tc>
        <w:tc>
          <w:tcPr>
            <w:tcW w:w="1630" w:type="dxa"/>
          </w:tcPr>
          <w:p w14:paraId="079E1AA5">
            <w:pPr>
              <w:snapToGrid w:val="0"/>
              <w:spacing w:line="360" w:lineRule="auto"/>
              <w:jc w:val="center"/>
              <w:rPr>
                <w:rFonts w:ascii="宋体" w:hAnsi="宋体" w:cs="仿宋"/>
                <w:sz w:val="24"/>
                <w:highlight w:val="none"/>
              </w:rPr>
            </w:pPr>
          </w:p>
        </w:tc>
      </w:tr>
      <w:tr w14:paraId="6782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47" w:type="dxa"/>
            <w:vAlign w:val="center"/>
          </w:tcPr>
          <w:p w14:paraId="759EC5E0">
            <w:pPr>
              <w:snapToGrid w:val="0"/>
              <w:spacing w:line="360" w:lineRule="auto"/>
              <w:jc w:val="center"/>
              <w:rPr>
                <w:rFonts w:ascii="宋体" w:hAnsi="宋体" w:cs="仿宋"/>
                <w:sz w:val="24"/>
                <w:highlight w:val="none"/>
              </w:rPr>
            </w:pPr>
            <w:r>
              <w:rPr>
                <w:rFonts w:hint="eastAsia" w:ascii="宋体" w:hAnsi="宋体" w:cs="仿宋"/>
                <w:sz w:val="24"/>
                <w:highlight w:val="none"/>
              </w:rPr>
              <w:t>5</w:t>
            </w:r>
          </w:p>
        </w:tc>
        <w:tc>
          <w:tcPr>
            <w:tcW w:w="941" w:type="dxa"/>
            <w:vAlign w:val="center"/>
          </w:tcPr>
          <w:p w14:paraId="24D11EF2">
            <w:pPr>
              <w:snapToGrid w:val="0"/>
              <w:spacing w:line="360" w:lineRule="auto"/>
              <w:jc w:val="center"/>
              <w:rPr>
                <w:rFonts w:ascii="宋体" w:hAnsi="宋体" w:cs="仿宋"/>
                <w:sz w:val="24"/>
                <w:highlight w:val="none"/>
              </w:rPr>
            </w:pPr>
          </w:p>
        </w:tc>
        <w:tc>
          <w:tcPr>
            <w:tcW w:w="2060" w:type="dxa"/>
          </w:tcPr>
          <w:p w14:paraId="13354444">
            <w:pPr>
              <w:snapToGrid w:val="0"/>
              <w:spacing w:line="360" w:lineRule="auto"/>
              <w:jc w:val="center"/>
              <w:rPr>
                <w:rFonts w:ascii="宋体" w:hAnsi="宋体" w:cs="仿宋"/>
                <w:sz w:val="24"/>
                <w:highlight w:val="none"/>
              </w:rPr>
            </w:pPr>
          </w:p>
        </w:tc>
        <w:tc>
          <w:tcPr>
            <w:tcW w:w="1579" w:type="dxa"/>
            <w:vAlign w:val="center"/>
          </w:tcPr>
          <w:p w14:paraId="02F8997E">
            <w:pPr>
              <w:snapToGrid w:val="0"/>
              <w:spacing w:line="360" w:lineRule="auto"/>
              <w:jc w:val="center"/>
              <w:rPr>
                <w:rFonts w:ascii="宋体" w:hAnsi="宋体" w:cs="仿宋"/>
                <w:sz w:val="24"/>
                <w:highlight w:val="none"/>
              </w:rPr>
            </w:pPr>
          </w:p>
        </w:tc>
        <w:tc>
          <w:tcPr>
            <w:tcW w:w="2143" w:type="dxa"/>
            <w:vAlign w:val="center"/>
          </w:tcPr>
          <w:p w14:paraId="422E460F">
            <w:pPr>
              <w:snapToGrid w:val="0"/>
              <w:spacing w:line="360" w:lineRule="auto"/>
              <w:jc w:val="center"/>
              <w:rPr>
                <w:rFonts w:ascii="宋体" w:hAnsi="宋体" w:cs="仿宋"/>
                <w:sz w:val="24"/>
                <w:highlight w:val="none"/>
              </w:rPr>
            </w:pPr>
          </w:p>
        </w:tc>
        <w:tc>
          <w:tcPr>
            <w:tcW w:w="1630" w:type="dxa"/>
          </w:tcPr>
          <w:p w14:paraId="05B7C925">
            <w:pPr>
              <w:snapToGrid w:val="0"/>
              <w:spacing w:line="360" w:lineRule="auto"/>
              <w:jc w:val="center"/>
              <w:rPr>
                <w:rFonts w:ascii="宋体" w:hAnsi="宋体" w:cs="仿宋"/>
                <w:sz w:val="24"/>
                <w:highlight w:val="none"/>
              </w:rPr>
            </w:pPr>
          </w:p>
        </w:tc>
      </w:tr>
      <w:tr w14:paraId="37C20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47" w:type="dxa"/>
            <w:vAlign w:val="center"/>
          </w:tcPr>
          <w:p w14:paraId="1ED9287B">
            <w:pPr>
              <w:snapToGrid w:val="0"/>
              <w:spacing w:line="360" w:lineRule="auto"/>
              <w:jc w:val="center"/>
              <w:rPr>
                <w:rFonts w:ascii="宋体" w:hAnsi="宋体" w:cs="仿宋"/>
                <w:sz w:val="24"/>
                <w:highlight w:val="none"/>
              </w:rPr>
            </w:pPr>
            <w:r>
              <w:rPr>
                <w:rFonts w:hint="eastAsia" w:ascii="宋体" w:hAnsi="宋体" w:cs="仿宋"/>
                <w:sz w:val="24"/>
                <w:highlight w:val="none"/>
              </w:rPr>
              <w:t>6</w:t>
            </w:r>
          </w:p>
        </w:tc>
        <w:tc>
          <w:tcPr>
            <w:tcW w:w="941" w:type="dxa"/>
            <w:vAlign w:val="center"/>
          </w:tcPr>
          <w:p w14:paraId="36B8E10A">
            <w:pPr>
              <w:snapToGrid w:val="0"/>
              <w:spacing w:line="360" w:lineRule="auto"/>
              <w:jc w:val="center"/>
              <w:rPr>
                <w:rFonts w:ascii="宋体" w:hAnsi="宋体" w:cs="仿宋"/>
                <w:sz w:val="24"/>
                <w:highlight w:val="none"/>
              </w:rPr>
            </w:pPr>
          </w:p>
        </w:tc>
        <w:tc>
          <w:tcPr>
            <w:tcW w:w="2060" w:type="dxa"/>
          </w:tcPr>
          <w:p w14:paraId="53F61722">
            <w:pPr>
              <w:snapToGrid w:val="0"/>
              <w:spacing w:line="360" w:lineRule="auto"/>
              <w:jc w:val="center"/>
              <w:rPr>
                <w:rFonts w:ascii="宋体" w:hAnsi="宋体" w:cs="仿宋"/>
                <w:sz w:val="24"/>
                <w:highlight w:val="none"/>
              </w:rPr>
            </w:pPr>
          </w:p>
        </w:tc>
        <w:tc>
          <w:tcPr>
            <w:tcW w:w="1579" w:type="dxa"/>
            <w:vAlign w:val="center"/>
          </w:tcPr>
          <w:p w14:paraId="11D7321B">
            <w:pPr>
              <w:snapToGrid w:val="0"/>
              <w:spacing w:line="360" w:lineRule="auto"/>
              <w:jc w:val="center"/>
              <w:rPr>
                <w:rFonts w:ascii="宋体" w:hAnsi="宋体" w:cs="仿宋"/>
                <w:sz w:val="24"/>
                <w:highlight w:val="none"/>
              </w:rPr>
            </w:pPr>
          </w:p>
        </w:tc>
        <w:tc>
          <w:tcPr>
            <w:tcW w:w="2143" w:type="dxa"/>
            <w:vAlign w:val="center"/>
          </w:tcPr>
          <w:p w14:paraId="26362BF7">
            <w:pPr>
              <w:snapToGrid w:val="0"/>
              <w:spacing w:line="360" w:lineRule="auto"/>
              <w:jc w:val="center"/>
              <w:rPr>
                <w:rFonts w:ascii="宋体" w:hAnsi="宋体" w:cs="仿宋"/>
                <w:sz w:val="24"/>
                <w:highlight w:val="none"/>
              </w:rPr>
            </w:pPr>
          </w:p>
        </w:tc>
        <w:tc>
          <w:tcPr>
            <w:tcW w:w="1630" w:type="dxa"/>
          </w:tcPr>
          <w:p w14:paraId="59866103">
            <w:pPr>
              <w:snapToGrid w:val="0"/>
              <w:spacing w:line="360" w:lineRule="auto"/>
              <w:jc w:val="center"/>
              <w:rPr>
                <w:rFonts w:ascii="宋体" w:hAnsi="宋体" w:cs="仿宋"/>
                <w:sz w:val="24"/>
                <w:highlight w:val="none"/>
              </w:rPr>
            </w:pPr>
          </w:p>
        </w:tc>
      </w:tr>
      <w:tr w14:paraId="70C8D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47" w:type="dxa"/>
            <w:vAlign w:val="center"/>
          </w:tcPr>
          <w:p w14:paraId="10EE744C">
            <w:pPr>
              <w:snapToGrid w:val="0"/>
              <w:spacing w:line="360" w:lineRule="auto"/>
              <w:jc w:val="center"/>
              <w:rPr>
                <w:rFonts w:ascii="宋体" w:hAnsi="宋体" w:cs="仿宋"/>
                <w:sz w:val="24"/>
                <w:highlight w:val="none"/>
              </w:rPr>
            </w:pPr>
            <w:r>
              <w:rPr>
                <w:rFonts w:hint="eastAsia" w:ascii="宋体" w:hAnsi="宋体" w:cs="仿宋"/>
                <w:sz w:val="24"/>
                <w:highlight w:val="none"/>
              </w:rPr>
              <w:t>7</w:t>
            </w:r>
          </w:p>
        </w:tc>
        <w:tc>
          <w:tcPr>
            <w:tcW w:w="941" w:type="dxa"/>
            <w:vAlign w:val="center"/>
          </w:tcPr>
          <w:p w14:paraId="67D37B14">
            <w:pPr>
              <w:snapToGrid w:val="0"/>
              <w:spacing w:line="360" w:lineRule="auto"/>
              <w:jc w:val="center"/>
              <w:rPr>
                <w:rFonts w:ascii="宋体" w:hAnsi="宋体" w:cs="仿宋"/>
                <w:sz w:val="24"/>
                <w:highlight w:val="none"/>
              </w:rPr>
            </w:pPr>
          </w:p>
        </w:tc>
        <w:tc>
          <w:tcPr>
            <w:tcW w:w="2060" w:type="dxa"/>
          </w:tcPr>
          <w:p w14:paraId="48D8CE74">
            <w:pPr>
              <w:snapToGrid w:val="0"/>
              <w:spacing w:line="360" w:lineRule="auto"/>
              <w:jc w:val="center"/>
              <w:rPr>
                <w:rFonts w:ascii="宋体" w:hAnsi="宋体" w:cs="仿宋"/>
                <w:sz w:val="24"/>
                <w:highlight w:val="none"/>
              </w:rPr>
            </w:pPr>
          </w:p>
        </w:tc>
        <w:tc>
          <w:tcPr>
            <w:tcW w:w="1579" w:type="dxa"/>
            <w:vAlign w:val="center"/>
          </w:tcPr>
          <w:p w14:paraId="34DB890A">
            <w:pPr>
              <w:snapToGrid w:val="0"/>
              <w:spacing w:line="360" w:lineRule="auto"/>
              <w:jc w:val="center"/>
              <w:rPr>
                <w:rFonts w:ascii="宋体" w:hAnsi="宋体" w:cs="仿宋"/>
                <w:sz w:val="24"/>
                <w:highlight w:val="none"/>
              </w:rPr>
            </w:pPr>
          </w:p>
        </w:tc>
        <w:tc>
          <w:tcPr>
            <w:tcW w:w="2143" w:type="dxa"/>
            <w:vAlign w:val="center"/>
          </w:tcPr>
          <w:p w14:paraId="46899FAB">
            <w:pPr>
              <w:snapToGrid w:val="0"/>
              <w:spacing w:line="360" w:lineRule="auto"/>
              <w:jc w:val="center"/>
              <w:rPr>
                <w:rFonts w:ascii="宋体" w:hAnsi="宋体" w:cs="仿宋"/>
                <w:sz w:val="24"/>
                <w:highlight w:val="none"/>
              </w:rPr>
            </w:pPr>
          </w:p>
        </w:tc>
        <w:tc>
          <w:tcPr>
            <w:tcW w:w="1630" w:type="dxa"/>
          </w:tcPr>
          <w:p w14:paraId="41A1FD66">
            <w:pPr>
              <w:snapToGrid w:val="0"/>
              <w:spacing w:line="360" w:lineRule="auto"/>
              <w:jc w:val="center"/>
              <w:rPr>
                <w:rFonts w:ascii="宋体" w:hAnsi="宋体" w:cs="仿宋"/>
                <w:sz w:val="24"/>
                <w:highlight w:val="none"/>
              </w:rPr>
            </w:pPr>
          </w:p>
        </w:tc>
      </w:tr>
      <w:tr w14:paraId="445F1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47" w:type="dxa"/>
            <w:vAlign w:val="center"/>
          </w:tcPr>
          <w:p w14:paraId="70095DF9">
            <w:pPr>
              <w:snapToGrid w:val="0"/>
              <w:spacing w:line="360" w:lineRule="auto"/>
              <w:jc w:val="center"/>
              <w:rPr>
                <w:rFonts w:ascii="宋体" w:hAnsi="宋体" w:cs="仿宋"/>
                <w:sz w:val="24"/>
                <w:highlight w:val="none"/>
              </w:rPr>
            </w:pPr>
            <w:r>
              <w:rPr>
                <w:rFonts w:hint="eastAsia" w:ascii="宋体" w:hAnsi="宋体" w:cs="仿宋"/>
                <w:sz w:val="24"/>
                <w:highlight w:val="none"/>
              </w:rPr>
              <w:t>8</w:t>
            </w:r>
          </w:p>
        </w:tc>
        <w:tc>
          <w:tcPr>
            <w:tcW w:w="941" w:type="dxa"/>
            <w:vAlign w:val="center"/>
          </w:tcPr>
          <w:p w14:paraId="2D16FDE6">
            <w:pPr>
              <w:snapToGrid w:val="0"/>
              <w:spacing w:line="360" w:lineRule="auto"/>
              <w:jc w:val="center"/>
              <w:rPr>
                <w:rFonts w:ascii="宋体" w:hAnsi="宋体" w:cs="仿宋"/>
                <w:sz w:val="24"/>
                <w:highlight w:val="none"/>
              </w:rPr>
            </w:pPr>
          </w:p>
        </w:tc>
        <w:tc>
          <w:tcPr>
            <w:tcW w:w="2060" w:type="dxa"/>
          </w:tcPr>
          <w:p w14:paraId="69634A66">
            <w:pPr>
              <w:snapToGrid w:val="0"/>
              <w:spacing w:line="360" w:lineRule="auto"/>
              <w:jc w:val="center"/>
              <w:rPr>
                <w:rFonts w:ascii="宋体" w:hAnsi="宋体" w:cs="仿宋"/>
                <w:sz w:val="24"/>
                <w:highlight w:val="none"/>
              </w:rPr>
            </w:pPr>
          </w:p>
        </w:tc>
        <w:tc>
          <w:tcPr>
            <w:tcW w:w="1579" w:type="dxa"/>
            <w:vAlign w:val="center"/>
          </w:tcPr>
          <w:p w14:paraId="7DCC751D">
            <w:pPr>
              <w:snapToGrid w:val="0"/>
              <w:spacing w:line="360" w:lineRule="auto"/>
              <w:jc w:val="center"/>
              <w:rPr>
                <w:rFonts w:ascii="宋体" w:hAnsi="宋体" w:cs="仿宋"/>
                <w:sz w:val="24"/>
                <w:highlight w:val="none"/>
              </w:rPr>
            </w:pPr>
          </w:p>
        </w:tc>
        <w:tc>
          <w:tcPr>
            <w:tcW w:w="2143" w:type="dxa"/>
            <w:vAlign w:val="center"/>
          </w:tcPr>
          <w:p w14:paraId="707CBD6E">
            <w:pPr>
              <w:snapToGrid w:val="0"/>
              <w:spacing w:line="360" w:lineRule="auto"/>
              <w:jc w:val="center"/>
              <w:rPr>
                <w:rFonts w:ascii="宋体" w:hAnsi="宋体" w:cs="仿宋"/>
                <w:sz w:val="24"/>
                <w:highlight w:val="none"/>
              </w:rPr>
            </w:pPr>
          </w:p>
        </w:tc>
        <w:tc>
          <w:tcPr>
            <w:tcW w:w="1630" w:type="dxa"/>
          </w:tcPr>
          <w:p w14:paraId="269E1E9E">
            <w:pPr>
              <w:snapToGrid w:val="0"/>
              <w:spacing w:line="360" w:lineRule="auto"/>
              <w:jc w:val="center"/>
              <w:rPr>
                <w:rFonts w:ascii="宋体" w:hAnsi="宋体" w:cs="仿宋"/>
                <w:sz w:val="24"/>
                <w:highlight w:val="none"/>
              </w:rPr>
            </w:pPr>
          </w:p>
        </w:tc>
      </w:tr>
      <w:tr w14:paraId="29B1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47" w:type="dxa"/>
            <w:vAlign w:val="center"/>
          </w:tcPr>
          <w:p w14:paraId="44649540">
            <w:pPr>
              <w:snapToGrid w:val="0"/>
              <w:spacing w:line="360" w:lineRule="auto"/>
              <w:jc w:val="center"/>
              <w:rPr>
                <w:rFonts w:ascii="宋体" w:hAnsi="宋体" w:cs="仿宋"/>
                <w:sz w:val="24"/>
                <w:highlight w:val="none"/>
              </w:rPr>
            </w:pPr>
            <w:r>
              <w:rPr>
                <w:rFonts w:hint="eastAsia" w:ascii="宋体" w:hAnsi="宋体" w:cs="仿宋"/>
                <w:sz w:val="24"/>
                <w:highlight w:val="none"/>
              </w:rPr>
              <w:t>…</w:t>
            </w:r>
          </w:p>
        </w:tc>
        <w:tc>
          <w:tcPr>
            <w:tcW w:w="941" w:type="dxa"/>
            <w:vAlign w:val="center"/>
          </w:tcPr>
          <w:p w14:paraId="488758AA">
            <w:pPr>
              <w:snapToGrid w:val="0"/>
              <w:spacing w:line="360" w:lineRule="auto"/>
              <w:jc w:val="center"/>
              <w:rPr>
                <w:rFonts w:ascii="宋体" w:hAnsi="宋体" w:cs="仿宋"/>
                <w:sz w:val="24"/>
                <w:highlight w:val="none"/>
              </w:rPr>
            </w:pPr>
          </w:p>
        </w:tc>
        <w:tc>
          <w:tcPr>
            <w:tcW w:w="2060" w:type="dxa"/>
          </w:tcPr>
          <w:p w14:paraId="64D5B0AC">
            <w:pPr>
              <w:snapToGrid w:val="0"/>
              <w:spacing w:line="360" w:lineRule="auto"/>
              <w:jc w:val="center"/>
              <w:rPr>
                <w:rFonts w:ascii="宋体" w:hAnsi="宋体" w:cs="仿宋"/>
                <w:sz w:val="24"/>
                <w:highlight w:val="none"/>
              </w:rPr>
            </w:pPr>
          </w:p>
        </w:tc>
        <w:tc>
          <w:tcPr>
            <w:tcW w:w="1579" w:type="dxa"/>
            <w:vAlign w:val="center"/>
          </w:tcPr>
          <w:p w14:paraId="5C80C451">
            <w:pPr>
              <w:snapToGrid w:val="0"/>
              <w:spacing w:line="360" w:lineRule="auto"/>
              <w:jc w:val="center"/>
              <w:rPr>
                <w:rFonts w:ascii="宋体" w:hAnsi="宋体" w:cs="仿宋"/>
                <w:sz w:val="24"/>
                <w:highlight w:val="none"/>
              </w:rPr>
            </w:pPr>
          </w:p>
        </w:tc>
        <w:tc>
          <w:tcPr>
            <w:tcW w:w="2143" w:type="dxa"/>
            <w:vAlign w:val="center"/>
          </w:tcPr>
          <w:p w14:paraId="4B5C6660">
            <w:pPr>
              <w:snapToGrid w:val="0"/>
              <w:spacing w:line="360" w:lineRule="auto"/>
              <w:jc w:val="center"/>
              <w:rPr>
                <w:rFonts w:ascii="宋体" w:hAnsi="宋体" w:cs="仿宋"/>
                <w:sz w:val="24"/>
                <w:highlight w:val="none"/>
              </w:rPr>
            </w:pPr>
          </w:p>
        </w:tc>
        <w:tc>
          <w:tcPr>
            <w:tcW w:w="1630" w:type="dxa"/>
          </w:tcPr>
          <w:p w14:paraId="3437E5D2">
            <w:pPr>
              <w:snapToGrid w:val="0"/>
              <w:spacing w:line="360" w:lineRule="auto"/>
              <w:jc w:val="center"/>
              <w:rPr>
                <w:rFonts w:ascii="宋体" w:hAnsi="宋体" w:cs="仿宋"/>
                <w:sz w:val="24"/>
                <w:highlight w:val="none"/>
              </w:rPr>
            </w:pPr>
          </w:p>
        </w:tc>
      </w:tr>
    </w:tbl>
    <w:p w14:paraId="680C327B">
      <w:pPr>
        <w:tabs>
          <w:tab w:val="left" w:pos="904"/>
        </w:tabs>
        <w:adjustRightInd/>
        <w:snapToGrid w:val="0"/>
        <w:spacing w:line="360" w:lineRule="auto"/>
        <w:ind w:left="1200"/>
        <w:jc w:val="left"/>
        <w:rPr>
          <w:rFonts w:ascii="仿宋" w:hAnsi="仿宋" w:eastAsia="仿宋" w:cs="宋体"/>
          <w:b/>
          <w:snapToGrid w:val="0"/>
          <w:kern w:val="0"/>
          <w:sz w:val="24"/>
          <w:highlight w:val="none"/>
        </w:rPr>
      </w:pPr>
    </w:p>
    <w:p w14:paraId="0EAC6097">
      <w:pPr>
        <w:tabs>
          <w:tab w:val="left" w:pos="904"/>
        </w:tabs>
        <w:adjustRightInd/>
        <w:snapToGrid w:val="0"/>
        <w:spacing w:line="360" w:lineRule="auto"/>
        <w:ind w:left="1200"/>
        <w:jc w:val="left"/>
        <w:rPr>
          <w:rFonts w:ascii="仿宋" w:hAnsi="仿宋" w:eastAsia="仿宋" w:cs="宋体"/>
          <w:b/>
          <w:snapToGrid w:val="0"/>
          <w:kern w:val="0"/>
          <w:sz w:val="24"/>
          <w:highlight w:val="none"/>
        </w:rPr>
      </w:pPr>
    </w:p>
    <w:p w14:paraId="22933C42">
      <w:pPr>
        <w:tabs>
          <w:tab w:val="left" w:pos="904"/>
        </w:tabs>
        <w:adjustRightInd/>
        <w:snapToGrid w:val="0"/>
        <w:spacing w:line="360" w:lineRule="auto"/>
        <w:ind w:left="1200"/>
        <w:jc w:val="left"/>
        <w:rPr>
          <w:rFonts w:ascii="仿宋" w:hAnsi="仿宋" w:eastAsia="仿宋" w:cs="宋体"/>
          <w:b/>
          <w:snapToGrid w:val="0"/>
          <w:kern w:val="0"/>
          <w:sz w:val="24"/>
          <w:highlight w:val="none"/>
        </w:rPr>
      </w:pPr>
    </w:p>
    <w:p w14:paraId="46A0C047">
      <w:pPr>
        <w:tabs>
          <w:tab w:val="left" w:pos="904"/>
        </w:tabs>
        <w:adjustRightInd/>
        <w:snapToGrid w:val="0"/>
        <w:spacing w:line="360" w:lineRule="auto"/>
        <w:ind w:left="1200"/>
        <w:jc w:val="left"/>
        <w:rPr>
          <w:rFonts w:ascii="仿宋" w:hAnsi="仿宋" w:eastAsia="仿宋" w:cs="宋体"/>
          <w:b/>
          <w:snapToGrid w:val="0"/>
          <w:kern w:val="0"/>
          <w:sz w:val="24"/>
          <w:highlight w:val="none"/>
        </w:rPr>
      </w:pPr>
    </w:p>
    <w:p w14:paraId="240BECF2">
      <w:pPr>
        <w:tabs>
          <w:tab w:val="left" w:pos="904"/>
        </w:tabs>
        <w:adjustRightInd/>
        <w:snapToGrid w:val="0"/>
        <w:spacing w:line="360" w:lineRule="auto"/>
        <w:ind w:left="1200"/>
        <w:jc w:val="left"/>
        <w:rPr>
          <w:rFonts w:ascii="仿宋" w:hAnsi="仿宋" w:eastAsia="仿宋" w:cs="宋体"/>
          <w:b/>
          <w:snapToGrid w:val="0"/>
          <w:kern w:val="0"/>
          <w:sz w:val="24"/>
          <w:highlight w:val="none"/>
        </w:rPr>
      </w:pPr>
    </w:p>
    <w:p w14:paraId="58730AD4">
      <w:pPr>
        <w:tabs>
          <w:tab w:val="left" w:pos="904"/>
        </w:tabs>
        <w:adjustRightInd/>
        <w:snapToGrid w:val="0"/>
        <w:spacing w:line="360" w:lineRule="auto"/>
        <w:ind w:left="1200"/>
        <w:jc w:val="left"/>
        <w:rPr>
          <w:rFonts w:ascii="仿宋" w:hAnsi="仿宋" w:eastAsia="仿宋" w:cs="宋体"/>
          <w:b/>
          <w:snapToGrid w:val="0"/>
          <w:kern w:val="0"/>
          <w:sz w:val="24"/>
          <w:highlight w:val="none"/>
        </w:rPr>
      </w:pPr>
    </w:p>
    <w:p w14:paraId="6EE5FF7C">
      <w:pPr>
        <w:tabs>
          <w:tab w:val="left" w:pos="904"/>
        </w:tabs>
        <w:adjustRightInd/>
        <w:snapToGrid w:val="0"/>
        <w:spacing w:line="360" w:lineRule="auto"/>
        <w:ind w:left="1200"/>
        <w:jc w:val="left"/>
        <w:rPr>
          <w:rFonts w:ascii="仿宋" w:hAnsi="仿宋" w:eastAsia="仿宋" w:cs="宋体"/>
          <w:b/>
          <w:snapToGrid w:val="0"/>
          <w:kern w:val="0"/>
          <w:sz w:val="24"/>
          <w:highlight w:val="none"/>
        </w:rPr>
      </w:pPr>
    </w:p>
    <w:p w14:paraId="7BE08F04">
      <w:pPr>
        <w:tabs>
          <w:tab w:val="left" w:pos="904"/>
        </w:tabs>
        <w:adjustRightInd/>
        <w:snapToGrid w:val="0"/>
        <w:spacing w:line="360" w:lineRule="auto"/>
        <w:ind w:left="1200"/>
        <w:jc w:val="left"/>
        <w:rPr>
          <w:rFonts w:ascii="仿宋" w:hAnsi="仿宋" w:eastAsia="仿宋" w:cs="宋体"/>
          <w:b/>
          <w:snapToGrid w:val="0"/>
          <w:kern w:val="0"/>
          <w:sz w:val="24"/>
          <w:highlight w:val="none"/>
        </w:rPr>
      </w:pPr>
    </w:p>
    <w:p w14:paraId="4195E775">
      <w:pPr>
        <w:tabs>
          <w:tab w:val="left" w:pos="904"/>
        </w:tabs>
        <w:adjustRightInd/>
        <w:snapToGrid w:val="0"/>
        <w:spacing w:line="360" w:lineRule="auto"/>
        <w:ind w:left="1200"/>
        <w:jc w:val="left"/>
        <w:rPr>
          <w:rFonts w:ascii="仿宋" w:hAnsi="仿宋" w:eastAsia="仿宋" w:cs="宋体"/>
          <w:b/>
          <w:snapToGrid w:val="0"/>
          <w:kern w:val="0"/>
          <w:sz w:val="24"/>
          <w:highlight w:val="none"/>
        </w:rPr>
      </w:pPr>
    </w:p>
    <w:p w14:paraId="18932452">
      <w:pPr>
        <w:tabs>
          <w:tab w:val="left" w:pos="904"/>
        </w:tabs>
        <w:adjustRightInd/>
        <w:snapToGrid w:val="0"/>
        <w:spacing w:line="360" w:lineRule="auto"/>
        <w:ind w:left="1200"/>
        <w:jc w:val="left"/>
        <w:rPr>
          <w:rFonts w:ascii="仿宋" w:hAnsi="仿宋" w:eastAsia="仿宋" w:cs="宋体"/>
          <w:b/>
          <w:snapToGrid w:val="0"/>
          <w:kern w:val="0"/>
          <w:sz w:val="24"/>
          <w:highlight w:val="none"/>
        </w:rPr>
      </w:pPr>
    </w:p>
    <w:p w14:paraId="7C2E6DE2">
      <w:pPr>
        <w:tabs>
          <w:tab w:val="left" w:pos="904"/>
        </w:tabs>
        <w:adjustRightInd/>
        <w:snapToGrid w:val="0"/>
        <w:spacing w:line="360" w:lineRule="auto"/>
        <w:jc w:val="left"/>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附件二：合同价格清单</w:t>
      </w:r>
    </w:p>
    <w:tbl>
      <w:tblPr>
        <w:tblStyle w:val="62"/>
        <w:tblW w:w="9396"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
        <w:gridCol w:w="70"/>
        <w:gridCol w:w="973"/>
        <w:gridCol w:w="2032"/>
        <w:gridCol w:w="1028"/>
        <w:gridCol w:w="1028"/>
        <w:gridCol w:w="1041"/>
        <w:gridCol w:w="770"/>
        <w:gridCol w:w="748"/>
        <w:gridCol w:w="748"/>
      </w:tblGrid>
      <w:tr w14:paraId="37D0A2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9" w:hRule="atLeast"/>
        </w:trPr>
        <w:tc>
          <w:tcPr>
            <w:tcW w:w="958" w:type="dxa"/>
            <w:tcBorders>
              <w:tl2br w:val="nil"/>
              <w:tr2bl w:val="nil"/>
            </w:tcBorders>
            <w:vAlign w:val="center"/>
          </w:tcPr>
          <w:p w14:paraId="3BAA0C5D">
            <w:pPr>
              <w:jc w:val="center"/>
              <w:rPr>
                <w:rFonts w:ascii="宋体" w:hAnsi="宋体" w:cs="仿宋"/>
                <w:kern w:val="0"/>
                <w:sz w:val="24"/>
                <w:highlight w:val="none"/>
              </w:rPr>
            </w:pPr>
            <w:r>
              <w:rPr>
                <w:rFonts w:hint="eastAsia" w:ascii="宋体" w:hAnsi="宋体" w:cs="仿宋"/>
                <w:kern w:val="0"/>
                <w:sz w:val="24"/>
                <w:highlight w:val="none"/>
              </w:rPr>
              <w:t>项目名称</w:t>
            </w:r>
          </w:p>
        </w:tc>
        <w:tc>
          <w:tcPr>
            <w:tcW w:w="1043" w:type="dxa"/>
            <w:gridSpan w:val="2"/>
            <w:tcBorders>
              <w:tl2br w:val="nil"/>
              <w:tr2bl w:val="nil"/>
            </w:tcBorders>
            <w:vAlign w:val="center"/>
          </w:tcPr>
          <w:p w14:paraId="1AC3F9EB">
            <w:pPr>
              <w:jc w:val="center"/>
              <w:rPr>
                <w:rFonts w:ascii="宋体" w:hAnsi="宋体" w:cs="仿宋"/>
                <w:kern w:val="0"/>
                <w:sz w:val="24"/>
                <w:highlight w:val="none"/>
              </w:rPr>
            </w:pPr>
            <w:r>
              <w:rPr>
                <w:rFonts w:hint="eastAsia" w:ascii="宋体" w:hAnsi="宋体" w:cs="仿宋"/>
                <w:kern w:val="0"/>
                <w:sz w:val="24"/>
                <w:highlight w:val="none"/>
              </w:rPr>
              <w:t>服务模块</w:t>
            </w:r>
          </w:p>
        </w:tc>
        <w:tc>
          <w:tcPr>
            <w:tcW w:w="2032" w:type="dxa"/>
            <w:tcBorders>
              <w:tl2br w:val="nil"/>
              <w:tr2bl w:val="nil"/>
            </w:tcBorders>
            <w:vAlign w:val="center"/>
          </w:tcPr>
          <w:p w14:paraId="452D6B7F">
            <w:pPr>
              <w:jc w:val="center"/>
              <w:rPr>
                <w:rFonts w:ascii="宋体" w:hAnsi="宋体" w:cs="仿宋"/>
                <w:kern w:val="0"/>
                <w:sz w:val="24"/>
                <w:highlight w:val="none"/>
              </w:rPr>
            </w:pPr>
            <w:r>
              <w:rPr>
                <w:rFonts w:hint="eastAsia" w:ascii="宋体" w:hAnsi="宋体" w:cs="仿宋"/>
                <w:kern w:val="0"/>
                <w:sz w:val="24"/>
                <w:highlight w:val="none"/>
              </w:rPr>
              <w:t>服务内容</w:t>
            </w:r>
          </w:p>
        </w:tc>
        <w:tc>
          <w:tcPr>
            <w:tcW w:w="1028" w:type="dxa"/>
            <w:tcBorders>
              <w:tl2br w:val="nil"/>
              <w:tr2bl w:val="nil"/>
            </w:tcBorders>
            <w:vAlign w:val="center"/>
          </w:tcPr>
          <w:p w14:paraId="2C74DC87">
            <w:pPr>
              <w:jc w:val="center"/>
              <w:rPr>
                <w:rFonts w:ascii="宋体" w:hAnsi="宋体" w:cs="仿宋"/>
                <w:kern w:val="0"/>
                <w:sz w:val="24"/>
                <w:highlight w:val="none"/>
              </w:rPr>
            </w:pPr>
            <w:r>
              <w:rPr>
                <w:rFonts w:hint="eastAsia" w:ascii="宋体" w:hAnsi="宋体" w:cs="仿宋"/>
                <w:kern w:val="0"/>
                <w:sz w:val="24"/>
                <w:highlight w:val="none"/>
              </w:rPr>
              <w:t>品牌/型号（如有）</w:t>
            </w:r>
          </w:p>
        </w:tc>
        <w:tc>
          <w:tcPr>
            <w:tcW w:w="1028" w:type="dxa"/>
            <w:tcBorders>
              <w:tl2br w:val="nil"/>
              <w:tr2bl w:val="nil"/>
            </w:tcBorders>
            <w:vAlign w:val="center"/>
          </w:tcPr>
          <w:p w14:paraId="689400BB">
            <w:pPr>
              <w:jc w:val="center"/>
              <w:rPr>
                <w:rFonts w:ascii="宋体" w:hAnsi="宋体" w:cs="仿宋"/>
                <w:kern w:val="0"/>
                <w:sz w:val="24"/>
                <w:highlight w:val="none"/>
              </w:rPr>
            </w:pPr>
            <w:r>
              <w:rPr>
                <w:rFonts w:hint="eastAsia" w:ascii="宋体" w:hAnsi="宋体" w:cs="仿宋"/>
                <w:kern w:val="0"/>
                <w:sz w:val="24"/>
                <w:highlight w:val="none"/>
              </w:rPr>
              <w:t>服务要求</w:t>
            </w:r>
          </w:p>
        </w:tc>
        <w:tc>
          <w:tcPr>
            <w:tcW w:w="1041" w:type="dxa"/>
            <w:tcBorders>
              <w:tl2br w:val="nil"/>
              <w:tr2bl w:val="nil"/>
            </w:tcBorders>
            <w:vAlign w:val="center"/>
          </w:tcPr>
          <w:p w14:paraId="1A2FAB2D">
            <w:pPr>
              <w:jc w:val="center"/>
              <w:rPr>
                <w:rFonts w:ascii="宋体" w:hAnsi="宋体" w:cs="仿宋"/>
                <w:kern w:val="0"/>
                <w:sz w:val="24"/>
                <w:highlight w:val="none"/>
              </w:rPr>
            </w:pPr>
            <w:r>
              <w:rPr>
                <w:rFonts w:hint="eastAsia" w:ascii="宋体" w:hAnsi="宋体" w:cs="仿宋"/>
                <w:kern w:val="0"/>
                <w:sz w:val="24"/>
                <w:highlight w:val="none"/>
              </w:rPr>
              <w:t>服务期</w:t>
            </w:r>
          </w:p>
        </w:tc>
        <w:tc>
          <w:tcPr>
            <w:tcW w:w="770" w:type="dxa"/>
            <w:tcBorders>
              <w:tl2br w:val="nil"/>
              <w:tr2bl w:val="nil"/>
            </w:tcBorders>
            <w:vAlign w:val="center"/>
          </w:tcPr>
          <w:p w14:paraId="30679F1F">
            <w:pPr>
              <w:jc w:val="center"/>
              <w:rPr>
                <w:rFonts w:ascii="宋体" w:hAnsi="宋体" w:cs="仿宋"/>
                <w:kern w:val="0"/>
                <w:sz w:val="24"/>
                <w:highlight w:val="none"/>
              </w:rPr>
            </w:pPr>
            <w:r>
              <w:rPr>
                <w:rFonts w:hint="eastAsia" w:ascii="宋体" w:hAnsi="宋体" w:cs="仿宋"/>
                <w:kern w:val="0"/>
                <w:sz w:val="24"/>
                <w:highlight w:val="none"/>
              </w:rPr>
              <w:t>单价（万元</w:t>
            </w:r>
            <w:r>
              <w:rPr>
                <w:rFonts w:ascii="宋体" w:hAnsi="宋体" w:cs="仿宋"/>
                <w:kern w:val="0"/>
                <w:sz w:val="24"/>
                <w:highlight w:val="none"/>
              </w:rPr>
              <w:t>/月）</w:t>
            </w:r>
          </w:p>
        </w:tc>
        <w:tc>
          <w:tcPr>
            <w:tcW w:w="748" w:type="dxa"/>
            <w:tcBorders>
              <w:tl2br w:val="nil"/>
              <w:tr2bl w:val="nil"/>
            </w:tcBorders>
            <w:vAlign w:val="center"/>
          </w:tcPr>
          <w:p w14:paraId="37A0EF73">
            <w:pPr>
              <w:jc w:val="center"/>
              <w:rPr>
                <w:rFonts w:ascii="宋体" w:hAnsi="宋体" w:cs="仿宋"/>
                <w:kern w:val="0"/>
                <w:sz w:val="24"/>
                <w:highlight w:val="none"/>
              </w:rPr>
            </w:pPr>
            <w:r>
              <w:rPr>
                <w:rFonts w:hint="eastAsia" w:ascii="宋体" w:hAnsi="宋体" w:cs="仿宋"/>
                <w:kern w:val="0"/>
                <w:sz w:val="24"/>
                <w:highlight w:val="none"/>
              </w:rPr>
              <w:t>合计  （万元）</w:t>
            </w:r>
          </w:p>
        </w:tc>
        <w:tc>
          <w:tcPr>
            <w:tcW w:w="748" w:type="dxa"/>
            <w:tcBorders>
              <w:tl2br w:val="nil"/>
              <w:tr2bl w:val="nil"/>
            </w:tcBorders>
            <w:vAlign w:val="center"/>
          </w:tcPr>
          <w:p w14:paraId="6ED611FB">
            <w:pPr>
              <w:jc w:val="center"/>
              <w:rPr>
                <w:rFonts w:ascii="宋体" w:hAnsi="宋体" w:cs="仿宋"/>
                <w:kern w:val="0"/>
                <w:sz w:val="24"/>
                <w:highlight w:val="none"/>
              </w:rPr>
            </w:pPr>
            <w:r>
              <w:rPr>
                <w:rFonts w:hint="eastAsia" w:ascii="宋体" w:hAnsi="宋体" w:cs="仿宋"/>
                <w:kern w:val="0"/>
                <w:sz w:val="24"/>
                <w:highlight w:val="none"/>
              </w:rPr>
              <w:t>备注</w:t>
            </w:r>
          </w:p>
        </w:tc>
      </w:tr>
      <w:tr w14:paraId="3FB097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0" w:hRule="atLeast"/>
        </w:trPr>
        <w:tc>
          <w:tcPr>
            <w:tcW w:w="958" w:type="dxa"/>
            <w:vMerge w:val="restart"/>
            <w:tcBorders>
              <w:tl2br w:val="nil"/>
              <w:tr2bl w:val="nil"/>
            </w:tcBorders>
            <w:vAlign w:val="center"/>
          </w:tcPr>
          <w:p w14:paraId="41E2DA9D">
            <w:pPr>
              <w:autoSpaceDE w:val="0"/>
              <w:autoSpaceDN w:val="0"/>
              <w:jc w:val="center"/>
              <w:rPr>
                <w:rFonts w:ascii="宋体" w:hAnsi="宋体" w:cs="仿宋"/>
                <w:kern w:val="0"/>
                <w:sz w:val="24"/>
                <w:highlight w:val="none"/>
              </w:rPr>
            </w:pPr>
            <w:r>
              <w:rPr>
                <w:rFonts w:hint="eastAsia" w:ascii="宋体" w:hAnsi="宋体" w:cs="仿宋"/>
                <w:kern w:val="0"/>
                <w:sz w:val="24"/>
                <w:highlight w:val="none"/>
              </w:rPr>
              <w:t>交通管理数据全生命周期运营服务</w:t>
            </w:r>
          </w:p>
        </w:tc>
        <w:tc>
          <w:tcPr>
            <w:tcW w:w="1043" w:type="dxa"/>
            <w:gridSpan w:val="2"/>
            <w:vMerge w:val="restart"/>
            <w:tcBorders>
              <w:tl2br w:val="nil"/>
              <w:tr2bl w:val="nil"/>
            </w:tcBorders>
            <w:vAlign w:val="center"/>
          </w:tcPr>
          <w:p w14:paraId="4A731700">
            <w:pPr>
              <w:autoSpaceDE w:val="0"/>
              <w:autoSpaceDN w:val="0"/>
              <w:jc w:val="center"/>
              <w:rPr>
                <w:rFonts w:ascii="宋体" w:hAnsi="宋体" w:cs="仿宋"/>
                <w:kern w:val="0"/>
                <w:sz w:val="24"/>
                <w:highlight w:val="none"/>
              </w:rPr>
            </w:pPr>
            <w:r>
              <w:rPr>
                <w:rFonts w:hint="eastAsia" w:ascii="宋体" w:hAnsi="宋体" w:cs="仿宋"/>
                <w:kern w:val="0"/>
                <w:sz w:val="24"/>
                <w:highlight w:val="none"/>
              </w:rPr>
              <w:t>专网云平台系统运行及数据治理</w:t>
            </w:r>
          </w:p>
        </w:tc>
        <w:tc>
          <w:tcPr>
            <w:tcW w:w="2032" w:type="dxa"/>
            <w:tcBorders>
              <w:tl2br w:val="nil"/>
              <w:tr2bl w:val="nil"/>
            </w:tcBorders>
            <w:vAlign w:val="center"/>
          </w:tcPr>
          <w:p w14:paraId="1B20643C">
            <w:pPr>
              <w:jc w:val="center"/>
              <w:rPr>
                <w:rFonts w:ascii="宋体" w:hAnsi="宋体" w:cs="仿宋"/>
                <w:kern w:val="0"/>
                <w:sz w:val="24"/>
                <w:highlight w:val="none"/>
              </w:rPr>
            </w:pPr>
            <w:r>
              <w:rPr>
                <w:rFonts w:hint="eastAsia" w:ascii="宋体" w:hAnsi="宋体" w:cs="仿宋"/>
                <w:kern w:val="0"/>
                <w:sz w:val="24"/>
                <w:highlight w:val="none"/>
              </w:rPr>
              <w:t>数据接入</w:t>
            </w:r>
          </w:p>
        </w:tc>
        <w:tc>
          <w:tcPr>
            <w:tcW w:w="1028" w:type="dxa"/>
            <w:tcBorders>
              <w:tl2br w:val="nil"/>
              <w:tr2bl w:val="nil"/>
            </w:tcBorders>
            <w:vAlign w:val="center"/>
          </w:tcPr>
          <w:p w14:paraId="06E38096">
            <w:pPr>
              <w:jc w:val="center"/>
              <w:rPr>
                <w:rFonts w:ascii="宋体" w:hAnsi="宋体" w:cs="仿宋"/>
                <w:kern w:val="0"/>
                <w:sz w:val="24"/>
                <w:highlight w:val="none"/>
              </w:rPr>
            </w:pPr>
          </w:p>
        </w:tc>
        <w:tc>
          <w:tcPr>
            <w:tcW w:w="1028" w:type="dxa"/>
            <w:vMerge w:val="restart"/>
            <w:tcBorders>
              <w:tl2br w:val="nil"/>
              <w:tr2bl w:val="nil"/>
            </w:tcBorders>
            <w:vAlign w:val="center"/>
          </w:tcPr>
          <w:p w14:paraId="5C10D4B1">
            <w:pPr>
              <w:jc w:val="center"/>
              <w:rPr>
                <w:rFonts w:ascii="宋体" w:hAnsi="宋体" w:cs="仿宋"/>
                <w:kern w:val="0"/>
                <w:sz w:val="24"/>
                <w:highlight w:val="none"/>
              </w:rPr>
            </w:pPr>
            <w:r>
              <w:rPr>
                <w:rFonts w:hint="eastAsia" w:ascii="宋体" w:hAnsi="宋体" w:cs="仿宋"/>
                <w:kern w:val="0"/>
                <w:sz w:val="24"/>
                <w:highlight w:val="none"/>
              </w:rPr>
              <w:t>【服务形式】驻点服务</w:t>
            </w:r>
          </w:p>
        </w:tc>
        <w:tc>
          <w:tcPr>
            <w:tcW w:w="1041" w:type="dxa"/>
            <w:vMerge w:val="restart"/>
            <w:tcBorders>
              <w:tl2br w:val="nil"/>
              <w:tr2bl w:val="nil"/>
            </w:tcBorders>
            <w:vAlign w:val="center"/>
          </w:tcPr>
          <w:p w14:paraId="667D52C4">
            <w:pPr>
              <w:jc w:val="center"/>
              <w:rPr>
                <w:rFonts w:ascii="宋体" w:hAnsi="宋体" w:cs="仿宋"/>
                <w:kern w:val="0"/>
                <w:sz w:val="24"/>
                <w:highlight w:val="none"/>
              </w:rPr>
            </w:pPr>
            <w:r>
              <w:rPr>
                <w:rFonts w:hint="eastAsia" w:ascii="宋体" w:hAnsi="宋体" w:cs="仿宋"/>
                <w:kern w:val="0"/>
                <w:sz w:val="24"/>
                <w:highlight w:val="none"/>
              </w:rPr>
              <w:t>12</w:t>
            </w:r>
            <w:r>
              <w:rPr>
                <w:rFonts w:ascii="宋体" w:hAnsi="宋体" w:cs="仿宋"/>
                <w:kern w:val="0"/>
                <w:sz w:val="24"/>
                <w:highlight w:val="none"/>
              </w:rPr>
              <w:t>个月（202</w:t>
            </w:r>
            <w:r>
              <w:rPr>
                <w:rFonts w:hint="eastAsia" w:ascii="宋体" w:hAnsi="宋体" w:cs="仿宋"/>
                <w:kern w:val="0"/>
                <w:sz w:val="24"/>
                <w:highlight w:val="none"/>
              </w:rPr>
              <w:t>4</w:t>
            </w:r>
            <w:r>
              <w:rPr>
                <w:rFonts w:ascii="宋体" w:hAnsi="宋体" w:cs="仿宋"/>
                <w:kern w:val="0"/>
                <w:sz w:val="24"/>
                <w:highlight w:val="none"/>
              </w:rPr>
              <w:t>.</w:t>
            </w:r>
            <w:r>
              <w:rPr>
                <w:rFonts w:hint="eastAsia" w:ascii="宋体" w:hAnsi="宋体" w:cs="仿宋"/>
                <w:kern w:val="0"/>
                <w:sz w:val="24"/>
                <w:highlight w:val="none"/>
              </w:rPr>
              <w:t>8</w:t>
            </w:r>
            <w:r>
              <w:rPr>
                <w:rFonts w:ascii="宋体" w:hAnsi="宋体" w:cs="仿宋"/>
                <w:kern w:val="0"/>
                <w:sz w:val="24"/>
                <w:highlight w:val="none"/>
              </w:rPr>
              <w:t>.1-202</w:t>
            </w:r>
            <w:r>
              <w:rPr>
                <w:rFonts w:hint="eastAsia" w:ascii="宋体" w:hAnsi="宋体" w:cs="仿宋"/>
                <w:kern w:val="0"/>
                <w:sz w:val="24"/>
                <w:highlight w:val="none"/>
              </w:rPr>
              <w:t>5</w:t>
            </w:r>
            <w:r>
              <w:rPr>
                <w:rFonts w:ascii="宋体" w:hAnsi="宋体" w:cs="仿宋"/>
                <w:kern w:val="0"/>
                <w:sz w:val="24"/>
                <w:highlight w:val="none"/>
              </w:rPr>
              <w:t>.7.31）</w:t>
            </w:r>
          </w:p>
        </w:tc>
        <w:tc>
          <w:tcPr>
            <w:tcW w:w="770" w:type="dxa"/>
            <w:vMerge w:val="restart"/>
            <w:tcBorders>
              <w:tl2br w:val="nil"/>
              <w:tr2bl w:val="nil"/>
            </w:tcBorders>
            <w:vAlign w:val="center"/>
          </w:tcPr>
          <w:p w14:paraId="41E966C6">
            <w:pPr>
              <w:jc w:val="center"/>
              <w:rPr>
                <w:rFonts w:ascii="宋体" w:hAnsi="宋体" w:cs="仿宋"/>
                <w:kern w:val="0"/>
                <w:sz w:val="24"/>
                <w:highlight w:val="none"/>
              </w:rPr>
            </w:pPr>
            <w:r>
              <w:rPr>
                <w:rFonts w:hint="eastAsia" w:ascii="宋体" w:hAnsi="宋体" w:cs="仿宋"/>
                <w:kern w:val="0"/>
                <w:sz w:val="24"/>
                <w:highlight w:val="none"/>
              </w:rPr>
              <w:t>　</w:t>
            </w:r>
          </w:p>
        </w:tc>
        <w:tc>
          <w:tcPr>
            <w:tcW w:w="748" w:type="dxa"/>
            <w:vMerge w:val="restart"/>
            <w:tcBorders>
              <w:tl2br w:val="nil"/>
              <w:tr2bl w:val="nil"/>
            </w:tcBorders>
            <w:vAlign w:val="center"/>
          </w:tcPr>
          <w:p w14:paraId="34B533AC">
            <w:pPr>
              <w:jc w:val="center"/>
              <w:rPr>
                <w:rFonts w:ascii="宋体" w:hAnsi="宋体" w:cs="仿宋"/>
                <w:kern w:val="0"/>
                <w:sz w:val="24"/>
                <w:highlight w:val="none"/>
              </w:rPr>
            </w:pPr>
            <w:r>
              <w:rPr>
                <w:rFonts w:hint="eastAsia" w:ascii="宋体" w:hAnsi="宋体" w:cs="仿宋"/>
                <w:kern w:val="0"/>
                <w:sz w:val="24"/>
                <w:highlight w:val="none"/>
              </w:rPr>
              <w:t>　</w:t>
            </w:r>
          </w:p>
        </w:tc>
        <w:tc>
          <w:tcPr>
            <w:tcW w:w="748" w:type="dxa"/>
            <w:tcBorders>
              <w:tl2br w:val="nil"/>
              <w:tr2bl w:val="nil"/>
            </w:tcBorders>
            <w:vAlign w:val="center"/>
          </w:tcPr>
          <w:p w14:paraId="183DAE2F">
            <w:pPr>
              <w:jc w:val="center"/>
              <w:rPr>
                <w:rFonts w:ascii="宋体" w:hAnsi="宋体" w:cs="仿宋"/>
                <w:kern w:val="0"/>
                <w:sz w:val="24"/>
                <w:highlight w:val="none"/>
              </w:rPr>
            </w:pPr>
          </w:p>
        </w:tc>
      </w:tr>
      <w:tr w14:paraId="7B6EF4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1" w:hRule="atLeast"/>
        </w:trPr>
        <w:tc>
          <w:tcPr>
            <w:tcW w:w="958" w:type="dxa"/>
            <w:vMerge w:val="continue"/>
            <w:tcBorders>
              <w:tl2br w:val="nil"/>
              <w:tr2bl w:val="nil"/>
            </w:tcBorders>
            <w:vAlign w:val="center"/>
          </w:tcPr>
          <w:p w14:paraId="12BF38D3">
            <w:pPr>
              <w:spacing w:line="360" w:lineRule="auto"/>
              <w:jc w:val="left"/>
              <w:outlineLvl w:val="0"/>
              <w:rPr>
                <w:rFonts w:ascii="宋体" w:hAnsi="宋体" w:cs="仿宋"/>
                <w:kern w:val="0"/>
                <w:sz w:val="24"/>
                <w:highlight w:val="none"/>
              </w:rPr>
            </w:pPr>
          </w:p>
        </w:tc>
        <w:tc>
          <w:tcPr>
            <w:tcW w:w="1043" w:type="dxa"/>
            <w:gridSpan w:val="2"/>
            <w:vMerge w:val="continue"/>
            <w:tcBorders>
              <w:tl2br w:val="nil"/>
              <w:tr2bl w:val="nil"/>
            </w:tcBorders>
            <w:vAlign w:val="center"/>
          </w:tcPr>
          <w:p w14:paraId="63E73F74">
            <w:pPr>
              <w:spacing w:line="360" w:lineRule="auto"/>
              <w:jc w:val="left"/>
              <w:outlineLvl w:val="0"/>
              <w:rPr>
                <w:rFonts w:ascii="宋体" w:hAnsi="宋体" w:cs="仿宋"/>
                <w:kern w:val="0"/>
                <w:sz w:val="24"/>
                <w:highlight w:val="none"/>
              </w:rPr>
            </w:pPr>
          </w:p>
        </w:tc>
        <w:tc>
          <w:tcPr>
            <w:tcW w:w="2032" w:type="dxa"/>
            <w:tcBorders>
              <w:tl2br w:val="nil"/>
              <w:tr2bl w:val="nil"/>
            </w:tcBorders>
            <w:vAlign w:val="center"/>
          </w:tcPr>
          <w:p w14:paraId="0D4EE4E8">
            <w:pPr>
              <w:jc w:val="center"/>
              <w:rPr>
                <w:rFonts w:ascii="宋体" w:hAnsi="宋体" w:cs="仿宋"/>
                <w:kern w:val="0"/>
                <w:sz w:val="24"/>
                <w:highlight w:val="none"/>
              </w:rPr>
            </w:pPr>
            <w:r>
              <w:rPr>
                <w:rFonts w:hint="eastAsia" w:ascii="宋体" w:hAnsi="宋体" w:cs="仿宋"/>
                <w:kern w:val="0"/>
                <w:sz w:val="24"/>
                <w:highlight w:val="none"/>
              </w:rPr>
              <w:t>数据加工治理</w:t>
            </w:r>
          </w:p>
        </w:tc>
        <w:tc>
          <w:tcPr>
            <w:tcW w:w="1028" w:type="dxa"/>
            <w:tcBorders>
              <w:tl2br w:val="nil"/>
              <w:tr2bl w:val="nil"/>
            </w:tcBorders>
            <w:vAlign w:val="center"/>
          </w:tcPr>
          <w:p w14:paraId="4B3A747B">
            <w:pPr>
              <w:jc w:val="center"/>
              <w:rPr>
                <w:rFonts w:ascii="宋体" w:hAnsi="宋体" w:cs="仿宋"/>
                <w:kern w:val="0"/>
                <w:sz w:val="24"/>
                <w:highlight w:val="none"/>
              </w:rPr>
            </w:pPr>
          </w:p>
        </w:tc>
        <w:tc>
          <w:tcPr>
            <w:tcW w:w="1028" w:type="dxa"/>
            <w:vMerge w:val="continue"/>
            <w:tcBorders>
              <w:tl2br w:val="nil"/>
              <w:tr2bl w:val="nil"/>
            </w:tcBorders>
            <w:vAlign w:val="center"/>
          </w:tcPr>
          <w:p w14:paraId="443CE873">
            <w:pPr>
              <w:spacing w:line="360" w:lineRule="auto"/>
              <w:jc w:val="left"/>
              <w:outlineLvl w:val="0"/>
              <w:rPr>
                <w:rFonts w:ascii="宋体" w:hAnsi="宋体" w:cs="仿宋"/>
                <w:kern w:val="0"/>
                <w:sz w:val="24"/>
                <w:highlight w:val="none"/>
              </w:rPr>
            </w:pPr>
          </w:p>
        </w:tc>
        <w:tc>
          <w:tcPr>
            <w:tcW w:w="1041" w:type="dxa"/>
            <w:vMerge w:val="continue"/>
            <w:tcBorders>
              <w:tl2br w:val="nil"/>
              <w:tr2bl w:val="nil"/>
            </w:tcBorders>
            <w:vAlign w:val="center"/>
          </w:tcPr>
          <w:p w14:paraId="727F60D7">
            <w:pPr>
              <w:spacing w:line="360" w:lineRule="auto"/>
              <w:jc w:val="left"/>
              <w:outlineLvl w:val="0"/>
              <w:rPr>
                <w:rFonts w:ascii="宋体" w:hAnsi="宋体" w:cs="仿宋"/>
                <w:kern w:val="0"/>
                <w:sz w:val="24"/>
                <w:highlight w:val="none"/>
              </w:rPr>
            </w:pPr>
          </w:p>
        </w:tc>
        <w:tc>
          <w:tcPr>
            <w:tcW w:w="770" w:type="dxa"/>
            <w:vMerge w:val="continue"/>
            <w:tcBorders>
              <w:tl2br w:val="nil"/>
              <w:tr2bl w:val="nil"/>
            </w:tcBorders>
            <w:vAlign w:val="center"/>
          </w:tcPr>
          <w:p w14:paraId="1C2A8693">
            <w:pPr>
              <w:spacing w:line="360" w:lineRule="auto"/>
              <w:jc w:val="left"/>
              <w:outlineLvl w:val="0"/>
              <w:rPr>
                <w:rFonts w:ascii="宋体" w:hAnsi="宋体" w:cs="仿宋"/>
                <w:kern w:val="0"/>
                <w:sz w:val="24"/>
                <w:highlight w:val="none"/>
              </w:rPr>
            </w:pPr>
          </w:p>
        </w:tc>
        <w:tc>
          <w:tcPr>
            <w:tcW w:w="748" w:type="dxa"/>
            <w:vMerge w:val="continue"/>
            <w:tcBorders>
              <w:tl2br w:val="nil"/>
              <w:tr2bl w:val="nil"/>
            </w:tcBorders>
            <w:vAlign w:val="center"/>
          </w:tcPr>
          <w:p w14:paraId="1A8B72A2">
            <w:pPr>
              <w:spacing w:line="360" w:lineRule="auto"/>
              <w:jc w:val="left"/>
              <w:outlineLvl w:val="0"/>
              <w:rPr>
                <w:rFonts w:ascii="宋体" w:hAnsi="宋体" w:cs="仿宋"/>
                <w:kern w:val="0"/>
                <w:sz w:val="24"/>
                <w:highlight w:val="none"/>
              </w:rPr>
            </w:pPr>
          </w:p>
        </w:tc>
        <w:tc>
          <w:tcPr>
            <w:tcW w:w="748" w:type="dxa"/>
            <w:tcBorders>
              <w:tl2br w:val="nil"/>
              <w:tr2bl w:val="nil"/>
            </w:tcBorders>
            <w:vAlign w:val="center"/>
          </w:tcPr>
          <w:p w14:paraId="2A2C13E9">
            <w:pPr>
              <w:spacing w:line="360" w:lineRule="auto"/>
              <w:jc w:val="left"/>
              <w:outlineLvl w:val="0"/>
              <w:rPr>
                <w:rFonts w:ascii="宋体" w:hAnsi="宋体" w:cs="仿宋"/>
                <w:kern w:val="0"/>
                <w:sz w:val="24"/>
                <w:highlight w:val="none"/>
              </w:rPr>
            </w:pPr>
          </w:p>
        </w:tc>
      </w:tr>
      <w:tr w14:paraId="65A769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1" w:hRule="atLeast"/>
        </w:trPr>
        <w:tc>
          <w:tcPr>
            <w:tcW w:w="958" w:type="dxa"/>
            <w:vMerge w:val="continue"/>
            <w:tcBorders>
              <w:tl2br w:val="nil"/>
              <w:tr2bl w:val="nil"/>
            </w:tcBorders>
            <w:vAlign w:val="center"/>
          </w:tcPr>
          <w:p w14:paraId="37FE94CD">
            <w:pPr>
              <w:spacing w:line="360" w:lineRule="auto"/>
              <w:jc w:val="left"/>
              <w:outlineLvl w:val="0"/>
              <w:rPr>
                <w:rFonts w:ascii="宋体" w:hAnsi="宋体" w:cs="仿宋"/>
                <w:kern w:val="0"/>
                <w:sz w:val="24"/>
                <w:highlight w:val="none"/>
              </w:rPr>
            </w:pPr>
          </w:p>
        </w:tc>
        <w:tc>
          <w:tcPr>
            <w:tcW w:w="1043" w:type="dxa"/>
            <w:gridSpan w:val="2"/>
            <w:vMerge w:val="continue"/>
            <w:tcBorders>
              <w:tl2br w:val="nil"/>
              <w:tr2bl w:val="nil"/>
            </w:tcBorders>
            <w:vAlign w:val="center"/>
          </w:tcPr>
          <w:p w14:paraId="2B7EF165">
            <w:pPr>
              <w:spacing w:line="360" w:lineRule="auto"/>
              <w:jc w:val="left"/>
              <w:outlineLvl w:val="0"/>
              <w:rPr>
                <w:rFonts w:ascii="宋体" w:hAnsi="宋体" w:cs="仿宋"/>
                <w:kern w:val="0"/>
                <w:sz w:val="24"/>
                <w:highlight w:val="none"/>
              </w:rPr>
            </w:pPr>
          </w:p>
        </w:tc>
        <w:tc>
          <w:tcPr>
            <w:tcW w:w="2032" w:type="dxa"/>
            <w:tcBorders>
              <w:tl2br w:val="nil"/>
              <w:tr2bl w:val="nil"/>
            </w:tcBorders>
            <w:vAlign w:val="center"/>
          </w:tcPr>
          <w:p w14:paraId="74C4DDBD">
            <w:pPr>
              <w:jc w:val="center"/>
              <w:rPr>
                <w:rFonts w:ascii="宋体" w:hAnsi="宋体" w:cs="仿宋"/>
                <w:kern w:val="0"/>
                <w:sz w:val="24"/>
                <w:highlight w:val="none"/>
              </w:rPr>
            </w:pPr>
            <w:r>
              <w:rPr>
                <w:rFonts w:hint="eastAsia" w:ascii="宋体" w:hAnsi="宋体" w:cs="仿宋"/>
                <w:kern w:val="0"/>
                <w:sz w:val="24"/>
                <w:highlight w:val="none"/>
              </w:rPr>
              <w:t>数据透出</w:t>
            </w:r>
          </w:p>
        </w:tc>
        <w:tc>
          <w:tcPr>
            <w:tcW w:w="1028" w:type="dxa"/>
            <w:tcBorders>
              <w:tl2br w:val="nil"/>
              <w:tr2bl w:val="nil"/>
            </w:tcBorders>
            <w:vAlign w:val="center"/>
          </w:tcPr>
          <w:p w14:paraId="2CAED6A4">
            <w:pPr>
              <w:jc w:val="center"/>
              <w:rPr>
                <w:rFonts w:ascii="宋体" w:hAnsi="宋体" w:cs="仿宋"/>
                <w:kern w:val="0"/>
                <w:sz w:val="24"/>
                <w:highlight w:val="none"/>
              </w:rPr>
            </w:pPr>
          </w:p>
        </w:tc>
        <w:tc>
          <w:tcPr>
            <w:tcW w:w="1028" w:type="dxa"/>
            <w:vMerge w:val="continue"/>
            <w:tcBorders>
              <w:tl2br w:val="nil"/>
              <w:tr2bl w:val="nil"/>
            </w:tcBorders>
            <w:vAlign w:val="center"/>
          </w:tcPr>
          <w:p w14:paraId="78228D7F">
            <w:pPr>
              <w:spacing w:line="360" w:lineRule="auto"/>
              <w:jc w:val="left"/>
              <w:outlineLvl w:val="0"/>
              <w:rPr>
                <w:rFonts w:ascii="宋体" w:hAnsi="宋体" w:cs="仿宋"/>
                <w:kern w:val="0"/>
                <w:sz w:val="24"/>
                <w:highlight w:val="none"/>
              </w:rPr>
            </w:pPr>
          </w:p>
        </w:tc>
        <w:tc>
          <w:tcPr>
            <w:tcW w:w="1041" w:type="dxa"/>
            <w:vMerge w:val="continue"/>
            <w:tcBorders>
              <w:tl2br w:val="nil"/>
              <w:tr2bl w:val="nil"/>
            </w:tcBorders>
            <w:vAlign w:val="center"/>
          </w:tcPr>
          <w:p w14:paraId="23A55293">
            <w:pPr>
              <w:spacing w:line="360" w:lineRule="auto"/>
              <w:jc w:val="left"/>
              <w:outlineLvl w:val="0"/>
              <w:rPr>
                <w:rFonts w:ascii="宋体" w:hAnsi="宋体" w:cs="仿宋"/>
                <w:kern w:val="0"/>
                <w:sz w:val="24"/>
                <w:highlight w:val="none"/>
              </w:rPr>
            </w:pPr>
          </w:p>
        </w:tc>
        <w:tc>
          <w:tcPr>
            <w:tcW w:w="770" w:type="dxa"/>
            <w:vMerge w:val="continue"/>
            <w:tcBorders>
              <w:tl2br w:val="nil"/>
              <w:tr2bl w:val="nil"/>
            </w:tcBorders>
            <w:vAlign w:val="center"/>
          </w:tcPr>
          <w:p w14:paraId="69669F69">
            <w:pPr>
              <w:spacing w:line="360" w:lineRule="auto"/>
              <w:jc w:val="left"/>
              <w:outlineLvl w:val="0"/>
              <w:rPr>
                <w:rFonts w:ascii="宋体" w:hAnsi="宋体" w:cs="仿宋"/>
                <w:kern w:val="0"/>
                <w:sz w:val="24"/>
                <w:highlight w:val="none"/>
              </w:rPr>
            </w:pPr>
          </w:p>
        </w:tc>
        <w:tc>
          <w:tcPr>
            <w:tcW w:w="748" w:type="dxa"/>
            <w:vMerge w:val="continue"/>
            <w:tcBorders>
              <w:tl2br w:val="nil"/>
              <w:tr2bl w:val="nil"/>
            </w:tcBorders>
            <w:vAlign w:val="center"/>
          </w:tcPr>
          <w:p w14:paraId="44E7A681">
            <w:pPr>
              <w:spacing w:line="360" w:lineRule="auto"/>
              <w:jc w:val="left"/>
              <w:outlineLvl w:val="0"/>
              <w:rPr>
                <w:rFonts w:ascii="宋体" w:hAnsi="宋体" w:cs="仿宋"/>
                <w:kern w:val="0"/>
                <w:sz w:val="24"/>
                <w:highlight w:val="none"/>
              </w:rPr>
            </w:pPr>
          </w:p>
        </w:tc>
        <w:tc>
          <w:tcPr>
            <w:tcW w:w="748" w:type="dxa"/>
            <w:tcBorders>
              <w:tl2br w:val="nil"/>
              <w:tr2bl w:val="nil"/>
            </w:tcBorders>
            <w:vAlign w:val="center"/>
          </w:tcPr>
          <w:p w14:paraId="2114A4E7">
            <w:pPr>
              <w:spacing w:line="360" w:lineRule="auto"/>
              <w:jc w:val="left"/>
              <w:outlineLvl w:val="0"/>
              <w:rPr>
                <w:rFonts w:ascii="宋体" w:hAnsi="宋体" w:cs="仿宋"/>
                <w:kern w:val="0"/>
                <w:sz w:val="24"/>
                <w:highlight w:val="none"/>
              </w:rPr>
            </w:pPr>
          </w:p>
        </w:tc>
      </w:tr>
      <w:tr w14:paraId="0DB180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1" w:hRule="atLeast"/>
        </w:trPr>
        <w:tc>
          <w:tcPr>
            <w:tcW w:w="958" w:type="dxa"/>
            <w:vMerge w:val="continue"/>
            <w:tcBorders>
              <w:tl2br w:val="nil"/>
              <w:tr2bl w:val="nil"/>
            </w:tcBorders>
            <w:vAlign w:val="center"/>
          </w:tcPr>
          <w:p w14:paraId="6EC7CE63">
            <w:pPr>
              <w:spacing w:line="360" w:lineRule="auto"/>
              <w:jc w:val="left"/>
              <w:outlineLvl w:val="0"/>
              <w:rPr>
                <w:rFonts w:ascii="宋体" w:hAnsi="宋体" w:cs="仿宋"/>
                <w:kern w:val="0"/>
                <w:sz w:val="24"/>
                <w:highlight w:val="none"/>
              </w:rPr>
            </w:pPr>
          </w:p>
        </w:tc>
        <w:tc>
          <w:tcPr>
            <w:tcW w:w="1043" w:type="dxa"/>
            <w:gridSpan w:val="2"/>
            <w:vMerge w:val="continue"/>
            <w:tcBorders>
              <w:tl2br w:val="nil"/>
              <w:tr2bl w:val="nil"/>
            </w:tcBorders>
            <w:vAlign w:val="center"/>
          </w:tcPr>
          <w:p w14:paraId="15D318BA">
            <w:pPr>
              <w:spacing w:line="360" w:lineRule="auto"/>
              <w:jc w:val="left"/>
              <w:outlineLvl w:val="0"/>
              <w:rPr>
                <w:rFonts w:ascii="宋体" w:hAnsi="宋体" w:cs="仿宋"/>
                <w:kern w:val="0"/>
                <w:sz w:val="24"/>
                <w:highlight w:val="none"/>
              </w:rPr>
            </w:pPr>
          </w:p>
        </w:tc>
        <w:tc>
          <w:tcPr>
            <w:tcW w:w="2032" w:type="dxa"/>
            <w:tcBorders>
              <w:tl2br w:val="nil"/>
              <w:tr2bl w:val="nil"/>
            </w:tcBorders>
            <w:vAlign w:val="center"/>
          </w:tcPr>
          <w:p w14:paraId="27032F16">
            <w:pPr>
              <w:jc w:val="center"/>
              <w:rPr>
                <w:rFonts w:ascii="宋体" w:hAnsi="宋体" w:cs="仿宋"/>
                <w:kern w:val="0"/>
                <w:sz w:val="24"/>
                <w:highlight w:val="none"/>
              </w:rPr>
            </w:pPr>
            <w:r>
              <w:rPr>
                <w:rFonts w:hint="eastAsia" w:ascii="宋体" w:hAnsi="宋体" w:cs="宋体"/>
                <w:kern w:val="0"/>
                <w:sz w:val="24"/>
                <w:highlight w:val="none"/>
              </w:rPr>
              <w:t>数据统计</w:t>
            </w:r>
          </w:p>
        </w:tc>
        <w:tc>
          <w:tcPr>
            <w:tcW w:w="1028" w:type="dxa"/>
            <w:tcBorders>
              <w:tl2br w:val="nil"/>
              <w:tr2bl w:val="nil"/>
            </w:tcBorders>
            <w:vAlign w:val="center"/>
          </w:tcPr>
          <w:p w14:paraId="429E7EF8">
            <w:pPr>
              <w:jc w:val="center"/>
              <w:rPr>
                <w:rFonts w:ascii="宋体" w:hAnsi="宋体" w:cs="宋体"/>
                <w:kern w:val="0"/>
                <w:sz w:val="24"/>
                <w:highlight w:val="none"/>
              </w:rPr>
            </w:pPr>
          </w:p>
        </w:tc>
        <w:tc>
          <w:tcPr>
            <w:tcW w:w="1028" w:type="dxa"/>
            <w:vMerge w:val="continue"/>
            <w:tcBorders>
              <w:tl2br w:val="nil"/>
              <w:tr2bl w:val="nil"/>
            </w:tcBorders>
            <w:vAlign w:val="center"/>
          </w:tcPr>
          <w:p w14:paraId="7667FE82">
            <w:pPr>
              <w:spacing w:line="360" w:lineRule="auto"/>
              <w:jc w:val="left"/>
              <w:outlineLvl w:val="0"/>
              <w:rPr>
                <w:rFonts w:ascii="宋体" w:hAnsi="宋体" w:cs="仿宋"/>
                <w:kern w:val="0"/>
                <w:sz w:val="24"/>
                <w:highlight w:val="none"/>
              </w:rPr>
            </w:pPr>
          </w:p>
        </w:tc>
        <w:tc>
          <w:tcPr>
            <w:tcW w:w="1041" w:type="dxa"/>
            <w:vMerge w:val="continue"/>
            <w:tcBorders>
              <w:tl2br w:val="nil"/>
              <w:tr2bl w:val="nil"/>
            </w:tcBorders>
            <w:vAlign w:val="center"/>
          </w:tcPr>
          <w:p w14:paraId="06AA8FAF">
            <w:pPr>
              <w:spacing w:line="360" w:lineRule="auto"/>
              <w:jc w:val="left"/>
              <w:outlineLvl w:val="0"/>
              <w:rPr>
                <w:rFonts w:ascii="宋体" w:hAnsi="宋体" w:cs="仿宋"/>
                <w:kern w:val="0"/>
                <w:sz w:val="24"/>
                <w:highlight w:val="none"/>
              </w:rPr>
            </w:pPr>
          </w:p>
        </w:tc>
        <w:tc>
          <w:tcPr>
            <w:tcW w:w="770" w:type="dxa"/>
            <w:vMerge w:val="continue"/>
            <w:tcBorders>
              <w:tl2br w:val="nil"/>
              <w:tr2bl w:val="nil"/>
            </w:tcBorders>
            <w:vAlign w:val="center"/>
          </w:tcPr>
          <w:p w14:paraId="24C1ABED">
            <w:pPr>
              <w:spacing w:line="360" w:lineRule="auto"/>
              <w:jc w:val="left"/>
              <w:outlineLvl w:val="0"/>
              <w:rPr>
                <w:rFonts w:ascii="宋体" w:hAnsi="宋体" w:cs="仿宋"/>
                <w:kern w:val="0"/>
                <w:sz w:val="24"/>
                <w:highlight w:val="none"/>
              </w:rPr>
            </w:pPr>
          </w:p>
        </w:tc>
        <w:tc>
          <w:tcPr>
            <w:tcW w:w="748" w:type="dxa"/>
            <w:vMerge w:val="continue"/>
            <w:tcBorders>
              <w:tl2br w:val="nil"/>
              <w:tr2bl w:val="nil"/>
            </w:tcBorders>
            <w:vAlign w:val="center"/>
          </w:tcPr>
          <w:p w14:paraId="4B411638">
            <w:pPr>
              <w:spacing w:line="360" w:lineRule="auto"/>
              <w:jc w:val="left"/>
              <w:outlineLvl w:val="0"/>
              <w:rPr>
                <w:rFonts w:ascii="宋体" w:hAnsi="宋体" w:cs="仿宋"/>
                <w:kern w:val="0"/>
                <w:sz w:val="24"/>
                <w:highlight w:val="none"/>
              </w:rPr>
            </w:pPr>
          </w:p>
        </w:tc>
        <w:tc>
          <w:tcPr>
            <w:tcW w:w="748" w:type="dxa"/>
            <w:tcBorders>
              <w:tl2br w:val="nil"/>
              <w:tr2bl w:val="nil"/>
            </w:tcBorders>
            <w:vAlign w:val="center"/>
          </w:tcPr>
          <w:p w14:paraId="71FC2143">
            <w:pPr>
              <w:spacing w:line="360" w:lineRule="auto"/>
              <w:jc w:val="left"/>
              <w:outlineLvl w:val="0"/>
              <w:rPr>
                <w:rFonts w:ascii="宋体" w:hAnsi="宋体" w:cs="仿宋"/>
                <w:kern w:val="0"/>
                <w:sz w:val="24"/>
                <w:highlight w:val="none"/>
              </w:rPr>
            </w:pPr>
          </w:p>
        </w:tc>
      </w:tr>
      <w:tr w14:paraId="34E410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1" w:hRule="atLeast"/>
        </w:trPr>
        <w:tc>
          <w:tcPr>
            <w:tcW w:w="958" w:type="dxa"/>
            <w:vMerge w:val="continue"/>
            <w:tcBorders>
              <w:tl2br w:val="nil"/>
              <w:tr2bl w:val="nil"/>
            </w:tcBorders>
            <w:vAlign w:val="center"/>
          </w:tcPr>
          <w:p w14:paraId="2848F6E5">
            <w:pPr>
              <w:spacing w:line="360" w:lineRule="auto"/>
              <w:jc w:val="left"/>
              <w:outlineLvl w:val="0"/>
              <w:rPr>
                <w:rFonts w:ascii="宋体" w:hAnsi="宋体" w:cs="仿宋"/>
                <w:kern w:val="0"/>
                <w:sz w:val="24"/>
                <w:highlight w:val="none"/>
              </w:rPr>
            </w:pPr>
          </w:p>
        </w:tc>
        <w:tc>
          <w:tcPr>
            <w:tcW w:w="1043" w:type="dxa"/>
            <w:gridSpan w:val="2"/>
            <w:vMerge w:val="continue"/>
            <w:tcBorders>
              <w:tl2br w:val="nil"/>
              <w:tr2bl w:val="nil"/>
            </w:tcBorders>
            <w:vAlign w:val="center"/>
          </w:tcPr>
          <w:p w14:paraId="50EFD5EE">
            <w:pPr>
              <w:spacing w:line="360" w:lineRule="auto"/>
              <w:jc w:val="left"/>
              <w:outlineLvl w:val="0"/>
              <w:rPr>
                <w:rFonts w:ascii="宋体" w:hAnsi="宋体" w:cs="仿宋"/>
                <w:kern w:val="0"/>
                <w:sz w:val="24"/>
                <w:highlight w:val="none"/>
              </w:rPr>
            </w:pPr>
          </w:p>
        </w:tc>
        <w:tc>
          <w:tcPr>
            <w:tcW w:w="2032" w:type="dxa"/>
            <w:tcBorders>
              <w:tl2br w:val="nil"/>
              <w:tr2bl w:val="nil"/>
            </w:tcBorders>
            <w:vAlign w:val="center"/>
          </w:tcPr>
          <w:p w14:paraId="5F96760B">
            <w:pPr>
              <w:jc w:val="center"/>
              <w:rPr>
                <w:rFonts w:ascii="宋体" w:hAnsi="宋体" w:cs="仿宋"/>
                <w:kern w:val="0"/>
                <w:sz w:val="24"/>
                <w:highlight w:val="none"/>
              </w:rPr>
            </w:pPr>
            <w:r>
              <w:rPr>
                <w:rFonts w:hint="eastAsia" w:ascii="宋体" w:hAnsi="宋体" w:cs="宋体"/>
                <w:kern w:val="0"/>
                <w:sz w:val="24"/>
                <w:highlight w:val="none"/>
              </w:rPr>
              <w:t>运营服务</w:t>
            </w:r>
          </w:p>
        </w:tc>
        <w:tc>
          <w:tcPr>
            <w:tcW w:w="1028" w:type="dxa"/>
            <w:tcBorders>
              <w:tl2br w:val="nil"/>
              <w:tr2bl w:val="nil"/>
            </w:tcBorders>
            <w:vAlign w:val="center"/>
          </w:tcPr>
          <w:p w14:paraId="4B9B59C2">
            <w:pPr>
              <w:jc w:val="center"/>
              <w:rPr>
                <w:rFonts w:ascii="宋体" w:hAnsi="宋体" w:cs="宋体"/>
                <w:kern w:val="0"/>
                <w:sz w:val="24"/>
                <w:highlight w:val="none"/>
              </w:rPr>
            </w:pPr>
          </w:p>
        </w:tc>
        <w:tc>
          <w:tcPr>
            <w:tcW w:w="1028" w:type="dxa"/>
            <w:vMerge w:val="continue"/>
            <w:tcBorders>
              <w:tl2br w:val="nil"/>
              <w:tr2bl w:val="nil"/>
            </w:tcBorders>
            <w:vAlign w:val="center"/>
          </w:tcPr>
          <w:p w14:paraId="46B2B373">
            <w:pPr>
              <w:spacing w:line="360" w:lineRule="auto"/>
              <w:jc w:val="left"/>
              <w:outlineLvl w:val="0"/>
              <w:rPr>
                <w:rFonts w:ascii="宋体" w:hAnsi="宋体" w:cs="仿宋"/>
                <w:kern w:val="0"/>
                <w:sz w:val="24"/>
                <w:highlight w:val="none"/>
              </w:rPr>
            </w:pPr>
          </w:p>
        </w:tc>
        <w:tc>
          <w:tcPr>
            <w:tcW w:w="1041" w:type="dxa"/>
            <w:vMerge w:val="continue"/>
            <w:tcBorders>
              <w:tl2br w:val="nil"/>
              <w:tr2bl w:val="nil"/>
            </w:tcBorders>
            <w:vAlign w:val="center"/>
          </w:tcPr>
          <w:p w14:paraId="199ABD76">
            <w:pPr>
              <w:spacing w:line="360" w:lineRule="auto"/>
              <w:jc w:val="left"/>
              <w:outlineLvl w:val="0"/>
              <w:rPr>
                <w:rFonts w:ascii="宋体" w:hAnsi="宋体" w:cs="仿宋"/>
                <w:kern w:val="0"/>
                <w:sz w:val="24"/>
                <w:highlight w:val="none"/>
              </w:rPr>
            </w:pPr>
          </w:p>
        </w:tc>
        <w:tc>
          <w:tcPr>
            <w:tcW w:w="770" w:type="dxa"/>
            <w:vMerge w:val="continue"/>
            <w:tcBorders>
              <w:tl2br w:val="nil"/>
              <w:tr2bl w:val="nil"/>
            </w:tcBorders>
            <w:vAlign w:val="center"/>
          </w:tcPr>
          <w:p w14:paraId="1C6E64F0">
            <w:pPr>
              <w:spacing w:line="360" w:lineRule="auto"/>
              <w:jc w:val="left"/>
              <w:outlineLvl w:val="0"/>
              <w:rPr>
                <w:rFonts w:ascii="宋体" w:hAnsi="宋体" w:cs="仿宋"/>
                <w:kern w:val="0"/>
                <w:sz w:val="24"/>
                <w:highlight w:val="none"/>
              </w:rPr>
            </w:pPr>
          </w:p>
        </w:tc>
        <w:tc>
          <w:tcPr>
            <w:tcW w:w="748" w:type="dxa"/>
            <w:vMerge w:val="continue"/>
            <w:tcBorders>
              <w:tl2br w:val="nil"/>
              <w:tr2bl w:val="nil"/>
            </w:tcBorders>
            <w:vAlign w:val="center"/>
          </w:tcPr>
          <w:p w14:paraId="1F5103C2">
            <w:pPr>
              <w:spacing w:line="360" w:lineRule="auto"/>
              <w:jc w:val="left"/>
              <w:outlineLvl w:val="0"/>
              <w:rPr>
                <w:rFonts w:ascii="宋体" w:hAnsi="宋体" w:cs="仿宋"/>
                <w:kern w:val="0"/>
                <w:sz w:val="24"/>
                <w:highlight w:val="none"/>
              </w:rPr>
            </w:pPr>
          </w:p>
        </w:tc>
        <w:tc>
          <w:tcPr>
            <w:tcW w:w="748" w:type="dxa"/>
            <w:tcBorders>
              <w:tl2br w:val="nil"/>
              <w:tr2bl w:val="nil"/>
            </w:tcBorders>
            <w:vAlign w:val="center"/>
          </w:tcPr>
          <w:p w14:paraId="5DD714E8">
            <w:pPr>
              <w:spacing w:line="360" w:lineRule="auto"/>
              <w:jc w:val="left"/>
              <w:outlineLvl w:val="0"/>
              <w:rPr>
                <w:rFonts w:ascii="宋体" w:hAnsi="宋体" w:cs="仿宋"/>
                <w:kern w:val="0"/>
                <w:sz w:val="24"/>
                <w:highlight w:val="none"/>
              </w:rPr>
            </w:pPr>
          </w:p>
        </w:tc>
      </w:tr>
      <w:tr w14:paraId="0B7126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8" w:hRule="atLeast"/>
        </w:trPr>
        <w:tc>
          <w:tcPr>
            <w:tcW w:w="958" w:type="dxa"/>
            <w:vMerge w:val="continue"/>
            <w:tcBorders>
              <w:tl2br w:val="nil"/>
              <w:tr2bl w:val="nil"/>
            </w:tcBorders>
            <w:vAlign w:val="center"/>
          </w:tcPr>
          <w:p w14:paraId="07B1A8FF">
            <w:pPr>
              <w:spacing w:line="360" w:lineRule="auto"/>
              <w:jc w:val="left"/>
              <w:outlineLvl w:val="0"/>
              <w:rPr>
                <w:rFonts w:ascii="宋体" w:hAnsi="宋体" w:cs="仿宋"/>
                <w:kern w:val="0"/>
                <w:sz w:val="24"/>
                <w:highlight w:val="none"/>
              </w:rPr>
            </w:pPr>
          </w:p>
        </w:tc>
        <w:tc>
          <w:tcPr>
            <w:tcW w:w="1043" w:type="dxa"/>
            <w:gridSpan w:val="2"/>
            <w:vMerge w:val="continue"/>
            <w:tcBorders>
              <w:tl2br w:val="nil"/>
              <w:tr2bl w:val="nil"/>
            </w:tcBorders>
            <w:vAlign w:val="center"/>
          </w:tcPr>
          <w:p w14:paraId="2451C19E">
            <w:pPr>
              <w:spacing w:line="360" w:lineRule="auto"/>
              <w:jc w:val="left"/>
              <w:outlineLvl w:val="0"/>
              <w:rPr>
                <w:rFonts w:ascii="宋体" w:hAnsi="宋体" w:cs="仿宋"/>
                <w:kern w:val="0"/>
                <w:sz w:val="24"/>
                <w:highlight w:val="none"/>
              </w:rPr>
            </w:pPr>
          </w:p>
        </w:tc>
        <w:tc>
          <w:tcPr>
            <w:tcW w:w="2032" w:type="dxa"/>
            <w:tcBorders>
              <w:tl2br w:val="nil"/>
              <w:tr2bl w:val="nil"/>
            </w:tcBorders>
            <w:vAlign w:val="center"/>
          </w:tcPr>
          <w:p w14:paraId="4F08495D">
            <w:pPr>
              <w:jc w:val="center"/>
              <w:rPr>
                <w:rFonts w:ascii="宋体" w:hAnsi="宋体" w:cs="仿宋"/>
                <w:kern w:val="0"/>
                <w:sz w:val="24"/>
                <w:highlight w:val="none"/>
              </w:rPr>
            </w:pPr>
            <w:r>
              <w:rPr>
                <w:rFonts w:hint="eastAsia" w:ascii="宋体" w:hAnsi="宋体" w:cs="仿宋"/>
                <w:kern w:val="0"/>
                <w:sz w:val="24"/>
                <w:highlight w:val="none"/>
              </w:rPr>
              <w:t>专网云平台运行保障</w:t>
            </w:r>
          </w:p>
        </w:tc>
        <w:tc>
          <w:tcPr>
            <w:tcW w:w="1028" w:type="dxa"/>
            <w:tcBorders>
              <w:tl2br w:val="nil"/>
              <w:tr2bl w:val="nil"/>
            </w:tcBorders>
            <w:vAlign w:val="center"/>
          </w:tcPr>
          <w:p w14:paraId="4C3F6779">
            <w:pPr>
              <w:jc w:val="center"/>
              <w:rPr>
                <w:rFonts w:ascii="宋体" w:hAnsi="宋体" w:cs="仿宋"/>
                <w:kern w:val="0"/>
                <w:sz w:val="24"/>
                <w:highlight w:val="none"/>
              </w:rPr>
            </w:pPr>
          </w:p>
        </w:tc>
        <w:tc>
          <w:tcPr>
            <w:tcW w:w="1028" w:type="dxa"/>
            <w:vMerge w:val="continue"/>
            <w:tcBorders>
              <w:tl2br w:val="nil"/>
              <w:tr2bl w:val="nil"/>
            </w:tcBorders>
            <w:vAlign w:val="center"/>
          </w:tcPr>
          <w:p w14:paraId="19330222">
            <w:pPr>
              <w:spacing w:line="360" w:lineRule="auto"/>
              <w:jc w:val="left"/>
              <w:outlineLvl w:val="0"/>
              <w:rPr>
                <w:rFonts w:ascii="宋体" w:hAnsi="宋体" w:cs="仿宋"/>
                <w:kern w:val="0"/>
                <w:sz w:val="24"/>
                <w:highlight w:val="none"/>
              </w:rPr>
            </w:pPr>
          </w:p>
        </w:tc>
        <w:tc>
          <w:tcPr>
            <w:tcW w:w="1041" w:type="dxa"/>
            <w:vMerge w:val="continue"/>
            <w:tcBorders>
              <w:tl2br w:val="nil"/>
              <w:tr2bl w:val="nil"/>
            </w:tcBorders>
            <w:vAlign w:val="center"/>
          </w:tcPr>
          <w:p w14:paraId="14CE89A9">
            <w:pPr>
              <w:spacing w:line="360" w:lineRule="auto"/>
              <w:jc w:val="left"/>
              <w:outlineLvl w:val="0"/>
              <w:rPr>
                <w:rFonts w:ascii="宋体" w:hAnsi="宋体" w:cs="仿宋"/>
                <w:kern w:val="0"/>
                <w:sz w:val="24"/>
                <w:highlight w:val="none"/>
              </w:rPr>
            </w:pPr>
          </w:p>
        </w:tc>
        <w:tc>
          <w:tcPr>
            <w:tcW w:w="770" w:type="dxa"/>
            <w:vMerge w:val="continue"/>
            <w:tcBorders>
              <w:tl2br w:val="nil"/>
              <w:tr2bl w:val="nil"/>
            </w:tcBorders>
            <w:vAlign w:val="center"/>
          </w:tcPr>
          <w:p w14:paraId="17D69EE1">
            <w:pPr>
              <w:spacing w:line="360" w:lineRule="auto"/>
              <w:jc w:val="left"/>
              <w:outlineLvl w:val="0"/>
              <w:rPr>
                <w:rFonts w:ascii="宋体" w:hAnsi="宋体" w:cs="仿宋"/>
                <w:kern w:val="0"/>
                <w:sz w:val="24"/>
                <w:highlight w:val="none"/>
              </w:rPr>
            </w:pPr>
          </w:p>
        </w:tc>
        <w:tc>
          <w:tcPr>
            <w:tcW w:w="748" w:type="dxa"/>
            <w:vMerge w:val="continue"/>
            <w:tcBorders>
              <w:tl2br w:val="nil"/>
              <w:tr2bl w:val="nil"/>
            </w:tcBorders>
            <w:vAlign w:val="center"/>
          </w:tcPr>
          <w:p w14:paraId="64C4336F">
            <w:pPr>
              <w:spacing w:line="360" w:lineRule="auto"/>
              <w:jc w:val="left"/>
              <w:outlineLvl w:val="0"/>
              <w:rPr>
                <w:rFonts w:ascii="宋体" w:hAnsi="宋体" w:cs="仿宋"/>
                <w:kern w:val="0"/>
                <w:sz w:val="24"/>
                <w:highlight w:val="none"/>
              </w:rPr>
            </w:pPr>
          </w:p>
        </w:tc>
        <w:tc>
          <w:tcPr>
            <w:tcW w:w="748" w:type="dxa"/>
            <w:tcBorders>
              <w:tl2br w:val="nil"/>
              <w:tr2bl w:val="nil"/>
            </w:tcBorders>
            <w:vAlign w:val="center"/>
          </w:tcPr>
          <w:p w14:paraId="2D83927F">
            <w:pPr>
              <w:spacing w:line="360" w:lineRule="auto"/>
              <w:jc w:val="left"/>
              <w:outlineLvl w:val="0"/>
              <w:rPr>
                <w:rFonts w:ascii="宋体" w:hAnsi="宋体" w:cs="仿宋"/>
                <w:kern w:val="0"/>
                <w:sz w:val="24"/>
                <w:highlight w:val="none"/>
              </w:rPr>
            </w:pPr>
          </w:p>
        </w:tc>
      </w:tr>
      <w:tr w14:paraId="0288A0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0" w:hRule="atLeast"/>
        </w:trPr>
        <w:tc>
          <w:tcPr>
            <w:tcW w:w="958" w:type="dxa"/>
            <w:vMerge w:val="continue"/>
            <w:tcBorders>
              <w:tl2br w:val="nil"/>
              <w:tr2bl w:val="nil"/>
            </w:tcBorders>
            <w:vAlign w:val="center"/>
          </w:tcPr>
          <w:p w14:paraId="4F0E68A3">
            <w:pPr>
              <w:spacing w:line="360" w:lineRule="auto"/>
              <w:jc w:val="left"/>
              <w:outlineLvl w:val="0"/>
              <w:rPr>
                <w:rFonts w:ascii="宋体" w:hAnsi="宋体" w:cs="仿宋"/>
                <w:kern w:val="0"/>
                <w:sz w:val="24"/>
                <w:highlight w:val="none"/>
              </w:rPr>
            </w:pPr>
          </w:p>
        </w:tc>
        <w:tc>
          <w:tcPr>
            <w:tcW w:w="1043" w:type="dxa"/>
            <w:gridSpan w:val="2"/>
            <w:vMerge w:val="restart"/>
            <w:tcBorders>
              <w:tl2br w:val="nil"/>
              <w:tr2bl w:val="nil"/>
            </w:tcBorders>
            <w:vAlign w:val="center"/>
          </w:tcPr>
          <w:p w14:paraId="4969BCA6">
            <w:pPr>
              <w:jc w:val="center"/>
              <w:rPr>
                <w:rFonts w:ascii="宋体" w:hAnsi="宋体" w:cs="仿宋"/>
                <w:kern w:val="0"/>
                <w:sz w:val="24"/>
                <w:highlight w:val="none"/>
              </w:rPr>
            </w:pPr>
            <w:r>
              <w:rPr>
                <w:rFonts w:hint="eastAsia" w:ascii="宋体" w:hAnsi="宋体" w:cs="仿宋"/>
                <w:kern w:val="0"/>
                <w:sz w:val="24"/>
                <w:highlight w:val="none"/>
              </w:rPr>
              <w:t>公安网交警数据服务</w:t>
            </w:r>
          </w:p>
        </w:tc>
        <w:tc>
          <w:tcPr>
            <w:tcW w:w="2032" w:type="dxa"/>
            <w:tcBorders>
              <w:tl2br w:val="nil"/>
              <w:tr2bl w:val="nil"/>
            </w:tcBorders>
            <w:vAlign w:val="center"/>
          </w:tcPr>
          <w:p w14:paraId="2E8E820F">
            <w:pPr>
              <w:jc w:val="center"/>
              <w:rPr>
                <w:rFonts w:ascii="宋体" w:hAnsi="宋体" w:cs="仿宋"/>
                <w:kern w:val="0"/>
                <w:sz w:val="24"/>
                <w:highlight w:val="none"/>
              </w:rPr>
            </w:pPr>
            <w:r>
              <w:rPr>
                <w:rFonts w:hint="eastAsia" w:ascii="宋体" w:hAnsi="宋体" w:cs="仿宋"/>
                <w:kern w:val="0"/>
                <w:sz w:val="24"/>
                <w:highlight w:val="none"/>
              </w:rPr>
              <w:t>数据上云服务</w:t>
            </w:r>
          </w:p>
        </w:tc>
        <w:tc>
          <w:tcPr>
            <w:tcW w:w="1028" w:type="dxa"/>
            <w:tcBorders>
              <w:tl2br w:val="nil"/>
              <w:tr2bl w:val="nil"/>
            </w:tcBorders>
            <w:vAlign w:val="center"/>
          </w:tcPr>
          <w:p w14:paraId="472E0169">
            <w:pPr>
              <w:jc w:val="center"/>
              <w:rPr>
                <w:rFonts w:ascii="宋体" w:hAnsi="宋体" w:cs="仿宋"/>
                <w:kern w:val="0"/>
                <w:sz w:val="24"/>
                <w:highlight w:val="none"/>
              </w:rPr>
            </w:pPr>
          </w:p>
        </w:tc>
        <w:tc>
          <w:tcPr>
            <w:tcW w:w="1028" w:type="dxa"/>
            <w:vMerge w:val="restart"/>
            <w:tcBorders>
              <w:tl2br w:val="nil"/>
              <w:tr2bl w:val="nil"/>
            </w:tcBorders>
            <w:vAlign w:val="center"/>
          </w:tcPr>
          <w:p w14:paraId="0C963E2A">
            <w:pPr>
              <w:jc w:val="center"/>
              <w:rPr>
                <w:rFonts w:ascii="宋体" w:hAnsi="宋体" w:cs="仿宋"/>
                <w:kern w:val="0"/>
                <w:sz w:val="24"/>
                <w:highlight w:val="none"/>
              </w:rPr>
            </w:pPr>
            <w:r>
              <w:rPr>
                <w:rFonts w:hint="eastAsia" w:ascii="宋体" w:hAnsi="宋体" w:cs="仿宋"/>
                <w:kern w:val="0"/>
                <w:sz w:val="24"/>
                <w:highlight w:val="none"/>
              </w:rPr>
              <w:t>【服务形式】驻点服务</w:t>
            </w:r>
          </w:p>
        </w:tc>
        <w:tc>
          <w:tcPr>
            <w:tcW w:w="1041" w:type="dxa"/>
            <w:vMerge w:val="restart"/>
            <w:tcBorders>
              <w:tl2br w:val="nil"/>
              <w:tr2bl w:val="nil"/>
            </w:tcBorders>
            <w:vAlign w:val="center"/>
          </w:tcPr>
          <w:p w14:paraId="7B6A328C">
            <w:pPr>
              <w:jc w:val="center"/>
              <w:rPr>
                <w:rFonts w:ascii="宋体" w:hAnsi="宋体" w:cs="仿宋"/>
                <w:kern w:val="0"/>
                <w:sz w:val="24"/>
                <w:highlight w:val="none"/>
              </w:rPr>
            </w:pPr>
            <w:r>
              <w:rPr>
                <w:rFonts w:hint="eastAsia" w:ascii="宋体" w:hAnsi="宋体" w:cs="仿宋"/>
                <w:kern w:val="0"/>
                <w:sz w:val="24"/>
                <w:highlight w:val="none"/>
              </w:rPr>
              <w:t>12</w:t>
            </w:r>
            <w:r>
              <w:rPr>
                <w:rFonts w:ascii="宋体" w:hAnsi="宋体" w:cs="仿宋"/>
                <w:kern w:val="0"/>
                <w:sz w:val="24"/>
                <w:highlight w:val="none"/>
              </w:rPr>
              <w:t>个月（202</w:t>
            </w:r>
            <w:r>
              <w:rPr>
                <w:rFonts w:hint="eastAsia" w:ascii="宋体" w:hAnsi="宋体" w:cs="仿宋"/>
                <w:kern w:val="0"/>
                <w:sz w:val="24"/>
                <w:highlight w:val="none"/>
              </w:rPr>
              <w:t>4</w:t>
            </w:r>
            <w:r>
              <w:rPr>
                <w:rFonts w:ascii="宋体" w:hAnsi="宋体" w:cs="仿宋"/>
                <w:kern w:val="0"/>
                <w:sz w:val="24"/>
                <w:highlight w:val="none"/>
              </w:rPr>
              <w:t>.</w:t>
            </w:r>
            <w:r>
              <w:rPr>
                <w:rFonts w:hint="eastAsia" w:ascii="宋体" w:hAnsi="宋体" w:cs="仿宋"/>
                <w:kern w:val="0"/>
                <w:sz w:val="24"/>
                <w:highlight w:val="none"/>
              </w:rPr>
              <w:t>8</w:t>
            </w:r>
            <w:r>
              <w:rPr>
                <w:rFonts w:ascii="宋体" w:hAnsi="宋体" w:cs="仿宋"/>
                <w:kern w:val="0"/>
                <w:sz w:val="24"/>
                <w:highlight w:val="none"/>
              </w:rPr>
              <w:t>.1-202</w:t>
            </w:r>
            <w:r>
              <w:rPr>
                <w:rFonts w:hint="eastAsia" w:ascii="宋体" w:hAnsi="宋体" w:cs="仿宋"/>
                <w:kern w:val="0"/>
                <w:sz w:val="24"/>
                <w:highlight w:val="none"/>
              </w:rPr>
              <w:t>5</w:t>
            </w:r>
            <w:r>
              <w:rPr>
                <w:rFonts w:ascii="宋体" w:hAnsi="宋体" w:cs="仿宋"/>
                <w:kern w:val="0"/>
                <w:sz w:val="24"/>
                <w:highlight w:val="none"/>
              </w:rPr>
              <w:t>.7.31）</w:t>
            </w:r>
          </w:p>
        </w:tc>
        <w:tc>
          <w:tcPr>
            <w:tcW w:w="770" w:type="dxa"/>
            <w:vMerge w:val="restart"/>
            <w:tcBorders>
              <w:tl2br w:val="nil"/>
              <w:tr2bl w:val="nil"/>
            </w:tcBorders>
            <w:vAlign w:val="center"/>
          </w:tcPr>
          <w:p w14:paraId="3CC09BEF">
            <w:pPr>
              <w:jc w:val="center"/>
              <w:rPr>
                <w:rFonts w:ascii="宋体" w:hAnsi="宋体" w:cs="仿宋"/>
                <w:kern w:val="0"/>
                <w:sz w:val="24"/>
                <w:highlight w:val="none"/>
              </w:rPr>
            </w:pPr>
          </w:p>
          <w:p w14:paraId="50616761">
            <w:pPr>
              <w:jc w:val="center"/>
              <w:rPr>
                <w:rFonts w:ascii="宋体" w:hAnsi="宋体" w:cs="仿宋"/>
                <w:kern w:val="0"/>
                <w:sz w:val="24"/>
                <w:highlight w:val="none"/>
              </w:rPr>
            </w:pPr>
          </w:p>
        </w:tc>
        <w:tc>
          <w:tcPr>
            <w:tcW w:w="748" w:type="dxa"/>
            <w:vMerge w:val="restart"/>
            <w:tcBorders>
              <w:tl2br w:val="nil"/>
              <w:tr2bl w:val="nil"/>
            </w:tcBorders>
            <w:vAlign w:val="center"/>
          </w:tcPr>
          <w:p w14:paraId="1AABF2E8">
            <w:pPr>
              <w:jc w:val="center"/>
              <w:rPr>
                <w:rFonts w:ascii="宋体" w:hAnsi="宋体" w:cs="仿宋"/>
                <w:kern w:val="0"/>
                <w:sz w:val="24"/>
                <w:highlight w:val="none"/>
              </w:rPr>
            </w:pPr>
          </w:p>
          <w:p w14:paraId="00868760">
            <w:pPr>
              <w:jc w:val="center"/>
              <w:rPr>
                <w:rFonts w:ascii="宋体" w:hAnsi="宋体" w:cs="仿宋"/>
                <w:kern w:val="0"/>
                <w:sz w:val="24"/>
                <w:highlight w:val="none"/>
              </w:rPr>
            </w:pPr>
          </w:p>
        </w:tc>
        <w:tc>
          <w:tcPr>
            <w:tcW w:w="748" w:type="dxa"/>
            <w:tcBorders>
              <w:tl2br w:val="nil"/>
              <w:tr2bl w:val="nil"/>
            </w:tcBorders>
            <w:vAlign w:val="center"/>
          </w:tcPr>
          <w:p w14:paraId="43F220F6">
            <w:pPr>
              <w:jc w:val="center"/>
              <w:rPr>
                <w:rFonts w:ascii="宋体" w:hAnsi="宋体" w:cs="仿宋"/>
                <w:kern w:val="0"/>
                <w:sz w:val="24"/>
                <w:highlight w:val="none"/>
              </w:rPr>
            </w:pPr>
          </w:p>
        </w:tc>
      </w:tr>
      <w:tr w14:paraId="410D57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1" w:hRule="atLeast"/>
        </w:trPr>
        <w:tc>
          <w:tcPr>
            <w:tcW w:w="958" w:type="dxa"/>
            <w:vMerge w:val="continue"/>
            <w:tcBorders>
              <w:tl2br w:val="nil"/>
              <w:tr2bl w:val="nil"/>
            </w:tcBorders>
            <w:vAlign w:val="center"/>
          </w:tcPr>
          <w:p w14:paraId="4D2802ED">
            <w:pPr>
              <w:spacing w:line="360" w:lineRule="auto"/>
              <w:jc w:val="left"/>
              <w:outlineLvl w:val="0"/>
              <w:rPr>
                <w:rFonts w:ascii="宋体" w:hAnsi="宋体" w:cs="仿宋"/>
                <w:kern w:val="0"/>
                <w:sz w:val="24"/>
                <w:highlight w:val="none"/>
              </w:rPr>
            </w:pPr>
          </w:p>
        </w:tc>
        <w:tc>
          <w:tcPr>
            <w:tcW w:w="1043" w:type="dxa"/>
            <w:gridSpan w:val="2"/>
            <w:vMerge w:val="continue"/>
            <w:tcBorders>
              <w:tl2br w:val="nil"/>
              <w:tr2bl w:val="nil"/>
            </w:tcBorders>
            <w:vAlign w:val="center"/>
          </w:tcPr>
          <w:p w14:paraId="08D15FB6">
            <w:pPr>
              <w:spacing w:line="360" w:lineRule="auto"/>
              <w:jc w:val="left"/>
              <w:outlineLvl w:val="0"/>
              <w:rPr>
                <w:rFonts w:ascii="宋体" w:hAnsi="宋体" w:cs="仿宋"/>
                <w:kern w:val="0"/>
                <w:sz w:val="24"/>
                <w:highlight w:val="none"/>
              </w:rPr>
            </w:pPr>
          </w:p>
        </w:tc>
        <w:tc>
          <w:tcPr>
            <w:tcW w:w="2032" w:type="dxa"/>
            <w:tcBorders>
              <w:tl2br w:val="nil"/>
              <w:tr2bl w:val="nil"/>
            </w:tcBorders>
            <w:vAlign w:val="center"/>
          </w:tcPr>
          <w:p w14:paraId="2600B393">
            <w:pPr>
              <w:jc w:val="center"/>
              <w:rPr>
                <w:rFonts w:ascii="宋体" w:hAnsi="宋体" w:cs="仿宋"/>
                <w:kern w:val="0"/>
                <w:sz w:val="24"/>
                <w:highlight w:val="none"/>
              </w:rPr>
            </w:pPr>
            <w:r>
              <w:rPr>
                <w:rFonts w:hint="eastAsia" w:ascii="宋体" w:hAnsi="宋体" w:cs="宋体"/>
                <w:kern w:val="0"/>
                <w:sz w:val="24"/>
                <w:highlight w:val="none"/>
              </w:rPr>
              <w:t>数据治理服务</w:t>
            </w:r>
          </w:p>
        </w:tc>
        <w:tc>
          <w:tcPr>
            <w:tcW w:w="1028" w:type="dxa"/>
            <w:tcBorders>
              <w:tl2br w:val="nil"/>
              <w:tr2bl w:val="nil"/>
            </w:tcBorders>
            <w:vAlign w:val="center"/>
          </w:tcPr>
          <w:p w14:paraId="311B58EE">
            <w:pPr>
              <w:jc w:val="center"/>
              <w:rPr>
                <w:rFonts w:ascii="宋体" w:hAnsi="宋体" w:cs="宋体"/>
                <w:kern w:val="0"/>
                <w:sz w:val="24"/>
                <w:highlight w:val="none"/>
              </w:rPr>
            </w:pPr>
          </w:p>
        </w:tc>
        <w:tc>
          <w:tcPr>
            <w:tcW w:w="1028" w:type="dxa"/>
            <w:vMerge w:val="continue"/>
            <w:tcBorders>
              <w:tl2br w:val="nil"/>
              <w:tr2bl w:val="nil"/>
            </w:tcBorders>
            <w:vAlign w:val="center"/>
          </w:tcPr>
          <w:p w14:paraId="55A982FC">
            <w:pPr>
              <w:spacing w:line="360" w:lineRule="auto"/>
              <w:jc w:val="left"/>
              <w:outlineLvl w:val="0"/>
              <w:rPr>
                <w:rFonts w:ascii="宋体" w:hAnsi="宋体" w:cs="仿宋"/>
                <w:kern w:val="0"/>
                <w:sz w:val="24"/>
                <w:highlight w:val="none"/>
              </w:rPr>
            </w:pPr>
          </w:p>
        </w:tc>
        <w:tc>
          <w:tcPr>
            <w:tcW w:w="1041" w:type="dxa"/>
            <w:vMerge w:val="continue"/>
            <w:tcBorders>
              <w:tl2br w:val="nil"/>
              <w:tr2bl w:val="nil"/>
            </w:tcBorders>
            <w:vAlign w:val="center"/>
          </w:tcPr>
          <w:p w14:paraId="43629D5A">
            <w:pPr>
              <w:spacing w:line="360" w:lineRule="auto"/>
              <w:jc w:val="left"/>
              <w:outlineLvl w:val="0"/>
              <w:rPr>
                <w:rFonts w:ascii="宋体" w:hAnsi="宋体" w:cs="仿宋"/>
                <w:kern w:val="0"/>
                <w:sz w:val="24"/>
                <w:highlight w:val="none"/>
              </w:rPr>
            </w:pPr>
          </w:p>
        </w:tc>
        <w:tc>
          <w:tcPr>
            <w:tcW w:w="770" w:type="dxa"/>
            <w:vMerge w:val="continue"/>
            <w:tcBorders>
              <w:tl2br w:val="nil"/>
              <w:tr2bl w:val="nil"/>
            </w:tcBorders>
            <w:vAlign w:val="center"/>
          </w:tcPr>
          <w:p w14:paraId="15F7422B">
            <w:pPr>
              <w:jc w:val="center"/>
              <w:rPr>
                <w:rFonts w:ascii="宋体" w:hAnsi="宋体" w:cs="仿宋"/>
                <w:kern w:val="0"/>
                <w:sz w:val="24"/>
                <w:highlight w:val="none"/>
              </w:rPr>
            </w:pPr>
          </w:p>
        </w:tc>
        <w:tc>
          <w:tcPr>
            <w:tcW w:w="748" w:type="dxa"/>
            <w:vMerge w:val="continue"/>
            <w:tcBorders>
              <w:tl2br w:val="nil"/>
              <w:tr2bl w:val="nil"/>
            </w:tcBorders>
            <w:vAlign w:val="center"/>
          </w:tcPr>
          <w:p w14:paraId="0AED0533">
            <w:pPr>
              <w:jc w:val="center"/>
              <w:rPr>
                <w:rFonts w:ascii="宋体" w:hAnsi="宋体" w:cs="仿宋"/>
                <w:kern w:val="0"/>
                <w:sz w:val="24"/>
                <w:highlight w:val="none"/>
              </w:rPr>
            </w:pPr>
          </w:p>
        </w:tc>
        <w:tc>
          <w:tcPr>
            <w:tcW w:w="748" w:type="dxa"/>
            <w:tcBorders>
              <w:tl2br w:val="nil"/>
              <w:tr2bl w:val="nil"/>
            </w:tcBorders>
            <w:vAlign w:val="center"/>
          </w:tcPr>
          <w:p w14:paraId="14328871">
            <w:pPr>
              <w:jc w:val="center"/>
              <w:rPr>
                <w:rFonts w:ascii="宋体" w:hAnsi="宋体" w:cs="仿宋"/>
                <w:kern w:val="0"/>
                <w:sz w:val="24"/>
                <w:highlight w:val="none"/>
              </w:rPr>
            </w:pPr>
          </w:p>
        </w:tc>
      </w:tr>
      <w:tr w14:paraId="4FF02B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1" w:hRule="atLeast"/>
        </w:trPr>
        <w:tc>
          <w:tcPr>
            <w:tcW w:w="958" w:type="dxa"/>
            <w:vMerge w:val="continue"/>
            <w:tcBorders>
              <w:tl2br w:val="nil"/>
              <w:tr2bl w:val="nil"/>
            </w:tcBorders>
            <w:vAlign w:val="center"/>
          </w:tcPr>
          <w:p w14:paraId="704AF3BB">
            <w:pPr>
              <w:spacing w:line="360" w:lineRule="auto"/>
              <w:jc w:val="left"/>
              <w:outlineLvl w:val="0"/>
              <w:rPr>
                <w:rFonts w:ascii="宋体" w:hAnsi="宋体" w:cs="仿宋"/>
                <w:kern w:val="0"/>
                <w:sz w:val="24"/>
                <w:highlight w:val="none"/>
              </w:rPr>
            </w:pPr>
          </w:p>
        </w:tc>
        <w:tc>
          <w:tcPr>
            <w:tcW w:w="1043" w:type="dxa"/>
            <w:gridSpan w:val="2"/>
            <w:vMerge w:val="continue"/>
            <w:tcBorders>
              <w:tl2br w:val="nil"/>
              <w:tr2bl w:val="nil"/>
            </w:tcBorders>
            <w:vAlign w:val="center"/>
          </w:tcPr>
          <w:p w14:paraId="24CC6C53">
            <w:pPr>
              <w:spacing w:line="360" w:lineRule="auto"/>
              <w:jc w:val="left"/>
              <w:outlineLvl w:val="0"/>
              <w:rPr>
                <w:rFonts w:ascii="宋体" w:hAnsi="宋体" w:cs="仿宋"/>
                <w:kern w:val="0"/>
                <w:sz w:val="24"/>
                <w:highlight w:val="none"/>
              </w:rPr>
            </w:pPr>
          </w:p>
        </w:tc>
        <w:tc>
          <w:tcPr>
            <w:tcW w:w="2032" w:type="dxa"/>
            <w:tcBorders>
              <w:tl2br w:val="nil"/>
              <w:tr2bl w:val="nil"/>
            </w:tcBorders>
            <w:vAlign w:val="center"/>
          </w:tcPr>
          <w:p w14:paraId="40914EDE">
            <w:pPr>
              <w:jc w:val="center"/>
              <w:rPr>
                <w:rFonts w:ascii="宋体" w:hAnsi="宋体" w:cs="仿宋"/>
                <w:kern w:val="0"/>
                <w:sz w:val="24"/>
                <w:highlight w:val="none"/>
              </w:rPr>
            </w:pPr>
            <w:r>
              <w:rPr>
                <w:rFonts w:hint="eastAsia" w:ascii="宋体" w:hAnsi="宋体" w:cs="宋体"/>
                <w:kern w:val="0"/>
                <w:sz w:val="24"/>
                <w:highlight w:val="none"/>
              </w:rPr>
              <w:t>数据开发服务</w:t>
            </w:r>
          </w:p>
        </w:tc>
        <w:tc>
          <w:tcPr>
            <w:tcW w:w="1028" w:type="dxa"/>
            <w:tcBorders>
              <w:tl2br w:val="nil"/>
              <w:tr2bl w:val="nil"/>
            </w:tcBorders>
            <w:vAlign w:val="center"/>
          </w:tcPr>
          <w:p w14:paraId="4708FDD7">
            <w:pPr>
              <w:jc w:val="center"/>
              <w:rPr>
                <w:rFonts w:ascii="宋体" w:hAnsi="宋体" w:cs="宋体"/>
                <w:kern w:val="0"/>
                <w:sz w:val="24"/>
                <w:highlight w:val="none"/>
              </w:rPr>
            </w:pPr>
          </w:p>
        </w:tc>
        <w:tc>
          <w:tcPr>
            <w:tcW w:w="1028" w:type="dxa"/>
            <w:vMerge w:val="continue"/>
            <w:tcBorders>
              <w:tl2br w:val="nil"/>
              <w:tr2bl w:val="nil"/>
            </w:tcBorders>
            <w:vAlign w:val="center"/>
          </w:tcPr>
          <w:p w14:paraId="7548AB74">
            <w:pPr>
              <w:spacing w:line="360" w:lineRule="auto"/>
              <w:jc w:val="left"/>
              <w:outlineLvl w:val="0"/>
              <w:rPr>
                <w:rFonts w:ascii="宋体" w:hAnsi="宋体" w:cs="仿宋"/>
                <w:kern w:val="0"/>
                <w:sz w:val="24"/>
                <w:highlight w:val="none"/>
              </w:rPr>
            </w:pPr>
          </w:p>
        </w:tc>
        <w:tc>
          <w:tcPr>
            <w:tcW w:w="1041" w:type="dxa"/>
            <w:vMerge w:val="continue"/>
            <w:tcBorders>
              <w:tl2br w:val="nil"/>
              <w:tr2bl w:val="nil"/>
            </w:tcBorders>
            <w:vAlign w:val="center"/>
          </w:tcPr>
          <w:p w14:paraId="097963B8">
            <w:pPr>
              <w:spacing w:line="360" w:lineRule="auto"/>
              <w:jc w:val="left"/>
              <w:outlineLvl w:val="0"/>
              <w:rPr>
                <w:rFonts w:ascii="宋体" w:hAnsi="宋体" w:cs="仿宋"/>
                <w:kern w:val="0"/>
                <w:sz w:val="24"/>
                <w:highlight w:val="none"/>
              </w:rPr>
            </w:pPr>
          </w:p>
        </w:tc>
        <w:tc>
          <w:tcPr>
            <w:tcW w:w="770" w:type="dxa"/>
            <w:vMerge w:val="continue"/>
            <w:tcBorders>
              <w:tl2br w:val="nil"/>
              <w:tr2bl w:val="nil"/>
            </w:tcBorders>
            <w:vAlign w:val="center"/>
          </w:tcPr>
          <w:p w14:paraId="6152AB58">
            <w:pPr>
              <w:jc w:val="center"/>
              <w:rPr>
                <w:rFonts w:ascii="宋体" w:hAnsi="宋体" w:cs="仿宋"/>
                <w:kern w:val="0"/>
                <w:sz w:val="24"/>
                <w:highlight w:val="none"/>
              </w:rPr>
            </w:pPr>
          </w:p>
        </w:tc>
        <w:tc>
          <w:tcPr>
            <w:tcW w:w="748" w:type="dxa"/>
            <w:vMerge w:val="continue"/>
            <w:tcBorders>
              <w:tl2br w:val="nil"/>
              <w:tr2bl w:val="nil"/>
            </w:tcBorders>
            <w:vAlign w:val="center"/>
          </w:tcPr>
          <w:p w14:paraId="6D34F34C">
            <w:pPr>
              <w:jc w:val="center"/>
              <w:rPr>
                <w:rFonts w:ascii="宋体" w:hAnsi="宋体" w:cs="仿宋"/>
                <w:kern w:val="0"/>
                <w:sz w:val="24"/>
                <w:highlight w:val="none"/>
              </w:rPr>
            </w:pPr>
          </w:p>
        </w:tc>
        <w:tc>
          <w:tcPr>
            <w:tcW w:w="748" w:type="dxa"/>
            <w:tcBorders>
              <w:tl2br w:val="nil"/>
              <w:tr2bl w:val="nil"/>
            </w:tcBorders>
            <w:vAlign w:val="center"/>
          </w:tcPr>
          <w:p w14:paraId="64091375">
            <w:pPr>
              <w:jc w:val="center"/>
              <w:rPr>
                <w:rFonts w:ascii="宋体" w:hAnsi="宋体" w:cs="仿宋"/>
                <w:kern w:val="0"/>
                <w:sz w:val="24"/>
                <w:highlight w:val="none"/>
              </w:rPr>
            </w:pPr>
          </w:p>
        </w:tc>
      </w:tr>
      <w:tr w14:paraId="4356EA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1" w:hRule="atLeast"/>
        </w:trPr>
        <w:tc>
          <w:tcPr>
            <w:tcW w:w="958" w:type="dxa"/>
            <w:vMerge w:val="continue"/>
            <w:tcBorders>
              <w:tl2br w:val="nil"/>
              <w:tr2bl w:val="nil"/>
            </w:tcBorders>
            <w:vAlign w:val="center"/>
          </w:tcPr>
          <w:p w14:paraId="2DFB6E80">
            <w:pPr>
              <w:spacing w:line="360" w:lineRule="auto"/>
              <w:jc w:val="left"/>
              <w:outlineLvl w:val="0"/>
              <w:rPr>
                <w:rFonts w:ascii="宋体" w:hAnsi="宋体" w:cs="仿宋"/>
                <w:kern w:val="0"/>
                <w:sz w:val="24"/>
                <w:highlight w:val="none"/>
              </w:rPr>
            </w:pPr>
          </w:p>
        </w:tc>
        <w:tc>
          <w:tcPr>
            <w:tcW w:w="1043" w:type="dxa"/>
            <w:gridSpan w:val="2"/>
            <w:vMerge w:val="continue"/>
            <w:tcBorders>
              <w:tl2br w:val="nil"/>
              <w:tr2bl w:val="nil"/>
            </w:tcBorders>
            <w:vAlign w:val="center"/>
          </w:tcPr>
          <w:p w14:paraId="59DC9B0F">
            <w:pPr>
              <w:spacing w:line="360" w:lineRule="auto"/>
              <w:jc w:val="left"/>
              <w:outlineLvl w:val="0"/>
              <w:rPr>
                <w:rFonts w:ascii="宋体" w:hAnsi="宋体" w:cs="仿宋"/>
                <w:kern w:val="0"/>
                <w:sz w:val="24"/>
                <w:highlight w:val="none"/>
              </w:rPr>
            </w:pPr>
          </w:p>
        </w:tc>
        <w:tc>
          <w:tcPr>
            <w:tcW w:w="2032" w:type="dxa"/>
            <w:tcBorders>
              <w:tl2br w:val="nil"/>
              <w:tr2bl w:val="nil"/>
            </w:tcBorders>
            <w:vAlign w:val="center"/>
          </w:tcPr>
          <w:p w14:paraId="2FD89D61">
            <w:pPr>
              <w:jc w:val="center"/>
              <w:rPr>
                <w:rFonts w:ascii="宋体" w:hAnsi="宋体" w:cs="仿宋"/>
                <w:kern w:val="0"/>
                <w:sz w:val="24"/>
                <w:highlight w:val="none"/>
              </w:rPr>
            </w:pPr>
            <w:r>
              <w:rPr>
                <w:rFonts w:hint="eastAsia" w:ascii="宋体" w:hAnsi="宋体" w:cs="宋体"/>
                <w:kern w:val="0"/>
                <w:sz w:val="24"/>
                <w:highlight w:val="none"/>
              </w:rPr>
              <w:t>数据能力支撑</w:t>
            </w:r>
          </w:p>
        </w:tc>
        <w:tc>
          <w:tcPr>
            <w:tcW w:w="1028" w:type="dxa"/>
            <w:tcBorders>
              <w:tl2br w:val="nil"/>
              <w:tr2bl w:val="nil"/>
            </w:tcBorders>
            <w:vAlign w:val="center"/>
          </w:tcPr>
          <w:p w14:paraId="39731CA0">
            <w:pPr>
              <w:jc w:val="center"/>
              <w:rPr>
                <w:rFonts w:ascii="宋体" w:hAnsi="宋体" w:cs="宋体"/>
                <w:kern w:val="0"/>
                <w:sz w:val="24"/>
                <w:highlight w:val="none"/>
              </w:rPr>
            </w:pPr>
          </w:p>
        </w:tc>
        <w:tc>
          <w:tcPr>
            <w:tcW w:w="1028" w:type="dxa"/>
            <w:vMerge w:val="continue"/>
            <w:tcBorders>
              <w:tl2br w:val="nil"/>
              <w:tr2bl w:val="nil"/>
            </w:tcBorders>
            <w:vAlign w:val="center"/>
          </w:tcPr>
          <w:p w14:paraId="1E9753C7">
            <w:pPr>
              <w:spacing w:line="360" w:lineRule="auto"/>
              <w:jc w:val="left"/>
              <w:outlineLvl w:val="0"/>
              <w:rPr>
                <w:rFonts w:ascii="宋体" w:hAnsi="宋体" w:cs="仿宋"/>
                <w:kern w:val="0"/>
                <w:sz w:val="24"/>
                <w:highlight w:val="none"/>
              </w:rPr>
            </w:pPr>
          </w:p>
        </w:tc>
        <w:tc>
          <w:tcPr>
            <w:tcW w:w="1041" w:type="dxa"/>
            <w:vMerge w:val="continue"/>
            <w:tcBorders>
              <w:tl2br w:val="nil"/>
              <w:tr2bl w:val="nil"/>
            </w:tcBorders>
            <w:vAlign w:val="center"/>
          </w:tcPr>
          <w:p w14:paraId="113E0714">
            <w:pPr>
              <w:spacing w:line="360" w:lineRule="auto"/>
              <w:jc w:val="left"/>
              <w:outlineLvl w:val="0"/>
              <w:rPr>
                <w:rFonts w:ascii="宋体" w:hAnsi="宋体" w:cs="仿宋"/>
                <w:kern w:val="0"/>
                <w:sz w:val="24"/>
                <w:highlight w:val="none"/>
              </w:rPr>
            </w:pPr>
          </w:p>
        </w:tc>
        <w:tc>
          <w:tcPr>
            <w:tcW w:w="770" w:type="dxa"/>
            <w:vMerge w:val="continue"/>
            <w:tcBorders>
              <w:tl2br w:val="nil"/>
              <w:tr2bl w:val="nil"/>
            </w:tcBorders>
            <w:vAlign w:val="center"/>
          </w:tcPr>
          <w:p w14:paraId="58E8F2C8">
            <w:pPr>
              <w:jc w:val="center"/>
              <w:rPr>
                <w:rFonts w:ascii="宋体" w:hAnsi="宋体" w:cs="仿宋"/>
                <w:kern w:val="0"/>
                <w:sz w:val="24"/>
                <w:highlight w:val="none"/>
              </w:rPr>
            </w:pPr>
          </w:p>
        </w:tc>
        <w:tc>
          <w:tcPr>
            <w:tcW w:w="748" w:type="dxa"/>
            <w:vMerge w:val="continue"/>
            <w:tcBorders>
              <w:tl2br w:val="nil"/>
              <w:tr2bl w:val="nil"/>
            </w:tcBorders>
            <w:vAlign w:val="center"/>
          </w:tcPr>
          <w:p w14:paraId="700BCF94">
            <w:pPr>
              <w:jc w:val="center"/>
              <w:rPr>
                <w:rFonts w:ascii="宋体" w:hAnsi="宋体" w:cs="仿宋"/>
                <w:kern w:val="0"/>
                <w:sz w:val="24"/>
                <w:highlight w:val="none"/>
              </w:rPr>
            </w:pPr>
          </w:p>
        </w:tc>
        <w:tc>
          <w:tcPr>
            <w:tcW w:w="748" w:type="dxa"/>
            <w:tcBorders>
              <w:tl2br w:val="nil"/>
              <w:tr2bl w:val="nil"/>
            </w:tcBorders>
            <w:vAlign w:val="center"/>
          </w:tcPr>
          <w:p w14:paraId="221C03C7">
            <w:pPr>
              <w:jc w:val="center"/>
              <w:rPr>
                <w:rFonts w:ascii="宋体" w:hAnsi="宋体" w:cs="仿宋"/>
                <w:kern w:val="0"/>
                <w:sz w:val="24"/>
                <w:highlight w:val="none"/>
              </w:rPr>
            </w:pPr>
          </w:p>
        </w:tc>
      </w:tr>
      <w:tr w14:paraId="27CE97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1" w:hRule="atLeast"/>
        </w:trPr>
        <w:tc>
          <w:tcPr>
            <w:tcW w:w="958" w:type="dxa"/>
            <w:vMerge w:val="continue"/>
            <w:tcBorders>
              <w:tl2br w:val="nil"/>
              <w:tr2bl w:val="nil"/>
            </w:tcBorders>
            <w:vAlign w:val="center"/>
          </w:tcPr>
          <w:p w14:paraId="5A3FA251">
            <w:pPr>
              <w:spacing w:line="360" w:lineRule="auto"/>
              <w:jc w:val="left"/>
              <w:outlineLvl w:val="0"/>
              <w:rPr>
                <w:rFonts w:ascii="宋体" w:hAnsi="宋体" w:cs="仿宋"/>
                <w:kern w:val="0"/>
                <w:sz w:val="24"/>
                <w:highlight w:val="none"/>
              </w:rPr>
            </w:pPr>
          </w:p>
        </w:tc>
        <w:tc>
          <w:tcPr>
            <w:tcW w:w="1043" w:type="dxa"/>
            <w:gridSpan w:val="2"/>
            <w:vMerge w:val="continue"/>
            <w:tcBorders>
              <w:tl2br w:val="nil"/>
              <w:tr2bl w:val="nil"/>
            </w:tcBorders>
            <w:vAlign w:val="center"/>
          </w:tcPr>
          <w:p w14:paraId="49354882">
            <w:pPr>
              <w:spacing w:line="360" w:lineRule="auto"/>
              <w:jc w:val="left"/>
              <w:outlineLvl w:val="0"/>
              <w:rPr>
                <w:rFonts w:ascii="宋体" w:hAnsi="宋体" w:cs="仿宋"/>
                <w:kern w:val="0"/>
                <w:sz w:val="24"/>
                <w:highlight w:val="none"/>
              </w:rPr>
            </w:pPr>
          </w:p>
        </w:tc>
        <w:tc>
          <w:tcPr>
            <w:tcW w:w="2032" w:type="dxa"/>
            <w:tcBorders>
              <w:tl2br w:val="nil"/>
              <w:tr2bl w:val="nil"/>
            </w:tcBorders>
            <w:vAlign w:val="center"/>
          </w:tcPr>
          <w:p w14:paraId="5E9A5CC8">
            <w:pPr>
              <w:jc w:val="center"/>
              <w:rPr>
                <w:rFonts w:ascii="宋体" w:hAnsi="宋体" w:cs="仿宋"/>
                <w:kern w:val="0"/>
                <w:sz w:val="24"/>
                <w:highlight w:val="none"/>
              </w:rPr>
            </w:pPr>
            <w:r>
              <w:rPr>
                <w:rFonts w:hint="eastAsia" w:ascii="宋体" w:hAnsi="宋体" w:cs="宋体"/>
                <w:kern w:val="0"/>
                <w:sz w:val="24"/>
                <w:highlight w:val="none"/>
              </w:rPr>
              <w:t>数据预警运营</w:t>
            </w:r>
          </w:p>
        </w:tc>
        <w:tc>
          <w:tcPr>
            <w:tcW w:w="1028" w:type="dxa"/>
            <w:tcBorders>
              <w:tl2br w:val="nil"/>
              <w:tr2bl w:val="nil"/>
            </w:tcBorders>
            <w:vAlign w:val="center"/>
          </w:tcPr>
          <w:p w14:paraId="1053908B">
            <w:pPr>
              <w:jc w:val="center"/>
              <w:rPr>
                <w:rFonts w:ascii="宋体" w:hAnsi="宋体" w:cs="宋体"/>
                <w:kern w:val="0"/>
                <w:sz w:val="24"/>
                <w:highlight w:val="none"/>
              </w:rPr>
            </w:pPr>
          </w:p>
        </w:tc>
        <w:tc>
          <w:tcPr>
            <w:tcW w:w="1028" w:type="dxa"/>
            <w:vMerge w:val="continue"/>
            <w:tcBorders>
              <w:tl2br w:val="nil"/>
              <w:tr2bl w:val="nil"/>
            </w:tcBorders>
            <w:vAlign w:val="center"/>
          </w:tcPr>
          <w:p w14:paraId="726AFE71">
            <w:pPr>
              <w:spacing w:line="360" w:lineRule="auto"/>
              <w:jc w:val="left"/>
              <w:outlineLvl w:val="0"/>
              <w:rPr>
                <w:rFonts w:ascii="宋体" w:hAnsi="宋体" w:cs="仿宋"/>
                <w:kern w:val="0"/>
                <w:sz w:val="24"/>
                <w:highlight w:val="none"/>
              </w:rPr>
            </w:pPr>
          </w:p>
        </w:tc>
        <w:tc>
          <w:tcPr>
            <w:tcW w:w="1041" w:type="dxa"/>
            <w:vMerge w:val="continue"/>
            <w:tcBorders>
              <w:tl2br w:val="nil"/>
              <w:tr2bl w:val="nil"/>
            </w:tcBorders>
            <w:vAlign w:val="center"/>
          </w:tcPr>
          <w:p w14:paraId="042E7CCD">
            <w:pPr>
              <w:spacing w:line="360" w:lineRule="auto"/>
              <w:jc w:val="left"/>
              <w:outlineLvl w:val="0"/>
              <w:rPr>
                <w:rFonts w:ascii="宋体" w:hAnsi="宋体" w:cs="仿宋"/>
                <w:kern w:val="0"/>
                <w:sz w:val="24"/>
                <w:highlight w:val="none"/>
              </w:rPr>
            </w:pPr>
          </w:p>
        </w:tc>
        <w:tc>
          <w:tcPr>
            <w:tcW w:w="770" w:type="dxa"/>
            <w:vMerge w:val="continue"/>
            <w:tcBorders>
              <w:tl2br w:val="nil"/>
              <w:tr2bl w:val="nil"/>
            </w:tcBorders>
            <w:vAlign w:val="center"/>
          </w:tcPr>
          <w:p w14:paraId="63314B45">
            <w:pPr>
              <w:jc w:val="center"/>
              <w:rPr>
                <w:rFonts w:ascii="宋体" w:hAnsi="宋体" w:cs="仿宋"/>
                <w:kern w:val="0"/>
                <w:sz w:val="24"/>
                <w:highlight w:val="none"/>
              </w:rPr>
            </w:pPr>
          </w:p>
        </w:tc>
        <w:tc>
          <w:tcPr>
            <w:tcW w:w="748" w:type="dxa"/>
            <w:vMerge w:val="continue"/>
            <w:tcBorders>
              <w:tl2br w:val="nil"/>
              <w:tr2bl w:val="nil"/>
            </w:tcBorders>
            <w:vAlign w:val="center"/>
          </w:tcPr>
          <w:p w14:paraId="38606EF0">
            <w:pPr>
              <w:jc w:val="center"/>
              <w:rPr>
                <w:rFonts w:ascii="宋体" w:hAnsi="宋体" w:cs="仿宋"/>
                <w:kern w:val="0"/>
                <w:sz w:val="24"/>
                <w:highlight w:val="none"/>
              </w:rPr>
            </w:pPr>
          </w:p>
        </w:tc>
        <w:tc>
          <w:tcPr>
            <w:tcW w:w="748" w:type="dxa"/>
            <w:tcBorders>
              <w:tl2br w:val="nil"/>
              <w:tr2bl w:val="nil"/>
            </w:tcBorders>
            <w:vAlign w:val="center"/>
          </w:tcPr>
          <w:p w14:paraId="599B1A50">
            <w:pPr>
              <w:jc w:val="center"/>
              <w:rPr>
                <w:rFonts w:ascii="宋体" w:hAnsi="宋体" w:cs="仿宋"/>
                <w:kern w:val="0"/>
                <w:sz w:val="24"/>
                <w:highlight w:val="none"/>
              </w:rPr>
            </w:pPr>
          </w:p>
        </w:tc>
      </w:tr>
      <w:tr w14:paraId="7D22FE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06" w:hRule="atLeast"/>
        </w:trPr>
        <w:tc>
          <w:tcPr>
            <w:tcW w:w="958" w:type="dxa"/>
            <w:vMerge w:val="restart"/>
            <w:tcBorders>
              <w:tl2br w:val="nil"/>
              <w:tr2bl w:val="nil"/>
            </w:tcBorders>
            <w:vAlign w:val="center"/>
          </w:tcPr>
          <w:p w14:paraId="7A9223AB">
            <w:pPr>
              <w:autoSpaceDE w:val="0"/>
              <w:autoSpaceDN w:val="0"/>
              <w:jc w:val="center"/>
              <w:rPr>
                <w:rFonts w:ascii="宋体" w:hAnsi="宋体" w:cs="仿宋"/>
                <w:kern w:val="0"/>
                <w:sz w:val="24"/>
                <w:highlight w:val="none"/>
              </w:rPr>
            </w:pPr>
            <w:r>
              <w:rPr>
                <w:rFonts w:hint="eastAsia" w:ascii="宋体" w:hAnsi="宋体" w:cs="仿宋"/>
                <w:kern w:val="0"/>
                <w:sz w:val="24"/>
                <w:highlight w:val="none"/>
              </w:rPr>
              <w:t>安全加固及应用迁移改造服务</w:t>
            </w:r>
          </w:p>
        </w:tc>
        <w:tc>
          <w:tcPr>
            <w:tcW w:w="1043" w:type="dxa"/>
            <w:gridSpan w:val="2"/>
            <w:vMerge w:val="restart"/>
            <w:tcBorders>
              <w:tl2br w:val="nil"/>
              <w:tr2bl w:val="nil"/>
            </w:tcBorders>
            <w:vAlign w:val="center"/>
          </w:tcPr>
          <w:p w14:paraId="66680781">
            <w:pPr>
              <w:autoSpaceDE w:val="0"/>
              <w:autoSpaceDN w:val="0"/>
              <w:jc w:val="center"/>
              <w:rPr>
                <w:rFonts w:ascii="宋体" w:hAnsi="宋体" w:cs="仿宋"/>
                <w:kern w:val="0"/>
                <w:sz w:val="24"/>
                <w:highlight w:val="none"/>
              </w:rPr>
            </w:pPr>
            <w:r>
              <w:rPr>
                <w:rFonts w:hint="eastAsia" w:ascii="宋体" w:hAnsi="宋体" w:cs="仿宋"/>
                <w:kern w:val="0"/>
                <w:sz w:val="24"/>
                <w:highlight w:val="none"/>
              </w:rPr>
              <w:t>网络安全服务</w:t>
            </w:r>
          </w:p>
        </w:tc>
        <w:tc>
          <w:tcPr>
            <w:tcW w:w="2032" w:type="dxa"/>
            <w:tcBorders>
              <w:tl2br w:val="nil"/>
              <w:tr2bl w:val="nil"/>
            </w:tcBorders>
            <w:vAlign w:val="center"/>
          </w:tcPr>
          <w:p w14:paraId="0E614355">
            <w:pPr>
              <w:autoSpaceDE w:val="0"/>
              <w:autoSpaceDN w:val="0"/>
              <w:jc w:val="center"/>
              <w:rPr>
                <w:rFonts w:ascii="宋体" w:hAnsi="宋体" w:cs="仿宋"/>
                <w:kern w:val="0"/>
                <w:sz w:val="24"/>
                <w:highlight w:val="none"/>
              </w:rPr>
            </w:pPr>
            <w:r>
              <w:rPr>
                <w:rFonts w:hint="eastAsia" w:ascii="宋体" w:hAnsi="宋体" w:cs="宋体"/>
                <w:kern w:val="0"/>
                <w:sz w:val="24"/>
                <w:highlight w:val="none"/>
              </w:rPr>
              <w:t>漏洞扫描服务</w:t>
            </w:r>
          </w:p>
        </w:tc>
        <w:tc>
          <w:tcPr>
            <w:tcW w:w="1028" w:type="dxa"/>
            <w:tcBorders>
              <w:tl2br w:val="nil"/>
              <w:tr2bl w:val="nil"/>
            </w:tcBorders>
            <w:vAlign w:val="center"/>
          </w:tcPr>
          <w:p w14:paraId="595A3CA1">
            <w:pPr>
              <w:autoSpaceDE w:val="0"/>
              <w:autoSpaceDN w:val="0"/>
              <w:jc w:val="center"/>
              <w:rPr>
                <w:rFonts w:ascii="宋体" w:hAnsi="宋体" w:cs="宋体"/>
                <w:kern w:val="0"/>
                <w:sz w:val="24"/>
                <w:highlight w:val="none"/>
              </w:rPr>
            </w:pPr>
          </w:p>
        </w:tc>
        <w:tc>
          <w:tcPr>
            <w:tcW w:w="1028" w:type="dxa"/>
            <w:tcBorders>
              <w:tl2br w:val="nil"/>
              <w:tr2bl w:val="nil"/>
            </w:tcBorders>
            <w:vAlign w:val="center"/>
          </w:tcPr>
          <w:p w14:paraId="7637249E">
            <w:pPr>
              <w:jc w:val="center"/>
              <w:rPr>
                <w:rFonts w:ascii="宋体" w:hAnsi="宋体" w:cs="仿宋"/>
                <w:kern w:val="0"/>
                <w:sz w:val="24"/>
                <w:highlight w:val="none"/>
              </w:rPr>
            </w:pPr>
            <w:r>
              <w:rPr>
                <w:rFonts w:hint="eastAsia" w:ascii="宋体" w:hAnsi="宋体" w:cs="宋体"/>
                <w:kern w:val="0"/>
                <w:sz w:val="20"/>
                <w:szCs w:val="20"/>
                <w:highlight w:val="none"/>
              </w:rPr>
              <w:t>【服务形式】一年提供4次漏洞扫描服务；</w:t>
            </w:r>
          </w:p>
        </w:tc>
        <w:tc>
          <w:tcPr>
            <w:tcW w:w="1041" w:type="dxa"/>
            <w:vMerge w:val="restart"/>
            <w:tcBorders>
              <w:tl2br w:val="nil"/>
              <w:tr2bl w:val="nil"/>
            </w:tcBorders>
            <w:vAlign w:val="center"/>
          </w:tcPr>
          <w:p w14:paraId="63C6131E">
            <w:pPr>
              <w:jc w:val="center"/>
              <w:rPr>
                <w:rFonts w:ascii="宋体" w:hAnsi="宋体" w:cs="仿宋"/>
                <w:kern w:val="0"/>
                <w:sz w:val="24"/>
                <w:highlight w:val="none"/>
              </w:rPr>
            </w:pPr>
            <w:r>
              <w:rPr>
                <w:rFonts w:hint="eastAsia" w:ascii="宋体" w:hAnsi="宋体" w:cs="仿宋"/>
                <w:kern w:val="0"/>
                <w:sz w:val="24"/>
                <w:highlight w:val="none"/>
              </w:rPr>
              <w:t>12</w:t>
            </w:r>
            <w:r>
              <w:rPr>
                <w:rFonts w:ascii="宋体" w:hAnsi="宋体" w:cs="仿宋"/>
                <w:kern w:val="0"/>
                <w:sz w:val="24"/>
                <w:highlight w:val="none"/>
              </w:rPr>
              <w:t>个月（202</w:t>
            </w:r>
            <w:r>
              <w:rPr>
                <w:rFonts w:hint="eastAsia" w:ascii="宋体" w:hAnsi="宋体" w:cs="仿宋"/>
                <w:kern w:val="0"/>
                <w:sz w:val="24"/>
                <w:highlight w:val="none"/>
              </w:rPr>
              <w:t>4</w:t>
            </w:r>
            <w:r>
              <w:rPr>
                <w:rFonts w:ascii="宋体" w:hAnsi="宋体" w:cs="仿宋"/>
                <w:kern w:val="0"/>
                <w:sz w:val="24"/>
                <w:highlight w:val="none"/>
              </w:rPr>
              <w:t>.</w:t>
            </w:r>
            <w:r>
              <w:rPr>
                <w:rFonts w:hint="eastAsia" w:ascii="宋体" w:hAnsi="宋体" w:cs="仿宋"/>
                <w:kern w:val="0"/>
                <w:sz w:val="24"/>
                <w:highlight w:val="none"/>
              </w:rPr>
              <w:t>8</w:t>
            </w:r>
            <w:r>
              <w:rPr>
                <w:rFonts w:ascii="宋体" w:hAnsi="宋体" w:cs="仿宋"/>
                <w:kern w:val="0"/>
                <w:sz w:val="24"/>
                <w:highlight w:val="none"/>
              </w:rPr>
              <w:t>.1-202</w:t>
            </w:r>
            <w:r>
              <w:rPr>
                <w:rFonts w:hint="eastAsia" w:ascii="宋体" w:hAnsi="宋体" w:cs="仿宋"/>
                <w:kern w:val="0"/>
                <w:sz w:val="24"/>
                <w:highlight w:val="none"/>
              </w:rPr>
              <w:t>5</w:t>
            </w:r>
            <w:r>
              <w:rPr>
                <w:rFonts w:ascii="宋体" w:hAnsi="宋体" w:cs="仿宋"/>
                <w:kern w:val="0"/>
                <w:sz w:val="24"/>
                <w:highlight w:val="none"/>
              </w:rPr>
              <w:t>.7.31）</w:t>
            </w:r>
          </w:p>
        </w:tc>
        <w:tc>
          <w:tcPr>
            <w:tcW w:w="770" w:type="dxa"/>
            <w:vMerge w:val="restart"/>
            <w:tcBorders>
              <w:tl2br w:val="nil"/>
              <w:tr2bl w:val="nil"/>
            </w:tcBorders>
            <w:vAlign w:val="center"/>
          </w:tcPr>
          <w:p w14:paraId="4E0F76B6">
            <w:pPr>
              <w:jc w:val="center"/>
              <w:rPr>
                <w:rFonts w:ascii="宋体" w:hAnsi="宋体" w:cs="仿宋"/>
                <w:kern w:val="0"/>
                <w:sz w:val="24"/>
                <w:highlight w:val="none"/>
              </w:rPr>
            </w:pPr>
          </w:p>
        </w:tc>
        <w:tc>
          <w:tcPr>
            <w:tcW w:w="748" w:type="dxa"/>
            <w:vMerge w:val="restart"/>
            <w:tcBorders>
              <w:tl2br w:val="nil"/>
              <w:tr2bl w:val="nil"/>
            </w:tcBorders>
            <w:vAlign w:val="center"/>
          </w:tcPr>
          <w:p w14:paraId="7165DF6A">
            <w:pPr>
              <w:jc w:val="center"/>
              <w:rPr>
                <w:rFonts w:ascii="宋体" w:hAnsi="宋体" w:cs="仿宋"/>
                <w:kern w:val="0"/>
                <w:sz w:val="24"/>
                <w:highlight w:val="none"/>
              </w:rPr>
            </w:pPr>
          </w:p>
        </w:tc>
        <w:tc>
          <w:tcPr>
            <w:tcW w:w="748" w:type="dxa"/>
            <w:tcBorders>
              <w:tl2br w:val="nil"/>
              <w:tr2bl w:val="nil"/>
            </w:tcBorders>
            <w:vAlign w:val="center"/>
          </w:tcPr>
          <w:p w14:paraId="5DF84BD1">
            <w:pPr>
              <w:jc w:val="center"/>
              <w:rPr>
                <w:rFonts w:ascii="宋体" w:hAnsi="宋体" w:cs="仿宋"/>
                <w:kern w:val="0"/>
                <w:sz w:val="24"/>
                <w:highlight w:val="none"/>
              </w:rPr>
            </w:pPr>
          </w:p>
        </w:tc>
      </w:tr>
      <w:tr w14:paraId="4F8947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99" w:hRule="atLeast"/>
        </w:trPr>
        <w:tc>
          <w:tcPr>
            <w:tcW w:w="958" w:type="dxa"/>
            <w:vMerge w:val="continue"/>
            <w:tcBorders>
              <w:tl2br w:val="nil"/>
              <w:tr2bl w:val="nil"/>
            </w:tcBorders>
            <w:vAlign w:val="center"/>
          </w:tcPr>
          <w:p w14:paraId="4B15ADD5">
            <w:pPr>
              <w:spacing w:line="360" w:lineRule="auto"/>
              <w:jc w:val="left"/>
              <w:outlineLvl w:val="0"/>
              <w:rPr>
                <w:rFonts w:ascii="宋体" w:hAnsi="宋体" w:cs="仿宋"/>
                <w:kern w:val="0"/>
                <w:sz w:val="24"/>
                <w:highlight w:val="none"/>
              </w:rPr>
            </w:pPr>
          </w:p>
        </w:tc>
        <w:tc>
          <w:tcPr>
            <w:tcW w:w="1043" w:type="dxa"/>
            <w:gridSpan w:val="2"/>
            <w:vMerge w:val="continue"/>
            <w:tcBorders>
              <w:tl2br w:val="nil"/>
              <w:tr2bl w:val="nil"/>
            </w:tcBorders>
            <w:vAlign w:val="center"/>
          </w:tcPr>
          <w:p w14:paraId="656D9393">
            <w:pPr>
              <w:spacing w:line="360" w:lineRule="auto"/>
              <w:jc w:val="left"/>
              <w:outlineLvl w:val="0"/>
              <w:rPr>
                <w:rFonts w:ascii="宋体" w:hAnsi="宋体" w:cs="仿宋"/>
                <w:kern w:val="0"/>
                <w:sz w:val="24"/>
                <w:highlight w:val="none"/>
              </w:rPr>
            </w:pPr>
          </w:p>
        </w:tc>
        <w:tc>
          <w:tcPr>
            <w:tcW w:w="2032" w:type="dxa"/>
            <w:tcBorders>
              <w:tl2br w:val="nil"/>
              <w:tr2bl w:val="nil"/>
            </w:tcBorders>
            <w:vAlign w:val="center"/>
          </w:tcPr>
          <w:p w14:paraId="43D0AEE8">
            <w:pPr>
              <w:jc w:val="center"/>
              <w:rPr>
                <w:rFonts w:ascii="宋体" w:hAnsi="宋体" w:cs="仿宋"/>
                <w:kern w:val="0"/>
                <w:sz w:val="24"/>
                <w:highlight w:val="none"/>
              </w:rPr>
            </w:pPr>
            <w:r>
              <w:rPr>
                <w:rFonts w:hint="eastAsia" w:ascii="宋体" w:hAnsi="宋体" w:cs="宋体"/>
                <w:kern w:val="0"/>
                <w:sz w:val="24"/>
                <w:highlight w:val="none"/>
              </w:rPr>
              <w:t>数据库审计服务</w:t>
            </w:r>
          </w:p>
        </w:tc>
        <w:tc>
          <w:tcPr>
            <w:tcW w:w="1028" w:type="dxa"/>
            <w:tcBorders>
              <w:tl2br w:val="nil"/>
              <w:tr2bl w:val="nil"/>
            </w:tcBorders>
            <w:vAlign w:val="center"/>
          </w:tcPr>
          <w:p w14:paraId="5E22DF47">
            <w:pPr>
              <w:jc w:val="center"/>
              <w:rPr>
                <w:rFonts w:ascii="宋体" w:hAnsi="宋体" w:cs="宋体"/>
                <w:kern w:val="0"/>
                <w:sz w:val="24"/>
                <w:highlight w:val="none"/>
              </w:rPr>
            </w:pPr>
          </w:p>
        </w:tc>
        <w:tc>
          <w:tcPr>
            <w:tcW w:w="1028" w:type="dxa"/>
            <w:tcBorders>
              <w:tl2br w:val="nil"/>
              <w:tr2bl w:val="nil"/>
            </w:tcBorders>
            <w:vAlign w:val="center"/>
          </w:tcPr>
          <w:p w14:paraId="05DEB4AD">
            <w:pPr>
              <w:spacing w:line="360" w:lineRule="auto"/>
              <w:jc w:val="left"/>
              <w:outlineLvl w:val="0"/>
              <w:rPr>
                <w:rFonts w:ascii="宋体" w:hAnsi="宋体" w:cs="仿宋"/>
                <w:kern w:val="0"/>
                <w:sz w:val="24"/>
                <w:highlight w:val="none"/>
              </w:rPr>
            </w:pPr>
            <w:r>
              <w:rPr>
                <w:rFonts w:hint="eastAsia" w:ascii="宋体" w:hAnsi="宋体" w:cs="宋体"/>
                <w:kern w:val="0"/>
                <w:sz w:val="20"/>
                <w:szCs w:val="20"/>
                <w:highlight w:val="none"/>
              </w:rPr>
              <w:t>【服务形式】一次性提供；</w:t>
            </w:r>
          </w:p>
        </w:tc>
        <w:tc>
          <w:tcPr>
            <w:tcW w:w="1041" w:type="dxa"/>
            <w:vMerge w:val="continue"/>
            <w:tcBorders>
              <w:tl2br w:val="nil"/>
              <w:tr2bl w:val="nil"/>
            </w:tcBorders>
            <w:vAlign w:val="center"/>
          </w:tcPr>
          <w:p w14:paraId="041026B6">
            <w:pPr>
              <w:spacing w:line="360" w:lineRule="auto"/>
              <w:jc w:val="left"/>
              <w:outlineLvl w:val="0"/>
              <w:rPr>
                <w:rFonts w:ascii="宋体" w:hAnsi="宋体" w:cs="仿宋"/>
                <w:kern w:val="0"/>
                <w:sz w:val="24"/>
                <w:highlight w:val="none"/>
              </w:rPr>
            </w:pPr>
          </w:p>
        </w:tc>
        <w:tc>
          <w:tcPr>
            <w:tcW w:w="770" w:type="dxa"/>
            <w:vMerge w:val="continue"/>
            <w:tcBorders>
              <w:tl2br w:val="nil"/>
              <w:tr2bl w:val="nil"/>
            </w:tcBorders>
            <w:vAlign w:val="center"/>
          </w:tcPr>
          <w:p w14:paraId="2AD0FA30">
            <w:pPr>
              <w:jc w:val="center"/>
              <w:rPr>
                <w:rFonts w:ascii="宋体" w:hAnsi="宋体" w:cs="仿宋"/>
                <w:kern w:val="0"/>
                <w:sz w:val="24"/>
                <w:highlight w:val="none"/>
              </w:rPr>
            </w:pPr>
          </w:p>
        </w:tc>
        <w:tc>
          <w:tcPr>
            <w:tcW w:w="748" w:type="dxa"/>
            <w:vMerge w:val="continue"/>
            <w:tcBorders>
              <w:tl2br w:val="nil"/>
              <w:tr2bl w:val="nil"/>
            </w:tcBorders>
            <w:vAlign w:val="center"/>
          </w:tcPr>
          <w:p w14:paraId="127C99EF">
            <w:pPr>
              <w:jc w:val="center"/>
              <w:rPr>
                <w:rFonts w:ascii="宋体" w:hAnsi="宋体" w:cs="仿宋"/>
                <w:kern w:val="0"/>
                <w:sz w:val="24"/>
                <w:highlight w:val="none"/>
              </w:rPr>
            </w:pPr>
          </w:p>
        </w:tc>
        <w:tc>
          <w:tcPr>
            <w:tcW w:w="748" w:type="dxa"/>
            <w:tcBorders>
              <w:tl2br w:val="nil"/>
              <w:tr2bl w:val="nil"/>
            </w:tcBorders>
            <w:vAlign w:val="center"/>
          </w:tcPr>
          <w:p w14:paraId="4C54CD2C">
            <w:pPr>
              <w:jc w:val="center"/>
              <w:rPr>
                <w:rFonts w:ascii="宋体" w:hAnsi="宋体" w:cs="仿宋"/>
                <w:kern w:val="0"/>
                <w:sz w:val="24"/>
                <w:highlight w:val="none"/>
              </w:rPr>
            </w:pPr>
          </w:p>
        </w:tc>
      </w:tr>
      <w:tr w14:paraId="619FAE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99" w:hRule="atLeast"/>
        </w:trPr>
        <w:tc>
          <w:tcPr>
            <w:tcW w:w="958" w:type="dxa"/>
            <w:vMerge w:val="continue"/>
            <w:tcBorders>
              <w:tl2br w:val="nil"/>
              <w:tr2bl w:val="nil"/>
            </w:tcBorders>
            <w:vAlign w:val="center"/>
          </w:tcPr>
          <w:p w14:paraId="2F99AD54">
            <w:pPr>
              <w:spacing w:line="360" w:lineRule="auto"/>
              <w:jc w:val="left"/>
              <w:outlineLvl w:val="0"/>
              <w:rPr>
                <w:rFonts w:ascii="宋体" w:hAnsi="宋体" w:cs="仿宋"/>
                <w:kern w:val="0"/>
                <w:sz w:val="24"/>
                <w:highlight w:val="none"/>
              </w:rPr>
            </w:pPr>
          </w:p>
        </w:tc>
        <w:tc>
          <w:tcPr>
            <w:tcW w:w="1043" w:type="dxa"/>
            <w:gridSpan w:val="2"/>
            <w:vMerge w:val="continue"/>
            <w:tcBorders>
              <w:tl2br w:val="nil"/>
              <w:tr2bl w:val="nil"/>
            </w:tcBorders>
            <w:vAlign w:val="center"/>
          </w:tcPr>
          <w:p w14:paraId="2A77EEC4">
            <w:pPr>
              <w:spacing w:line="360" w:lineRule="auto"/>
              <w:jc w:val="left"/>
              <w:outlineLvl w:val="0"/>
              <w:rPr>
                <w:rFonts w:ascii="宋体" w:hAnsi="宋体" w:cs="仿宋"/>
                <w:kern w:val="0"/>
                <w:sz w:val="24"/>
                <w:highlight w:val="none"/>
              </w:rPr>
            </w:pPr>
          </w:p>
        </w:tc>
        <w:tc>
          <w:tcPr>
            <w:tcW w:w="2032" w:type="dxa"/>
            <w:tcBorders>
              <w:tl2br w:val="nil"/>
              <w:tr2bl w:val="nil"/>
            </w:tcBorders>
            <w:vAlign w:val="center"/>
          </w:tcPr>
          <w:p w14:paraId="6C73BC55">
            <w:pPr>
              <w:jc w:val="center"/>
              <w:rPr>
                <w:rFonts w:ascii="宋体" w:hAnsi="宋体" w:cs="仿宋"/>
                <w:kern w:val="0"/>
                <w:sz w:val="24"/>
                <w:highlight w:val="none"/>
              </w:rPr>
            </w:pPr>
            <w:r>
              <w:rPr>
                <w:rFonts w:hint="eastAsia" w:ascii="宋体" w:hAnsi="宋体" w:cs="宋体"/>
                <w:kern w:val="0"/>
                <w:sz w:val="24"/>
                <w:highlight w:val="none"/>
              </w:rPr>
              <w:t>日志审计服务</w:t>
            </w:r>
          </w:p>
        </w:tc>
        <w:tc>
          <w:tcPr>
            <w:tcW w:w="1028" w:type="dxa"/>
            <w:tcBorders>
              <w:tl2br w:val="nil"/>
              <w:tr2bl w:val="nil"/>
            </w:tcBorders>
            <w:vAlign w:val="center"/>
          </w:tcPr>
          <w:p w14:paraId="63528B39">
            <w:pPr>
              <w:jc w:val="center"/>
              <w:rPr>
                <w:rFonts w:ascii="宋体" w:hAnsi="宋体" w:cs="宋体"/>
                <w:kern w:val="0"/>
                <w:sz w:val="24"/>
                <w:highlight w:val="none"/>
              </w:rPr>
            </w:pPr>
          </w:p>
        </w:tc>
        <w:tc>
          <w:tcPr>
            <w:tcW w:w="1028" w:type="dxa"/>
            <w:tcBorders>
              <w:tl2br w:val="nil"/>
              <w:tr2bl w:val="nil"/>
            </w:tcBorders>
            <w:vAlign w:val="center"/>
          </w:tcPr>
          <w:p w14:paraId="7F229E01">
            <w:pPr>
              <w:spacing w:line="360" w:lineRule="auto"/>
              <w:jc w:val="left"/>
              <w:outlineLvl w:val="0"/>
              <w:rPr>
                <w:rFonts w:ascii="宋体" w:hAnsi="宋体" w:cs="仿宋"/>
                <w:kern w:val="0"/>
                <w:sz w:val="24"/>
                <w:highlight w:val="none"/>
              </w:rPr>
            </w:pPr>
            <w:r>
              <w:rPr>
                <w:rFonts w:hint="eastAsia" w:ascii="宋体" w:hAnsi="宋体" w:cs="宋体"/>
                <w:kern w:val="0"/>
                <w:sz w:val="20"/>
                <w:szCs w:val="20"/>
                <w:highlight w:val="none"/>
              </w:rPr>
              <w:t>【服务形式】一次性提供；</w:t>
            </w:r>
          </w:p>
        </w:tc>
        <w:tc>
          <w:tcPr>
            <w:tcW w:w="1041" w:type="dxa"/>
            <w:vMerge w:val="continue"/>
            <w:tcBorders>
              <w:tl2br w:val="nil"/>
              <w:tr2bl w:val="nil"/>
            </w:tcBorders>
            <w:vAlign w:val="center"/>
          </w:tcPr>
          <w:p w14:paraId="18D37C17">
            <w:pPr>
              <w:spacing w:line="360" w:lineRule="auto"/>
              <w:jc w:val="left"/>
              <w:outlineLvl w:val="0"/>
              <w:rPr>
                <w:rFonts w:ascii="宋体" w:hAnsi="宋体" w:cs="仿宋"/>
                <w:kern w:val="0"/>
                <w:sz w:val="24"/>
                <w:highlight w:val="none"/>
              </w:rPr>
            </w:pPr>
          </w:p>
        </w:tc>
        <w:tc>
          <w:tcPr>
            <w:tcW w:w="770" w:type="dxa"/>
            <w:vMerge w:val="continue"/>
            <w:tcBorders>
              <w:tl2br w:val="nil"/>
              <w:tr2bl w:val="nil"/>
            </w:tcBorders>
            <w:vAlign w:val="center"/>
          </w:tcPr>
          <w:p w14:paraId="05FD42ED">
            <w:pPr>
              <w:jc w:val="center"/>
              <w:rPr>
                <w:rFonts w:ascii="宋体" w:hAnsi="宋体" w:cs="仿宋"/>
                <w:kern w:val="0"/>
                <w:sz w:val="24"/>
                <w:highlight w:val="none"/>
              </w:rPr>
            </w:pPr>
          </w:p>
        </w:tc>
        <w:tc>
          <w:tcPr>
            <w:tcW w:w="748" w:type="dxa"/>
            <w:vMerge w:val="continue"/>
            <w:tcBorders>
              <w:tl2br w:val="nil"/>
              <w:tr2bl w:val="nil"/>
            </w:tcBorders>
            <w:vAlign w:val="center"/>
          </w:tcPr>
          <w:p w14:paraId="48D1DD20">
            <w:pPr>
              <w:jc w:val="center"/>
              <w:rPr>
                <w:rFonts w:ascii="宋体" w:hAnsi="宋体" w:cs="仿宋"/>
                <w:kern w:val="0"/>
                <w:sz w:val="24"/>
                <w:highlight w:val="none"/>
              </w:rPr>
            </w:pPr>
          </w:p>
        </w:tc>
        <w:tc>
          <w:tcPr>
            <w:tcW w:w="748" w:type="dxa"/>
            <w:tcBorders>
              <w:tl2br w:val="nil"/>
              <w:tr2bl w:val="nil"/>
            </w:tcBorders>
            <w:vAlign w:val="center"/>
          </w:tcPr>
          <w:p w14:paraId="6F2CEA28">
            <w:pPr>
              <w:jc w:val="center"/>
              <w:rPr>
                <w:rFonts w:ascii="宋体" w:hAnsi="宋体" w:cs="仿宋"/>
                <w:kern w:val="0"/>
                <w:sz w:val="24"/>
                <w:highlight w:val="none"/>
              </w:rPr>
            </w:pPr>
          </w:p>
        </w:tc>
      </w:tr>
      <w:tr w14:paraId="527B20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99" w:hRule="atLeast"/>
        </w:trPr>
        <w:tc>
          <w:tcPr>
            <w:tcW w:w="958" w:type="dxa"/>
            <w:vMerge w:val="continue"/>
            <w:tcBorders>
              <w:tl2br w:val="nil"/>
              <w:tr2bl w:val="nil"/>
            </w:tcBorders>
            <w:vAlign w:val="center"/>
          </w:tcPr>
          <w:p w14:paraId="409ABB1E">
            <w:pPr>
              <w:spacing w:line="360" w:lineRule="auto"/>
              <w:jc w:val="left"/>
              <w:outlineLvl w:val="0"/>
              <w:rPr>
                <w:rFonts w:ascii="宋体" w:hAnsi="宋体" w:cs="仿宋"/>
                <w:kern w:val="0"/>
                <w:sz w:val="24"/>
                <w:highlight w:val="none"/>
              </w:rPr>
            </w:pPr>
          </w:p>
        </w:tc>
        <w:tc>
          <w:tcPr>
            <w:tcW w:w="1043" w:type="dxa"/>
            <w:gridSpan w:val="2"/>
            <w:vMerge w:val="continue"/>
            <w:tcBorders>
              <w:tl2br w:val="nil"/>
              <w:tr2bl w:val="nil"/>
            </w:tcBorders>
            <w:vAlign w:val="center"/>
          </w:tcPr>
          <w:p w14:paraId="4FCC6845">
            <w:pPr>
              <w:spacing w:line="360" w:lineRule="auto"/>
              <w:jc w:val="left"/>
              <w:outlineLvl w:val="0"/>
              <w:rPr>
                <w:rFonts w:ascii="宋体" w:hAnsi="宋体" w:cs="仿宋"/>
                <w:kern w:val="0"/>
                <w:sz w:val="24"/>
                <w:highlight w:val="none"/>
              </w:rPr>
            </w:pPr>
          </w:p>
        </w:tc>
        <w:tc>
          <w:tcPr>
            <w:tcW w:w="2032" w:type="dxa"/>
            <w:tcBorders>
              <w:tl2br w:val="nil"/>
              <w:tr2bl w:val="nil"/>
            </w:tcBorders>
            <w:vAlign w:val="center"/>
          </w:tcPr>
          <w:p w14:paraId="29B07535">
            <w:pPr>
              <w:jc w:val="center"/>
              <w:rPr>
                <w:rFonts w:ascii="宋体" w:hAnsi="宋体" w:cs="仿宋"/>
                <w:kern w:val="0"/>
                <w:sz w:val="24"/>
                <w:highlight w:val="none"/>
              </w:rPr>
            </w:pPr>
            <w:r>
              <w:rPr>
                <w:rFonts w:hint="eastAsia" w:ascii="宋体" w:hAnsi="宋体" w:cs="宋体"/>
                <w:kern w:val="0"/>
                <w:sz w:val="24"/>
                <w:highlight w:val="none"/>
              </w:rPr>
              <w:t>安全运营服务</w:t>
            </w:r>
          </w:p>
        </w:tc>
        <w:tc>
          <w:tcPr>
            <w:tcW w:w="1028" w:type="dxa"/>
            <w:tcBorders>
              <w:tl2br w:val="nil"/>
              <w:tr2bl w:val="nil"/>
            </w:tcBorders>
            <w:vAlign w:val="center"/>
          </w:tcPr>
          <w:p w14:paraId="4C145BFA">
            <w:pPr>
              <w:jc w:val="center"/>
              <w:rPr>
                <w:rFonts w:ascii="宋体" w:hAnsi="宋体" w:cs="宋体"/>
                <w:kern w:val="0"/>
                <w:sz w:val="24"/>
                <w:highlight w:val="none"/>
              </w:rPr>
            </w:pPr>
          </w:p>
        </w:tc>
        <w:tc>
          <w:tcPr>
            <w:tcW w:w="1028" w:type="dxa"/>
            <w:tcBorders>
              <w:tl2br w:val="nil"/>
              <w:tr2bl w:val="nil"/>
            </w:tcBorders>
            <w:vAlign w:val="center"/>
          </w:tcPr>
          <w:p w14:paraId="48980AA8">
            <w:pPr>
              <w:spacing w:line="360" w:lineRule="auto"/>
              <w:jc w:val="left"/>
              <w:outlineLvl w:val="0"/>
              <w:rPr>
                <w:rFonts w:ascii="宋体" w:hAnsi="宋体" w:cs="仿宋"/>
                <w:kern w:val="0"/>
                <w:sz w:val="24"/>
                <w:highlight w:val="none"/>
              </w:rPr>
            </w:pPr>
            <w:r>
              <w:rPr>
                <w:rFonts w:hint="eastAsia" w:ascii="宋体" w:hAnsi="宋体" w:cs="宋体"/>
                <w:kern w:val="0"/>
                <w:sz w:val="20"/>
                <w:szCs w:val="20"/>
                <w:highlight w:val="none"/>
              </w:rPr>
              <w:t>【服务形式】驻点服务1人</w:t>
            </w:r>
          </w:p>
        </w:tc>
        <w:tc>
          <w:tcPr>
            <w:tcW w:w="1041" w:type="dxa"/>
            <w:vMerge w:val="continue"/>
            <w:tcBorders>
              <w:tl2br w:val="nil"/>
              <w:tr2bl w:val="nil"/>
            </w:tcBorders>
            <w:vAlign w:val="center"/>
          </w:tcPr>
          <w:p w14:paraId="2E285A2E">
            <w:pPr>
              <w:spacing w:line="360" w:lineRule="auto"/>
              <w:jc w:val="left"/>
              <w:outlineLvl w:val="0"/>
              <w:rPr>
                <w:rFonts w:ascii="宋体" w:hAnsi="宋体" w:cs="仿宋"/>
                <w:kern w:val="0"/>
                <w:sz w:val="24"/>
                <w:highlight w:val="none"/>
              </w:rPr>
            </w:pPr>
          </w:p>
        </w:tc>
        <w:tc>
          <w:tcPr>
            <w:tcW w:w="770" w:type="dxa"/>
            <w:vMerge w:val="continue"/>
            <w:tcBorders>
              <w:tl2br w:val="nil"/>
              <w:tr2bl w:val="nil"/>
            </w:tcBorders>
            <w:vAlign w:val="center"/>
          </w:tcPr>
          <w:p w14:paraId="4CC60FCC">
            <w:pPr>
              <w:jc w:val="center"/>
              <w:rPr>
                <w:rFonts w:ascii="宋体" w:hAnsi="宋体" w:cs="仿宋"/>
                <w:kern w:val="0"/>
                <w:sz w:val="24"/>
                <w:highlight w:val="none"/>
              </w:rPr>
            </w:pPr>
          </w:p>
        </w:tc>
        <w:tc>
          <w:tcPr>
            <w:tcW w:w="748" w:type="dxa"/>
            <w:vMerge w:val="continue"/>
            <w:tcBorders>
              <w:tl2br w:val="nil"/>
              <w:tr2bl w:val="nil"/>
            </w:tcBorders>
            <w:vAlign w:val="center"/>
          </w:tcPr>
          <w:p w14:paraId="68DA50A5">
            <w:pPr>
              <w:jc w:val="center"/>
              <w:rPr>
                <w:rFonts w:ascii="宋体" w:hAnsi="宋体" w:cs="仿宋"/>
                <w:kern w:val="0"/>
                <w:sz w:val="24"/>
                <w:highlight w:val="none"/>
              </w:rPr>
            </w:pPr>
          </w:p>
        </w:tc>
        <w:tc>
          <w:tcPr>
            <w:tcW w:w="748" w:type="dxa"/>
            <w:tcBorders>
              <w:tl2br w:val="nil"/>
              <w:tr2bl w:val="nil"/>
            </w:tcBorders>
            <w:vAlign w:val="center"/>
          </w:tcPr>
          <w:p w14:paraId="63B1FF1D">
            <w:pPr>
              <w:jc w:val="center"/>
              <w:rPr>
                <w:rFonts w:ascii="宋体" w:hAnsi="宋体" w:cs="仿宋"/>
                <w:kern w:val="0"/>
                <w:sz w:val="24"/>
                <w:highlight w:val="none"/>
              </w:rPr>
            </w:pPr>
          </w:p>
        </w:tc>
      </w:tr>
      <w:tr w14:paraId="671571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06" w:hRule="atLeast"/>
        </w:trPr>
        <w:tc>
          <w:tcPr>
            <w:tcW w:w="958" w:type="dxa"/>
            <w:vMerge w:val="continue"/>
            <w:tcBorders>
              <w:tl2br w:val="nil"/>
              <w:tr2bl w:val="nil"/>
            </w:tcBorders>
            <w:vAlign w:val="center"/>
          </w:tcPr>
          <w:p w14:paraId="6058C83A">
            <w:pPr>
              <w:spacing w:line="360" w:lineRule="auto"/>
              <w:jc w:val="left"/>
              <w:outlineLvl w:val="0"/>
              <w:rPr>
                <w:rFonts w:ascii="宋体" w:hAnsi="宋体" w:cs="仿宋"/>
                <w:kern w:val="0"/>
                <w:sz w:val="24"/>
                <w:highlight w:val="none"/>
              </w:rPr>
            </w:pPr>
          </w:p>
        </w:tc>
        <w:tc>
          <w:tcPr>
            <w:tcW w:w="1043" w:type="dxa"/>
            <w:gridSpan w:val="2"/>
            <w:vMerge w:val="continue"/>
            <w:tcBorders>
              <w:tl2br w:val="nil"/>
              <w:tr2bl w:val="nil"/>
            </w:tcBorders>
            <w:vAlign w:val="center"/>
          </w:tcPr>
          <w:p w14:paraId="2F92CB9E">
            <w:pPr>
              <w:spacing w:line="360" w:lineRule="auto"/>
              <w:jc w:val="left"/>
              <w:outlineLvl w:val="0"/>
              <w:rPr>
                <w:rFonts w:ascii="宋体" w:hAnsi="宋体" w:cs="仿宋"/>
                <w:kern w:val="0"/>
                <w:sz w:val="24"/>
                <w:highlight w:val="none"/>
              </w:rPr>
            </w:pPr>
          </w:p>
        </w:tc>
        <w:tc>
          <w:tcPr>
            <w:tcW w:w="2032" w:type="dxa"/>
            <w:tcBorders>
              <w:tl2br w:val="nil"/>
              <w:tr2bl w:val="nil"/>
            </w:tcBorders>
            <w:vAlign w:val="center"/>
          </w:tcPr>
          <w:p w14:paraId="784E2ABC">
            <w:pPr>
              <w:jc w:val="center"/>
              <w:rPr>
                <w:rFonts w:ascii="宋体" w:hAnsi="宋体" w:cs="仿宋"/>
                <w:kern w:val="0"/>
                <w:sz w:val="24"/>
                <w:highlight w:val="none"/>
              </w:rPr>
            </w:pPr>
            <w:r>
              <w:rPr>
                <w:rFonts w:hint="eastAsia" w:ascii="宋体" w:hAnsi="宋体" w:cs="宋体"/>
                <w:kern w:val="0"/>
                <w:sz w:val="24"/>
                <w:highlight w:val="none"/>
              </w:rPr>
              <w:t>应急响应服务</w:t>
            </w:r>
          </w:p>
        </w:tc>
        <w:tc>
          <w:tcPr>
            <w:tcW w:w="1028" w:type="dxa"/>
            <w:tcBorders>
              <w:tl2br w:val="nil"/>
              <w:tr2bl w:val="nil"/>
            </w:tcBorders>
            <w:vAlign w:val="center"/>
          </w:tcPr>
          <w:p w14:paraId="0D720AE5">
            <w:pPr>
              <w:jc w:val="center"/>
              <w:rPr>
                <w:rFonts w:ascii="宋体" w:hAnsi="宋体" w:cs="宋体"/>
                <w:kern w:val="0"/>
                <w:sz w:val="24"/>
                <w:highlight w:val="none"/>
              </w:rPr>
            </w:pPr>
          </w:p>
        </w:tc>
        <w:tc>
          <w:tcPr>
            <w:tcW w:w="1028" w:type="dxa"/>
            <w:tcBorders>
              <w:tl2br w:val="nil"/>
              <w:tr2bl w:val="nil"/>
            </w:tcBorders>
            <w:vAlign w:val="center"/>
          </w:tcPr>
          <w:p w14:paraId="3E3E660C">
            <w:pPr>
              <w:jc w:val="center"/>
              <w:rPr>
                <w:rFonts w:ascii="宋体" w:hAnsi="宋体" w:cs="仿宋"/>
                <w:kern w:val="0"/>
                <w:sz w:val="24"/>
                <w:highlight w:val="none"/>
              </w:rPr>
            </w:pPr>
            <w:r>
              <w:rPr>
                <w:rFonts w:hint="eastAsia" w:ascii="宋体" w:hAnsi="宋体" w:cs="宋体"/>
                <w:kern w:val="0"/>
                <w:sz w:val="20"/>
                <w:szCs w:val="20"/>
                <w:highlight w:val="none"/>
              </w:rPr>
              <w:t>【服务形式】一年提供4次应急响应服务</w:t>
            </w:r>
          </w:p>
        </w:tc>
        <w:tc>
          <w:tcPr>
            <w:tcW w:w="1041" w:type="dxa"/>
            <w:vMerge w:val="continue"/>
            <w:tcBorders>
              <w:tl2br w:val="nil"/>
              <w:tr2bl w:val="nil"/>
            </w:tcBorders>
            <w:vAlign w:val="center"/>
          </w:tcPr>
          <w:p w14:paraId="41A0987C">
            <w:pPr>
              <w:spacing w:line="360" w:lineRule="auto"/>
              <w:jc w:val="left"/>
              <w:outlineLvl w:val="0"/>
              <w:rPr>
                <w:rFonts w:ascii="宋体" w:hAnsi="宋体" w:cs="仿宋"/>
                <w:kern w:val="0"/>
                <w:sz w:val="24"/>
                <w:highlight w:val="none"/>
              </w:rPr>
            </w:pPr>
          </w:p>
        </w:tc>
        <w:tc>
          <w:tcPr>
            <w:tcW w:w="770" w:type="dxa"/>
            <w:vMerge w:val="continue"/>
            <w:tcBorders>
              <w:tl2br w:val="nil"/>
              <w:tr2bl w:val="nil"/>
            </w:tcBorders>
            <w:vAlign w:val="center"/>
          </w:tcPr>
          <w:p w14:paraId="323921C0">
            <w:pPr>
              <w:jc w:val="center"/>
              <w:rPr>
                <w:rFonts w:ascii="宋体" w:hAnsi="宋体" w:cs="仿宋"/>
                <w:kern w:val="0"/>
                <w:sz w:val="24"/>
                <w:highlight w:val="none"/>
              </w:rPr>
            </w:pPr>
          </w:p>
        </w:tc>
        <w:tc>
          <w:tcPr>
            <w:tcW w:w="748" w:type="dxa"/>
            <w:vMerge w:val="continue"/>
            <w:tcBorders>
              <w:tl2br w:val="nil"/>
              <w:tr2bl w:val="nil"/>
            </w:tcBorders>
            <w:vAlign w:val="center"/>
          </w:tcPr>
          <w:p w14:paraId="19F64A71">
            <w:pPr>
              <w:jc w:val="center"/>
              <w:rPr>
                <w:rFonts w:ascii="宋体" w:hAnsi="宋体" w:cs="仿宋"/>
                <w:kern w:val="0"/>
                <w:sz w:val="24"/>
                <w:highlight w:val="none"/>
              </w:rPr>
            </w:pPr>
          </w:p>
        </w:tc>
        <w:tc>
          <w:tcPr>
            <w:tcW w:w="748" w:type="dxa"/>
            <w:tcBorders>
              <w:tl2br w:val="nil"/>
              <w:tr2bl w:val="nil"/>
            </w:tcBorders>
            <w:vAlign w:val="center"/>
          </w:tcPr>
          <w:p w14:paraId="30C19B48">
            <w:pPr>
              <w:jc w:val="center"/>
              <w:rPr>
                <w:rFonts w:ascii="宋体" w:hAnsi="宋体" w:cs="仿宋"/>
                <w:kern w:val="0"/>
                <w:sz w:val="24"/>
                <w:highlight w:val="none"/>
              </w:rPr>
            </w:pPr>
          </w:p>
        </w:tc>
      </w:tr>
      <w:tr w14:paraId="0BFDC5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16" w:hRule="atLeast"/>
        </w:trPr>
        <w:tc>
          <w:tcPr>
            <w:tcW w:w="958" w:type="dxa"/>
            <w:vMerge w:val="continue"/>
            <w:tcBorders>
              <w:tl2br w:val="nil"/>
              <w:tr2bl w:val="nil"/>
            </w:tcBorders>
            <w:vAlign w:val="center"/>
          </w:tcPr>
          <w:p w14:paraId="0D26F108">
            <w:pPr>
              <w:spacing w:line="360" w:lineRule="auto"/>
              <w:jc w:val="left"/>
              <w:outlineLvl w:val="0"/>
              <w:rPr>
                <w:rFonts w:ascii="宋体" w:hAnsi="宋体" w:cs="仿宋"/>
                <w:kern w:val="0"/>
                <w:sz w:val="24"/>
                <w:highlight w:val="none"/>
              </w:rPr>
            </w:pPr>
          </w:p>
        </w:tc>
        <w:tc>
          <w:tcPr>
            <w:tcW w:w="1043" w:type="dxa"/>
            <w:gridSpan w:val="2"/>
            <w:vMerge w:val="continue"/>
            <w:tcBorders>
              <w:tl2br w:val="nil"/>
              <w:tr2bl w:val="nil"/>
            </w:tcBorders>
            <w:vAlign w:val="center"/>
          </w:tcPr>
          <w:p w14:paraId="25BE09A8">
            <w:pPr>
              <w:spacing w:line="360" w:lineRule="auto"/>
              <w:jc w:val="left"/>
              <w:outlineLvl w:val="0"/>
              <w:rPr>
                <w:rFonts w:ascii="宋体" w:hAnsi="宋体" w:cs="仿宋"/>
                <w:kern w:val="0"/>
                <w:sz w:val="24"/>
                <w:highlight w:val="none"/>
              </w:rPr>
            </w:pPr>
          </w:p>
        </w:tc>
        <w:tc>
          <w:tcPr>
            <w:tcW w:w="2032" w:type="dxa"/>
            <w:tcBorders>
              <w:tl2br w:val="nil"/>
              <w:tr2bl w:val="nil"/>
            </w:tcBorders>
            <w:vAlign w:val="center"/>
          </w:tcPr>
          <w:p w14:paraId="1D62C841">
            <w:pPr>
              <w:jc w:val="center"/>
              <w:rPr>
                <w:rFonts w:ascii="宋体" w:hAnsi="宋体" w:cs="仿宋"/>
                <w:kern w:val="0"/>
                <w:sz w:val="24"/>
                <w:highlight w:val="none"/>
              </w:rPr>
            </w:pPr>
            <w:r>
              <w:rPr>
                <w:rFonts w:hint="eastAsia" w:ascii="宋体" w:hAnsi="宋体" w:cs="宋体"/>
                <w:kern w:val="0"/>
                <w:sz w:val="24"/>
                <w:highlight w:val="none"/>
              </w:rPr>
              <w:t>高级渗透测试服务</w:t>
            </w:r>
          </w:p>
        </w:tc>
        <w:tc>
          <w:tcPr>
            <w:tcW w:w="1028" w:type="dxa"/>
            <w:tcBorders>
              <w:tl2br w:val="nil"/>
              <w:tr2bl w:val="nil"/>
            </w:tcBorders>
            <w:vAlign w:val="center"/>
          </w:tcPr>
          <w:p w14:paraId="2D4CA39E">
            <w:pPr>
              <w:jc w:val="center"/>
              <w:rPr>
                <w:rFonts w:ascii="宋体" w:hAnsi="宋体" w:cs="宋体"/>
                <w:kern w:val="0"/>
                <w:sz w:val="24"/>
                <w:highlight w:val="none"/>
              </w:rPr>
            </w:pPr>
          </w:p>
        </w:tc>
        <w:tc>
          <w:tcPr>
            <w:tcW w:w="1028" w:type="dxa"/>
            <w:tcBorders>
              <w:tl2br w:val="nil"/>
              <w:tr2bl w:val="nil"/>
            </w:tcBorders>
            <w:vAlign w:val="center"/>
          </w:tcPr>
          <w:p w14:paraId="4ECE9134">
            <w:pPr>
              <w:jc w:val="center"/>
              <w:rPr>
                <w:rFonts w:ascii="宋体" w:hAnsi="宋体" w:cs="仿宋"/>
                <w:kern w:val="0"/>
                <w:sz w:val="24"/>
                <w:highlight w:val="none"/>
              </w:rPr>
            </w:pPr>
            <w:r>
              <w:rPr>
                <w:rFonts w:hint="eastAsia" w:ascii="宋体" w:hAnsi="宋体" w:cs="宋体"/>
                <w:kern w:val="0"/>
                <w:sz w:val="20"/>
                <w:szCs w:val="20"/>
                <w:highlight w:val="none"/>
              </w:rPr>
              <w:t>【服务形式】一年提供20个系统的渗透测试服务；</w:t>
            </w:r>
          </w:p>
        </w:tc>
        <w:tc>
          <w:tcPr>
            <w:tcW w:w="1041" w:type="dxa"/>
            <w:vMerge w:val="continue"/>
            <w:tcBorders>
              <w:tl2br w:val="nil"/>
              <w:tr2bl w:val="nil"/>
            </w:tcBorders>
            <w:vAlign w:val="center"/>
          </w:tcPr>
          <w:p w14:paraId="25E4AFBC">
            <w:pPr>
              <w:spacing w:line="360" w:lineRule="auto"/>
              <w:jc w:val="left"/>
              <w:outlineLvl w:val="0"/>
              <w:rPr>
                <w:rFonts w:ascii="宋体" w:hAnsi="宋体" w:cs="仿宋"/>
                <w:kern w:val="0"/>
                <w:sz w:val="24"/>
                <w:highlight w:val="none"/>
              </w:rPr>
            </w:pPr>
          </w:p>
        </w:tc>
        <w:tc>
          <w:tcPr>
            <w:tcW w:w="770" w:type="dxa"/>
            <w:vMerge w:val="continue"/>
            <w:tcBorders>
              <w:tl2br w:val="nil"/>
              <w:tr2bl w:val="nil"/>
            </w:tcBorders>
            <w:vAlign w:val="center"/>
          </w:tcPr>
          <w:p w14:paraId="3B6D371D">
            <w:pPr>
              <w:jc w:val="center"/>
              <w:rPr>
                <w:rFonts w:ascii="宋体" w:hAnsi="宋体" w:cs="仿宋"/>
                <w:kern w:val="0"/>
                <w:sz w:val="24"/>
                <w:highlight w:val="none"/>
              </w:rPr>
            </w:pPr>
          </w:p>
        </w:tc>
        <w:tc>
          <w:tcPr>
            <w:tcW w:w="748" w:type="dxa"/>
            <w:vMerge w:val="continue"/>
            <w:tcBorders>
              <w:tl2br w:val="nil"/>
              <w:tr2bl w:val="nil"/>
            </w:tcBorders>
            <w:vAlign w:val="center"/>
          </w:tcPr>
          <w:p w14:paraId="43B5F254">
            <w:pPr>
              <w:jc w:val="center"/>
              <w:rPr>
                <w:rFonts w:ascii="宋体" w:hAnsi="宋体" w:cs="仿宋"/>
                <w:kern w:val="0"/>
                <w:sz w:val="24"/>
                <w:highlight w:val="none"/>
              </w:rPr>
            </w:pPr>
          </w:p>
        </w:tc>
        <w:tc>
          <w:tcPr>
            <w:tcW w:w="748" w:type="dxa"/>
            <w:tcBorders>
              <w:tl2br w:val="nil"/>
              <w:tr2bl w:val="nil"/>
            </w:tcBorders>
            <w:vAlign w:val="center"/>
          </w:tcPr>
          <w:p w14:paraId="750C250D">
            <w:pPr>
              <w:jc w:val="center"/>
              <w:rPr>
                <w:rFonts w:ascii="宋体" w:hAnsi="宋体" w:cs="仿宋"/>
                <w:kern w:val="0"/>
                <w:sz w:val="24"/>
                <w:highlight w:val="none"/>
              </w:rPr>
            </w:pPr>
          </w:p>
        </w:tc>
      </w:tr>
      <w:tr w14:paraId="07D7DA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06" w:hRule="atLeast"/>
        </w:trPr>
        <w:tc>
          <w:tcPr>
            <w:tcW w:w="958" w:type="dxa"/>
            <w:vMerge w:val="continue"/>
            <w:tcBorders>
              <w:tl2br w:val="nil"/>
              <w:tr2bl w:val="nil"/>
            </w:tcBorders>
            <w:vAlign w:val="center"/>
          </w:tcPr>
          <w:p w14:paraId="3914B356">
            <w:pPr>
              <w:spacing w:line="360" w:lineRule="auto"/>
              <w:jc w:val="left"/>
              <w:outlineLvl w:val="0"/>
              <w:rPr>
                <w:rFonts w:ascii="宋体" w:hAnsi="宋体" w:cs="仿宋"/>
                <w:kern w:val="0"/>
                <w:sz w:val="24"/>
                <w:highlight w:val="none"/>
              </w:rPr>
            </w:pPr>
          </w:p>
        </w:tc>
        <w:tc>
          <w:tcPr>
            <w:tcW w:w="1043" w:type="dxa"/>
            <w:gridSpan w:val="2"/>
            <w:vMerge w:val="continue"/>
            <w:tcBorders>
              <w:tl2br w:val="nil"/>
              <w:tr2bl w:val="nil"/>
            </w:tcBorders>
            <w:vAlign w:val="center"/>
          </w:tcPr>
          <w:p w14:paraId="37EFAFE5">
            <w:pPr>
              <w:spacing w:line="360" w:lineRule="auto"/>
              <w:jc w:val="left"/>
              <w:outlineLvl w:val="0"/>
              <w:rPr>
                <w:rFonts w:ascii="宋体" w:hAnsi="宋体" w:cs="仿宋"/>
                <w:kern w:val="0"/>
                <w:sz w:val="24"/>
                <w:highlight w:val="none"/>
              </w:rPr>
            </w:pPr>
          </w:p>
        </w:tc>
        <w:tc>
          <w:tcPr>
            <w:tcW w:w="2032" w:type="dxa"/>
            <w:tcBorders>
              <w:tl2br w:val="nil"/>
              <w:tr2bl w:val="nil"/>
            </w:tcBorders>
            <w:vAlign w:val="center"/>
          </w:tcPr>
          <w:p w14:paraId="1FD89A0F">
            <w:pPr>
              <w:jc w:val="center"/>
              <w:rPr>
                <w:rFonts w:ascii="宋体" w:hAnsi="宋体" w:cs="宋体"/>
                <w:kern w:val="0"/>
                <w:sz w:val="24"/>
                <w:highlight w:val="none"/>
              </w:rPr>
            </w:pPr>
            <w:r>
              <w:rPr>
                <w:rFonts w:hint="eastAsia" w:ascii="宋体" w:hAnsi="宋体" w:cs="宋体"/>
                <w:kern w:val="0"/>
                <w:sz w:val="24"/>
                <w:highlight w:val="none"/>
              </w:rPr>
              <w:t>应急预案服务</w:t>
            </w:r>
          </w:p>
        </w:tc>
        <w:tc>
          <w:tcPr>
            <w:tcW w:w="1028" w:type="dxa"/>
            <w:tcBorders>
              <w:tl2br w:val="nil"/>
              <w:tr2bl w:val="nil"/>
            </w:tcBorders>
            <w:vAlign w:val="center"/>
          </w:tcPr>
          <w:p w14:paraId="0571330C">
            <w:pPr>
              <w:jc w:val="center"/>
              <w:rPr>
                <w:rFonts w:ascii="宋体" w:hAnsi="宋体" w:cs="宋体"/>
                <w:kern w:val="0"/>
                <w:sz w:val="24"/>
                <w:highlight w:val="none"/>
              </w:rPr>
            </w:pPr>
          </w:p>
        </w:tc>
        <w:tc>
          <w:tcPr>
            <w:tcW w:w="1028" w:type="dxa"/>
            <w:tcBorders>
              <w:tl2br w:val="nil"/>
              <w:tr2bl w:val="nil"/>
            </w:tcBorders>
            <w:vAlign w:val="center"/>
          </w:tcPr>
          <w:p w14:paraId="3E2FBCE5">
            <w:pPr>
              <w:rPr>
                <w:rFonts w:ascii="宋体" w:hAnsi="宋体" w:cs="宋体"/>
                <w:kern w:val="0"/>
                <w:sz w:val="24"/>
                <w:highlight w:val="none"/>
              </w:rPr>
            </w:pPr>
            <w:r>
              <w:rPr>
                <w:rFonts w:hint="eastAsia" w:ascii="宋体" w:hAnsi="宋体" w:cs="宋体"/>
                <w:kern w:val="0"/>
                <w:sz w:val="20"/>
                <w:szCs w:val="20"/>
                <w:highlight w:val="none"/>
              </w:rPr>
              <w:t>【服务形式】一年提供一次应急预案服务；</w:t>
            </w:r>
          </w:p>
        </w:tc>
        <w:tc>
          <w:tcPr>
            <w:tcW w:w="1041" w:type="dxa"/>
            <w:vMerge w:val="continue"/>
            <w:tcBorders>
              <w:tl2br w:val="nil"/>
              <w:tr2bl w:val="nil"/>
            </w:tcBorders>
            <w:vAlign w:val="center"/>
          </w:tcPr>
          <w:p w14:paraId="3363D020">
            <w:pPr>
              <w:spacing w:line="360" w:lineRule="auto"/>
              <w:jc w:val="left"/>
              <w:outlineLvl w:val="0"/>
              <w:rPr>
                <w:rFonts w:ascii="宋体" w:hAnsi="宋体" w:cs="仿宋"/>
                <w:kern w:val="0"/>
                <w:sz w:val="24"/>
                <w:highlight w:val="none"/>
              </w:rPr>
            </w:pPr>
          </w:p>
        </w:tc>
        <w:tc>
          <w:tcPr>
            <w:tcW w:w="770" w:type="dxa"/>
            <w:vMerge w:val="continue"/>
            <w:tcBorders>
              <w:tl2br w:val="nil"/>
              <w:tr2bl w:val="nil"/>
            </w:tcBorders>
            <w:vAlign w:val="center"/>
          </w:tcPr>
          <w:p w14:paraId="492D1A4F">
            <w:pPr>
              <w:jc w:val="center"/>
              <w:rPr>
                <w:rFonts w:ascii="宋体" w:hAnsi="宋体" w:cs="仿宋"/>
                <w:kern w:val="0"/>
                <w:sz w:val="24"/>
                <w:highlight w:val="none"/>
              </w:rPr>
            </w:pPr>
          </w:p>
        </w:tc>
        <w:tc>
          <w:tcPr>
            <w:tcW w:w="748" w:type="dxa"/>
            <w:vMerge w:val="continue"/>
            <w:tcBorders>
              <w:tl2br w:val="nil"/>
              <w:tr2bl w:val="nil"/>
            </w:tcBorders>
            <w:vAlign w:val="center"/>
          </w:tcPr>
          <w:p w14:paraId="0A67B9D9">
            <w:pPr>
              <w:jc w:val="center"/>
              <w:rPr>
                <w:rFonts w:ascii="宋体" w:hAnsi="宋体" w:cs="仿宋"/>
                <w:kern w:val="0"/>
                <w:sz w:val="24"/>
                <w:highlight w:val="none"/>
              </w:rPr>
            </w:pPr>
          </w:p>
        </w:tc>
        <w:tc>
          <w:tcPr>
            <w:tcW w:w="748" w:type="dxa"/>
            <w:tcBorders>
              <w:tl2br w:val="nil"/>
              <w:tr2bl w:val="nil"/>
            </w:tcBorders>
            <w:vAlign w:val="center"/>
          </w:tcPr>
          <w:p w14:paraId="77B83BDF">
            <w:pPr>
              <w:jc w:val="center"/>
              <w:rPr>
                <w:rFonts w:ascii="宋体" w:hAnsi="宋体" w:cs="仿宋"/>
                <w:kern w:val="0"/>
                <w:sz w:val="24"/>
                <w:highlight w:val="none"/>
              </w:rPr>
            </w:pPr>
          </w:p>
        </w:tc>
      </w:tr>
      <w:tr w14:paraId="3A2361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06" w:hRule="atLeast"/>
        </w:trPr>
        <w:tc>
          <w:tcPr>
            <w:tcW w:w="958" w:type="dxa"/>
            <w:vMerge w:val="continue"/>
            <w:tcBorders>
              <w:tl2br w:val="nil"/>
              <w:tr2bl w:val="nil"/>
            </w:tcBorders>
            <w:vAlign w:val="center"/>
          </w:tcPr>
          <w:p w14:paraId="51EF2736">
            <w:pPr>
              <w:spacing w:line="360" w:lineRule="auto"/>
              <w:jc w:val="left"/>
              <w:outlineLvl w:val="0"/>
              <w:rPr>
                <w:rFonts w:ascii="宋体" w:hAnsi="宋体" w:cs="仿宋"/>
                <w:kern w:val="0"/>
                <w:sz w:val="24"/>
                <w:highlight w:val="none"/>
              </w:rPr>
            </w:pPr>
          </w:p>
        </w:tc>
        <w:tc>
          <w:tcPr>
            <w:tcW w:w="1043" w:type="dxa"/>
            <w:gridSpan w:val="2"/>
            <w:vMerge w:val="continue"/>
            <w:tcBorders>
              <w:tl2br w:val="nil"/>
              <w:tr2bl w:val="nil"/>
            </w:tcBorders>
            <w:vAlign w:val="center"/>
          </w:tcPr>
          <w:p w14:paraId="33A2F773">
            <w:pPr>
              <w:spacing w:line="360" w:lineRule="auto"/>
              <w:jc w:val="left"/>
              <w:outlineLvl w:val="0"/>
              <w:rPr>
                <w:rFonts w:ascii="宋体" w:hAnsi="宋体" w:cs="仿宋"/>
                <w:kern w:val="0"/>
                <w:sz w:val="24"/>
                <w:highlight w:val="none"/>
              </w:rPr>
            </w:pPr>
          </w:p>
        </w:tc>
        <w:tc>
          <w:tcPr>
            <w:tcW w:w="2032" w:type="dxa"/>
            <w:tcBorders>
              <w:tl2br w:val="nil"/>
              <w:tr2bl w:val="nil"/>
            </w:tcBorders>
            <w:vAlign w:val="center"/>
          </w:tcPr>
          <w:p w14:paraId="3974196F">
            <w:pPr>
              <w:jc w:val="center"/>
              <w:rPr>
                <w:rFonts w:ascii="宋体" w:hAnsi="宋体" w:cs="宋体"/>
                <w:kern w:val="0"/>
                <w:sz w:val="24"/>
                <w:highlight w:val="none"/>
              </w:rPr>
            </w:pPr>
            <w:r>
              <w:rPr>
                <w:rFonts w:hint="eastAsia" w:ascii="宋体" w:hAnsi="宋体" w:cs="宋体"/>
                <w:kern w:val="0"/>
                <w:sz w:val="24"/>
                <w:highlight w:val="none"/>
              </w:rPr>
              <w:t>应急演练服务</w:t>
            </w:r>
          </w:p>
        </w:tc>
        <w:tc>
          <w:tcPr>
            <w:tcW w:w="1028" w:type="dxa"/>
            <w:tcBorders>
              <w:tl2br w:val="nil"/>
              <w:tr2bl w:val="nil"/>
            </w:tcBorders>
            <w:vAlign w:val="center"/>
          </w:tcPr>
          <w:p w14:paraId="0791DA00">
            <w:pPr>
              <w:jc w:val="center"/>
              <w:rPr>
                <w:rFonts w:ascii="宋体" w:hAnsi="宋体" w:cs="宋体"/>
                <w:kern w:val="0"/>
                <w:sz w:val="24"/>
                <w:highlight w:val="none"/>
              </w:rPr>
            </w:pPr>
          </w:p>
        </w:tc>
        <w:tc>
          <w:tcPr>
            <w:tcW w:w="1028" w:type="dxa"/>
            <w:tcBorders>
              <w:tl2br w:val="nil"/>
              <w:tr2bl w:val="nil"/>
            </w:tcBorders>
            <w:vAlign w:val="center"/>
          </w:tcPr>
          <w:p w14:paraId="1B1811FC">
            <w:pPr>
              <w:jc w:val="center"/>
              <w:rPr>
                <w:rFonts w:ascii="宋体" w:hAnsi="宋体" w:cs="宋体"/>
                <w:kern w:val="0"/>
                <w:sz w:val="24"/>
                <w:highlight w:val="none"/>
              </w:rPr>
            </w:pPr>
            <w:r>
              <w:rPr>
                <w:rFonts w:hint="eastAsia" w:ascii="宋体" w:hAnsi="宋体" w:cs="宋体"/>
                <w:kern w:val="0"/>
                <w:sz w:val="20"/>
                <w:szCs w:val="20"/>
                <w:highlight w:val="none"/>
              </w:rPr>
              <w:t>【服务形式】一年提供一次应急演练服务；</w:t>
            </w:r>
          </w:p>
        </w:tc>
        <w:tc>
          <w:tcPr>
            <w:tcW w:w="1041" w:type="dxa"/>
            <w:vMerge w:val="continue"/>
            <w:tcBorders>
              <w:tl2br w:val="nil"/>
              <w:tr2bl w:val="nil"/>
            </w:tcBorders>
            <w:vAlign w:val="center"/>
          </w:tcPr>
          <w:p w14:paraId="135E6C3B">
            <w:pPr>
              <w:spacing w:line="360" w:lineRule="auto"/>
              <w:jc w:val="left"/>
              <w:outlineLvl w:val="0"/>
              <w:rPr>
                <w:rFonts w:ascii="宋体" w:hAnsi="宋体" w:cs="仿宋"/>
                <w:kern w:val="0"/>
                <w:sz w:val="24"/>
                <w:highlight w:val="none"/>
              </w:rPr>
            </w:pPr>
          </w:p>
        </w:tc>
        <w:tc>
          <w:tcPr>
            <w:tcW w:w="770" w:type="dxa"/>
            <w:vMerge w:val="continue"/>
            <w:tcBorders>
              <w:tl2br w:val="nil"/>
              <w:tr2bl w:val="nil"/>
            </w:tcBorders>
            <w:vAlign w:val="center"/>
          </w:tcPr>
          <w:p w14:paraId="33FE8024">
            <w:pPr>
              <w:jc w:val="center"/>
              <w:rPr>
                <w:rFonts w:ascii="宋体" w:hAnsi="宋体" w:cs="仿宋"/>
                <w:kern w:val="0"/>
                <w:sz w:val="24"/>
                <w:highlight w:val="none"/>
              </w:rPr>
            </w:pPr>
          </w:p>
        </w:tc>
        <w:tc>
          <w:tcPr>
            <w:tcW w:w="748" w:type="dxa"/>
            <w:vMerge w:val="continue"/>
            <w:tcBorders>
              <w:tl2br w:val="nil"/>
              <w:tr2bl w:val="nil"/>
            </w:tcBorders>
            <w:vAlign w:val="center"/>
          </w:tcPr>
          <w:p w14:paraId="37400D07">
            <w:pPr>
              <w:jc w:val="center"/>
              <w:rPr>
                <w:rFonts w:ascii="宋体" w:hAnsi="宋体" w:cs="仿宋"/>
                <w:kern w:val="0"/>
                <w:sz w:val="24"/>
                <w:highlight w:val="none"/>
              </w:rPr>
            </w:pPr>
          </w:p>
        </w:tc>
        <w:tc>
          <w:tcPr>
            <w:tcW w:w="748" w:type="dxa"/>
            <w:tcBorders>
              <w:tl2br w:val="nil"/>
              <w:tr2bl w:val="nil"/>
            </w:tcBorders>
            <w:vAlign w:val="center"/>
          </w:tcPr>
          <w:p w14:paraId="09A8D33B">
            <w:pPr>
              <w:jc w:val="center"/>
              <w:rPr>
                <w:rFonts w:ascii="宋体" w:hAnsi="宋体" w:cs="仿宋"/>
                <w:kern w:val="0"/>
                <w:sz w:val="24"/>
                <w:highlight w:val="none"/>
              </w:rPr>
            </w:pPr>
          </w:p>
        </w:tc>
      </w:tr>
      <w:tr w14:paraId="74901E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52" w:hRule="atLeast"/>
        </w:trPr>
        <w:tc>
          <w:tcPr>
            <w:tcW w:w="958" w:type="dxa"/>
            <w:vMerge w:val="continue"/>
            <w:tcBorders>
              <w:tl2br w:val="nil"/>
              <w:tr2bl w:val="nil"/>
            </w:tcBorders>
            <w:vAlign w:val="center"/>
          </w:tcPr>
          <w:p w14:paraId="7160DB72">
            <w:pPr>
              <w:spacing w:line="360" w:lineRule="auto"/>
              <w:jc w:val="left"/>
              <w:outlineLvl w:val="0"/>
              <w:rPr>
                <w:rFonts w:ascii="宋体" w:hAnsi="宋体" w:cs="仿宋"/>
                <w:kern w:val="0"/>
                <w:sz w:val="24"/>
                <w:highlight w:val="none"/>
              </w:rPr>
            </w:pPr>
          </w:p>
        </w:tc>
        <w:tc>
          <w:tcPr>
            <w:tcW w:w="1043" w:type="dxa"/>
            <w:gridSpan w:val="2"/>
            <w:vMerge w:val="continue"/>
            <w:tcBorders>
              <w:tl2br w:val="nil"/>
              <w:tr2bl w:val="nil"/>
            </w:tcBorders>
            <w:vAlign w:val="center"/>
          </w:tcPr>
          <w:p w14:paraId="57A4D792">
            <w:pPr>
              <w:spacing w:line="360" w:lineRule="auto"/>
              <w:jc w:val="left"/>
              <w:outlineLvl w:val="0"/>
              <w:rPr>
                <w:rFonts w:ascii="宋体" w:hAnsi="宋体" w:cs="仿宋"/>
                <w:kern w:val="0"/>
                <w:sz w:val="24"/>
                <w:highlight w:val="none"/>
              </w:rPr>
            </w:pPr>
          </w:p>
        </w:tc>
        <w:tc>
          <w:tcPr>
            <w:tcW w:w="2032" w:type="dxa"/>
            <w:tcBorders>
              <w:tl2br w:val="nil"/>
              <w:tr2bl w:val="nil"/>
            </w:tcBorders>
            <w:vAlign w:val="center"/>
          </w:tcPr>
          <w:p w14:paraId="0D50F661">
            <w:pPr>
              <w:jc w:val="center"/>
              <w:rPr>
                <w:rFonts w:ascii="宋体" w:hAnsi="宋体" w:cs="宋体"/>
                <w:kern w:val="0"/>
                <w:sz w:val="24"/>
                <w:highlight w:val="none"/>
              </w:rPr>
            </w:pPr>
            <w:r>
              <w:rPr>
                <w:rFonts w:hint="eastAsia" w:ascii="宋体" w:hAnsi="宋体" w:cs="宋体"/>
                <w:kern w:val="0"/>
                <w:sz w:val="24"/>
                <w:highlight w:val="none"/>
              </w:rPr>
              <w:t>重要时期安全专家保障服务</w:t>
            </w:r>
          </w:p>
        </w:tc>
        <w:tc>
          <w:tcPr>
            <w:tcW w:w="1028" w:type="dxa"/>
            <w:tcBorders>
              <w:tl2br w:val="nil"/>
              <w:tr2bl w:val="nil"/>
            </w:tcBorders>
            <w:vAlign w:val="center"/>
          </w:tcPr>
          <w:p w14:paraId="0C5FFF42">
            <w:pPr>
              <w:jc w:val="center"/>
              <w:rPr>
                <w:rFonts w:ascii="宋体" w:hAnsi="宋体" w:cs="宋体"/>
                <w:kern w:val="0"/>
                <w:sz w:val="24"/>
                <w:highlight w:val="none"/>
              </w:rPr>
            </w:pPr>
          </w:p>
        </w:tc>
        <w:tc>
          <w:tcPr>
            <w:tcW w:w="1028" w:type="dxa"/>
            <w:tcBorders>
              <w:tl2br w:val="nil"/>
              <w:tr2bl w:val="nil"/>
            </w:tcBorders>
            <w:vAlign w:val="center"/>
          </w:tcPr>
          <w:p w14:paraId="106E6FEB">
            <w:pPr>
              <w:rPr>
                <w:rFonts w:ascii="宋体" w:hAnsi="宋体" w:cs="宋体"/>
                <w:kern w:val="0"/>
                <w:sz w:val="24"/>
                <w:highlight w:val="none"/>
              </w:rPr>
            </w:pPr>
            <w:r>
              <w:rPr>
                <w:rFonts w:hint="eastAsia" w:ascii="宋体" w:hAnsi="宋体" w:cs="宋体"/>
                <w:kern w:val="0"/>
                <w:sz w:val="20"/>
                <w:szCs w:val="20"/>
                <w:highlight w:val="none"/>
              </w:rPr>
              <w:t>【服务形式】一年提供4次重要时期安全专家保障服务；</w:t>
            </w:r>
          </w:p>
        </w:tc>
        <w:tc>
          <w:tcPr>
            <w:tcW w:w="1041" w:type="dxa"/>
            <w:vMerge w:val="continue"/>
            <w:tcBorders>
              <w:tl2br w:val="nil"/>
              <w:tr2bl w:val="nil"/>
            </w:tcBorders>
            <w:vAlign w:val="center"/>
          </w:tcPr>
          <w:p w14:paraId="6E9BA3AE">
            <w:pPr>
              <w:spacing w:line="360" w:lineRule="auto"/>
              <w:jc w:val="left"/>
              <w:outlineLvl w:val="0"/>
              <w:rPr>
                <w:rFonts w:ascii="宋体" w:hAnsi="宋体" w:cs="仿宋"/>
                <w:kern w:val="0"/>
                <w:sz w:val="24"/>
                <w:highlight w:val="none"/>
              </w:rPr>
            </w:pPr>
          </w:p>
        </w:tc>
        <w:tc>
          <w:tcPr>
            <w:tcW w:w="770" w:type="dxa"/>
            <w:vMerge w:val="continue"/>
            <w:tcBorders>
              <w:tl2br w:val="nil"/>
              <w:tr2bl w:val="nil"/>
            </w:tcBorders>
            <w:vAlign w:val="center"/>
          </w:tcPr>
          <w:p w14:paraId="29F84457">
            <w:pPr>
              <w:jc w:val="center"/>
              <w:rPr>
                <w:rFonts w:ascii="宋体" w:hAnsi="宋体" w:cs="仿宋"/>
                <w:kern w:val="0"/>
                <w:sz w:val="24"/>
                <w:highlight w:val="none"/>
              </w:rPr>
            </w:pPr>
          </w:p>
        </w:tc>
        <w:tc>
          <w:tcPr>
            <w:tcW w:w="748" w:type="dxa"/>
            <w:vMerge w:val="continue"/>
            <w:tcBorders>
              <w:tl2br w:val="nil"/>
              <w:tr2bl w:val="nil"/>
            </w:tcBorders>
            <w:vAlign w:val="center"/>
          </w:tcPr>
          <w:p w14:paraId="60799E6C">
            <w:pPr>
              <w:jc w:val="center"/>
              <w:rPr>
                <w:rFonts w:ascii="宋体" w:hAnsi="宋体" w:cs="仿宋"/>
                <w:kern w:val="0"/>
                <w:sz w:val="24"/>
                <w:highlight w:val="none"/>
              </w:rPr>
            </w:pPr>
          </w:p>
        </w:tc>
        <w:tc>
          <w:tcPr>
            <w:tcW w:w="748" w:type="dxa"/>
            <w:tcBorders>
              <w:tl2br w:val="nil"/>
              <w:tr2bl w:val="nil"/>
            </w:tcBorders>
            <w:vAlign w:val="center"/>
          </w:tcPr>
          <w:p w14:paraId="5EE555CC">
            <w:pPr>
              <w:jc w:val="center"/>
              <w:rPr>
                <w:rFonts w:ascii="宋体" w:hAnsi="宋体" w:cs="仿宋"/>
                <w:kern w:val="0"/>
                <w:sz w:val="24"/>
                <w:highlight w:val="none"/>
              </w:rPr>
            </w:pPr>
          </w:p>
        </w:tc>
      </w:tr>
      <w:tr w14:paraId="493845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81" w:hRule="atLeast"/>
        </w:trPr>
        <w:tc>
          <w:tcPr>
            <w:tcW w:w="958" w:type="dxa"/>
            <w:vMerge w:val="continue"/>
            <w:tcBorders>
              <w:tl2br w:val="nil"/>
              <w:tr2bl w:val="nil"/>
            </w:tcBorders>
            <w:vAlign w:val="center"/>
          </w:tcPr>
          <w:p w14:paraId="22421181">
            <w:pPr>
              <w:spacing w:line="360" w:lineRule="auto"/>
              <w:jc w:val="left"/>
              <w:outlineLvl w:val="0"/>
              <w:rPr>
                <w:rFonts w:ascii="宋体" w:hAnsi="宋体" w:cs="仿宋"/>
                <w:kern w:val="0"/>
                <w:sz w:val="24"/>
                <w:highlight w:val="none"/>
              </w:rPr>
            </w:pPr>
          </w:p>
        </w:tc>
        <w:tc>
          <w:tcPr>
            <w:tcW w:w="1043" w:type="dxa"/>
            <w:gridSpan w:val="2"/>
            <w:vMerge w:val="continue"/>
            <w:tcBorders>
              <w:tl2br w:val="nil"/>
              <w:tr2bl w:val="nil"/>
            </w:tcBorders>
            <w:vAlign w:val="center"/>
          </w:tcPr>
          <w:p w14:paraId="225D3B8E">
            <w:pPr>
              <w:autoSpaceDE w:val="0"/>
              <w:autoSpaceDN w:val="0"/>
              <w:jc w:val="center"/>
              <w:rPr>
                <w:rFonts w:ascii="宋体" w:hAnsi="宋体" w:cs="仿宋"/>
                <w:kern w:val="0"/>
                <w:sz w:val="24"/>
                <w:highlight w:val="none"/>
              </w:rPr>
            </w:pPr>
          </w:p>
        </w:tc>
        <w:tc>
          <w:tcPr>
            <w:tcW w:w="2032" w:type="dxa"/>
            <w:tcBorders>
              <w:tl2br w:val="nil"/>
              <w:tr2bl w:val="nil"/>
            </w:tcBorders>
            <w:vAlign w:val="center"/>
          </w:tcPr>
          <w:p w14:paraId="6C4360A3">
            <w:pPr>
              <w:jc w:val="center"/>
              <w:rPr>
                <w:rFonts w:ascii="宋体" w:hAnsi="宋体" w:cs="仿宋"/>
                <w:kern w:val="0"/>
                <w:sz w:val="24"/>
                <w:highlight w:val="none"/>
              </w:rPr>
            </w:pPr>
            <w:r>
              <w:rPr>
                <w:rFonts w:hint="eastAsia" w:ascii="宋体" w:hAnsi="宋体" w:cs="宋体"/>
                <w:kern w:val="0"/>
                <w:sz w:val="24"/>
                <w:highlight w:val="none"/>
              </w:rPr>
              <w:t>跨网数据请求与响应服务</w:t>
            </w:r>
          </w:p>
        </w:tc>
        <w:tc>
          <w:tcPr>
            <w:tcW w:w="1028" w:type="dxa"/>
            <w:tcBorders>
              <w:tl2br w:val="nil"/>
              <w:tr2bl w:val="nil"/>
            </w:tcBorders>
            <w:vAlign w:val="center"/>
          </w:tcPr>
          <w:p w14:paraId="3C24740B">
            <w:pPr>
              <w:jc w:val="center"/>
              <w:rPr>
                <w:rFonts w:ascii="宋体" w:hAnsi="宋体" w:cs="宋体"/>
                <w:kern w:val="0"/>
                <w:sz w:val="24"/>
                <w:highlight w:val="none"/>
              </w:rPr>
            </w:pPr>
          </w:p>
        </w:tc>
        <w:tc>
          <w:tcPr>
            <w:tcW w:w="1028" w:type="dxa"/>
            <w:tcBorders>
              <w:tl2br w:val="nil"/>
              <w:tr2bl w:val="nil"/>
            </w:tcBorders>
            <w:vAlign w:val="center"/>
          </w:tcPr>
          <w:p w14:paraId="6A9EC863">
            <w:pPr>
              <w:jc w:val="center"/>
              <w:rPr>
                <w:rFonts w:hint="eastAsia" w:ascii="宋体" w:hAnsi="宋体" w:eastAsia="宋体" w:cs="仿宋"/>
                <w:kern w:val="0"/>
                <w:sz w:val="24"/>
                <w:highlight w:val="none"/>
                <w:lang w:eastAsia="zh-CN"/>
              </w:rPr>
            </w:pPr>
            <w:r>
              <w:rPr>
                <w:rFonts w:hint="eastAsia" w:ascii="宋体" w:hAnsi="宋体" w:cs="宋体"/>
                <w:kern w:val="0"/>
                <w:sz w:val="20"/>
                <w:szCs w:val="20"/>
                <w:highlight w:val="none"/>
              </w:rPr>
              <w:t>【服务形式】工具租用，符合信创要求，租赁期满后设备处置权</w:t>
            </w:r>
            <w:r>
              <w:rPr>
                <w:rFonts w:hint="eastAsia" w:ascii="宋体" w:hAnsi="宋体" w:cs="宋体"/>
                <w:kern w:val="0"/>
                <w:sz w:val="20"/>
                <w:szCs w:val="20"/>
                <w:highlight w:val="none"/>
                <w:lang w:val="en-US" w:eastAsia="zh-CN"/>
              </w:rPr>
              <w:t>归属甲</w:t>
            </w:r>
            <w:r>
              <w:rPr>
                <w:rFonts w:hint="eastAsia" w:ascii="宋体" w:hAnsi="宋体" w:cs="宋体"/>
                <w:kern w:val="0"/>
                <w:sz w:val="20"/>
                <w:szCs w:val="20"/>
                <w:highlight w:val="none"/>
              </w:rPr>
              <w:t>方所有</w:t>
            </w:r>
          </w:p>
        </w:tc>
        <w:tc>
          <w:tcPr>
            <w:tcW w:w="1041" w:type="dxa"/>
            <w:vMerge w:val="continue"/>
            <w:tcBorders>
              <w:tl2br w:val="nil"/>
              <w:tr2bl w:val="nil"/>
            </w:tcBorders>
            <w:vAlign w:val="center"/>
          </w:tcPr>
          <w:p w14:paraId="6D5B0370">
            <w:pPr>
              <w:jc w:val="center"/>
              <w:rPr>
                <w:rFonts w:ascii="宋体" w:hAnsi="宋体" w:cs="仿宋"/>
                <w:kern w:val="0"/>
                <w:sz w:val="24"/>
                <w:highlight w:val="none"/>
              </w:rPr>
            </w:pPr>
          </w:p>
        </w:tc>
        <w:tc>
          <w:tcPr>
            <w:tcW w:w="770" w:type="dxa"/>
            <w:vMerge w:val="continue"/>
            <w:tcBorders>
              <w:tl2br w:val="nil"/>
              <w:tr2bl w:val="nil"/>
            </w:tcBorders>
            <w:vAlign w:val="center"/>
          </w:tcPr>
          <w:p w14:paraId="7DFDB9B5">
            <w:pPr>
              <w:jc w:val="center"/>
              <w:rPr>
                <w:rFonts w:ascii="宋体" w:hAnsi="宋体" w:cs="仿宋"/>
                <w:kern w:val="0"/>
                <w:sz w:val="24"/>
                <w:highlight w:val="none"/>
              </w:rPr>
            </w:pPr>
          </w:p>
        </w:tc>
        <w:tc>
          <w:tcPr>
            <w:tcW w:w="748" w:type="dxa"/>
            <w:vMerge w:val="continue"/>
            <w:tcBorders>
              <w:tl2br w:val="nil"/>
              <w:tr2bl w:val="nil"/>
            </w:tcBorders>
            <w:vAlign w:val="center"/>
          </w:tcPr>
          <w:p w14:paraId="7086EDF7">
            <w:pPr>
              <w:jc w:val="center"/>
              <w:rPr>
                <w:rFonts w:ascii="宋体" w:hAnsi="宋体" w:cs="仿宋"/>
                <w:kern w:val="0"/>
                <w:sz w:val="24"/>
                <w:highlight w:val="none"/>
              </w:rPr>
            </w:pPr>
          </w:p>
        </w:tc>
        <w:tc>
          <w:tcPr>
            <w:tcW w:w="748" w:type="dxa"/>
            <w:tcBorders>
              <w:tl2br w:val="nil"/>
              <w:tr2bl w:val="nil"/>
            </w:tcBorders>
            <w:vAlign w:val="center"/>
          </w:tcPr>
          <w:p w14:paraId="0C8F4074">
            <w:pPr>
              <w:jc w:val="center"/>
              <w:rPr>
                <w:rFonts w:ascii="宋体" w:hAnsi="宋体" w:cs="仿宋"/>
                <w:kern w:val="0"/>
                <w:sz w:val="24"/>
                <w:highlight w:val="none"/>
              </w:rPr>
            </w:pPr>
          </w:p>
        </w:tc>
      </w:tr>
      <w:tr w14:paraId="125FEC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81" w:hRule="atLeast"/>
        </w:trPr>
        <w:tc>
          <w:tcPr>
            <w:tcW w:w="958" w:type="dxa"/>
            <w:vMerge w:val="continue"/>
            <w:tcBorders>
              <w:tl2br w:val="nil"/>
              <w:tr2bl w:val="nil"/>
            </w:tcBorders>
            <w:vAlign w:val="center"/>
          </w:tcPr>
          <w:p w14:paraId="0591F9BF">
            <w:pPr>
              <w:spacing w:line="360" w:lineRule="auto"/>
              <w:jc w:val="left"/>
              <w:outlineLvl w:val="0"/>
              <w:rPr>
                <w:rFonts w:ascii="宋体" w:hAnsi="宋体" w:cs="仿宋"/>
                <w:kern w:val="0"/>
                <w:sz w:val="24"/>
                <w:highlight w:val="none"/>
              </w:rPr>
            </w:pPr>
          </w:p>
        </w:tc>
        <w:tc>
          <w:tcPr>
            <w:tcW w:w="1043" w:type="dxa"/>
            <w:gridSpan w:val="2"/>
            <w:vMerge w:val="continue"/>
            <w:tcBorders>
              <w:tl2br w:val="nil"/>
              <w:tr2bl w:val="nil"/>
            </w:tcBorders>
            <w:vAlign w:val="center"/>
          </w:tcPr>
          <w:p w14:paraId="0CEC883F">
            <w:pPr>
              <w:autoSpaceDE w:val="0"/>
              <w:autoSpaceDN w:val="0"/>
              <w:jc w:val="center"/>
              <w:rPr>
                <w:rFonts w:ascii="宋体" w:hAnsi="宋体" w:cs="仿宋"/>
                <w:kern w:val="0"/>
                <w:sz w:val="24"/>
                <w:highlight w:val="none"/>
              </w:rPr>
            </w:pPr>
          </w:p>
        </w:tc>
        <w:tc>
          <w:tcPr>
            <w:tcW w:w="2032" w:type="dxa"/>
            <w:tcBorders>
              <w:tl2br w:val="nil"/>
              <w:tr2bl w:val="nil"/>
            </w:tcBorders>
            <w:vAlign w:val="center"/>
          </w:tcPr>
          <w:p w14:paraId="6EE4B55F">
            <w:pPr>
              <w:jc w:val="center"/>
              <w:rPr>
                <w:rFonts w:ascii="宋体" w:hAnsi="宋体" w:cs="宋体"/>
                <w:kern w:val="0"/>
                <w:sz w:val="24"/>
                <w:highlight w:val="none"/>
              </w:rPr>
            </w:pPr>
            <w:r>
              <w:rPr>
                <w:rFonts w:hint="eastAsia" w:ascii="宋体" w:hAnsi="宋体" w:cs="宋体"/>
                <w:kern w:val="0"/>
                <w:sz w:val="24"/>
                <w:highlight w:val="none"/>
              </w:rPr>
              <w:t>数据交换边界防护服务</w:t>
            </w:r>
          </w:p>
        </w:tc>
        <w:tc>
          <w:tcPr>
            <w:tcW w:w="1028" w:type="dxa"/>
            <w:tcBorders>
              <w:tl2br w:val="nil"/>
              <w:tr2bl w:val="nil"/>
            </w:tcBorders>
            <w:vAlign w:val="center"/>
          </w:tcPr>
          <w:p w14:paraId="3CD5FDDE">
            <w:pPr>
              <w:jc w:val="center"/>
              <w:rPr>
                <w:rFonts w:ascii="宋体" w:hAnsi="宋体" w:cs="宋体"/>
                <w:kern w:val="0"/>
                <w:sz w:val="24"/>
                <w:highlight w:val="none"/>
              </w:rPr>
            </w:pPr>
          </w:p>
        </w:tc>
        <w:tc>
          <w:tcPr>
            <w:tcW w:w="1028" w:type="dxa"/>
            <w:tcBorders>
              <w:tl2br w:val="nil"/>
              <w:tr2bl w:val="nil"/>
            </w:tcBorders>
            <w:vAlign w:val="center"/>
          </w:tcPr>
          <w:p w14:paraId="53F60429">
            <w:pPr>
              <w:jc w:val="center"/>
              <w:rPr>
                <w:rFonts w:ascii="宋体" w:hAnsi="宋体" w:cs="仿宋"/>
                <w:kern w:val="0"/>
                <w:sz w:val="24"/>
                <w:highlight w:val="none"/>
              </w:rPr>
            </w:pPr>
            <w:r>
              <w:rPr>
                <w:rFonts w:hint="eastAsia" w:ascii="宋体" w:hAnsi="宋体" w:cs="宋体"/>
                <w:kern w:val="0"/>
                <w:sz w:val="20"/>
                <w:szCs w:val="20"/>
                <w:highlight w:val="none"/>
              </w:rPr>
              <w:t>【服务形式】工具租用，符合信创要求，租赁期满后设备处置权</w:t>
            </w:r>
            <w:r>
              <w:rPr>
                <w:rFonts w:hint="eastAsia" w:ascii="宋体" w:hAnsi="宋体" w:cs="宋体"/>
                <w:kern w:val="0"/>
                <w:sz w:val="20"/>
                <w:szCs w:val="20"/>
                <w:highlight w:val="none"/>
                <w:lang w:val="en-US" w:eastAsia="zh-CN"/>
              </w:rPr>
              <w:t>归属甲</w:t>
            </w:r>
            <w:r>
              <w:rPr>
                <w:rFonts w:hint="eastAsia" w:ascii="宋体" w:hAnsi="宋体" w:cs="宋体"/>
                <w:kern w:val="0"/>
                <w:sz w:val="20"/>
                <w:szCs w:val="20"/>
                <w:highlight w:val="none"/>
              </w:rPr>
              <w:t>方所有</w:t>
            </w:r>
          </w:p>
        </w:tc>
        <w:tc>
          <w:tcPr>
            <w:tcW w:w="1041" w:type="dxa"/>
            <w:vMerge w:val="continue"/>
            <w:tcBorders>
              <w:tl2br w:val="nil"/>
              <w:tr2bl w:val="nil"/>
            </w:tcBorders>
            <w:vAlign w:val="center"/>
          </w:tcPr>
          <w:p w14:paraId="76EDCBF7">
            <w:pPr>
              <w:jc w:val="center"/>
              <w:rPr>
                <w:rFonts w:ascii="宋体" w:hAnsi="宋体" w:cs="仿宋"/>
                <w:kern w:val="0"/>
                <w:sz w:val="24"/>
                <w:highlight w:val="none"/>
              </w:rPr>
            </w:pPr>
          </w:p>
        </w:tc>
        <w:tc>
          <w:tcPr>
            <w:tcW w:w="770" w:type="dxa"/>
            <w:vMerge w:val="continue"/>
            <w:tcBorders>
              <w:tl2br w:val="nil"/>
              <w:tr2bl w:val="nil"/>
            </w:tcBorders>
            <w:vAlign w:val="center"/>
          </w:tcPr>
          <w:p w14:paraId="4D347ACC">
            <w:pPr>
              <w:jc w:val="center"/>
              <w:rPr>
                <w:rFonts w:ascii="宋体" w:hAnsi="宋体" w:cs="仿宋"/>
                <w:kern w:val="0"/>
                <w:sz w:val="24"/>
                <w:highlight w:val="none"/>
              </w:rPr>
            </w:pPr>
          </w:p>
        </w:tc>
        <w:tc>
          <w:tcPr>
            <w:tcW w:w="748" w:type="dxa"/>
            <w:vMerge w:val="continue"/>
            <w:tcBorders>
              <w:tl2br w:val="nil"/>
              <w:tr2bl w:val="nil"/>
            </w:tcBorders>
            <w:vAlign w:val="center"/>
          </w:tcPr>
          <w:p w14:paraId="25F6D0F6">
            <w:pPr>
              <w:jc w:val="center"/>
              <w:rPr>
                <w:rFonts w:ascii="宋体" w:hAnsi="宋体" w:cs="仿宋"/>
                <w:kern w:val="0"/>
                <w:sz w:val="24"/>
                <w:highlight w:val="none"/>
              </w:rPr>
            </w:pPr>
          </w:p>
        </w:tc>
        <w:tc>
          <w:tcPr>
            <w:tcW w:w="748" w:type="dxa"/>
            <w:tcBorders>
              <w:tl2br w:val="nil"/>
              <w:tr2bl w:val="nil"/>
            </w:tcBorders>
            <w:vAlign w:val="center"/>
          </w:tcPr>
          <w:p w14:paraId="767580CB">
            <w:pPr>
              <w:jc w:val="center"/>
              <w:rPr>
                <w:rFonts w:ascii="宋体" w:hAnsi="宋体" w:cs="仿宋"/>
                <w:kern w:val="0"/>
                <w:sz w:val="24"/>
                <w:highlight w:val="none"/>
              </w:rPr>
            </w:pPr>
          </w:p>
        </w:tc>
      </w:tr>
      <w:tr w14:paraId="29096E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1" w:hRule="atLeast"/>
        </w:trPr>
        <w:tc>
          <w:tcPr>
            <w:tcW w:w="958" w:type="dxa"/>
            <w:vMerge w:val="continue"/>
            <w:tcBorders>
              <w:tl2br w:val="nil"/>
              <w:tr2bl w:val="nil"/>
            </w:tcBorders>
            <w:vAlign w:val="center"/>
          </w:tcPr>
          <w:p w14:paraId="3A03A6A4">
            <w:pPr>
              <w:spacing w:line="360" w:lineRule="auto"/>
              <w:jc w:val="left"/>
              <w:outlineLvl w:val="0"/>
              <w:rPr>
                <w:rFonts w:ascii="宋体" w:hAnsi="宋体" w:cs="仿宋"/>
                <w:kern w:val="0"/>
                <w:sz w:val="24"/>
                <w:highlight w:val="none"/>
              </w:rPr>
            </w:pPr>
          </w:p>
        </w:tc>
        <w:tc>
          <w:tcPr>
            <w:tcW w:w="1043" w:type="dxa"/>
            <w:gridSpan w:val="2"/>
            <w:vMerge w:val="continue"/>
            <w:tcBorders>
              <w:tl2br w:val="nil"/>
              <w:tr2bl w:val="nil"/>
            </w:tcBorders>
            <w:vAlign w:val="center"/>
          </w:tcPr>
          <w:p w14:paraId="3BBA7DE3">
            <w:pPr>
              <w:autoSpaceDE w:val="0"/>
              <w:autoSpaceDN w:val="0"/>
              <w:jc w:val="center"/>
              <w:rPr>
                <w:rFonts w:ascii="宋体" w:hAnsi="宋体" w:cs="仿宋"/>
                <w:kern w:val="0"/>
                <w:sz w:val="24"/>
                <w:highlight w:val="none"/>
              </w:rPr>
            </w:pPr>
          </w:p>
        </w:tc>
        <w:tc>
          <w:tcPr>
            <w:tcW w:w="2032" w:type="dxa"/>
            <w:tcBorders>
              <w:tl2br w:val="nil"/>
              <w:tr2bl w:val="nil"/>
            </w:tcBorders>
            <w:vAlign w:val="center"/>
          </w:tcPr>
          <w:p w14:paraId="43E16AA3">
            <w:pPr>
              <w:jc w:val="center"/>
              <w:rPr>
                <w:rFonts w:ascii="宋体" w:hAnsi="宋体" w:cs="宋体"/>
                <w:kern w:val="0"/>
                <w:sz w:val="24"/>
                <w:highlight w:val="none"/>
              </w:rPr>
            </w:pPr>
            <w:r>
              <w:rPr>
                <w:rFonts w:hint="eastAsia" w:ascii="宋体" w:hAnsi="宋体" w:cs="宋体"/>
                <w:kern w:val="0"/>
                <w:sz w:val="24"/>
                <w:highlight w:val="none"/>
              </w:rPr>
              <w:t>违规外联监测服务</w:t>
            </w:r>
          </w:p>
        </w:tc>
        <w:tc>
          <w:tcPr>
            <w:tcW w:w="1028" w:type="dxa"/>
            <w:tcBorders>
              <w:tl2br w:val="nil"/>
              <w:tr2bl w:val="nil"/>
            </w:tcBorders>
            <w:vAlign w:val="center"/>
          </w:tcPr>
          <w:p w14:paraId="3CE02708">
            <w:pPr>
              <w:jc w:val="center"/>
              <w:rPr>
                <w:rFonts w:ascii="宋体" w:hAnsi="宋体" w:cs="宋体"/>
                <w:kern w:val="0"/>
                <w:sz w:val="24"/>
                <w:highlight w:val="none"/>
              </w:rPr>
            </w:pPr>
          </w:p>
        </w:tc>
        <w:tc>
          <w:tcPr>
            <w:tcW w:w="1028" w:type="dxa"/>
            <w:tcBorders>
              <w:tl2br w:val="nil"/>
              <w:tr2bl w:val="nil"/>
            </w:tcBorders>
            <w:vAlign w:val="center"/>
          </w:tcPr>
          <w:p w14:paraId="36F7AFE4">
            <w:pPr>
              <w:jc w:val="center"/>
              <w:rPr>
                <w:rFonts w:ascii="宋体" w:hAnsi="宋体" w:cs="仿宋"/>
                <w:kern w:val="0"/>
                <w:sz w:val="24"/>
                <w:highlight w:val="none"/>
              </w:rPr>
            </w:pPr>
            <w:r>
              <w:rPr>
                <w:rFonts w:hint="eastAsia" w:ascii="宋体" w:hAnsi="宋体" w:cs="宋体"/>
                <w:kern w:val="0"/>
                <w:sz w:val="20"/>
                <w:szCs w:val="20"/>
                <w:highlight w:val="none"/>
              </w:rPr>
              <w:t>【服务形式】租赁期内7*24小时服务</w:t>
            </w:r>
          </w:p>
        </w:tc>
        <w:tc>
          <w:tcPr>
            <w:tcW w:w="1041" w:type="dxa"/>
            <w:vMerge w:val="continue"/>
            <w:tcBorders>
              <w:tl2br w:val="nil"/>
              <w:tr2bl w:val="nil"/>
            </w:tcBorders>
            <w:vAlign w:val="center"/>
          </w:tcPr>
          <w:p w14:paraId="57981624">
            <w:pPr>
              <w:jc w:val="center"/>
              <w:rPr>
                <w:rFonts w:ascii="宋体" w:hAnsi="宋体" w:cs="仿宋"/>
                <w:kern w:val="0"/>
                <w:sz w:val="24"/>
                <w:highlight w:val="none"/>
              </w:rPr>
            </w:pPr>
          </w:p>
        </w:tc>
        <w:tc>
          <w:tcPr>
            <w:tcW w:w="770" w:type="dxa"/>
            <w:vMerge w:val="continue"/>
            <w:tcBorders>
              <w:tl2br w:val="nil"/>
              <w:tr2bl w:val="nil"/>
            </w:tcBorders>
            <w:vAlign w:val="center"/>
          </w:tcPr>
          <w:p w14:paraId="31E973D1">
            <w:pPr>
              <w:jc w:val="center"/>
              <w:rPr>
                <w:rFonts w:ascii="宋体" w:hAnsi="宋体" w:cs="仿宋"/>
                <w:kern w:val="0"/>
                <w:sz w:val="24"/>
                <w:highlight w:val="none"/>
              </w:rPr>
            </w:pPr>
          </w:p>
        </w:tc>
        <w:tc>
          <w:tcPr>
            <w:tcW w:w="748" w:type="dxa"/>
            <w:vMerge w:val="continue"/>
            <w:tcBorders>
              <w:tl2br w:val="nil"/>
              <w:tr2bl w:val="nil"/>
            </w:tcBorders>
            <w:vAlign w:val="center"/>
          </w:tcPr>
          <w:p w14:paraId="2D6DE595">
            <w:pPr>
              <w:jc w:val="center"/>
              <w:rPr>
                <w:rFonts w:ascii="宋体" w:hAnsi="宋体" w:cs="仿宋"/>
                <w:kern w:val="0"/>
                <w:sz w:val="24"/>
                <w:highlight w:val="none"/>
              </w:rPr>
            </w:pPr>
          </w:p>
        </w:tc>
        <w:tc>
          <w:tcPr>
            <w:tcW w:w="748" w:type="dxa"/>
            <w:tcBorders>
              <w:tl2br w:val="nil"/>
              <w:tr2bl w:val="nil"/>
            </w:tcBorders>
            <w:vAlign w:val="center"/>
          </w:tcPr>
          <w:p w14:paraId="24C509C9">
            <w:pPr>
              <w:jc w:val="center"/>
              <w:rPr>
                <w:rFonts w:ascii="宋体" w:hAnsi="宋体" w:cs="仿宋"/>
                <w:kern w:val="0"/>
                <w:sz w:val="24"/>
                <w:highlight w:val="none"/>
              </w:rPr>
            </w:pPr>
          </w:p>
        </w:tc>
      </w:tr>
      <w:tr w14:paraId="2C510F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6" w:hRule="atLeast"/>
        </w:trPr>
        <w:tc>
          <w:tcPr>
            <w:tcW w:w="958" w:type="dxa"/>
            <w:vMerge w:val="continue"/>
            <w:tcBorders>
              <w:tl2br w:val="nil"/>
              <w:tr2bl w:val="nil"/>
            </w:tcBorders>
            <w:vAlign w:val="center"/>
          </w:tcPr>
          <w:p w14:paraId="31ADB507">
            <w:pPr>
              <w:spacing w:line="360" w:lineRule="auto"/>
              <w:jc w:val="left"/>
              <w:outlineLvl w:val="0"/>
              <w:rPr>
                <w:rFonts w:ascii="宋体" w:hAnsi="宋体" w:cs="仿宋"/>
                <w:kern w:val="0"/>
                <w:sz w:val="24"/>
                <w:highlight w:val="none"/>
              </w:rPr>
            </w:pPr>
          </w:p>
        </w:tc>
        <w:tc>
          <w:tcPr>
            <w:tcW w:w="1043" w:type="dxa"/>
            <w:gridSpan w:val="2"/>
            <w:vMerge w:val="restart"/>
            <w:tcBorders>
              <w:tl2br w:val="nil"/>
              <w:tr2bl w:val="nil"/>
            </w:tcBorders>
            <w:vAlign w:val="center"/>
          </w:tcPr>
          <w:p w14:paraId="59F8CC9E">
            <w:pPr>
              <w:autoSpaceDE w:val="0"/>
              <w:autoSpaceDN w:val="0"/>
              <w:jc w:val="center"/>
              <w:rPr>
                <w:rFonts w:ascii="宋体" w:hAnsi="宋体" w:cs="仿宋"/>
                <w:kern w:val="0"/>
                <w:sz w:val="24"/>
                <w:highlight w:val="none"/>
              </w:rPr>
            </w:pPr>
            <w:r>
              <w:rPr>
                <w:rFonts w:hint="eastAsia" w:ascii="宋体" w:hAnsi="宋体" w:cs="宋体"/>
                <w:kern w:val="0"/>
                <w:sz w:val="24"/>
                <w:highlight w:val="none"/>
              </w:rPr>
              <w:t>关键业务安全迁移及改造</w:t>
            </w:r>
          </w:p>
        </w:tc>
        <w:tc>
          <w:tcPr>
            <w:tcW w:w="2032" w:type="dxa"/>
            <w:tcBorders>
              <w:tl2br w:val="nil"/>
              <w:tr2bl w:val="nil"/>
            </w:tcBorders>
            <w:vAlign w:val="center"/>
          </w:tcPr>
          <w:p w14:paraId="34064D2A">
            <w:pPr>
              <w:jc w:val="center"/>
              <w:rPr>
                <w:rFonts w:ascii="宋体" w:hAnsi="宋体" w:cs="宋体"/>
                <w:kern w:val="0"/>
                <w:sz w:val="24"/>
                <w:highlight w:val="none"/>
              </w:rPr>
            </w:pPr>
            <w:r>
              <w:rPr>
                <w:rFonts w:hint="eastAsia" w:ascii="宋体" w:hAnsi="宋体" w:cs="宋体"/>
                <w:kern w:val="0"/>
                <w:sz w:val="24"/>
                <w:highlight w:val="none"/>
              </w:rPr>
              <w:t>合成作战应用迁移服务</w:t>
            </w:r>
          </w:p>
        </w:tc>
        <w:tc>
          <w:tcPr>
            <w:tcW w:w="1028" w:type="dxa"/>
            <w:tcBorders>
              <w:tl2br w:val="nil"/>
              <w:tr2bl w:val="nil"/>
            </w:tcBorders>
            <w:vAlign w:val="center"/>
          </w:tcPr>
          <w:p w14:paraId="38D50EF3">
            <w:pPr>
              <w:jc w:val="center"/>
              <w:rPr>
                <w:rFonts w:ascii="宋体" w:hAnsi="宋体" w:cs="宋体"/>
                <w:kern w:val="0"/>
                <w:sz w:val="24"/>
                <w:highlight w:val="none"/>
              </w:rPr>
            </w:pPr>
          </w:p>
        </w:tc>
        <w:tc>
          <w:tcPr>
            <w:tcW w:w="1028" w:type="dxa"/>
            <w:tcBorders>
              <w:tl2br w:val="nil"/>
              <w:tr2bl w:val="nil"/>
            </w:tcBorders>
            <w:vAlign w:val="center"/>
          </w:tcPr>
          <w:p w14:paraId="6942AB08">
            <w:pPr>
              <w:jc w:val="center"/>
              <w:rPr>
                <w:rFonts w:ascii="宋体" w:hAnsi="宋体" w:cs="仿宋"/>
                <w:kern w:val="0"/>
                <w:sz w:val="24"/>
                <w:highlight w:val="none"/>
              </w:rPr>
            </w:pPr>
            <w:r>
              <w:rPr>
                <w:rFonts w:hint="eastAsia" w:ascii="宋体" w:hAnsi="宋体" w:cs="宋体"/>
                <w:kern w:val="0"/>
                <w:sz w:val="20"/>
                <w:szCs w:val="20"/>
                <w:highlight w:val="none"/>
              </w:rPr>
              <w:t>【服务形式】一次性提供</w:t>
            </w:r>
          </w:p>
        </w:tc>
        <w:tc>
          <w:tcPr>
            <w:tcW w:w="1041" w:type="dxa"/>
            <w:vMerge w:val="restart"/>
            <w:tcBorders>
              <w:tl2br w:val="nil"/>
              <w:tr2bl w:val="nil"/>
            </w:tcBorders>
            <w:vAlign w:val="center"/>
          </w:tcPr>
          <w:p w14:paraId="54BEA879">
            <w:pPr>
              <w:jc w:val="center"/>
              <w:rPr>
                <w:rFonts w:ascii="宋体" w:hAnsi="宋体" w:cs="仿宋"/>
                <w:kern w:val="0"/>
                <w:sz w:val="24"/>
                <w:highlight w:val="none"/>
              </w:rPr>
            </w:pPr>
            <w:r>
              <w:rPr>
                <w:rFonts w:hint="eastAsia" w:ascii="宋体" w:hAnsi="宋体" w:cs="仿宋"/>
                <w:kern w:val="0"/>
                <w:sz w:val="24"/>
                <w:highlight w:val="none"/>
              </w:rPr>
              <w:t>12</w:t>
            </w:r>
            <w:r>
              <w:rPr>
                <w:rFonts w:ascii="宋体" w:hAnsi="宋体" w:cs="仿宋"/>
                <w:kern w:val="0"/>
                <w:sz w:val="24"/>
                <w:highlight w:val="none"/>
              </w:rPr>
              <w:t>个月（202</w:t>
            </w:r>
            <w:r>
              <w:rPr>
                <w:rFonts w:hint="eastAsia" w:ascii="宋体" w:hAnsi="宋体" w:cs="仿宋"/>
                <w:kern w:val="0"/>
                <w:sz w:val="24"/>
                <w:highlight w:val="none"/>
              </w:rPr>
              <w:t>4</w:t>
            </w:r>
            <w:r>
              <w:rPr>
                <w:rFonts w:ascii="宋体" w:hAnsi="宋体" w:cs="仿宋"/>
                <w:kern w:val="0"/>
                <w:sz w:val="24"/>
                <w:highlight w:val="none"/>
              </w:rPr>
              <w:t>.</w:t>
            </w:r>
            <w:r>
              <w:rPr>
                <w:rFonts w:hint="eastAsia" w:ascii="宋体" w:hAnsi="宋体" w:cs="仿宋"/>
                <w:kern w:val="0"/>
                <w:sz w:val="24"/>
                <w:highlight w:val="none"/>
              </w:rPr>
              <w:t>8</w:t>
            </w:r>
            <w:r>
              <w:rPr>
                <w:rFonts w:ascii="宋体" w:hAnsi="宋体" w:cs="仿宋"/>
                <w:kern w:val="0"/>
                <w:sz w:val="24"/>
                <w:highlight w:val="none"/>
              </w:rPr>
              <w:t>.1-202</w:t>
            </w:r>
            <w:r>
              <w:rPr>
                <w:rFonts w:hint="eastAsia" w:ascii="宋体" w:hAnsi="宋体" w:cs="仿宋"/>
                <w:kern w:val="0"/>
                <w:sz w:val="24"/>
                <w:highlight w:val="none"/>
              </w:rPr>
              <w:t>5</w:t>
            </w:r>
            <w:r>
              <w:rPr>
                <w:rFonts w:ascii="宋体" w:hAnsi="宋体" w:cs="仿宋"/>
                <w:kern w:val="0"/>
                <w:sz w:val="24"/>
                <w:highlight w:val="none"/>
              </w:rPr>
              <w:t>.7.31）</w:t>
            </w:r>
          </w:p>
        </w:tc>
        <w:tc>
          <w:tcPr>
            <w:tcW w:w="770" w:type="dxa"/>
            <w:vMerge w:val="restart"/>
            <w:tcBorders>
              <w:tl2br w:val="nil"/>
              <w:tr2bl w:val="nil"/>
            </w:tcBorders>
            <w:vAlign w:val="center"/>
          </w:tcPr>
          <w:p w14:paraId="26034D40">
            <w:pPr>
              <w:jc w:val="center"/>
              <w:rPr>
                <w:rFonts w:ascii="宋体" w:hAnsi="宋体" w:cs="仿宋"/>
                <w:kern w:val="0"/>
                <w:sz w:val="24"/>
                <w:highlight w:val="none"/>
              </w:rPr>
            </w:pPr>
          </w:p>
        </w:tc>
        <w:tc>
          <w:tcPr>
            <w:tcW w:w="748" w:type="dxa"/>
            <w:vMerge w:val="restart"/>
            <w:tcBorders>
              <w:tl2br w:val="nil"/>
              <w:tr2bl w:val="nil"/>
            </w:tcBorders>
            <w:vAlign w:val="center"/>
          </w:tcPr>
          <w:p w14:paraId="1B549987">
            <w:pPr>
              <w:jc w:val="center"/>
              <w:rPr>
                <w:rFonts w:ascii="宋体" w:hAnsi="宋体" w:cs="仿宋"/>
                <w:kern w:val="0"/>
                <w:sz w:val="24"/>
                <w:highlight w:val="none"/>
              </w:rPr>
            </w:pPr>
          </w:p>
        </w:tc>
        <w:tc>
          <w:tcPr>
            <w:tcW w:w="748" w:type="dxa"/>
            <w:tcBorders>
              <w:tl2br w:val="nil"/>
              <w:tr2bl w:val="nil"/>
            </w:tcBorders>
            <w:vAlign w:val="center"/>
          </w:tcPr>
          <w:p w14:paraId="4D891F15">
            <w:pPr>
              <w:jc w:val="center"/>
              <w:rPr>
                <w:rFonts w:ascii="宋体" w:hAnsi="宋体" w:cs="仿宋"/>
                <w:kern w:val="0"/>
                <w:sz w:val="24"/>
                <w:highlight w:val="none"/>
              </w:rPr>
            </w:pPr>
          </w:p>
        </w:tc>
      </w:tr>
      <w:tr w14:paraId="54A3BE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38" w:hRule="atLeast"/>
        </w:trPr>
        <w:tc>
          <w:tcPr>
            <w:tcW w:w="958" w:type="dxa"/>
            <w:vMerge w:val="continue"/>
            <w:tcBorders>
              <w:tl2br w:val="nil"/>
              <w:tr2bl w:val="nil"/>
            </w:tcBorders>
            <w:vAlign w:val="center"/>
          </w:tcPr>
          <w:p w14:paraId="0125D999">
            <w:pPr>
              <w:spacing w:line="360" w:lineRule="auto"/>
              <w:jc w:val="left"/>
              <w:outlineLvl w:val="0"/>
              <w:rPr>
                <w:rFonts w:ascii="宋体" w:hAnsi="宋体" w:cs="仿宋"/>
                <w:kern w:val="0"/>
                <w:sz w:val="24"/>
                <w:highlight w:val="none"/>
              </w:rPr>
            </w:pPr>
          </w:p>
        </w:tc>
        <w:tc>
          <w:tcPr>
            <w:tcW w:w="1043" w:type="dxa"/>
            <w:gridSpan w:val="2"/>
            <w:vMerge w:val="continue"/>
            <w:tcBorders>
              <w:tl2br w:val="nil"/>
              <w:tr2bl w:val="nil"/>
            </w:tcBorders>
            <w:vAlign w:val="center"/>
          </w:tcPr>
          <w:p w14:paraId="540AECD0">
            <w:pPr>
              <w:spacing w:line="360" w:lineRule="auto"/>
              <w:jc w:val="left"/>
              <w:outlineLvl w:val="0"/>
              <w:rPr>
                <w:rFonts w:ascii="宋体" w:hAnsi="宋体" w:cs="仿宋"/>
                <w:kern w:val="0"/>
                <w:sz w:val="24"/>
                <w:highlight w:val="none"/>
              </w:rPr>
            </w:pPr>
          </w:p>
        </w:tc>
        <w:tc>
          <w:tcPr>
            <w:tcW w:w="2032" w:type="dxa"/>
            <w:tcBorders>
              <w:tl2br w:val="nil"/>
              <w:tr2bl w:val="nil"/>
            </w:tcBorders>
            <w:vAlign w:val="center"/>
          </w:tcPr>
          <w:p w14:paraId="2B847925">
            <w:pPr>
              <w:jc w:val="center"/>
              <w:rPr>
                <w:rFonts w:ascii="宋体" w:hAnsi="宋体" w:cs="仿宋"/>
                <w:kern w:val="0"/>
                <w:sz w:val="24"/>
                <w:highlight w:val="none"/>
              </w:rPr>
            </w:pPr>
            <w:r>
              <w:rPr>
                <w:rFonts w:hint="eastAsia" w:ascii="宋体" w:hAnsi="宋体" w:cs="宋体"/>
                <w:kern w:val="0"/>
                <w:sz w:val="24"/>
                <w:highlight w:val="none"/>
              </w:rPr>
              <w:t>非现场执法平台升级改造服务</w:t>
            </w:r>
          </w:p>
        </w:tc>
        <w:tc>
          <w:tcPr>
            <w:tcW w:w="1028" w:type="dxa"/>
            <w:tcBorders>
              <w:tl2br w:val="nil"/>
              <w:tr2bl w:val="nil"/>
            </w:tcBorders>
            <w:vAlign w:val="center"/>
          </w:tcPr>
          <w:p w14:paraId="7209FEAF">
            <w:pPr>
              <w:jc w:val="center"/>
              <w:rPr>
                <w:rFonts w:ascii="宋体" w:hAnsi="宋体" w:cs="宋体"/>
                <w:kern w:val="0"/>
                <w:sz w:val="24"/>
                <w:highlight w:val="none"/>
              </w:rPr>
            </w:pPr>
          </w:p>
        </w:tc>
        <w:tc>
          <w:tcPr>
            <w:tcW w:w="1028" w:type="dxa"/>
            <w:tcBorders>
              <w:tl2br w:val="nil"/>
              <w:tr2bl w:val="nil"/>
            </w:tcBorders>
            <w:vAlign w:val="center"/>
          </w:tcPr>
          <w:p w14:paraId="55F526C1">
            <w:pPr>
              <w:jc w:val="center"/>
              <w:rPr>
                <w:rFonts w:ascii="宋体" w:hAnsi="宋体" w:cs="仿宋"/>
                <w:kern w:val="0"/>
                <w:sz w:val="24"/>
                <w:highlight w:val="none"/>
              </w:rPr>
            </w:pPr>
            <w:r>
              <w:rPr>
                <w:rFonts w:hint="eastAsia" w:ascii="宋体" w:hAnsi="宋体" w:cs="宋体"/>
                <w:kern w:val="0"/>
                <w:sz w:val="20"/>
                <w:szCs w:val="20"/>
                <w:highlight w:val="none"/>
              </w:rPr>
              <w:t>【服务形式】平台升级改造服务一次性提供；工具租用，符合信创要求，租赁期满后</w:t>
            </w:r>
            <w:r>
              <w:rPr>
                <w:rFonts w:hint="eastAsia" w:ascii="宋体" w:hAnsi="宋体" w:cs="宋体"/>
                <w:kern w:val="0"/>
                <w:sz w:val="20"/>
                <w:szCs w:val="20"/>
                <w:highlight w:val="none"/>
                <w:lang w:eastAsia="zh-CN"/>
              </w:rPr>
              <w:t>设备处置权</w:t>
            </w:r>
            <w:r>
              <w:rPr>
                <w:rFonts w:hint="eastAsia" w:ascii="宋体" w:hAnsi="宋体" w:cs="宋体"/>
                <w:kern w:val="0"/>
                <w:sz w:val="20"/>
                <w:szCs w:val="20"/>
                <w:highlight w:val="none"/>
              </w:rPr>
              <w:t>归属</w:t>
            </w:r>
            <w:r>
              <w:rPr>
                <w:rFonts w:hint="eastAsia" w:ascii="宋体" w:hAnsi="宋体" w:cs="宋体"/>
                <w:kern w:val="0"/>
                <w:sz w:val="20"/>
                <w:szCs w:val="20"/>
                <w:highlight w:val="none"/>
                <w:lang w:eastAsia="zh-CN"/>
              </w:rPr>
              <w:t>乙方</w:t>
            </w:r>
            <w:r>
              <w:rPr>
                <w:rFonts w:hint="eastAsia" w:ascii="宋体" w:hAnsi="宋体" w:cs="宋体"/>
                <w:kern w:val="0"/>
                <w:sz w:val="20"/>
                <w:szCs w:val="20"/>
                <w:highlight w:val="none"/>
                <w:lang w:val="en-US" w:eastAsia="zh-CN"/>
              </w:rPr>
              <w:t>所有</w:t>
            </w:r>
          </w:p>
        </w:tc>
        <w:tc>
          <w:tcPr>
            <w:tcW w:w="1041" w:type="dxa"/>
            <w:vMerge w:val="continue"/>
            <w:tcBorders>
              <w:tl2br w:val="nil"/>
              <w:tr2bl w:val="nil"/>
            </w:tcBorders>
            <w:vAlign w:val="center"/>
          </w:tcPr>
          <w:p w14:paraId="6E6D13C4">
            <w:pPr>
              <w:jc w:val="center"/>
              <w:rPr>
                <w:rFonts w:ascii="宋体" w:hAnsi="宋体" w:cs="仿宋"/>
                <w:kern w:val="0"/>
                <w:sz w:val="24"/>
                <w:highlight w:val="none"/>
              </w:rPr>
            </w:pPr>
          </w:p>
        </w:tc>
        <w:tc>
          <w:tcPr>
            <w:tcW w:w="770" w:type="dxa"/>
            <w:vMerge w:val="continue"/>
            <w:tcBorders>
              <w:tl2br w:val="nil"/>
              <w:tr2bl w:val="nil"/>
            </w:tcBorders>
            <w:vAlign w:val="center"/>
          </w:tcPr>
          <w:p w14:paraId="745BF007">
            <w:pPr>
              <w:jc w:val="center"/>
              <w:rPr>
                <w:rFonts w:ascii="宋体" w:hAnsi="宋体" w:cs="仿宋"/>
                <w:kern w:val="0"/>
                <w:sz w:val="24"/>
                <w:highlight w:val="none"/>
              </w:rPr>
            </w:pPr>
          </w:p>
        </w:tc>
        <w:tc>
          <w:tcPr>
            <w:tcW w:w="748" w:type="dxa"/>
            <w:vMerge w:val="continue"/>
            <w:tcBorders>
              <w:tl2br w:val="nil"/>
              <w:tr2bl w:val="nil"/>
            </w:tcBorders>
            <w:vAlign w:val="center"/>
          </w:tcPr>
          <w:p w14:paraId="7C66AEF6">
            <w:pPr>
              <w:jc w:val="center"/>
              <w:rPr>
                <w:rFonts w:ascii="宋体" w:hAnsi="宋体" w:cs="仿宋"/>
                <w:kern w:val="0"/>
                <w:sz w:val="24"/>
                <w:highlight w:val="none"/>
              </w:rPr>
            </w:pPr>
          </w:p>
        </w:tc>
        <w:tc>
          <w:tcPr>
            <w:tcW w:w="748" w:type="dxa"/>
            <w:tcBorders>
              <w:tl2br w:val="nil"/>
              <w:tr2bl w:val="nil"/>
            </w:tcBorders>
            <w:vAlign w:val="center"/>
          </w:tcPr>
          <w:p w14:paraId="5D59BA9E">
            <w:pPr>
              <w:jc w:val="center"/>
              <w:rPr>
                <w:rFonts w:ascii="宋体" w:hAnsi="宋体" w:cs="仿宋"/>
                <w:kern w:val="0"/>
                <w:sz w:val="24"/>
                <w:highlight w:val="none"/>
              </w:rPr>
            </w:pPr>
          </w:p>
        </w:tc>
      </w:tr>
      <w:tr w14:paraId="6C3AB7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94" w:hRule="atLeast"/>
        </w:trPr>
        <w:tc>
          <w:tcPr>
            <w:tcW w:w="958" w:type="dxa"/>
            <w:vMerge w:val="continue"/>
            <w:tcBorders>
              <w:tl2br w:val="nil"/>
              <w:tr2bl w:val="nil"/>
            </w:tcBorders>
            <w:vAlign w:val="center"/>
          </w:tcPr>
          <w:p w14:paraId="3E6D746D">
            <w:pPr>
              <w:spacing w:line="360" w:lineRule="auto"/>
              <w:jc w:val="left"/>
              <w:outlineLvl w:val="0"/>
              <w:rPr>
                <w:rFonts w:ascii="宋体" w:hAnsi="宋体" w:cs="仿宋"/>
                <w:kern w:val="0"/>
                <w:sz w:val="24"/>
                <w:highlight w:val="none"/>
              </w:rPr>
            </w:pPr>
          </w:p>
        </w:tc>
        <w:tc>
          <w:tcPr>
            <w:tcW w:w="1043" w:type="dxa"/>
            <w:gridSpan w:val="2"/>
            <w:vMerge w:val="continue"/>
            <w:tcBorders>
              <w:tl2br w:val="nil"/>
              <w:tr2bl w:val="nil"/>
            </w:tcBorders>
            <w:vAlign w:val="center"/>
          </w:tcPr>
          <w:p w14:paraId="5BB77A54">
            <w:pPr>
              <w:spacing w:line="360" w:lineRule="auto"/>
              <w:jc w:val="left"/>
              <w:outlineLvl w:val="0"/>
              <w:rPr>
                <w:rFonts w:ascii="宋体" w:hAnsi="宋体" w:cs="仿宋"/>
                <w:kern w:val="0"/>
                <w:sz w:val="24"/>
                <w:highlight w:val="none"/>
              </w:rPr>
            </w:pPr>
          </w:p>
        </w:tc>
        <w:tc>
          <w:tcPr>
            <w:tcW w:w="2032" w:type="dxa"/>
            <w:tcBorders>
              <w:tl2br w:val="nil"/>
              <w:tr2bl w:val="nil"/>
            </w:tcBorders>
            <w:vAlign w:val="center"/>
          </w:tcPr>
          <w:p w14:paraId="115FBFDF">
            <w:pPr>
              <w:jc w:val="center"/>
              <w:rPr>
                <w:rFonts w:ascii="宋体" w:hAnsi="宋体" w:cs="仿宋"/>
                <w:kern w:val="0"/>
                <w:sz w:val="24"/>
                <w:highlight w:val="none"/>
              </w:rPr>
            </w:pPr>
            <w:r>
              <w:rPr>
                <w:rFonts w:hint="eastAsia" w:ascii="宋体" w:hAnsi="宋体" w:cs="宋体"/>
                <w:kern w:val="0"/>
                <w:sz w:val="24"/>
                <w:highlight w:val="none"/>
              </w:rPr>
              <w:t>视频业务安全改造</w:t>
            </w:r>
          </w:p>
        </w:tc>
        <w:tc>
          <w:tcPr>
            <w:tcW w:w="1028" w:type="dxa"/>
            <w:tcBorders>
              <w:tl2br w:val="nil"/>
              <w:tr2bl w:val="nil"/>
            </w:tcBorders>
            <w:vAlign w:val="center"/>
          </w:tcPr>
          <w:p w14:paraId="31E30BCA">
            <w:pPr>
              <w:jc w:val="center"/>
              <w:rPr>
                <w:rFonts w:ascii="宋体" w:hAnsi="宋体" w:cs="宋体"/>
                <w:kern w:val="0"/>
                <w:sz w:val="24"/>
                <w:highlight w:val="none"/>
              </w:rPr>
            </w:pPr>
          </w:p>
        </w:tc>
        <w:tc>
          <w:tcPr>
            <w:tcW w:w="1028" w:type="dxa"/>
            <w:tcBorders>
              <w:tl2br w:val="nil"/>
              <w:tr2bl w:val="nil"/>
            </w:tcBorders>
            <w:vAlign w:val="center"/>
          </w:tcPr>
          <w:p w14:paraId="342597B7">
            <w:pPr>
              <w:jc w:val="center"/>
              <w:rPr>
                <w:rFonts w:ascii="宋体" w:hAnsi="宋体" w:cs="仿宋"/>
                <w:kern w:val="0"/>
                <w:sz w:val="24"/>
                <w:highlight w:val="none"/>
              </w:rPr>
            </w:pPr>
            <w:r>
              <w:rPr>
                <w:rFonts w:hint="eastAsia" w:ascii="宋体" w:hAnsi="宋体" w:cs="宋体"/>
                <w:kern w:val="0"/>
                <w:sz w:val="20"/>
                <w:szCs w:val="20"/>
                <w:highlight w:val="none"/>
              </w:rPr>
              <w:t>【服务形式】视频业务安全改造服务一次性提供；工具租用，符合信创要求，租赁期满后设备处置权</w:t>
            </w:r>
            <w:r>
              <w:rPr>
                <w:rFonts w:hint="eastAsia" w:ascii="宋体" w:hAnsi="宋体" w:cs="宋体"/>
                <w:kern w:val="0"/>
                <w:sz w:val="20"/>
                <w:szCs w:val="20"/>
                <w:highlight w:val="none"/>
                <w:lang w:val="en-US" w:eastAsia="zh-CN"/>
              </w:rPr>
              <w:t>归属甲</w:t>
            </w:r>
            <w:r>
              <w:rPr>
                <w:rFonts w:hint="eastAsia" w:ascii="宋体" w:hAnsi="宋体" w:cs="宋体"/>
                <w:kern w:val="0"/>
                <w:sz w:val="20"/>
                <w:szCs w:val="20"/>
                <w:highlight w:val="none"/>
              </w:rPr>
              <w:t>方所有</w:t>
            </w:r>
          </w:p>
        </w:tc>
        <w:tc>
          <w:tcPr>
            <w:tcW w:w="1041" w:type="dxa"/>
            <w:vMerge w:val="continue"/>
            <w:tcBorders>
              <w:tl2br w:val="nil"/>
              <w:tr2bl w:val="nil"/>
            </w:tcBorders>
            <w:vAlign w:val="center"/>
          </w:tcPr>
          <w:p w14:paraId="05558E96">
            <w:pPr>
              <w:jc w:val="center"/>
              <w:rPr>
                <w:rFonts w:ascii="宋体" w:hAnsi="宋体" w:cs="仿宋"/>
                <w:kern w:val="0"/>
                <w:sz w:val="24"/>
                <w:highlight w:val="none"/>
              </w:rPr>
            </w:pPr>
          </w:p>
        </w:tc>
        <w:tc>
          <w:tcPr>
            <w:tcW w:w="770" w:type="dxa"/>
            <w:vMerge w:val="continue"/>
            <w:tcBorders>
              <w:tl2br w:val="nil"/>
              <w:tr2bl w:val="nil"/>
            </w:tcBorders>
            <w:vAlign w:val="center"/>
          </w:tcPr>
          <w:p w14:paraId="459B99BA">
            <w:pPr>
              <w:jc w:val="center"/>
              <w:rPr>
                <w:rFonts w:ascii="宋体" w:hAnsi="宋体" w:cs="仿宋"/>
                <w:kern w:val="0"/>
                <w:sz w:val="24"/>
                <w:highlight w:val="none"/>
              </w:rPr>
            </w:pPr>
          </w:p>
        </w:tc>
        <w:tc>
          <w:tcPr>
            <w:tcW w:w="748" w:type="dxa"/>
            <w:vMerge w:val="continue"/>
            <w:tcBorders>
              <w:tl2br w:val="nil"/>
              <w:tr2bl w:val="nil"/>
            </w:tcBorders>
            <w:vAlign w:val="center"/>
          </w:tcPr>
          <w:p w14:paraId="73163FCF">
            <w:pPr>
              <w:jc w:val="center"/>
              <w:rPr>
                <w:rFonts w:ascii="宋体" w:hAnsi="宋体" w:cs="仿宋"/>
                <w:kern w:val="0"/>
                <w:sz w:val="24"/>
                <w:highlight w:val="none"/>
              </w:rPr>
            </w:pPr>
          </w:p>
        </w:tc>
        <w:tc>
          <w:tcPr>
            <w:tcW w:w="748" w:type="dxa"/>
            <w:tcBorders>
              <w:tl2br w:val="nil"/>
              <w:tr2bl w:val="nil"/>
            </w:tcBorders>
            <w:vAlign w:val="center"/>
          </w:tcPr>
          <w:p w14:paraId="5812F5DD">
            <w:pPr>
              <w:jc w:val="center"/>
              <w:rPr>
                <w:rFonts w:ascii="宋体" w:hAnsi="宋体" w:cs="仿宋"/>
                <w:kern w:val="0"/>
                <w:sz w:val="24"/>
                <w:highlight w:val="none"/>
              </w:rPr>
            </w:pPr>
          </w:p>
        </w:tc>
      </w:tr>
      <w:tr w14:paraId="725A80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0" w:hRule="atLeast"/>
        </w:trPr>
        <w:tc>
          <w:tcPr>
            <w:tcW w:w="958" w:type="dxa"/>
            <w:vMerge w:val="restart"/>
            <w:tcBorders>
              <w:tl2br w:val="nil"/>
              <w:tr2bl w:val="nil"/>
            </w:tcBorders>
            <w:vAlign w:val="center"/>
          </w:tcPr>
          <w:p w14:paraId="4619A7A0">
            <w:pPr>
              <w:autoSpaceDE w:val="0"/>
              <w:autoSpaceDN w:val="0"/>
              <w:jc w:val="center"/>
              <w:rPr>
                <w:rFonts w:ascii="宋体" w:hAnsi="宋体" w:cs="仿宋"/>
                <w:kern w:val="0"/>
                <w:sz w:val="24"/>
                <w:highlight w:val="none"/>
              </w:rPr>
            </w:pPr>
            <w:r>
              <w:rPr>
                <w:rFonts w:hint="eastAsia" w:ascii="宋体" w:hAnsi="宋体" w:cs="仿宋"/>
                <w:kern w:val="0"/>
                <w:sz w:val="24"/>
                <w:highlight w:val="none"/>
              </w:rPr>
              <w:t>货运导航数据及运营保障服务</w:t>
            </w:r>
          </w:p>
        </w:tc>
        <w:tc>
          <w:tcPr>
            <w:tcW w:w="1043" w:type="dxa"/>
            <w:gridSpan w:val="2"/>
            <w:vMerge w:val="restart"/>
            <w:tcBorders>
              <w:tl2br w:val="nil"/>
              <w:tr2bl w:val="nil"/>
            </w:tcBorders>
            <w:vAlign w:val="center"/>
          </w:tcPr>
          <w:p w14:paraId="78CE4075">
            <w:pPr>
              <w:autoSpaceDE w:val="0"/>
              <w:autoSpaceDN w:val="0"/>
              <w:jc w:val="center"/>
              <w:rPr>
                <w:rFonts w:ascii="宋体" w:hAnsi="宋体" w:cs="仿宋"/>
                <w:kern w:val="0"/>
                <w:sz w:val="24"/>
                <w:highlight w:val="none"/>
              </w:rPr>
            </w:pPr>
            <w:r>
              <w:rPr>
                <w:rFonts w:hint="eastAsia" w:ascii="宋体" w:hAnsi="宋体" w:cs="宋体"/>
                <w:kern w:val="0"/>
                <w:sz w:val="24"/>
                <w:highlight w:val="none"/>
              </w:rPr>
              <w:t>互联网地图导航基础服务</w:t>
            </w:r>
          </w:p>
        </w:tc>
        <w:tc>
          <w:tcPr>
            <w:tcW w:w="2032" w:type="dxa"/>
            <w:tcBorders>
              <w:tl2br w:val="nil"/>
              <w:tr2bl w:val="nil"/>
            </w:tcBorders>
            <w:vAlign w:val="center"/>
          </w:tcPr>
          <w:p w14:paraId="47F11882">
            <w:pPr>
              <w:autoSpaceDE w:val="0"/>
              <w:autoSpaceDN w:val="0"/>
              <w:ind w:firstLine="0" w:firstLineChars="0"/>
              <w:jc w:val="both"/>
              <w:rPr>
                <w:rFonts w:ascii="宋体" w:hAnsi="宋体" w:cs="仿宋"/>
                <w:kern w:val="0"/>
                <w:sz w:val="24"/>
                <w:highlight w:val="none"/>
              </w:rPr>
            </w:pPr>
            <w:r>
              <w:rPr>
                <w:rFonts w:hint="eastAsia" w:ascii="宋体" w:hAnsi="宋体" w:cs="宋体"/>
                <w:kern w:val="0"/>
                <w:sz w:val="24"/>
                <w:highlight w:val="none"/>
              </w:rPr>
              <w:t>货车线路规划</w:t>
            </w:r>
          </w:p>
        </w:tc>
        <w:tc>
          <w:tcPr>
            <w:tcW w:w="1028" w:type="dxa"/>
            <w:tcBorders>
              <w:tl2br w:val="nil"/>
              <w:tr2bl w:val="nil"/>
            </w:tcBorders>
            <w:vAlign w:val="center"/>
          </w:tcPr>
          <w:p w14:paraId="7EB842F3">
            <w:pPr>
              <w:autoSpaceDE w:val="0"/>
              <w:autoSpaceDN w:val="0"/>
              <w:ind w:firstLine="480" w:firstLineChars="200"/>
              <w:jc w:val="center"/>
              <w:rPr>
                <w:rFonts w:ascii="宋体" w:hAnsi="宋体" w:cs="宋体"/>
                <w:kern w:val="0"/>
                <w:sz w:val="24"/>
                <w:highlight w:val="none"/>
              </w:rPr>
            </w:pPr>
          </w:p>
        </w:tc>
        <w:tc>
          <w:tcPr>
            <w:tcW w:w="1028" w:type="dxa"/>
            <w:vMerge w:val="restart"/>
            <w:tcBorders>
              <w:tl2br w:val="nil"/>
              <w:tr2bl w:val="nil"/>
            </w:tcBorders>
            <w:vAlign w:val="center"/>
          </w:tcPr>
          <w:p w14:paraId="3823D158">
            <w:pPr>
              <w:autoSpaceDE w:val="0"/>
              <w:autoSpaceDN w:val="0"/>
              <w:jc w:val="center"/>
              <w:rPr>
                <w:rFonts w:ascii="宋体" w:hAnsi="宋体" w:cs="仿宋"/>
                <w:kern w:val="0"/>
                <w:sz w:val="24"/>
                <w:highlight w:val="none"/>
              </w:rPr>
            </w:pPr>
            <w:r>
              <w:rPr>
                <w:rFonts w:hint="eastAsia" w:ascii="宋体" w:hAnsi="宋体" w:cs="仿宋"/>
                <w:kern w:val="0"/>
                <w:sz w:val="24"/>
                <w:highlight w:val="none"/>
              </w:rPr>
              <w:t>【服务形式】</w:t>
            </w:r>
            <w:r>
              <w:rPr>
                <w:rFonts w:hint="eastAsia" w:ascii="宋体" w:hAnsi="宋体" w:cs="仿宋"/>
                <w:kern w:val="0"/>
                <w:sz w:val="24"/>
                <w:szCs w:val="20"/>
                <w:highlight w:val="none"/>
              </w:rPr>
              <w:t>租赁期内</w:t>
            </w:r>
            <w:r>
              <w:rPr>
                <w:rFonts w:ascii="宋体" w:hAnsi="宋体" w:cs="仿宋"/>
                <w:kern w:val="0"/>
                <w:sz w:val="24"/>
                <w:szCs w:val="20"/>
                <w:highlight w:val="none"/>
              </w:rPr>
              <w:t>7*24小时服务</w:t>
            </w:r>
          </w:p>
        </w:tc>
        <w:tc>
          <w:tcPr>
            <w:tcW w:w="1041" w:type="dxa"/>
            <w:vMerge w:val="restart"/>
            <w:tcBorders>
              <w:tl2br w:val="nil"/>
              <w:tr2bl w:val="nil"/>
            </w:tcBorders>
            <w:vAlign w:val="center"/>
          </w:tcPr>
          <w:p w14:paraId="32FDC0BD">
            <w:pPr>
              <w:autoSpaceDE w:val="0"/>
              <w:autoSpaceDN w:val="0"/>
              <w:ind w:firstLine="480" w:firstLineChars="200"/>
              <w:jc w:val="center"/>
              <w:rPr>
                <w:rFonts w:ascii="宋体" w:hAnsi="宋体" w:cs="仿宋"/>
                <w:kern w:val="0"/>
                <w:sz w:val="24"/>
                <w:highlight w:val="none"/>
              </w:rPr>
            </w:pPr>
            <w:r>
              <w:rPr>
                <w:rFonts w:hint="eastAsia" w:ascii="宋体" w:hAnsi="宋体" w:cs="仿宋"/>
                <w:kern w:val="0"/>
                <w:sz w:val="24"/>
                <w:highlight w:val="none"/>
              </w:rPr>
              <w:t>12</w:t>
            </w:r>
            <w:r>
              <w:rPr>
                <w:rFonts w:ascii="宋体" w:hAnsi="宋体" w:cs="仿宋"/>
                <w:kern w:val="0"/>
                <w:sz w:val="24"/>
                <w:highlight w:val="none"/>
              </w:rPr>
              <w:t>个月（202</w:t>
            </w:r>
            <w:r>
              <w:rPr>
                <w:rFonts w:hint="eastAsia" w:ascii="宋体" w:hAnsi="宋体" w:cs="仿宋"/>
                <w:kern w:val="0"/>
                <w:sz w:val="24"/>
                <w:highlight w:val="none"/>
              </w:rPr>
              <w:t>4</w:t>
            </w:r>
            <w:r>
              <w:rPr>
                <w:rFonts w:ascii="宋体" w:hAnsi="宋体" w:cs="仿宋"/>
                <w:kern w:val="0"/>
                <w:sz w:val="24"/>
                <w:highlight w:val="none"/>
              </w:rPr>
              <w:t>.</w:t>
            </w:r>
            <w:r>
              <w:rPr>
                <w:rFonts w:hint="eastAsia" w:ascii="宋体" w:hAnsi="宋体" w:cs="仿宋"/>
                <w:kern w:val="0"/>
                <w:sz w:val="24"/>
                <w:highlight w:val="none"/>
              </w:rPr>
              <w:t>8</w:t>
            </w:r>
            <w:r>
              <w:rPr>
                <w:rFonts w:ascii="宋体" w:hAnsi="宋体" w:cs="仿宋"/>
                <w:kern w:val="0"/>
                <w:sz w:val="24"/>
                <w:highlight w:val="none"/>
              </w:rPr>
              <w:t>.1-202</w:t>
            </w:r>
            <w:r>
              <w:rPr>
                <w:rFonts w:hint="eastAsia" w:ascii="宋体" w:hAnsi="宋体" w:cs="仿宋"/>
                <w:kern w:val="0"/>
                <w:sz w:val="24"/>
                <w:highlight w:val="none"/>
              </w:rPr>
              <w:t>5</w:t>
            </w:r>
            <w:r>
              <w:rPr>
                <w:rFonts w:ascii="宋体" w:hAnsi="宋体" w:cs="仿宋"/>
                <w:kern w:val="0"/>
                <w:sz w:val="24"/>
                <w:highlight w:val="none"/>
              </w:rPr>
              <w:t>.7.31）</w:t>
            </w:r>
          </w:p>
        </w:tc>
        <w:tc>
          <w:tcPr>
            <w:tcW w:w="770" w:type="dxa"/>
            <w:vMerge w:val="restart"/>
            <w:tcBorders>
              <w:tl2br w:val="nil"/>
              <w:tr2bl w:val="nil"/>
            </w:tcBorders>
            <w:vAlign w:val="center"/>
          </w:tcPr>
          <w:p w14:paraId="114418B4">
            <w:pPr>
              <w:autoSpaceDE w:val="0"/>
              <w:autoSpaceDN w:val="0"/>
              <w:ind w:firstLine="480" w:firstLineChars="200"/>
              <w:jc w:val="center"/>
              <w:rPr>
                <w:rFonts w:ascii="宋体" w:hAnsi="宋体" w:cs="仿宋"/>
                <w:kern w:val="0"/>
                <w:sz w:val="24"/>
                <w:highlight w:val="none"/>
              </w:rPr>
            </w:pPr>
          </w:p>
        </w:tc>
        <w:tc>
          <w:tcPr>
            <w:tcW w:w="748" w:type="dxa"/>
            <w:vMerge w:val="restart"/>
            <w:tcBorders>
              <w:tl2br w:val="nil"/>
              <w:tr2bl w:val="nil"/>
            </w:tcBorders>
            <w:vAlign w:val="center"/>
          </w:tcPr>
          <w:p w14:paraId="661DAC4E">
            <w:pPr>
              <w:autoSpaceDE w:val="0"/>
              <w:autoSpaceDN w:val="0"/>
              <w:ind w:firstLine="480" w:firstLineChars="200"/>
              <w:jc w:val="center"/>
              <w:rPr>
                <w:rFonts w:ascii="宋体" w:hAnsi="宋体" w:cs="仿宋"/>
                <w:kern w:val="0"/>
                <w:sz w:val="24"/>
                <w:highlight w:val="none"/>
              </w:rPr>
            </w:pPr>
            <w:r>
              <w:rPr>
                <w:rFonts w:hint="eastAsia" w:ascii="宋体" w:hAnsi="宋体" w:cs="仿宋"/>
                <w:kern w:val="0"/>
                <w:sz w:val="24"/>
                <w:highlight w:val="none"/>
              </w:rPr>
              <w:t>　</w:t>
            </w:r>
          </w:p>
        </w:tc>
        <w:tc>
          <w:tcPr>
            <w:tcW w:w="748" w:type="dxa"/>
            <w:tcBorders>
              <w:tl2br w:val="nil"/>
              <w:tr2bl w:val="nil"/>
            </w:tcBorders>
            <w:vAlign w:val="center"/>
          </w:tcPr>
          <w:p w14:paraId="7D966D96">
            <w:pPr>
              <w:autoSpaceDE w:val="0"/>
              <w:autoSpaceDN w:val="0"/>
              <w:ind w:firstLine="480" w:firstLineChars="200"/>
              <w:jc w:val="center"/>
              <w:rPr>
                <w:rFonts w:ascii="宋体" w:hAnsi="宋体" w:cs="仿宋"/>
                <w:kern w:val="0"/>
                <w:sz w:val="24"/>
                <w:highlight w:val="none"/>
              </w:rPr>
            </w:pPr>
          </w:p>
        </w:tc>
      </w:tr>
      <w:tr w14:paraId="2A829C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1" w:hRule="atLeast"/>
        </w:trPr>
        <w:tc>
          <w:tcPr>
            <w:tcW w:w="958" w:type="dxa"/>
            <w:vMerge w:val="continue"/>
            <w:tcBorders>
              <w:tl2br w:val="nil"/>
              <w:tr2bl w:val="nil"/>
            </w:tcBorders>
            <w:vAlign w:val="center"/>
          </w:tcPr>
          <w:p w14:paraId="36A5E1F1">
            <w:pPr>
              <w:spacing w:line="360" w:lineRule="auto"/>
              <w:jc w:val="left"/>
              <w:outlineLvl w:val="0"/>
              <w:rPr>
                <w:rFonts w:ascii="宋体" w:hAnsi="宋体" w:cs="仿宋"/>
                <w:kern w:val="0"/>
                <w:sz w:val="24"/>
                <w:highlight w:val="none"/>
              </w:rPr>
            </w:pPr>
          </w:p>
        </w:tc>
        <w:tc>
          <w:tcPr>
            <w:tcW w:w="1043" w:type="dxa"/>
            <w:gridSpan w:val="2"/>
            <w:vMerge w:val="continue"/>
            <w:tcBorders>
              <w:tl2br w:val="nil"/>
              <w:tr2bl w:val="nil"/>
            </w:tcBorders>
            <w:vAlign w:val="center"/>
          </w:tcPr>
          <w:p w14:paraId="75373E86">
            <w:pPr>
              <w:spacing w:line="360" w:lineRule="auto"/>
              <w:jc w:val="left"/>
              <w:outlineLvl w:val="0"/>
              <w:rPr>
                <w:rFonts w:ascii="宋体" w:hAnsi="宋体" w:cs="仿宋"/>
                <w:kern w:val="0"/>
                <w:sz w:val="24"/>
                <w:highlight w:val="none"/>
              </w:rPr>
            </w:pPr>
          </w:p>
        </w:tc>
        <w:tc>
          <w:tcPr>
            <w:tcW w:w="2032" w:type="dxa"/>
            <w:tcBorders>
              <w:tl2br w:val="nil"/>
              <w:tr2bl w:val="nil"/>
            </w:tcBorders>
            <w:vAlign w:val="center"/>
          </w:tcPr>
          <w:p w14:paraId="685E8DB8">
            <w:pPr>
              <w:jc w:val="center"/>
              <w:rPr>
                <w:rFonts w:ascii="宋体" w:hAnsi="宋体" w:cs="仿宋"/>
                <w:kern w:val="0"/>
                <w:sz w:val="24"/>
                <w:highlight w:val="none"/>
              </w:rPr>
            </w:pPr>
            <w:r>
              <w:rPr>
                <w:rFonts w:hint="eastAsia" w:ascii="宋体" w:hAnsi="宋体" w:cs="宋体"/>
                <w:kern w:val="0"/>
                <w:sz w:val="24"/>
                <w:highlight w:val="none"/>
              </w:rPr>
              <w:t>货车导航接口</w:t>
            </w:r>
          </w:p>
        </w:tc>
        <w:tc>
          <w:tcPr>
            <w:tcW w:w="1028" w:type="dxa"/>
            <w:tcBorders>
              <w:tl2br w:val="nil"/>
              <w:tr2bl w:val="nil"/>
            </w:tcBorders>
            <w:vAlign w:val="center"/>
          </w:tcPr>
          <w:p w14:paraId="2884DAB1">
            <w:pPr>
              <w:jc w:val="center"/>
              <w:rPr>
                <w:rFonts w:ascii="宋体" w:hAnsi="宋体" w:cs="宋体"/>
                <w:kern w:val="0"/>
                <w:sz w:val="24"/>
                <w:highlight w:val="none"/>
              </w:rPr>
            </w:pPr>
          </w:p>
        </w:tc>
        <w:tc>
          <w:tcPr>
            <w:tcW w:w="1028" w:type="dxa"/>
            <w:vMerge w:val="continue"/>
            <w:tcBorders>
              <w:tl2br w:val="nil"/>
              <w:tr2bl w:val="nil"/>
            </w:tcBorders>
            <w:vAlign w:val="center"/>
          </w:tcPr>
          <w:p w14:paraId="2B7ACF44">
            <w:pPr>
              <w:spacing w:line="360" w:lineRule="auto"/>
              <w:jc w:val="left"/>
              <w:outlineLvl w:val="0"/>
              <w:rPr>
                <w:rFonts w:ascii="宋体" w:hAnsi="宋体" w:cs="仿宋"/>
                <w:kern w:val="0"/>
                <w:sz w:val="24"/>
                <w:highlight w:val="none"/>
              </w:rPr>
            </w:pPr>
          </w:p>
        </w:tc>
        <w:tc>
          <w:tcPr>
            <w:tcW w:w="1041" w:type="dxa"/>
            <w:vMerge w:val="continue"/>
            <w:tcBorders>
              <w:tl2br w:val="nil"/>
              <w:tr2bl w:val="nil"/>
            </w:tcBorders>
            <w:vAlign w:val="center"/>
          </w:tcPr>
          <w:p w14:paraId="1FE7DC91">
            <w:pPr>
              <w:spacing w:line="360" w:lineRule="auto"/>
              <w:jc w:val="left"/>
              <w:outlineLvl w:val="0"/>
              <w:rPr>
                <w:rFonts w:ascii="宋体" w:hAnsi="宋体" w:cs="仿宋"/>
                <w:kern w:val="0"/>
                <w:sz w:val="24"/>
                <w:highlight w:val="none"/>
              </w:rPr>
            </w:pPr>
          </w:p>
        </w:tc>
        <w:tc>
          <w:tcPr>
            <w:tcW w:w="770" w:type="dxa"/>
            <w:vMerge w:val="continue"/>
            <w:tcBorders>
              <w:tl2br w:val="nil"/>
              <w:tr2bl w:val="nil"/>
            </w:tcBorders>
            <w:vAlign w:val="center"/>
          </w:tcPr>
          <w:p w14:paraId="4C966433">
            <w:pPr>
              <w:spacing w:line="360" w:lineRule="auto"/>
              <w:jc w:val="left"/>
              <w:outlineLvl w:val="0"/>
              <w:rPr>
                <w:rFonts w:ascii="宋体" w:hAnsi="宋体" w:cs="仿宋"/>
                <w:kern w:val="0"/>
                <w:sz w:val="24"/>
                <w:highlight w:val="none"/>
              </w:rPr>
            </w:pPr>
          </w:p>
        </w:tc>
        <w:tc>
          <w:tcPr>
            <w:tcW w:w="748" w:type="dxa"/>
            <w:vMerge w:val="continue"/>
            <w:tcBorders>
              <w:tl2br w:val="nil"/>
              <w:tr2bl w:val="nil"/>
            </w:tcBorders>
            <w:vAlign w:val="center"/>
          </w:tcPr>
          <w:p w14:paraId="6EA2672C">
            <w:pPr>
              <w:spacing w:line="360" w:lineRule="auto"/>
              <w:jc w:val="left"/>
              <w:outlineLvl w:val="0"/>
              <w:rPr>
                <w:rFonts w:ascii="宋体" w:hAnsi="宋体" w:cs="仿宋"/>
                <w:kern w:val="0"/>
                <w:sz w:val="24"/>
                <w:highlight w:val="none"/>
              </w:rPr>
            </w:pPr>
          </w:p>
        </w:tc>
        <w:tc>
          <w:tcPr>
            <w:tcW w:w="748" w:type="dxa"/>
            <w:tcBorders>
              <w:tl2br w:val="nil"/>
              <w:tr2bl w:val="nil"/>
            </w:tcBorders>
            <w:vAlign w:val="center"/>
          </w:tcPr>
          <w:p w14:paraId="6FB165B3">
            <w:pPr>
              <w:spacing w:line="360" w:lineRule="auto"/>
              <w:jc w:val="left"/>
              <w:outlineLvl w:val="0"/>
              <w:rPr>
                <w:rFonts w:ascii="宋体" w:hAnsi="宋体" w:cs="仿宋"/>
                <w:kern w:val="0"/>
                <w:sz w:val="24"/>
                <w:highlight w:val="none"/>
              </w:rPr>
            </w:pPr>
          </w:p>
        </w:tc>
      </w:tr>
      <w:tr w14:paraId="488623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3" w:hRule="atLeast"/>
        </w:trPr>
        <w:tc>
          <w:tcPr>
            <w:tcW w:w="958" w:type="dxa"/>
            <w:vMerge w:val="continue"/>
            <w:tcBorders>
              <w:tl2br w:val="nil"/>
              <w:tr2bl w:val="nil"/>
            </w:tcBorders>
            <w:vAlign w:val="center"/>
          </w:tcPr>
          <w:p w14:paraId="58873BFD">
            <w:pPr>
              <w:spacing w:line="360" w:lineRule="auto"/>
              <w:jc w:val="left"/>
              <w:outlineLvl w:val="0"/>
              <w:rPr>
                <w:rFonts w:ascii="宋体" w:hAnsi="宋体" w:cs="仿宋"/>
                <w:kern w:val="0"/>
                <w:sz w:val="24"/>
                <w:highlight w:val="none"/>
              </w:rPr>
            </w:pPr>
          </w:p>
        </w:tc>
        <w:tc>
          <w:tcPr>
            <w:tcW w:w="1043" w:type="dxa"/>
            <w:gridSpan w:val="2"/>
            <w:vMerge w:val="continue"/>
            <w:tcBorders>
              <w:tl2br w:val="nil"/>
              <w:tr2bl w:val="nil"/>
            </w:tcBorders>
            <w:vAlign w:val="center"/>
          </w:tcPr>
          <w:p w14:paraId="093F4AB8">
            <w:pPr>
              <w:spacing w:line="360" w:lineRule="auto"/>
              <w:jc w:val="left"/>
              <w:outlineLvl w:val="0"/>
              <w:rPr>
                <w:rFonts w:ascii="宋体" w:hAnsi="宋体" w:cs="仿宋"/>
                <w:kern w:val="0"/>
                <w:sz w:val="24"/>
                <w:highlight w:val="none"/>
              </w:rPr>
            </w:pPr>
          </w:p>
        </w:tc>
        <w:tc>
          <w:tcPr>
            <w:tcW w:w="2032" w:type="dxa"/>
            <w:tcBorders>
              <w:tl2br w:val="nil"/>
              <w:tr2bl w:val="nil"/>
            </w:tcBorders>
            <w:vAlign w:val="center"/>
          </w:tcPr>
          <w:p w14:paraId="271E5DB1">
            <w:pPr>
              <w:jc w:val="center"/>
              <w:rPr>
                <w:rFonts w:ascii="宋体" w:hAnsi="宋体" w:cs="仿宋"/>
                <w:kern w:val="0"/>
                <w:sz w:val="24"/>
                <w:highlight w:val="none"/>
              </w:rPr>
            </w:pPr>
            <w:r>
              <w:rPr>
                <w:rFonts w:hint="eastAsia" w:ascii="宋体" w:hAnsi="宋体" w:cs="宋体"/>
                <w:kern w:val="0"/>
                <w:sz w:val="24"/>
                <w:highlight w:val="none"/>
              </w:rPr>
              <w:t>创建路线及绑定-路线增加</w:t>
            </w:r>
          </w:p>
        </w:tc>
        <w:tc>
          <w:tcPr>
            <w:tcW w:w="1028" w:type="dxa"/>
            <w:tcBorders>
              <w:tl2br w:val="nil"/>
              <w:tr2bl w:val="nil"/>
            </w:tcBorders>
            <w:vAlign w:val="center"/>
          </w:tcPr>
          <w:p w14:paraId="199D6709">
            <w:pPr>
              <w:jc w:val="center"/>
              <w:rPr>
                <w:rFonts w:ascii="宋体" w:hAnsi="宋体" w:cs="宋体"/>
                <w:kern w:val="0"/>
                <w:sz w:val="24"/>
                <w:highlight w:val="none"/>
              </w:rPr>
            </w:pPr>
          </w:p>
        </w:tc>
        <w:tc>
          <w:tcPr>
            <w:tcW w:w="1028" w:type="dxa"/>
            <w:vMerge w:val="continue"/>
            <w:tcBorders>
              <w:tl2br w:val="nil"/>
              <w:tr2bl w:val="nil"/>
            </w:tcBorders>
            <w:vAlign w:val="center"/>
          </w:tcPr>
          <w:p w14:paraId="67D79F21">
            <w:pPr>
              <w:spacing w:line="360" w:lineRule="auto"/>
              <w:jc w:val="left"/>
              <w:outlineLvl w:val="0"/>
              <w:rPr>
                <w:rFonts w:ascii="宋体" w:hAnsi="宋体" w:cs="仿宋"/>
                <w:kern w:val="0"/>
                <w:sz w:val="24"/>
                <w:highlight w:val="none"/>
              </w:rPr>
            </w:pPr>
          </w:p>
        </w:tc>
        <w:tc>
          <w:tcPr>
            <w:tcW w:w="1041" w:type="dxa"/>
            <w:vMerge w:val="continue"/>
            <w:tcBorders>
              <w:tl2br w:val="nil"/>
              <w:tr2bl w:val="nil"/>
            </w:tcBorders>
            <w:vAlign w:val="center"/>
          </w:tcPr>
          <w:p w14:paraId="3E3A8E3A">
            <w:pPr>
              <w:spacing w:line="360" w:lineRule="auto"/>
              <w:jc w:val="left"/>
              <w:outlineLvl w:val="0"/>
              <w:rPr>
                <w:rFonts w:ascii="宋体" w:hAnsi="宋体" w:cs="仿宋"/>
                <w:kern w:val="0"/>
                <w:sz w:val="24"/>
                <w:highlight w:val="none"/>
              </w:rPr>
            </w:pPr>
          </w:p>
        </w:tc>
        <w:tc>
          <w:tcPr>
            <w:tcW w:w="770" w:type="dxa"/>
            <w:vMerge w:val="continue"/>
            <w:tcBorders>
              <w:tl2br w:val="nil"/>
              <w:tr2bl w:val="nil"/>
            </w:tcBorders>
            <w:vAlign w:val="center"/>
          </w:tcPr>
          <w:p w14:paraId="151F08FA">
            <w:pPr>
              <w:spacing w:line="360" w:lineRule="auto"/>
              <w:jc w:val="left"/>
              <w:outlineLvl w:val="0"/>
              <w:rPr>
                <w:rFonts w:ascii="宋体" w:hAnsi="宋体" w:cs="仿宋"/>
                <w:kern w:val="0"/>
                <w:sz w:val="24"/>
                <w:highlight w:val="none"/>
              </w:rPr>
            </w:pPr>
          </w:p>
        </w:tc>
        <w:tc>
          <w:tcPr>
            <w:tcW w:w="748" w:type="dxa"/>
            <w:vMerge w:val="continue"/>
            <w:tcBorders>
              <w:tl2br w:val="nil"/>
              <w:tr2bl w:val="nil"/>
            </w:tcBorders>
            <w:vAlign w:val="center"/>
          </w:tcPr>
          <w:p w14:paraId="31176FA3">
            <w:pPr>
              <w:spacing w:line="360" w:lineRule="auto"/>
              <w:jc w:val="left"/>
              <w:outlineLvl w:val="0"/>
              <w:rPr>
                <w:rFonts w:ascii="宋体" w:hAnsi="宋体" w:cs="仿宋"/>
                <w:kern w:val="0"/>
                <w:sz w:val="24"/>
                <w:highlight w:val="none"/>
              </w:rPr>
            </w:pPr>
          </w:p>
        </w:tc>
        <w:tc>
          <w:tcPr>
            <w:tcW w:w="748" w:type="dxa"/>
            <w:tcBorders>
              <w:tl2br w:val="nil"/>
              <w:tr2bl w:val="nil"/>
            </w:tcBorders>
            <w:vAlign w:val="center"/>
          </w:tcPr>
          <w:p w14:paraId="66C908A3">
            <w:pPr>
              <w:spacing w:line="360" w:lineRule="auto"/>
              <w:jc w:val="left"/>
              <w:outlineLvl w:val="0"/>
              <w:rPr>
                <w:rFonts w:ascii="宋体" w:hAnsi="宋体" w:cs="仿宋"/>
                <w:kern w:val="0"/>
                <w:sz w:val="24"/>
                <w:highlight w:val="none"/>
              </w:rPr>
            </w:pPr>
          </w:p>
        </w:tc>
      </w:tr>
      <w:tr w14:paraId="199570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3" w:hRule="atLeast"/>
        </w:trPr>
        <w:tc>
          <w:tcPr>
            <w:tcW w:w="958" w:type="dxa"/>
            <w:vMerge w:val="continue"/>
            <w:tcBorders>
              <w:tl2br w:val="nil"/>
              <w:tr2bl w:val="nil"/>
            </w:tcBorders>
            <w:vAlign w:val="center"/>
          </w:tcPr>
          <w:p w14:paraId="4ADF378C">
            <w:pPr>
              <w:spacing w:line="360" w:lineRule="auto"/>
              <w:jc w:val="left"/>
              <w:outlineLvl w:val="0"/>
              <w:rPr>
                <w:rFonts w:ascii="宋体" w:hAnsi="宋体" w:cs="仿宋"/>
                <w:kern w:val="0"/>
                <w:sz w:val="24"/>
                <w:highlight w:val="none"/>
              </w:rPr>
            </w:pPr>
          </w:p>
        </w:tc>
        <w:tc>
          <w:tcPr>
            <w:tcW w:w="1043" w:type="dxa"/>
            <w:gridSpan w:val="2"/>
            <w:vMerge w:val="continue"/>
            <w:tcBorders>
              <w:tl2br w:val="nil"/>
              <w:tr2bl w:val="nil"/>
            </w:tcBorders>
            <w:vAlign w:val="center"/>
          </w:tcPr>
          <w:p w14:paraId="7444A21C">
            <w:pPr>
              <w:spacing w:line="360" w:lineRule="auto"/>
              <w:jc w:val="left"/>
              <w:outlineLvl w:val="0"/>
              <w:rPr>
                <w:rFonts w:ascii="宋体" w:hAnsi="宋体" w:cs="仿宋"/>
                <w:kern w:val="0"/>
                <w:sz w:val="24"/>
                <w:highlight w:val="none"/>
              </w:rPr>
            </w:pPr>
          </w:p>
        </w:tc>
        <w:tc>
          <w:tcPr>
            <w:tcW w:w="2032" w:type="dxa"/>
            <w:tcBorders>
              <w:tl2br w:val="nil"/>
              <w:tr2bl w:val="nil"/>
            </w:tcBorders>
            <w:vAlign w:val="center"/>
          </w:tcPr>
          <w:p w14:paraId="4A179C6A">
            <w:pPr>
              <w:jc w:val="center"/>
              <w:rPr>
                <w:rFonts w:ascii="宋体" w:hAnsi="宋体" w:cs="仿宋"/>
                <w:kern w:val="0"/>
                <w:sz w:val="24"/>
                <w:highlight w:val="none"/>
              </w:rPr>
            </w:pPr>
            <w:r>
              <w:rPr>
                <w:rFonts w:hint="eastAsia" w:ascii="宋体" w:hAnsi="宋体" w:cs="宋体"/>
                <w:kern w:val="0"/>
                <w:sz w:val="24"/>
                <w:highlight w:val="none"/>
              </w:rPr>
              <w:t>创建路线及绑定-路线和线路绑定</w:t>
            </w:r>
          </w:p>
        </w:tc>
        <w:tc>
          <w:tcPr>
            <w:tcW w:w="1028" w:type="dxa"/>
            <w:tcBorders>
              <w:tl2br w:val="nil"/>
              <w:tr2bl w:val="nil"/>
            </w:tcBorders>
            <w:vAlign w:val="center"/>
          </w:tcPr>
          <w:p w14:paraId="41766226">
            <w:pPr>
              <w:jc w:val="center"/>
              <w:rPr>
                <w:rFonts w:ascii="宋体" w:hAnsi="宋体" w:cs="宋体"/>
                <w:kern w:val="0"/>
                <w:sz w:val="24"/>
                <w:highlight w:val="none"/>
              </w:rPr>
            </w:pPr>
          </w:p>
        </w:tc>
        <w:tc>
          <w:tcPr>
            <w:tcW w:w="1028" w:type="dxa"/>
            <w:vMerge w:val="continue"/>
            <w:tcBorders>
              <w:tl2br w:val="nil"/>
              <w:tr2bl w:val="nil"/>
            </w:tcBorders>
            <w:vAlign w:val="center"/>
          </w:tcPr>
          <w:p w14:paraId="63B75456">
            <w:pPr>
              <w:spacing w:line="360" w:lineRule="auto"/>
              <w:jc w:val="left"/>
              <w:outlineLvl w:val="0"/>
              <w:rPr>
                <w:rFonts w:ascii="宋体" w:hAnsi="宋体" w:cs="仿宋"/>
                <w:kern w:val="0"/>
                <w:sz w:val="24"/>
                <w:highlight w:val="none"/>
              </w:rPr>
            </w:pPr>
          </w:p>
        </w:tc>
        <w:tc>
          <w:tcPr>
            <w:tcW w:w="1041" w:type="dxa"/>
            <w:vMerge w:val="continue"/>
            <w:tcBorders>
              <w:tl2br w:val="nil"/>
              <w:tr2bl w:val="nil"/>
            </w:tcBorders>
            <w:vAlign w:val="center"/>
          </w:tcPr>
          <w:p w14:paraId="7D5E08DB">
            <w:pPr>
              <w:spacing w:line="360" w:lineRule="auto"/>
              <w:jc w:val="left"/>
              <w:outlineLvl w:val="0"/>
              <w:rPr>
                <w:rFonts w:ascii="宋体" w:hAnsi="宋体" w:cs="仿宋"/>
                <w:kern w:val="0"/>
                <w:sz w:val="24"/>
                <w:highlight w:val="none"/>
              </w:rPr>
            </w:pPr>
          </w:p>
        </w:tc>
        <w:tc>
          <w:tcPr>
            <w:tcW w:w="770" w:type="dxa"/>
            <w:vMerge w:val="continue"/>
            <w:tcBorders>
              <w:tl2br w:val="nil"/>
              <w:tr2bl w:val="nil"/>
            </w:tcBorders>
            <w:vAlign w:val="center"/>
          </w:tcPr>
          <w:p w14:paraId="0FF83507">
            <w:pPr>
              <w:spacing w:line="360" w:lineRule="auto"/>
              <w:jc w:val="left"/>
              <w:outlineLvl w:val="0"/>
              <w:rPr>
                <w:rFonts w:ascii="宋体" w:hAnsi="宋体" w:cs="仿宋"/>
                <w:kern w:val="0"/>
                <w:sz w:val="24"/>
                <w:highlight w:val="none"/>
              </w:rPr>
            </w:pPr>
          </w:p>
        </w:tc>
        <w:tc>
          <w:tcPr>
            <w:tcW w:w="748" w:type="dxa"/>
            <w:vMerge w:val="continue"/>
            <w:tcBorders>
              <w:tl2br w:val="nil"/>
              <w:tr2bl w:val="nil"/>
            </w:tcBorders>
            <w:vAlign w:val="center"/>
          </w:tcPr>
          <w:p w14:paraId="0B1424D1">
            <w:pPr>
              <w:spacing w:line="360" w:lineRule="auto"/>
              <w:jc w:val="left"/>
              <w:outlineLvl w:val="0"/>
              <w:rPr>
                <w:rFonts w:ascii="宋体" w:hAnsi="宋体" w:cs="仿宋"/>
                <w:kern w:val="0"/>
                <w:sz w:val="24"/>
                <w:highlight w:val="none"/>
              </w:rPr>
            </w:pPr>
          </w:p>
        </w:tc>
        <w:tc>
          <w:tcPr>
            <w:tcW w:w="748" w:type="dxa"/>
            <w:tcBorders>
              <w:tl2br w:val="nil"/>
              <w:tr2bl w:val="nil"/>
            </w:tcBorders>
            <w:vAlign w:val="center"/>
          </w:tcPr>
          <w:p w14:paraId="5C9482FE">
            <w:pPr>
              <w:spacing w:line="360" w:lineRule="auto"/>
              <w:jc w:val="left"/>
              <w:outlineLvl w:val="0"/>
              <w:rPr>
                <w:rFonts w:ascii="宋体" w:hAnsi="宋体" w:cs="仿宋"/>
                <w:kern w:val="0"/>
                <w:sz w:val="24"/>
                <w:highlight w:val="none"/>
              </w:rPr>
            </w:pPr>
          </w:p>
        </w:tc>
      </w:tr>
      <w:tr w14:paraId="4C5D55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3" w:hRule="atLeast"/>
        </w:trPr>
        <w:tc>
          <w:tcPr>
            <w:tcW w:w="958" w:type="dxa"/>
            <w:vMerge w:val="continue"/>
            <w:tcBorders>
              <w:tl2br w:val="nil"/>
              <w:tr2bl w:val="nil"/>
            </w:tcBorders>
            <w:vAlign w:val="center"/>
          </w:tcPr>
          <w:p w14:paraId="520D85D2">
            <w:pPr>
              <w:spacing w:line="360" w:lineRule="auto"/>
              <w:jc w:val="left"/>
              <w:outlineLvl w:val="0"/>
              <w:rPr>
                <w:rFonts w:ascii="宋体" w:hAnsi="宋体" w:cs="仿宋"/>
                <w:kern w:val="0"/>
                <w:sz w:val="24"/>
                <w:highlight w:val="none"/>
              </w:rPr>
            </w:pPr>
          </w:p>
        </w:tc>
        <w:tc>
          <w:tcPr>
            <w:tcW w:w="1043" w:type="dxa"/>
            <w:gridSpan w:val="2"/>
            <w:vMerge w:val="continue"/>
            <w:tcBorders>
              <w:tl2br w:val="nil"/>
              <w:tr2bl w:val="nil"/>
            </w:tcBorders>
            <w:vAlign w:val="center"/>
          </w:tcPr>
          <w:p w14:paraId="43D08010">
            <w:pPr>
              <w:spacing w:line="360" w:lineRule="auto"/>
              <w:jc w:val="left"/>
              <w:outlineLvl w:val="0"/>
              <w:rPr>
                <w:rFonts w:ascii="宋体" w:hAnsi="宋体" w:cs="仿宋"/>
                <w:kern w:val="0"/>
                <w:sz w:val="24"/>
                <w:highlight w:val="none"/>
              </w:rPr>
            </w:pPr>
          </w:p>
        </w:tc>
        <w:tc>
          <w:tcPr>
            <w:tcW w:w="2032" w:type="dxa"/>
            <w:tcBorders>
              <w:tl2br w:val="nil"/>
              <w:tr2bl w:val="nil"/>
            </w:tcBorders>
            <w:vAlign w:val="center"/>
          </w:tcPr>
          <w:p w14:paraId="2EFC3234">
            <w:pPr>
              <w:jc w:val="center"/>
              <w:rPr>
                <w:rFonts w:ascii="宋体" w:hAnsi="宋体" w:cs="仿宋"/>
                <w:kern w:val="0"/>
                <w:sz w:val="24"/>
                <w:highlight w:val="none"/>
              </w:rPr>
            </w:pPr>
            <w:r>
              <w:rPr>
                <w:rFonts w:hint="eastAsia" w:ascii="宋体" w:hAnsi="宋体" w:cs="宋体"/>
                <w:kern w:val="0"/>
                <w:sz w:val="24"/>
                <w:highlight w:val="none"/>
              </w:rPr>
              <w:t>搜索服务-关键字搜索</w:t>
            </w:r>
          </w:p>
        </w:tc>
        <w:tc>
          <w:tcPr>
            <w:tcW w:w="1028" w:type="dxa"/>
            <w:tcBorders>
              <w:tl2br w:val="nil"/>
              <w:tr2bl w:val="nil"/>
            </w:tcBorders>
            <w:vAlign w:val="center"/>
          </w:tcPr>
          <w:p w14:paraId="0F739667">
            <w:pPr>
              <w:jc w:val="center"/>
              <w:rPr>
                <w:rFonts w:ascii="宋体" w:hAnsi="宋体" w:cs="宋体"/>
                <w:kern w:val="0"/>
                <w:sz w:val="24"/>
                <w:highlight w:val="none"/>
              </w:rPr>
            </w:pPr>
          </w:p>
        </w:tc>
        <w:tc>
          <w:tcPr>
            <w:tcW w:w="1028" w:type="dxa"/>
            <w:vMerge w:val="continue"/>
            <w:tcBorders>
              <w:tl2br w:val="nil"/>
              <w:tr2bl w:val="nil"/>
            </w:tcBorders>
            <w:vAlign w:val="center"/>
          </w:tcPr>
          <w:p w14:paraId="5B9C3457">
            <w:pPr>
              <w:spacing w:line="360" w:lineRule="auto"/>
              <w:jc w:val="left"/>
              <w:outlineLvl w:val="0"/>
              <w:rPr>
                <w:rFonts w:ascii="宋体" w:hAnsi="宋体" w:cs="仿宋"/>
                <w:kern w:val="0"/>
                <w:sz w:val="24"/>
                <w:highlight w:val="none"/>
              </w:rPr>
            </w:pPr>
          </w:p>
        </w:tc>
        <w:tc>
          <w:tcPr>
            <w:tcW w:w="1041" w:type="dxa"/>
            <w:vMerge w:val="continue"/>
            <w:tcBorders>
              <w:tl2br w:val="nil"/>
              <w:tr2bl w:val="nil"/>
            </w:tcBorders>
            <w:vAlign w:val="center"/>
          </w:tcPr>
          <w:p w14:paraId="22E6C1E0">
            <w:pPr>
              <w:spacing w:line="360" w:lineRule="auto"/>
              <w:jc w:val="left"/>
              <w:outlineLvl w:val="0"/>
              <w:rPr>
                <w:rFonts w:ascii="宋体" w:hAnsi="宋体" w:cs="仿宋"/>
                <w:kern w:val="0"/>
                <w:sz w:val="24"/>
                <w:highlight w:val="none"/>
              </w:rPr>
            </w:pPr>
          </w:p>
        </w:tc>
        <w:tc>
          <w:tcPr>
            <w:tcW w:w="770" w:type="dxa"/>
            <w:vMerge w:val="continue"/>
            <w:tcBorders>
              <w:tl2br w:val="nil"/>
              <w:tr2bl w:val="nil"/>
            </w:tcBorders>
            <w:vAlign w:val="center"/>
          </w:tcPr>
          <w:p w14:paraId="5635F6E6">
            <w:pPr>
              <w:spacing w:line="360" w:lineRule="auto"/>
              <w:jc w:val="left"/>
              <w:outlineLvl w:val="0"/>
              <w:rPr>
                <w:rFonts w:ascii="宋体" w:hAnsi="宋体" w:cs="仿宋"/>
                <w:kern w:val="0"/>
                <w:sz w:val="24"/>
                <w:highlight w:val="none"/>
              </w:rPr>
            </w:pPr>
          </w:p>
        </w:tc>
        <w:tc>
          <w:tcPr>
            <w:tcW w:w="748" w:type="dxa"/>
            <w:vMerge w:val="continue"/>
            <w:tcBorders>
              <w:tl2br w:val="nil"/>
              <w:tr2bl w:val="nil"/>
            </w:tcBorders>
            <w:vAlign w:val="center"/>
          </w:tcPr>
          <w:p w14:paraId="5A37A2D2">
            <w:pPr>
              <w:spacing w:line="360" w:lineRule="auto"/>
              <w:jc w:val="left"/>
              <w:outlineLvl w:val="0"/>
              <w:rPr>
                <w:rFonts w:ascii="宋体" w:hAnsi="宋体" w:cs="仿宋"/>
                <w:kern w:val="0"/>
                <w:sz w:val="24"/>
                <w:highlight w:val="none"/>
              </w:rPr>
            </w:pPr>
          </w:p>
        </w:tc>
        <w:tc>
          <w:tcPr>
            <w:tcW w:w="748" w:type="dxa"/>
            <w:tcBorders>
              <w:tl2br w:val="nil"/>
              <w:tr2bl w:val="nil"/>
            </w:tcBorders>
            <w:vAlign w:val="center"/>
          </w:tcPr>
          <w:p w14:paraId="469D7F07">
            <w:pPr>
              <w:spacing w:line="360" w:lineRule="auto"/>
              <w:jc w:val="left"/>
              <w:outlineLvl w:val="0"/>
              <w:rPr>
                <w:rFonts w:ascii="宋体" w:hAnsi="宋体" w:cs="仿宋"/>
                <w:kern w:val="0"/>
                <w:sz w:val="24"/>
                <w:highlight w:val="none"/>
              </w:rPr>
            </w:pPr>
          </w:p>
        </w:tc>
      </w:tr>
      <w:tr w14:paraId="370717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3" w:hRule="atLeast"/>
        </w:trPr>
        <w:tc>
          <w:tcPr>
            <w:tcW w:w="958" w:type="dxa"/>
            <w:vMerge w:val="continue"/>
            <w:tcBorders>
              <w:tl2br w:val="nil"/>
              <w:tr2bl w:val="nil"/>
            </w:tcBorders>
            <w:vAlign w:val="center"/>
          </w:tcPr>
          <w:p w14:paraId="2A765223">
            <w:pPr>
              <w:spacing w:line="360" w:lineRule="auto"/>
              <w:jc w:val="left"/>
              <w:outlineLvl w:val="0"/>
              <w:rPr>
                <w:rFonts w:ascii="宋体" w:hAnsi="宋体" w:cs="仿宋"/>
                <w:kern w:val="0"/>
                <w:sz w:val="24"/>
                <w:highlight w:val="none"/>
              </w:rPr>
            </w:pPr>
          </w:p>
        </w:tc>
        <w:tc>
          <w:tcPr>
            <w:tcW w:w="1043" w:type="dxa"/>
            <w:gridSpan w:val="2"/>
            <w:vMerge w:val="continue"/>
            <w:tcBorders>
              <w:tl2br w:val="nil"/>
              <w:tr2bl w:val="nil"/>
            </w:tcBorders>
            <w:vAlign w:val="center"/>
          </w:tcPr>
          <w:p w14:paraId="79DEF65E">
            <w:pPr>
              <w:spacing w:line="360" w:lineRule="auto"/>
              <w:jc w:val="left"/>
              <w:outlineLvl w:val="0"/>
              <w:rPr>
                <w:rFonts w:ascii="宋体" w:hAnsi="宋体" w:cs="仿宋"/>
                <w:kern w:val="0"/>
                <w:sz w:val="24"/>
                <w:highlight w:val="none"/>
              </w:rPr>
            </w:pPr>
          </w:p>
        </w:tc>
        <w:tc>
          <w:tcPr>
            <w:tcW w:w="2032" w:type="dxa"/>
            <w:tcBorders>
              <w:tl2br w:val="nil"/>
              <w:tr2bl w:val="nil"/>
            </w:tcBorders>
            <w:vAlign w:val="center"/>
          </w:tcPr>
          <w:p w14:paraId="770AE86A">
            <w:pPr>
              <w:jc w:val="center"/>
              <w:rPr>
                <w:rFonts w:ascii="宋体" w:hAnsi="宋体" w:cs="仿宋"/>
                <w:kern w:val="0"/>
                <w:sz w:val="24"/>
                <w:highlight w:val="none"/>
              </w:rPr>
            </w:pPr>
            <w:r>
              <w:rPr>
                <w:rFonts w:hint="eastAsia" w:ascii="宋体" w:hAnsi="宋体" w:cs="宋体"/>
                <w:kern w:val="0"/>
                <w:sz w:val="24"/>
                <w:highlight w:val="none"/>
              </w:rPr>
              <w:t>定线导航信息获取服务</w:t>
            </w:r>
          </w:p>
        </w:tc>
        <w:tc>
          <w:tcPr>
            <w:tcW w:w="1028" w:type="dxa"/>
            <w:tcBorders>
              <w:tl2br w:val="nil"/>
              <w:tr2bl w:val="nil"/>
            </w:tcBorders>
            <w:vAlign w:val="center"/>
          </w:tcPr>
          <w:p w14:paraId="0CA24D4E">
            <w:pPr>
              <w:jc w:val="center"/>
              <w:rPr>
                <w:rFonts w:ascii="宋体" w:hAnsi="宋体" w:cs="宋体"/>
                <w:kern w:val="0"/>
                <w:sz w:val="24"/>
                <w:highlight w:val="none"/>
              </w:rPr>
            </w:pPr>
          </w:p>
        </w:tc>
        <w:tc>
          <w:tcPr>
            <w:tcW w:w="1028" w:type="dxa"/>
            <w:vMerge w:val="continue"/>
            <w:tcBorders>
              <w:tl2br w:val="nil"/>
              <w:tr2bl w:val="nil"/>
            </w:tcBorders>
            <w:vAlign w:val="center"/>
          </w:tcPr>
          <w:p w14:paraId="0886A78C">
            <w:pPr>
              <w:spacing w:line="360" w:lineRule="auto"/>
              <w:jc w:val="left"/>
              <w:outlineLvl w:val="0"/>
              <w:rPr>
                <w:rFonts w:ascii="宋体" w:hAnsi="宋体" w:cs="仿宋"/>
                <w:kern w:val="0"/>
                <w:sz w:val="24"/>
                <w:highlight w:val="none"/>
              </w:rPr>
            </w:pPr>
          </w:p>
        </w:tc>
        <w:tc>
          <w:tcPr>
            <w:tcW w:w="1041" w:type="dxa"/>
            <w:vMerge w:val="continue"/>
            <w:tcBorders>
              <w:tl2br w:val="nil"/>
              <w:tr2bl w:val="nil"/>
            </w:tcBorders>
            <w:vAlign w:val="center"/>
          </w:tcPr>
          <w:p w14:paraId="69AA1857">
            <w:pPr>
              <w:spacing w:line="360" w:lineRule="auto"/>
              <w:jc w:val="left"/>
              <w:outlineLvl w:val="0"/>
              <w:rPr>
                <w:rFonts w:ascii="宋体" w:hAnsi="宋体" w:cs="仿宋"/>
                <w:kern w:val="0"/>
                <w:sz w:val="24"/>
                <w:highlight w:val="none"/>
              </w:rPr>
            </w:pPr>
          </w:p>
        </w:tc>
        <w:tc>
          <w:tcPr>
            <w:tcW w:w="770" w:type="dxa"/>
            <w:vMerge w:val="continue"/>
            <w:tcBorders>
              <w:tl2br w:val="nil"/>
              <w:tr2bl w:val="nil"/>
            </w:tcBorders>
            <w:vAlign w:val="center"/>
          </w:tcPr>
          <w:p w14:paraId="3BDC80A2">
            <w:pPr>
              <w:spacing w:line="360" w:lineRule="auto"/>
              <w:jc w:val="left"/>
              <w:outlineLvl w:val="0"/>
              <w:rPr>
                <w:rFonts w:ascii="宋体" w:hAnsi="宋体" w:cs="仿宋"/>
                <w:kern w:val="0"/>
                <w:sz w:val="24"/>
                <w:highlight w:val="none"/>
              </w:rPr>
            </w:pPr>
          </w:p>
        </w:tc>
        <w:tc>
          <w:tcPr>
            <w:tcW w:w="748" w:type="dxa"/>
            <w:vMerge w:val="continue"/>
            <w:tcBorders>
              <w:tl2br w:val="nil"/>
              <w:tr2bl w:val="nil"/>
            </w:tcBorders>
            <w:vAlign w:val="center"/>
          </w:tcPr>
          <w:p w14:paraId="48414D97">
            <w:pPr>
              <w:spacing w:line="360" w:lineRule="auto"/>
              <w:jc w:val="left"/>
              <w:outlineLvl w:val="0"/>
              <w:rPr>
                <w:rFonts w:ascii="宋体" w:hAnsi="宋体" w:cs="仿宋"/>
                <w:kern w:val="0"/>
                <w:sz w:val="24"/>
                <w:highlight w:val="none"/>
              </w:rPr>
            </w:pPr>
          </w:p>
        </w:tc>
        <w:tc>
          <w:tcPr>
            <w:tcW w:w="748" w:type="dxa"/>
            <w:tcBorders>
              <w:tl2br w:val="nil"/>
              <w:tr2bl w:val="nil"/>
            </w:tcBorders>
            <w:vAlign w:val="center"/>
          </w:tcPr>
          <w:p w14:paraId="0ADE51DF">
            <w:pPr>
              <w:spacing w:line="360" w:lineRule="auto"/>
              <w:jc w:val="left"/>
              <w:outlineLvl w:val="0"/>
              <w:rPr>
                <w:rFonts w:ascii="宋体" w:hAnsi="宋体" w:cs="仿宋"/>
                <w:kern w:val="0"/>
                <w:sz w:val="24"/>
                <w:highlight w:val="none"/>
              </w:rPr>
            </w:pPr>
          </w:p>
        </w:tc>
      </w:tr>
      <w:tr w14:paraId="1A2736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3" w:hRule="atLeast"/>
        </w:trPr>
        <w:tc>
          <w:tcPr>
            <w:tcW w:w="958" w:type="dxa"/>
            <w:vMerge w:val="restart"/>
            <w:tcBorders>
              <w:tl2br w:val="nil"/>
              <w:tr2bl w:val="nil"/>
            </w:tcBorders>
            <w:vAlign w:val="center"/>
          </w:tcPr>
          <w:p w14:paraId="626F6624">
            <w:pPr>
              <w:autoSpaceDE w:val="0"/>
              <w:autoSpaceDN w:val="0"/>
              <w:rPr>
                <w:rFonts w:ascii="宋体" w:hAnsi="宋体" w:cs="仿宋"/>
                <w:snapToGrid w:val="0"/>
                <w:sz w:val="24"/>
                <w:highlight w:val="none"/>
              </w:rPr>
            </w:pPr>
          </w:p>
        </w:tc>
        <w:tc>
          <w:tcPr>
            <w:tcW w:w="1043" w:type="dxa"/>
            <w:gridSpan w:val="2"/>
            <w:vMerge w:val="restart"/>
            <w:tcBorders>
              <w:tl2br w:val="nil"/>
              <w:tr2bl w:val="nil"/>
            </w:tcBorders>
            <w:vAlign w:val="center"/>
          </w:tcPr>
          <w:p w14:paraId="6574F95F">
            <w:pPr>
              <w:autoSpaceDE w:val="0"/>
              <w:autoSpaceDN w:val="0"/>
              <w:jc w:val="center"/>
              <w:rPr>
                <w:rFonts w:ascii="宋体" w:hAnsi="宋体" w:cs="仿宋"/>
                <w:snapToGrid w:val="0"/>
                <w:sz w:val="24"/>
                <w:highlight w:val="none"/>
              </w:rPr>
            </w:pPr>
            <w:r>
              <w:rPr>
                <w:rFonts w:hint="eastAsia" w:ascii="宋体" w:hAnsi="宋体" w:cs="宋体"/>
                <w:kern w:val="0"/>
                <w:sz w:val="24"/>
                <w:highlight w:val="none"/>
              </w:rPr>
              <w:t>城市货运导航数据运营服务</w:t>
            </w:r>
          </w:p>
        </w:tc>
        <w:tc>
          <w:tcPr>
            <w:tcW w:w="2032" w:type="dxa"/>
            <w:tcBorders>
              <w:tl2br w:val="nil"/>
              <w:tr2bl w:val="nil"/>
            </w:tcBorders>
            <w:vAlign w:val="center"/>
          </w:tcPr>
          <w:p w14:paraId="2DA1BCB4">
            <w:pPr>
              <w:autoSpaceDE w:val="0"/>
              <w:autoSpaceDN w:val="0"/>
              <w:rPr>
                <w:rFonts w:ascii="宋体" w:hAnsi="宋体" w:cs="仿宋"/>
                <w:snapToGrid w:val="0"/>
                <w:sz w:val="24"/>
                <w:highlight w:val="none"/>
              </w:rPr>
            </w:pPr>
            <w:r>
              <w:rPr>
                <w:rFonts w:hint="eastAsia" w:ascii="宋体" w:hAnsi="宋体" w:cs="宋体"/>
                <w:kern w:val="0"/>
                <w:sz w:val="24"/>
                <w:highlight w:val="none"/>
              </w:rPr>
              <w:t>常态化货运交通组织优化调整数据服务</w:t>
            </w:r>
          </w:p>
        </w:tc>
        <w:tc>
          <w:tcPr>
            <w:tcW w:w="1028" w:type="dxa"/>
            <w:tcBorders>
              <w:tl2br w:val="nil"/>
              <w:tr2bl w:val="nil"/>
            </w:tcBorders>
            <w:vAlign w:val="center"/>
          </w:tcPr>
          <w:p w14:paraId="7B88A9A7">
            <w:pPr>
              <w:autoSpaceDE w:val="0"/>
              <w:autoSpaceDN w:val="0"/>
              <w:rPr>
                <w:rFonts w:ascii="宋体" w:hAnsi="宋体" w:cs="宋体"/>
                <w:kern w:val="0"/>
                <w:sz w:val="24"/>
                <w:highlight w:val="none"/>
              </w:rPr>
            </w:pPr>
          </w:p>
        </w:tc>
        <w:tc>
          <w:tcPr>
            <w:tcW w:w="1028" w:type="dxa"/>
            <w:vMerge w:val="restart"/>
            <w:tcBorders>
              <w:tl2br w:val="nil"/>
              <w:tr2bl w:val="nil"/>
            </w:tcBorders>
            <w:vAlign w:val="center"/>
          </w:tcPr>
          <w:p w14:paraId="4A868415">
            <w:pPr>
              <w:autoSpaceDE w:val="0"/>
              <w:autoSpaceDN w:val="0"/>
              <w:rPr>
                <w:rFonts w:ascii="宋体" w:hAnsi="宋体" w:cs="仿宋"/>
                <w:snapToGrid w:val="0"/>
                <w:sz w:val="24"/>
                <w:highlight w:val="none"/>
              </w:rPr>
            </w:pPr>
            <w:r>
              <w:rPr>
                <w:rFonts w:hint="eastAsia" w:ascii="宋体" w:hAnsi="宋体" w:cs="仿宋"/>
                <w:kern w:val="0"/>
                <w:sz w:val="24"/>
                <w:highlight w:val="none"/>
              </w:rPr>
              <w:t>【服务形式】驻点服务</w:t>
            </w:r>
          </w:p>
        </w:tc>
        <w:tc>
          <w:tcPr>
            <w:tcW w:w="1041" w:type="dxa"/>
            <w:vMerge w:val="restart"/>
            <w:tcBorders>
              <w:tl2br w:val="nil"/>
              <w:tr2bl w:val="nil"/>
            </w:tcBorders>
            <w:vAlign w:val="center"/>
          </w:tcPr>
          <w:p w14:paraId="44A9E2E0">
            <w:pPr>
              <w:autoSpaceDE w:val="0"/>
              <w:autoSpaceDN w:val="0"/>
              <w:rPr>
                <w:rFonts w:ascii="宋体" w:hAnsi="宋体" w:cs="仿宋"/>
                <w:snapToGrid w:val="0"/>
                <w:sz w:val="24"/>
                <w:highlight w:val="none"/>
              </w:rPr>
            </w:pPr>
            <w:r>
              <w:rPr>
                <w:rFonts w:hint="eastAsia" w:ascii="宋体" w:hAnsi="宋体" w:cs="仿宋"/>
                <w:kern w:val="0"/>
                <w:sz w:val="24"/>
                <w:highlight w:val="none"/>
              </w:rPr>
              <w:t>12</w:t>
            </w:r>
            <w:r>
              <w:rPr>
                <w:rFonts w:ascii="宋体" w:hAnsi="宋体" w:cs="仿宋"/>
                <w:kern w:val="0"/>
                <w:sz w:val="24"/>
                <w:highlight w:val="none"/>
              </w:rPr>
              <w:t>个月（202</w:t>
            </w:r>
            <w:r>
              <w:rPr>
                <w:rFonts w:hint="eastAsia" w:ascii="宋体" w:hAnsi="宋体" w:cs="仿宋"/>
                <w:kern w:val="0"/>
                <w:sz w:val="24"/>
                <w:highlight w:val="none"/>
              </w:rPr>
              <w:t>4</w:t>
            </w:r>
            <w:r>
              <w:rPr>
                <w:rFonts w:ascii="宋体" w:hAnsi="宋体" w:cs="仿宋"/>
                <w:kern w:val="0"/>
                <w:sz w:val="24"/>
                <w:highlight w:val="none"/>
              </w:rPr>
              <w:t>.</w:t>
            </w:r>
            <w:r>
              <w:rPr>
                <w:rFonts w:hint="eastAsia" w:ascii="宋体" w:hAnsi="宋体" w:cs="仿宋"/>
                <w:kern w:val="0"/>
                <w:sz w:val="24"/>
                <w:highlight w:val="none"/>
              </w:rPr>
              <w:t>8</w:t>
            </w:r>
            <w:r>
              <w:rPr>
                <w:rFonts w:ascii="宋体" w:hAnsi="宋体" w:cs="仿宋"/>
                <w:kern w:val="0"/>
                <w:sz w:val="24"/>
                <w:highlight w:val="none"/>
              </w:rPr>
              <w:t>.1-202</w:t>
            </w:r>
            <w:r>
              <w:rPr>
                <w:rFonts w:hint="eastAsia" w:ascii="宋体" w:hAnsi="宋体" w:cs="仿宋"/>
                <w:kern w:val="0"/>
                <w:sz w:val="24"/>
                <w:highlight w:val="none"/>
              </w:rPr>
              <w:t>5</w:t>
            </w:r>
            <w:r>
              <w:rPr>
                <w:rFonts w:ascii="宋体" w:hAnsi="宋体" w:cs="仿宋"/>
                <w:kern w:val="0"/>
                <w:sz w:val="24"/>
                <w:highlight w:val="none"/>
              </w:rPr>
              <w:t>.7.31）</w:t>
            </w:r>
          </w:p>
        </w:tc>
        <w:tc>
          <w:tcPr>
            <w:tcW w:w="770" w:type="dxa"/>
            <w:vMerge w:val="restart"/>
            <w:tcBorders>
              <w:tl2br w:val="nil"/>
              <w:tr2bl w:val="nil"/>
            </w:tcBorders>
            <w:vAlign w:val="center"/>
          </w:tcPr>
          <w:p w14:paraId="24475C6F">
            <w:pPr>
              <w:autoSpaceDE w:val="0"/>
              <w:autoSpaceDN w:val="0"/>
              <w:rPr>
                <w:rFonts w:ascii="宋体" w:hAnsi="宋体" w:cs="仿宋"/>
                <w:snapToGrid w:val="0"/>
                <w:sz w:val="24"/>
                <w:highlight w:val="none"/>
              </w:rPr>
            </w:pPr>
          </w:p>
        </w:tc>
        <w:tc>
          <w:tcPr>
            <w:tcW w:w="748" w:type="dxa"/>
            <w:vMerge w:val="restart"/>
            <w:tcBorders>
              <w:tl2br w:val="nil"/>
              <w:tr2bl w:val="nil"/>
            </w:tcBorders>
            <w:vAlign w:val="center"/>
          </w:tcPr>
          <w:p w14:paraId="12E1A954">
            <w:pPr>
              <w:autoSpaceDE w:val="0"/>
              <w:autoSpaceDN w:val="0"/>
              <w:rPr>
                <w:rFonts w:ascii="宋体" w:hAnsi="宋体" w:cs="仿宋"/>
                <w:snapToGrid w:val="0"/>
                <w:sz w:val="24"/>
                <w:highlight w:val="none"/>
              </w:rPr>
            </w:pPr>
          </w:p>
        </w:tc>
        <w:tc>
          <w:tcPr>
            <w:tcW w:w="748" w:type="dxa"/>
            <w:tcBorders>
              <w:tl2br w:val="nil"/>
              <w:tr2bl w:val="nil"/>
            </w:tcBorders>
            <w:vAlign w:val="center"/>
          </w:tcPr>
          <w:p w14:paraId="1BD5E78E">
            <w:pPr>
              <w:autoSpaceDE w:val="0"/>
              <w:autoSpaceDN w:val="0"/>
              <w:rPr>
                <w:rFonts w:ascii="宋体" w:hAnsi="宋体" w:cs="仿宋"/>
                <w:snapToGrid w:val="0"/>
                <w:sz w:val="24"/>
                <w:highlight w:val="none"/>
              </w:rPr>
            </w:pPr>
          </w:p>
        </w:tc>
      </w:tr>
      <w:tr w14:paraId="516F02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6" w:hRule="atLeast"/>
        </w:trPr>
        <w:tc>
          <w:tcPr>
            <w:tcW w:w="958" w:type="dxa"/>
            <w:vMerge w:val="continue"/>
            <w:tcBorders>
              <w:tl2br w:val="nil"/>
              <w:tr2bl w:val="nil"/>
            </w:tcBorders>
            <w:vAlign w:val="center"/>
          </w:tcPr>
          <w:p w14:paraId="51AB14F6">
            <w:pPr>
              <w:autoSpaceDE w:val="0"/>
              <w:autoSpaceDN w:val="0"/>
              <w:rPr>
                <w:rFonts w:ascii="宋体" w:hAnsi="宋体" w:cs="仿宋"/>
                <w:snapToGrid w:val="0"/>
                <w:sz w:val="24"/>
                <w:highlight w:val="none"/>
              </w:rPr>
            </w:pPr>
          </w:p>
        </w:tc>
        <w:tc>
          <w:tcPr>
            <w:tcW w:w="1043" w:type="dxa"/>
            <w:gridSpan w:val="2"/>
            <w:vMerge w:val="continue"/>
            <w:tcBorders>
              <w:tl2br w:val="nil"/>
              <w:tr2bl w:val="nil"/>
            </w:tcBorders>
            <w:vAlign w:val="center"/>
          </w:tcPr>
          <w:p w14:paraId="1CAAE3CC">
            <w:pPr>
              <w:autoSpaceDE w:val="0"/>
              <w:autoSpaceDN w:val="0"/>
              <w:rPr>
                <w:rFonts w:ascii="宋体" w:hAnsi="宋体" w:cs="仿宋"/>
                <w:snapToGrid w:val="0"/>
                <w:sz w:val="24"/>
                <w:highlight w:val="none"/>
              </w:rPr>
            </w:pPr>
          </w:p>
        </w:tc>
        <w:tc>
          <w:tcPr>
            <w:tcW w:w="2032" w:type="dxa"/>
            <w:tcBorders>
              <w:tl2br w:val="nil"/>
              <w:tr2bl w:val="nil"/>
            </w:tcBorders>
            <w:vAlign w:val="center"/>
          </w:tcPr>
          <w:p w14:paraId="436D627D">
            <w:pPr>
              <w:autoSpaceDE w:val="0"/>
              <w:autoSpaceDN w:val="0"/>
              <w:rPr>
                <w:rFonts w:ascii="宋体" w:hAnsi="宋体" w:cs="仿宋"/>
                <w:snapToGrid w:val="0"/>
                <w:sz w:val="24"/>
                <w:highlight w:val="none"/>
              </w:rPr>
            </w:pPr>
            <w:r>
              <w:rPr>
                <w:rFonts w:hint="eastAsia" w:ascii="宋体" w:hAnsi="宋体" w:cs="宋体"/>
                <w:kern w:val="0"/>
                <w:sz w:val="24"/>
                <w:highlight w:val="none"/>
              </w:rPr>
              <w:t>大型活动、会议货运交通组织调整数据服务</w:t>
            </w:r>
          </w:p>
        </w:tc>
        <w:tc>
          <w:tcPr>
            <w:tcW w:w="1028" w:type="dxa"/>
            <w:tcBorders>
              <w:tl2br w:val="nil"/>
              <w:tr2bl w:val="nil"/>
            </w:tcBorders>
            <w:vAlign w:val="center"/>
          </w:tcPr>
          <w:p w14:paraId="7887F8B3">
            <w:pPr>
              <w:autoSpaceDE w:val="0"/>
              <w:autoSpaceDN w:val="0"/>
              <w:rPr>
                <w:rFonts w:ascii="宋体" w:hAnsi="宋体" w:cs="宋体"/>
                <w:kern w:val="0"/>
                <w:sz w:val="24"/>
                <w:highlight w:val="none"/>
              </w:rPr>
            </w:pPr>
          </w:p>
        </w:tc>
        <w:tc>
          <w:tcPr>
            <w:tcW w:w="1028" w:type="dxa"/>
            <w:vMerge w:val="continue"/>
            <w:tcBorders>
              <w:tl2br w:val="nil"/>
              <w:tr2bl w:val="nil"/>
            </w:tcBorders>
            <w:vAlign w:val="center"/>
          </w:tcPr>
          <w:p w14:paraId="5A7E4D30">
            <w:pPr>
              <w:autoSpaceDE w:val="0"/>
              <w:autoSpaceDN w:val="0"/>
              <w:rPr>
                <w:rFonts w:ascii="宋体" w:hAnsi="宋体" w:cs="仿宋"/>
                <w:snapToGrid w:val="0"/>
                <w:sz w:val="24"/>
                <w:highlight w:val="none"/>
              </w:rPr>
            </w:pPr>
          </w:p>
        </w:tc>
        <w:tc>
          <w:tcPr>
            <w:tcW w:w="1041" w:type="dxa"/>
            <w:vMerge w:val="continue"/>
            <w:tcBorders>
              <w:tl2br w:val="nil"/>
              <w:tr2bl w:val="nil"/>
            </w:tcBorders>
            <w:vAlign w:val="center"/>
          </w:tcPr>
          <w:p w14:paraId="33013F63">
            <w:pPr>
              <w:autoSpaceDE w:val="0"/>
              <w:autoSpaceDN w:val="0"/>
              <w:rPr>
                <w:rFonts w:ascii="宋体" w:hAnsi="宋体" w:cs="仿宋"/>
                <w:snapToGrid w:val="0"/>
                <w:sz w:val="24"/>
                <w:highlight w:val="none"/>
              </w:rPr>
            </w:pPr>
          </w:p>
        </w:tc>
        <w:tc>
          <w:tcPr>
            <w:tcW w:w="770" w:type="dxa"/>
            <w:vMerge w:val="continue"/>
            <w:tcBorders>
              <w:tl2br w:val="nil"/>
              <w:tr2bl w:val="nil"/>
            </w:tcBorders>
            <w:vAlign w:val="center"/>
          </w:tcPr>
          <w:p w14:paraId="75477C0F">
            <w:pPr>
              <w:autoSpaceDE w:val="0"/>
              <w:autoSpaceDN w:val="0"/>
              <w:rPr>
                <w:rFonts w:ascii="宋体" w:hAnsi="宋体" w:cs="仿宋"/>
                <w:snapToGrid w:val="0"/>
                <w:sz w:val="24"/>
                <w:highlight w:val="none"/>
              </w:rPr>
            </w:pPr>
          </w:p>
        </w:tc>
        <w:tc>
          <w:tcPr>
            <w:tcW w:w="748" w:type="dxa"/>
            <w:vMerge w:val="continue"/>
            <w:tcBorders>
              <w:tl2br w:val="nil"/>
              <w:tr2bl w:val="nil"/>
            </w:tcBorders>
            <w:vAlign w:val="center"/>
          </w:tcPr>
          <w:p w14:paraId="16F6E1DD">
            <w:pPr>
              <w:autoSpaceDE w:val="0"/>
              <w:autoSpaceDN w:val="0"/>
              <w:rPr>
                <w:rFonts w:ascii="宋体" w:hAnsi="宋体" w:cs="仿宋"/>
                <w:snapToGrid w:val="0"/>
                <w:sz w:val="24"/>
                <w:highlight w:val="none"/>
              </w:rPr>
            </w:pPr>
          </w:p>
        </w:tc>
        <w:tc>
          <w:tcPr>
            <w:tcW w:w="748" w:type="dxa"/>
            <w:tcBorders>
              <w:tl2br w:val="nil"/>
              <w:tr2bl w:val="nil"/>
            </w:tcBorders>
            <w:vAlign w:val="center"/>
          </w:tcPr>
          <w:p w14:paraId="5BFC91EB">
            <w:pPr>
              <w:autoSpaceDE w:val="0"/>
              <w:autoSpaceDN w:val="0"/>
              <w:rPr>
                <w:rFonts w:ascii="宋体" w:hAnsi="宋体" w:cs="仿宋"/>
                <w:snapToGrid w:val="0"/>
                <w:sz w:val="24"/>
                <w:highlight w:val="none"/>
              </w:rPr>
            </w:pPr>
          </w:p>
        </w:tc>
      </w:tr>
      <w:tr w14:paraId="6B5355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44" w:hRule="atLeast"/>
        </w:trPr>
        <w:tc>
          <w:tcPr>
            <w:tcW w:w="958" w:type="dxa"/>
            <w:vMerge w:val="continue"/>
            <w:tcBorders>
              <w:tl2br w:val="nil"/>
              <w:tr2bl w:val="nil"/>
            </w:tcBorders>
            <w:vAlign w:val="center"/>
          </w:tcPr>
          <w:p w14:paraId="62155617">
            <w:pPr>
              <w:autoSpaceDE w:val="0"/>
              <w:autoSpaceDN w:val="0"/>
              <w:rPr>
                <w:rFonts w:ascii="宋体" w:hAnsi="宋体" w:cs="仿宋"/>
                <w:snapToGrid w:val="0"/>
                <w:sz w:val="24"/>
                <w:highlight w:val="none"/>
              </w:rPr>
            </w:pPr>
          </w:p>
        </w:tc>
        <w:tc>
          <w:tcPr>
            <w:tcW w:w="1043" w:type="dxa"/>
            <w:gridSpan w:val="2"/>
            <w:vMerge w:val="continue"/>
            <w:tcBorders>
              <w:tl2br w:val="nil"/>
              <w:tr2bl w:val="nil"/>
            </w:tcBorders>
            <w:vAlign w:val="center"/>
          </w:tcPr>
          <w:p w14:paraId="5F255D5E">
            <w:pPr>
              <w:autoSpaceDE w:val="0"/>
              <w:autoSpaceDN w:val="0"/>
              <w:rPr>
                <w:rFonts w:ascii="宋体" w:hAnsi="宋体" w:cs="仿宋"/>
                <w:snapToGrid w:val="0"/>
                <w:sz w:val="24"/>
                <w:highlight w:val="none"/>
              </w:rPr>
            </w:pPr>
          </w:p>
        </w:tc>
        <w:tc>
          <w:tcPr>
            <w:tcW w:w="2032" w:type="dxa"/>
            <w:tcBorders>
              <w:tl2br w:val="nil"/>
              <w:tr2bl w:val="nil"/>
            </w:tcBorders>
            <w:vAlign w:val="center"/>
          </w:tcPr>
          <w:p w14:paraId="04B4337B">
            <w:pPr>
              <w:autoSpaceDE w:val="0"/>
              <w:autoSpaceDN w:val="0"/>
              <w:rPr>
                <w:rFonts w:ascii="宋体" w:hAnsi="宋体" w:cs="仿宋"/>
                <w:snapToGrid w:val="0"/>
                <w:sz w:val="24"/>
                <w:highlight w:val="none"/>
              </w:rPr>
            </w:pPr>
            <w:r>
              <w:rPr>
                <w:rFonts w:hint="eastAsia" w:ascii="宋体" w:hAnsi="宋体" w:cs="宋体"/>
                <w:kern w:val="0"/>
                <w:sz w:val="24"/>
                <w:highlight w:val="none"/>
              </w:rPr>
              <w:t>浙江省公安厅行政审批系统、货车通行证系统数据接口对接、数据运营服务</w:t>
            </w:r>
          </w:p>
        </w:tc>
        <w:tc>
          <w:tcPr>
            <w:tcW w:w="1028" w:type="dxa"/>
            <w:tcBorders>
              <w:tl2br w:val="nil"/>
              <w:tr2bl w:val="nil"/>
            </w:tcBorders>
            <w:vAlign w:val="center"/>
          </w:tcPr>
          <w:p w14:paraId="6A183BCE">
            <w:pPr>
              <w:autoSpaceDE w:val="0"/>
              <w:autoSpaceDN w:val="0"/>
              <w:rPr>
                <w:rFonts w:ascii="宋体" w:hAnsi="宋体" w:cs="宋体"/>
                <w:kern w:val="0"/>
                <w:sz w:val="24"/>
                <w:highlight w:val="none"/>
              </w:rPr>
            </w:pPr>
          </w:p>
        </w:tc>
        <w:tc>
          <w:tcPr>
            <w:tcW w:w="1028" w:type="dxa"/>
            <w:vMerge w:val="continue"/>
            <w:tcBorders>
              <w:tl2br w:val="nil"/>
              <w:tr2bl w:val="nil"/>
            </w:tcBorders>
            <w:vAlign w:val="center"/>
          </w:tcPr>
          <w:p w14:paraId="392D5DCF">
            <w:pPr>
              <w:autoSpaceDE w:val="0"/>
              <w:autoSpaceDN w:val="0"/>
              <w:rPr>
                <w:rFonts w:ascii="宋体" w:hAnsi="宋体" w:cs="仿宋"/>
                <w:snapToGrid w:val="0"/>
                <w:sz w:val="24"/>
                <w:highlight w:val="none"/>
              </w:rPr>
            </w:pPr>
          </w:p>
        </w:tc>
        <w:tc>
          <w:tcPr>
            <w:tcW w:w="1041" w:type="dxa"/>
            <w:vMerge w:val="continue"/>
            <w:tcBorders>
              <w:tl2br w:val="nil"/>
              <w:tr2bl w:val="nil"/>
            </w:tcBorders>
            <w:vAlign w:val="center"/>
          </w:tcPr>
          <w:p w14:paraId="5B2D64E8">
            <w:pPr>
              <w:autoSpaceDE w:val="0"/>
              <w:autoSpaceDN w:val="0"/>
              <w:rPr>
                <w:rFonts w:ascii="宋体" w:hAnsi="宋体" w:cs="仿宋"/>
                <w:snapToGrid w:val="0"/>
                <w:sz w:val="24"/>
                <w:highlight w:val="none"/>
              </w:rPr>
            </w:pPr>
          </w:p>
        </w:tc>
        <w:tc>
          <w:tcPr>
            <w:tcW w:w="770" w:type="dxa"/>
            <w:vMerge w:val="continue"/>
            <w:tcBorders>
              <w:tl2br w:val="nil"/>
              <w:tr2bl w:val="nil"/>
            </w:tcBorders>
            <w:vAlign w:val="center"/>
          </w:tcPr>
          <w:p w14:paraId="6752F7CE">
            <w:pPr>
              <w:autoSpaceDE w:val="0"/>
              <w:autoSpaceDN w:val="0"/>
              <w:rPr>
                <w:rFonts w:ascii="宋体" w:hAnsi="宋体" w:cs="仿宋"/>
                <w:snapToGrid w:val="0"/>
                <w:sz w:val="24"/>
                <w:highlight w:val="none"/>
              </w:rPr>
            </w:pPr>
          </w:p>
        </w:tc>
        <w:tc>
          <w:tcPr>
            <w:tcW w:w="748" w:type="dxa"/>
            <w:vMerge w:val="continue"/>
            <w:tcBorders>
              <w:tl2br w:val="nil"/>
              <w:tr2bl w:val="nil"/>
            </w:tcBorders>
            <w:vAlign w:val="center"/>
          </w:tcPr>
          <w:p w14:paraId="42F13E52">
            <w:pPr>
              <w:autoSpaceDE w:val="0"/>
              <w:autoSpaceDN w:val="0"/>
              <w:rPr>
                <w:rFonts w:ascii="宋体" w:hAnsi="宋体" w:cs="仿宋"/>
                <w:snapToGrid w:val="0"/>
                <w:sz w:val="24"/>
                <w:highlight w:val="none"/>
              </w:rPr>
            </w:pPr>
          </w:p>
        </w:tc>
        <w:tc>
          <w:tcPr>
            <w:tcW w:w="748" w:type="dxa"/>
            <w:tcBorders>
              <w:tl2br w:val="nil"/>
              <w:tr2bl w:val="nil"/>
            </w:tcBorders>
            <w:vAlign w:val="center"/>
          </w:tcPr>
          <w:p w14:paraId="27FC7803">
            <w:pPr>
              <w:autoSpaceDE w:val="0"/>
              <w:autoSpaceDN w:val="0"/>
              <w:rPr>
                <w:rFonts w:ascii="宋体" w:hAnsi="宋体" w:cs="仿宋"/>
                <w:snapToGrid w:val="0"/>
                <w:sz w:val="24"/>
                <w:highlight w:val="none"/>
              </w:rPr>
            </w:pPr>
          </w:p>
        </w:tc>
      </w:tr>
      <w:tr w14:paraId="6D68C9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44" w:hRule="atLeast"/>
        </w:trPr>
        <w:tc>
          <w:tcPr>
            <w:tcW w:w="958" w:type="dxa"/>
            <w:vMerge w:val="continue"/>
            <w:tcBorders>
              <w:tl2br w:val="nil"/>
              <w:tr2bl w:val="nil"/>
            </w:tcBorders>
            <w:vAlign w:val="center"/>
          </w:tcPr>
          <w:p w14:paraId="787FA3E3">
            <w:pPr>
              <w:autoSpaceDE w:val="0"/>
              <w:autoSpaceDN w:val="0"/>
              <w:rPr>
                <w:rFonts w:ascii="宋体" w:hAnsi="宋体" w:cs="仿宋"/>
                <w:snapToGrid w:val="0"/>
                <w:sz w:val="24"/>
                <w:highlight w:val="none"/>
              </w:rPr>
            </w:pPr>
          </w:p>
        </w:tc>
        <w:tc>
          <w:tcPr>
            <w:tcW w:w="1043" w:type="dxa"/>
            <w:gridSpan w:val="2"/>
            <w:vMerge w:val="continue"/>
            <w:tcBorders>
              <w:tl2br w:val="nil"/>
              <w:tr2bl w:val="nil"/>
            </w:tcBorders>
            <w:vAlign w:val="center"/>
          </w:tcPr>
          <w:p w14:paraId="2B2539AC">
            <w:pPr>
              <w:autoSpaceDE w:val="0"/>
              <w:autoSpaceDN w:val="0"/>
              <w:rPr>
                <w:rFonts w:ascii="宋体" w:hAnsi="宋体" w:cs="仿宋"/>
                <w:snapToGrid w:val="0"/>
                <w:sz w:val="24"/>
                <w:highlight w:val="none"/>
              </w:rPr>
            </w:pPr>
          </w:p>
        </w:tc>
        <w:tc>
          <w:tcPr>
            <w:tcW w:w="2032" w:type="dxa"/>
            <w:tcBorders>
              <w:tl2br w:val="nil"/>
              <w:tr2bl w:val="nil"/>
            </w:tcBorders>
            <w:vAlign w:val="center"/>
          </w:tcPr>
          <w:p w14:paraId="6C1E3D91">
            <w:pPr>
              <w:autoSpaceDE w:val="0"/>
              <w:autoSpaceDN w:val="0"/>
              <w:rPr>
                <w:rFonts w:ascii="宋体" w:hAnsi="宋体" w:cs="仿宋"/>
                <w:snapToGrid w:val="0"/>
                <w:sz w:val="24"/>
                <w:highlight w:val="none"/>
              </w:rPr>
            </w:pPr>
            <w:r>
              <w:rPr>
                <w:rFonts w:hint="eastAsia" w:ascii="宋体" w:hAnsi="宋体" w:cs="宋体"/>
                <w:kern w:val="0"/>
                <w:sz w:val="24"/>
                <w:highlight w:val="none"/>
              </w:rPr>
              <w:t>大型活动期间浙江省公安厅行政审批系统、货车通行证系统数据接口对接、数据运营服务</w:t>
            </w:r>
          </w:p>
        </w:tc>
        <w:tc>
          <w:tcPr>
            <w:tcW w:w="1028" w:type="dxa"/>
            <w:tcBorders>
              <w:tl2br w:val="nil"/>
              <w:tr2bl w:val="nil"/>
            </w:tcBorders>
            <w:vAlign w:val="center"/>
          </w:tcPr>
          <w:p w14:paraId="34FA1A71">
            <w:pPr>
              <w:autoSpaceDE w:val="0"/>
              <w:autoSpaceDN w:val="0"/>
              <w:rPr>
                <w:rFonts w:ascii="宋体" w:hAnsi="宋体" w:cs="宋体"/>
                <w:kern w:val="0"/>
                <w:sz w:val="24"/>
                <w:highlight w:val="none"/>
              </w:rPr>
            </w:pPr>
          </w:p>
        </w:tc>
        <w:tc>
          <w:tcPr>
            <w:tcW w:w="1028" w:type="dxa"/>
            <w:vMerge w:val="continue"/>
            <w:tcBorders>
              <w:tl2br w:val="nil"/>
              <w:tr2bl w:val="nil"/>
            </w:tcBorders>
            <w:vAlign w:val="center"/>
          </w:tcPr>
          <w:p w14:paraId="57DA32EA">
            <w:pPr>
              <w:autoSpaceDE w:val="0"/>
              <w:autoSpaceDN w:val="0"/>
              <w:rPr>
                <w:rFonts w:ascii="宋体" w:hAnsi="宋体" w:cs="仿宋"/>
                <w:snapToGrid w:val="0"/>
                <w:sz w:val="24"/>
                <w:highlight w:val="none"/>
              </w:rPr>
            </w:pPr>
          </w:p>
        </w:tc>
        <w:tc>
          <w:tcPr>
            <w:tcW w:w="1041" w:type="dxa"/>
            <w:vMerge w:val="continue"/>
            <w:tcBorders>
              <w:tl2br w:val="nil"/>
              <w:tr2bl w:val="nil"/>
            </w:tcBorders>
            <w:vAlign w:val="center"/>
          </w:tcPr>
          <w:p w14:paraId="1D5A33B9">
            <w:pPr>
              <w:autoSpaceDE w:val="0"/>
              <w:autoSpaceDN w:val="0"/>
              <w:rPr>
                <w:rFonts w:ascii="宋体" w:hAnsi="宋体" w:cs="仿宋"/>
                <w:snapToGrid w:val="0"/>
                <w:sz w:val="24"/>
                <w:highlight w:val="none"/>
              </w:rPr>
            </w:pPr>
          </w:p>
        </w:tc>
        <w:tc>
          <w:tcPr>
            <w:tcW w:w="770" w:type="dxa"/>
            <w:vMerge w:val="continue"/>
            <w:tcBorders>
              <w:tl2br w:val="nil"/>
              <w:tr2bl w:val="nil"/>
            </w:tcBorders>
            <w:vAlign w:val="center"/>
          </w:tcPr>
          <w:p w14:paraId="088389BE">
            <w:pPr>
              <w:autoSpaceDE w:val="0"/>
              <w:autoSpaceDN w:val="0"/>
              <w:rPr>
                <w:rFonts w:ascii="宋体" w:hAnsi="宋体" w:cs="仿宋"/>
                <w:snapToGrid w:val="0"/>
                <w:sz w:val="24"/>
                <w:highlight w:val="none"/>
              </w:rPr>
            </w:pPr>
          </w:p>
        </w:tc>
        <w:tc>
          <w:tcPr>
            <w:tcW w:w="748" w:type="dxa"/>
            <w:vMerge w:val="continue"/>
            <w:tcBorders>
              <w:tl2br w:val="nil"/>
              <w:tr2bl w:val="nil"/>
            </w:tcBorders>
            <w:vAlign w:val="center"/>
          </w:tcPr>
          <w:p w14:paraId="121E7C82">
            <w:pPr>
              <w:autoSpaceDE w:val="0"/>
              <w:autoSpaceDN w:val="0"/>
              <w:rPr>
                <w:rFonts w:ascii="宋体" w:hAnsi="宋体" w:cs="仿宋"/>
                <w:snapToGrid w:val="0"/>
                <w:sz w:val="24"/>
                <w:highlight w:val="none"/>
              </w:rPr>
            </w:pPr>
          </w:p>
        </w:tc>
        <w:tc>
          <w:tcPr>
            <w:tcW w:w="748" w:type="dxa"/>
            <w:tcBorders>
              <w:tl2br w:val="nil"/>
              <w:tr2bl w:val="nil"/>
            </w:tcBorders>
            <w:vAlign w:val="center"/>
          </w:tcPr>
          <w:p w14:paraId="7C448E77">
            <w:pPr>
              <w:autoSpaceDE w:val="0"/>
              <w:autoSpaceDN w:val="0"/>
              <w:rPr>
                <w:rFonts w:ascii="宋体" w:hAnsi="宋体" w:cs="仿宋"/>
                <w:snapToGrid w:val="0"/>
                <w:sz w:val="24"/>
                <w:highlight w:val="none"/>
              </w:rPr>
            </w:pPr>
          </w:p>
        </w:tc>
      </w:tr>
      <w:tr w14:paraId="0D8FD5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4" w:hRule="atLeast"/>
        </w:trPr>
        <w:tc>
          <w:tcPr>
            <w:tcW w:w="958" w:type="dxa"/>
            <w:vMerge w:val="restart"/>
            <w:tcBorders>
              <w:tl2br w:val="nil"/>
              <w:tr2bl w:val="nil"/>
            </w:tcBorders>
            <w:vAlign w:val="center"/>
          </w:tcPr>
          <w:p w14:paraId="56812D19">
            <w:pPr>
              <w:autoSpaceDE w:val="0"/>
              <w:autoSpaceDN w:val="0"/>
              <w:rPr>
                <w:rFonts w:ascii="宋体" w:hAnsi="宋体" w:cs="仿宋"/>
                <w:snapToGrid w:val="0"/>
                <w:sz w:val="24"/>
                <w:highlight w:val="none"/>
              </w:rPr>
            </w:pPr>
            <w:r>
              <w:rPr>
                <w:rFonts w:hint="eastAsia" w:ascii="宋体" w:hAnsi="宋体" w:cs="宋体"/>
                <w:kern w:val="0"/>
                <w:sz w:val="24"/>
                <w:highlight w:val="none"/>
              </w:rPr>
              <w:t>安全防控风险预警服务</w:t>
            </w:r>
          </w:p>
        </w:tc>
        <w:tc>
          <w:tcPr>
            <w:tcW w:w="1043" w:type="dxa"/>
            <w:gridSpan w:val="2"/>
            <w:vMerge w:val="restart"/>
            <w:tcBorders>
              <w:tl2br w:val="nil"/>
              <w:tr2bl w:val="nil"/>
            </w:tcBorders>
            <w:vAlign w:val="center"/>
          </w:tcPr>
          <w:p w14:paraId="50BDBF5B">
            <w:pPr>
              <w:autoSpaceDE w:val="0"/>
              <w:autoSpaceDN w:val="0"/>
              <w:rPr>
                <w:rFonts w:ascii="宋体" w:hAnsi="宋体" w:cs="仿宋"/>
                <w:snapToGrid w:val="0"/>
                <w:sz w:val="24"/>
                <w:highlight w:val="none"/>
              </w:rPr>
            </w:pPr>
            <w:r>
              <w:rPr>
                <w:rFonts w:hint="eastAsia" w:ascii="宋体" w:hAnsi="宋体" w:cs="宋体"/>
                <w:kern w:val="0"/>
                <w:sz w:val="24"/>
                <w:highlight w:val="none"/>
              </w:rPr>
              <w:t>安全防控风险预警服务</w:t>
            </w:r>
          </w:p>
        </w:tc>
        <w:tc>
          <w:tcPr>
            <w:tcW w:w="2032" w:type="dxa"/>
            <w:tcBorders>
              <w:tl2br w:val="nil"/>
              <w:tr2bl w:val="nil"/>
            </w:tcBorders>
            <w:vAlign w:val="center"/>
          </w:tcPr>
          <w:p w14:paraId="499CB695">
            <w:pPr>
              <w:autoSpaceDE w:val="0"/>
              <w:autoSpaceDN w:val="0"/>
              <w:rPr>
                <w:rFonts w:ascii="宋体" w:hAnsi="宋体" w:cs="仿宋"/>
                <w:snapToGrid w:val="0"/>
                <w:sz w:val="24"/>
                <w:highlight w:val="none"/>
              </w:rPr>
            </w:pPr>
            <w:r>
              <w:rPr>
                <w:rFonts w:hint="eastAsia" w:ascii="宋体" w:hAnsi="宋体" w:cs="宋体"/>
                <w:kern w:val="0"/>
                <w:sz w:val="24"/>
                <w:highlight w:val="none"/>
              </w:rPr>
              <w:t>“波次统一行动”预警服务</w:t>
            </w:r>
          </w:p>
        </w:tc>
        <w:tc>
          <w:tcPr>
            <w:tcW w:w="1028" w:type="dxa"/>
            <w:tcBorders>
              <w:tl2br w:val="nil"/>
              <w:tr2bl w:val="nil"/>
            </w:tcBorders>
            <w:vAlign w:val="center"/>
          </w:tcPr>
          <w:p w14:paraId="4FCD9BE3">
            <w:pPr>
              <w:autoSpaceDE w:val="0"/>
              <w:autoSpaceDN w:val="0"/>
              <w:rPr>
                <w:rFonts w:ascii="宋体" w:hAnsi="宋体" w:cs="宋体"/>
                <w:kern w:val="0"/>
                <w:sz w:val="24"/>
                <w:highlight w:val="none"/>
              </w:rPr>
            </w:pPr>
          </w:p>
        </w:tc>
        <w:tc>
          <w:tcPr>
            <w:tcW w:w="1028" w:type="dxa"/>
            <w:vMerge w:val="restart"/>
            <w:tcBorders>
              <w:tl2br w:val="nil"/>
              <w:tr2bl w:val="nil"/>
            </w:tcBorders>
            <w:vAlign w:val="center"/>
          </w:tcPr>
          <w:p w14:paraId="59962AB9">
            <w:pPr>
              <w:autoSpaceDE w:val="0"/>
              <w:autoSpaceDN w:val="0"/>
              <w:rPr>
                <w:rFonts w:ascii="宋体" w:hAnsi="宋体" w:cs="仿宋"/>
                <w:snapToGrid w:val="0"/>
                <w:sz w:val="24"/>
                <w:highlight w:val="none"/>
              </w:rPr>
            </w:pPr>
            <w:r>
              <w:rPr>
                <w:rFonts w:hint="eastAsia" w:ascii="宋体" w:hAnsi="宋体" w:cs="仿宋"/>
                <w:kern w:val="0"/>
                <w:sz w:val="24"/>
                <w:highlight w:val="none"/>
              </w:rPr>
              <w:t>【服务形式】</w:t>
            </w:r>
            <w:r>
              <w:rPr>
                <w:rFonts w:hint="eastAsia" w:ascii="宋体" w:hAnsi="宋体" w:cs="仿宋"/>
                <w:kern w:val="0"/>
                <w:sz w:val="24"/>
                <w:szCs w:val="24"/>
                <w:highlight w:val="none"/>
              </w:rPr>
              <w:t>工具租用，租赁期满后设备处置权</w:t>
            </w:r>
            <w:r>
              <w:rPr>
                <w:rFonts w:hint="eastAsia" w:ascii="宋体" w:hAnsi="宋体" w:cs="仿宋"/>
                <w:kern w:val="0"/>
                <w:sz w:val="24"/>
                <w:szCs w:val="24"/>
                <w:highlight w:val="none"/>
                <w:lang w:val="en-US" w:eastAsia="zh-CN"/>
              </w:rPr>
              <w:t>归属甲</w:t>
            </w:r>
            <w:r>
              <w:rPr>
                <w:rFonts w:hint="eastAsia" w:ascii="宋体" w:hAnsi="宋体" w:cs="仿宋"/>
                <w:kern w:val="0"/>
                <w:sz w:val="24"/>
                <w:szCs w:val="24"/>
                <w:highlight w:val="none"/>
              </w:rPr>
              <w:t>方所有</w:t>
            </w:r>
          </w:p>
        </w:tc>
        <w:tc>
          <w:tcPr>
            <w:tcW w:w="1041" w:type="dxa"/>
            <w:vMerge w:val="restart"/>
            <w:tcBorders>
              <w:tl2br w:val="nil"/>
              <w:tr2bl w:val="nil"/>
            </w:tcBorders>
            <w:vAlign w:val="center"/>
          </w:tcPr>
          <w:p w14:paraId="119A4FCA">
            <w:pPr>
              <w:autoSpaceDE w:val="0"/>
              <w:autoSpaceDN w:val="0"/>
              <w:rPr>
                <w:rFonts w:ascii="宋体" w:hAnsi="宋体" w:cs="仿宋"/>
                <w:snapToGrid w:val="0"/>
                <w:sz w:val="24"/>
                <w:highlight w:val="none"/>
              </w:rPr>
            </w:pPr>
            <w:r>
              <w:rPr>
                <w:rFonts w:hint="eastAsia" w:ascii="宋体" w:hAnsi="宋体" w:cs="仿宋"/>
                <w:kern w:val="0"/>
                <w:sz w:val="24"/>
                <w:highlight w:val="none"/>
              </w:rPr>
              <w:t>12</w:t>
            </w:r>
            <w:r>
              <w:rPr>
                <w:rFonts w:ascii="宋体" w:hAnsi="宋体" w:cs="仿宋"/>
                <w:kern w:val="0"/>
                <w:sz w:val="24"/>
                <w:highlight w:val="none"/>
              </w:rPr>
              <w:t>个月（202</w:t>
            </w:r>
            <w:r>
              <w:rPr>
                <w:rFonts w:hint="eastAsia" w:ascii="宋体" w:hAnsi="宋体" w:cs="仿宋"/>
                <w:kern w:val="0"/>
                <w:sz w:val="24"/>
                <w:highlight w:val="none"/>
              </w:rPr>
              <w:t>4</w:t>
            </w:r>
            <w:r>
              <w:rPr>
                <w:rFonts w:ascii="宋体" w:hAnsi="宋体" w:cs="仿宋"/>
                <w:kern w:val="0"/>
                <w:sz w:val="24"/>
                <w:highlight w:val="none"/>
              </w:rPr>
              <w:t>.</w:t>
            </w:r>
            <w:r>
              <w:rPr>
                <w:rFonts w:hint="eastAsia" w:ascii="宋体" w:hAnsi="宋体" w:cs="仿宋"/>
                <w:kern w:val="0"/>
                <w:sz w:val="24"/>
                <w:highlight w:val="none"/>
              </w:rPr>
              <w:t>8</w:t>
            </w:r>
            <w:r>
              <w:rPr>
                <w:rFonts w:ascii="宋体" w:hAnsi="宋体" w:cs="仿宋"/>
                <w:kern w:val="0"/>
                <w:sz w:val="24"/>
                <w:highlight w:val="none"/>
              </w:rPr>
              <w:t>.1-202</w:t>
            </w:r>
            <w:r>
              <w:rPr>
                <w:rFonts w:hint="eastAsia" w:ascii="宋体" w:hAnsi="宋体" w:cs="仿宋"/>
                <w:kern w:val="0"/>
                <w:sz w:val="24"/>
                <w:highlight w:val="none"/>
              </w:rPr>
              <w:t>5</w:t>
            </w:r>
            <w:r>
              <w:rPr>
                <w:rFonts w:ascii="宋体" w:hAnsi="宋体" w:cs="仿宋"/>
                <w:kern w:val="0"/>
                <w:sz w:val="24"/>
                <w:highlight w:val="none"/>
              </w:rPr>
              <w:t>.7.31）</w:t>
            </w:r>
          </w:p>
        </w:tc>
        <w:tc>
          <w:tcPr>
            <w:tcW w:w="770" w:type="dxa"/>
            <w:vMerge w:val="restart"/>
            <w:tcBorders>
              <w:tl2br w:val="nil"/>
              <w:tr2bl w:val="nil"/>
            </w:tcBorders>
            <w:vAlign w:val="center"/>
          </w:tcPr>
          <w:p w14:paraId="6F95ECD7">
            <w:pPr>
              <w:autoSpaceDE w:val="0"/>
              <w:autoSpaceDN w:val="0"/>
              <w:rPr>
                <w:rFonts w:ascii="宋体" w:hAnsi="宋体" w:cs="仿宋"/>
                <w:snapToGrid w:val="0"/>
                <w:sz w:val="24"/>
                <w:highlight w:val="none"/>
              </w:rPr>
            </w:pPr>
          </w:p>
        </w:tc>
        <w:tc>
          <w:tcPr>
            <w:tcW w:w="748" w:type="dxa"/>
            <w:vMerge w:val="restart"/>
            <w:tcBorders>
              <w:tl2br w:val="nil"/>
              <w:tr2bl w:val="nil"/>
            </w:tcBorders>
            <w:vAlign w:val="center"/>
          </w:tcPr>
          <w:p w14:paraId="04C483E7">
            <w:pPr>
              <w:autoSpaceDE w:val="0"/>
              <w:autoSpaceDN w:val="0"/>
              <w:rPr>
                <w:rFonts w:ascii="宋体" w:hAnsi="宋体" w:cs="仿宋"/>
                <w:snapToGrid w:val="0"/>
                <w:sz w:val="24"/>
                <w:highlight w:val="none"/>
              </w:rPr>
            </w:pPr>
          </w:p>
        </w:tc>
        <w:tc>
          <w:tcPr>
            <w:tcW w:w="748" w:type="dxa"/>
            <w:tcBorders>
              <w:tl2br w:val="nil"/>
              <w:tr2bl w:val="nil"/>
            </w:tcBorders>
            <w:vAlign w:val="center"/>
          </w:tcPr>
          <w:p w14:paraId="2E341AFB">
            <w:pPr>
              <w:autoSpaceDE w:val="0"/>
              <w:autoSpaceDN w:val="0"/>
              <w:rPr>
                <w:rFonts w:ascii="宋体" w:hAnsi="宋体" w:cs="仿宋"/>
                <w:snapToGrid w:val="0"/>
                <w:sz w:val="24"/>
                <w:highlight w:val="none"/>
              </w:rPr>
            </w:pPr>
          </w:p>
        </w:tc>
      </w:tr>
      <w:tr w14:paraId="37C719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4" w:hRule="atLeast"/>
        </w:trPr>
        <w:tc>
          <w:tcPr>
            <w:tcW w:w="958" w:type="dxa"/>
            <w:vMerge w:val="continue"/>
            <w:tcBorders>
              <w:tl2br w:val="nil"/>
              <w:tr2bl w:val="nil"/>
            </w:tcBorders>
            <w:vAlign w:val="center"/>
          </w:tcPr>
          <w:p w14:paraId="6E9C1060">
            <w:pPr>
              <w:autoSpaceDE w:val="0"/>
              <w:autoSpaceDN w:val="0"/>
              <w:rPr>
                <w:rFonts w:ascii="宋体" w:hAnsi="宋体" w:cs="仿宋"/>
                <w:snapToGrid w:val="0"/>
                <w:sz w:val="24"/>
                <w:highlight w:val="none"/>
              </w:rPr>
            </w:pPr>
          </w:p>
        </w:tc>
        <w:tc>
          <w:tcPr>
            <w:tcW w:w="1043" w:type="dxa"/>
            <w:gridSpan w:val="2"/>
            <w:vMerge w:val="continue"/>
            <w:tcBorders>
              <w:tl2br w:val="nil"/>
              <w:tr2bl w:val="nil"/>
            </w:tcBorders>
            <w:vAlign w:val="center"/>
          </w:tcPr>
          <w:p w14:paraId="43C61FF8">
            <w:pPr>
              <w:autoSpaceDE w:val="0"/>
              <w:autoSpaceDN w:val="0"/>
              <w:rPr>
                <w:rFonts w:ascii="宋体" w:hAnsi="宋体" w:cs="仿宋"/>
                <w:snapToGrid w:val="0"/>
                <w:sz w:val="24"/>
                <w:highlight w:val="none"/>
              </w:rPr>
            </w:pPr>
          </w:p>
        </w:tc>
        <w:tc>
          <w:tcPr>
            <w:tcW w:w="2032" w:type="dxa"/>
            <w:tcBorders>
              <w:tl2br w:val="nil"/>
              <w:tr2bl w:val="nil"/>
            </w:tcBorders>
            <w:vAlign w:val="center"/>
          </w:tcPr>
          <w:p w14:paraId="57D223D3">
            <w:pPr>
              <w:autoSpaceDE w:val="0"/>
              <w:autoSpaceDN w:val="0"/>
              <w:rPr>
                <w:rFonts w:ascii="宋体" w:hAnsi="宋体" w:cs="仿宋"/>
                <w:snapToGrid w:val="0"/>
                <w:sz w:val="24"/>
                <w:highlight w:val="none"/>
              </w:rPr>
            </w:pPr>
            <w:r>
              <w:rPr>
                <w:rFonts w:hint="eastAsia" w:ascii="宋体" w:hAnsi="宋体" w:cs="宋体"/>
                <w:kern w:val="0"/>
                <w:sz w:val="24"/>
                <w:highlight w:val="none"/>
              </w:rPr>
              <w:t>事故与违法查处趋势分析服务</w:t>
            </w:r>
          </w:p>
        </w:tc>
        <w:tc>
          <w:tcPr>
            <w:tcW w:w="1028" w:type="dxa"/>
            <w:tcBorders>
              <w:tl2br w:val="nil"/>
              <w:tr2bl w:val="nil"/>
            </w:tcBorders>
            <w:vAlign w:val="center"/>
          </w:tcPr>
          <w:p w14:paraId="4355DC58">
            <w:pPr>
              <w:autoSpaceDE w:val="0"/>
              <w:autoSpaceDN w:val="0"/>
              <w:rPr>
                <w:rFonts w:ascii="宋体" w:hAnsi="宋体" w:cs="宋体"/>
                <w:kern w:val="0"/>
                <w:sz w:val="24"/>
                <w:highlight w:val="none"/>
              </w:rPr>
            </w:pPr>
          </w:p>
        </w:tc>
        <w:tc>
          <w:tcPr>
            <w:tcW w:w="1028" w:type="dxa"/>
            <w:vMerge w:val="continue"/>
            <w:tcBorders>
              <w:tl2br w:val="nil"/>
              <w:tr2bl w:val="nil"/>
            </w:tcBorders>
            <w:vAlign w:val="center"/>
          </w:tcPr>
          <w:p w14:paraId="0CE57001">
            <w:pPr>
              <w:autoSpaceDE w:val="0"/>
              <w:autoSpaceDN w:val="0"/>
              <w:rPr>
                <w:rFonts w:ascii="宋体" w:hAnsi="宋体" w:cs="仿宋"/>
                <w:snapToGrid w:val="0"/>
                <w:sz w:val="24"/>
                <w:highlight w:val="none"/>
              </w:rPr>
            </w:pPr>
          </w:p>
        </w:tc>
        <w:tc>
          <w:tcPr>
            <w:tcW w:w="1041" w:type="dxa"/>
            <w:vMerge w:val="continue"/>
            <w:tcBorders>
              <w:tl2br w:val="nil"/>
              <w:tr2bl w:val="nil"/>
            </w:tcBorders>
            <w:vAlign w:val="center"/>
          </w:tcPr>
          <w:p w14:paraId="3CD7E04D">
            <w:pPr>
              <w:autoSpaceDE w:val="0"/>
              <w:autoSpaceDN w:val="0"/>
              <w:rPr>
                <w:rFonts w:ascii="宋体" w:hAnsi="宋体" w:cs="仿宋"/>
                <w:snapToGrid w:val="0"/>
                <w:sz w:val="24"/>
                <w:highlight w:val="none"/>
              </w:rPr>
            </w:pPr>
          </w:p>
        </w:tc>
        <w:tc>
          <w:tcPr>
            <w:tcW w:w="770" w:type="dxa"/>
            <w:vMerge w:val="continue"/>
            <w:tcBorders>
              <w:tl2br w:val="nil"/>
              <w:tr2bl w:val="nil"/>
            </w:tcBorders>
            <w:vAlign w:val="center"/>
          </w:tcPr>
          <w:p w14:paraId="4A834D22">
            <w:pPr>
              <w:autoSpaceDE w:val="0"/>
              <w:autoSpaceDN w:val="0"/>
              <w:rPr>
                <w:rFonts w:ascii="宋体" w:hAnsi="宋体" w:cs="仿宋"/>
                <w:snapToGrid w:val="0"/>
                <w:sz w:val="24"/>
                <w:highlight w:val="none"/>
              </w:rPr>
            </w:pPr>
          </w:p>
        </w:tc>
        <w:tc>
          <w:tcPr>
            <w:tcW w:w="748" w:type="dxa"/>
            <w:vMerge w:val="continue"/>
            <w:tcBorders>
              <w:tl2br w:val="nil"/>
              <w:tr2bl w:val="nil"/>
            </w:tcBorders>
            <w:vAlign w:val="center"/>
          </w:tcPr>
          <w:p w14:paraId="6EE9DEE7">
            <w:pPr>
              <w:autoSpaceDE w:val="0"/>
              <w:autoSpaceDN w:val="0"/>
              <w:rPr>
                <w:rFonts w:ascii="宋体" w:hAnsi="宋体" w:cs="仿宋"/>
                <w:snapToGrid w:val="0"/>
                <w:sz w:val="24"/>
                <w:highlight w:val="none"/>
              </w:rPr>
            </w:pPr>
          </w:p>
        </w:tc>
        <w:tc>
          <w:tcPr>
            <w:tcW w:w="748" w:type="dxa"/>
            <w:tcBorders>
              <w:tl2br w:val="nil"/>
              <w:tr2bl w:val="nil"/>
            </w:tcBorders>
            <w:vAlign w:val="center"/>
          </w:tcPr>
          <w:p w14:paraId="49D44D23">
            <w:pPr>
              <w:autoSpaceDE w:val="0"/>
              <w:autoSpaceDN w:val="0"/>
              <w:rPr>
                <w:rFonts w:ascii="宋体" w:hAnsi="宋体" w:cs="仿宋"/>
                <w:snapToGrid w:val="0"/>
                <w:sz w:val="24"/>
                <w:highlight w:val="none"/>
              </w:rPr>
            </w:pPr>
          </w:p>
        </w:tc>
      </w:tr>
      <w:tr w14:paraId="2296DE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 w:hRule="atLeast"/>
        </w:trPr>
        <w:tc>
          <w:tcPr>
            <w:tcW w:w="958" w:type="dxa"/>
            <w:vMerge w:val="continue"/>
            <w:tcBorders>
              <w:tl2br w:val="nil"/>
              <w:tr2bl w:val="nil"/>
            </w:tcBorders>
            <w:vAlign w:val="center"/>
          </w:tcPr>
          <w:p w14:paraId="3C009615">
            <w:pPr>
              <w:autoSpaceDE w:val="0"/>
              <w:autoSpaceDN w:val="0"/>
              <w:rPr>
                <w:rFonts w:ascii="宋体" w:hAnsi="宋体" w:cs="仿宋"/>
                <w:snapToGrid w:val="0"/>
                <w:sz w:val="24"/>
                <w:highlight w:val="none"/>
              </w:rPr>
            </w:pPr>
          </w:p>
        </w:tc>
        <w:tc>
          <w:tcPr>
            <w:tcW w:w="1043" w:type="dxa"/>
            <w:gridSpan w:val="2"/>
            <w:vMerge w:val="continue"/>
            <w:tcBorders>
              <w:tl2br w:val="nil"/>
              <w:tr2bl w:val="nil"/>
            </w:tcBorders>
            <w:vAlign w:val="center"/>
          </w:tcPr>
          <w:p w14:paraId="719C915A">
            <w:pPr>
              <w:autoSpaceDE w:val="0"/>
              <w:autoSpaceDN w:val="0"/>
              <w:rPr>
                <w:rFonts w:ascii="宋体" w:hAnsi="宋体" w:cs="仿宋"/>
                <w:snapToGrid w:val="0"/>
                <w:sz w:val="24"/>
                <w:highlight w:val="none"/>
              </w:rPr>
            </w:pPr>
          </w:p>
        </w:tc>
        <w:tc>
          <w:tcPr>
            <w:tcW w:w="2032" w:type="dxa"/>
            <w:tcBorders>
              <w:tl2br w:val="nil"/>
              <w:tr2bl w:val="nil"/>
            </w:tcBorders>
            <w:vAlign w:val="center"/>
          </w:tcPr>
          <w:p w14:paraId="420B236A">
            <w:pPr>
              <w:autoSpaceDE w:val="0"/>
              <w:autoSpaceDN w:val="0"/>
              <w:rPr>
                <w:rFonts w:ascii="宋体" w:hAnsi="宋体" w:cs="仿宋"/>
                <w:snapToGrid w:val="0"/>
                <w:sz w:val="24"/>
                <w:highlight w:val="none"/>
              </w:rPr>
            </w:pPr>
            <w:r>
              <w:rPr>
                <w:rFonts w:hint="eastAsia" w:ascii="宋体" w:hAnsi="宋体" w:cs="宋体"/>
                <w:kern w:val="0"/>
                <w:sz w:val="24"/>
                <w:highlight w:val="none"/>
              </w:rPr>
              <w:t>亡人事故地图服务</w:t>
            </w:r>
          </w:p>
        </w:tc>
        <w:tc>
          <w:tcPr>
            <w:tcW w:w="1028" w:type="dxa"/>
            <w:tcBorders>
              <w:tl2br w:val="nil"/>
              <w:tr2bl w:val="nil"/>
            </w:tcBorders>
            <w:vAlign w:val="center"/>
          </w:tcPr>
          <w:p w14:paraId="0B5800D0">
            <w:pPr>
              <w:autoSpaceDE w:val="0"/>
              <w:autoSpaceDN w:val="0"/>
              <w:rPr>
                <w:rFonts w:ascii="宋体" w:hAnsi="宋体" w:cs="宋体"/>
                <w:kern w:val="0"/>
                <w:sz w:val="24"/>
                <w:highlight w:val="none"/>
              </w:rPr>
            </w:pPr>
          </w:p>
        </w:tc>
        <w:tc>
          <w:tcPr>
            <w:tcW w:w="1028" w:type="dxa"/>
            <w:vMerge w:val="continue"/>
            <w:tcBorders>
              <w:tl2br w:val="nil"/>
              <w:tr2bl w:val="nil"/>
            </w:tcBorders>
            <w:vAlign w:val="center"/>
          </w:tcPr>
          <w:p w14:paraId="1B66DF9E">
            <w:pPr>
              <w:autoSpaceDE w:val="0"/>
              <w:autoSpaceDN w:val="0"/>
              <w:rPr>
                <w:rFonts w:ascii="宋体" w:hAnsi="宋体" w:cs="仿宋"/>
                <w:snapToGrid w:val="0"/>
                <w:sz w:val="24"/>
                <w:highlight w:val="none"/>
              </w:rPr>
            </w:pPr>
          </w:p>
        </w:tc>
        <w:tc>
          <w:tcPr>
            <w:tcW w:w="1041" w:type="dxa"/>
            <w:vMerge w:val="continue"/>
            <w:tcBorders>
              <w:tl2br w:val="nil"/>
              <w:tr2bl w:val="nil"/>
            </w:tcBorders>
            <w:vAlign w:val="center"/>
          </w:tcPr>
          <w:p w14:paraId="4F9B432C">
            <w:pPr>
              <w:autoSpaceDE w:val="0"/>
              <w:autoSpaceDN w:val="0"/>
              <w:rPr>
                <w:rFonts w:ascii="宋体" w:hAnsi="宋体" w:cs="仿宋"/>
                <w:snapToGrid w:val="0"/>
                <w:sz w:val="24"/>
                <w:highlight w:val="none"/>
              </w:rPr>
            </w:pPr>
          </w:p>
        </w:tc>
        <w:tc>
          <w:tcPr>
            <w:tcW w:w="770" w:type="dxa"/>
            <w:vMerge w:val="continue"/>
            <w:tcBorders>
              <w:tl2br w:val="nil"/>
              <w:tr2bl w:val="nil"/>
            </w:tcBorders>
            <w:vAlign w:val="center"/>
          </w:tcPr>
          <w:p w14:paraId="5744F546">
            <w:pPr>
              <w:autoSpaceDE w:val="0"/>
              <w:autoSpaceDN w:val="0"/>
              <w:rPr>
                <w:rFonts w:ascii="宋体" w:hAnsi="宋体" w:cs="仿宋"/>
                <w:snapToGrid w:val="0"/>
                <w:sz w:val="24"/>
                <w:highlight w:val="none"/>
              </w:rPr>
            </w:pPr>
          </w:p>
        </w:tc>
        <w:tc>
          <w:tcPr>
            <w:tcW w:w="748" w:type="dxa"/>
            <w:vMerge w:val="continue"/>
            <w:tcBorders>
              <w:tl2br w:val="nil"/>
              <w:tr2bl w:val="nil"/>
            </w:tcBorders>
            <w:vAlign w:val="center"/>
          </w:tcPr>
          <w:p w14:paraId="6DE386C9">
            <w:pPr>
              <w:autoSpaceDE w:val="0"/>
              <w:autoSpaceDN w:val="0"/>
              <w:rPr>
                <w:rFonts w:ascii="宋体" w:hAnsi="宋体" w:cs="仿宋"/>
                <w:snapToGrid w:val="0"/>
                <w:sz w:val="24"/>
                <w:highlight w:val="none"/>
              </w:rPr>
            </w:pPr>
          </w:p>
        </w:tc>
        <w:tc>
          <w:tcPr>
            <w:tcW w:w="748" w:type="dxa"/>
            <w:tcBorders>
              <w:tl2br w:val="nil"/>
              <w:tr2bl w:val="nil"/>
            </w:tcBorders>
            <w:vAlign w:val="center"/>
          </w:tcPr>
          <w:p w14:paraId="08FBBAC6">
            <w:pPr>
              <w:autoSpaceDE w:val="0"/>
              <w:autoSpaceDN w:val="0"/>
              <w:rPr>
                <w:rFonts w:ascii="宋体" w:hAnsi="宋体" w:cs="仿宋"/>
                <w:snapToGrid w:val="0"/>
                <w:sz w:val="24"/>
                <w:highlight w:val="none"/>
              </w:rPr>
            </w:pPr>
          </w:p>
        </w:tc>
      </w:tr>
      <w:tr w14:paraId="2466CC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4" w:hRule="atLeast"/>
        </w:trPr>
        <w:tc>
          <w:tcPr>
            <w:tcW w:w="958" w:type="dxa"/>
            <w:vMerge w:val="continue"/>
            <w:tcBorders>
              <w:tl2br w:val="nil"/>
              <w:tr2bl w:val="nil"/>
            </w:tcBorders>
            <w:vAlign w:val="center"/>
          </w:tcPr>
          <w:p w14:paraId="251EFC5B">
            <w:pPr>
              <w:autoSpaceDE w:val="0"/>
              <w:autoSpaceDN w:val="0"/>
              <w:rPr>
                <w:rFonts w:ascii="宋体" w:hAnsi="宋体" w:cs="仿宋"/>
                <w:snapToGrid w:val="0"/>
                <w:sz w:val="24"/>
                <w:highlight w:val="none"/>
              </w:rPr>
            </w:pPr>
          </w:p>
        </w:tc>
        <w:tc>
          <w:tcPr>
            <w:tcW w:w="1043" w:type="dxa"/>
            <w:gridSpan w:val="2"/>
            <w:vMerge w:val="continue"/>
            <w:tcBorders>
              <w:tl2br w:val="nil"/>
              <w:tr2bl w:val="nil"/>
            </w:tcBorders>
            <w:vAlign w:val="center"/>
          </w:tcPr>
          <w:p w14:paraId="5B73C5A0">
            <w:pPr>
              <w:autoSpaceDE w:val="0"/>
              <w:autoSpaceDN w:val="0"/>
              <w:rPr>
                <w:rFonts w:ascii="宋体" w:hAnsi="宋体" w:cs="仿宋"/>
                <w:snapToGrid w:val="0"/>
                <w:sz w:val="24"/>
                <w:highlight w:val="none"/>
              </w:rPr>
            </w:pPr>
          </w:p>
        </w:tc>
        <w:tc>
          <w:tcPr>
            <w:tcW w:w="2032" w:type="dxa"/>
            <w:tcBorders>
              <w:tl2br w:val="nil"/>
              <w:tr2bl w:val="nil"/>
            </w:tcBorders>
            <w:vAlign w:val="center"/>
          </w:tcPr>
          <w:p w14:paraId="020429FF">
            <w:pPr>
              <w:autoSpaceDE w:val="0"/>
              <w:autoSpaceDN w:val="0"/>
              <w:rPr>
                <w:rFonts w:ascii="宋体" w:hAnsi="宋体" w:cs="仿宋"/>
                <w:snapToGrid w:val="0"/>
                <w:sz w:val="24"/>
                <w:highlight w:val="none"/>
              </w:rPr>
            </w:pPr>
            <w:r>
              <w:rPr>
                <w:rFonts w:hint="eastAsia" w:ascii="宋体" w:hAnsi="宋体" w:cs="宋体"/>
                <w:kern w:val="0"/>
                <w:sz w:val="24"/>
                <w:highlight w:val="none"/>
              </w:rPr>
              <w:t>违法查处数据模型服务</w:t>
            </w:r>
          </w:p>
        </w:tc>
        <w:tc>
          <w:tcPr>
            <w:tcW w:w="1028" w:type="dxa"/>
            <w:tcBorders>
              <w:tl2br w:val="nil"/>
              <w:tr2bl w:val="nil"/>
            </w:tcBorders>
            <w:vAlign w:val="center"/>
          </w:tcPr>
          <w:p w14:paraId="0AC337D8">
            <w:pPr>
              <w:autoSpaceDE w:val="0"/>
              <w:autoSpaceDN w:val="0"/>
              <w:rPr>
                <w:rFonts w:ascii="宋体" w:hAnsi="宋体" w:cs="宋体"/>
                <w:kern w:val="0"/>
                <w:sz w:val="24"/>
                <w:highlight w:val="none"/>
              </w:rPr>
            </w:pPr>
          </w:p>
        </w:tc>
        <w:tc>
          <w:tcPr>
            <w:tcW w:w="1028" w:type="dxa"/>
            <w:vMerge w:val="continue"/>
            <w:tcBorders>
              <w:tl2br w:val="nil"/>
              <w:tr2bl w:val="nil"/>
            </w:tcBorders>
            <w:vAlign w:val="center"/>
          </w:tcPr>
          <w:p w14:paraId="4C8CBDEA">
            <w:pPr>
              <w:autoSpaceDE w:val="0"/>
              <w:autoSpaceDN w:val="0"/>
              <w:rPr>
                <w:rFonts w:ascii="宋体" w:hAnsi="宋体" w:cs="仿宋"/>
                <w:snapToGrid w:val="0"/>
                <w:sz w:val="24"/>
                <w:highlight w:val="none"/>
              </w:rPr>
            </w:pPr>
          </w:p>
        </w:tc>
        <w:tc>
          <w:tcPr>
            <w:tcW w:w="1041" w:type="dxa"/>
            <w:vMerge w:val="continue"/>
            <w:tcBorders>
              <w:tl2br w:val="nil"/>
              <w:tr2bl w:val="nil"/>
            </w:tcBorders>
            <w:vAlign w:val="center"/>
          </w:tcPr>
          <w:p w14:paraId="00F3DCBA">
            <w:pPr>
              <w:autoSpaceDE w:val="0"/>
              <w:autoSpaceDN w:val="0"/>
              <w:rPr>
                <w:rFonts w:ascii="宋体" w:hAnsi="宋体" w:cs="仿宋"/>
                <w:snapToGrid w:val="0"/>
                <w:sz w:val="24"/>
                <w:highlight w:val="none"/>
              </w:rPr>
            </w:pPr>
          </w:p>
        </w:tc>
        <w:tc>
          <w:tcPr>
            <w:tcW w:w="770" w:type="dxa"/>
            <w:vMerge w:val="continue"/>
            <w:tcBorders>
              <w:tl2br w:val="nil"/>
              <w:tr2bl w:val="nil"/>
            </w:tcBorders>
            <w:vAlign w:val="center"/>
          </w:tcPr>
          <w:p w14:paraId="761ED5D1">
            <w:pPr>
              <w:autoSpaceDE w:val="0"/>
              <w:autoSpaceDN w:val="0"/>
              <w:rPr>
                <w:rFonts w:ascii="宋体" w:hAnsi="宋体" w:cs="仿宋"/>
                <w:snapToGrid w:val="0"/>
                <w:sz w:val="24"/>
                <w:highlight w:val="none"/>
              </w:rPr>
            </w:pPr>
          </w:p>
        </w:tc>
        <w:tc>
          <w:tcPr>
            <w:tcW w:w="748" w:type="dxa"/>
            <w:vMerge w:val="continue"/>
            <w:tcBorders>
              <w:tl2br w:val="nil"/>
              <w:tr2bl w:val="nil"/>
            </w:tcBorders>
            <w:vAlign w:val="center"/>
          </w:tcPr>
          <w:p w14:paraId="35819FA4">
            <w:pPr>
              <w:autoSpaceDE w:val="0"/>
              <w:autoSpaceDN w:val="0"/>
              <w:rPr>
                <w:rFonts w:ascii="宋体" w:hAnsi="宋体" w:cs="仿宋"/>
                <w:snapToGrid w:val="0"/>
                <w:sz w:val="24"/>
                <w:highlight w:val="none"/>
              </w:rPr>
            </w:pPr>
          </w:p>
        </w:tc>
        <w:tc>
          <w:tcPr>
            <w:tcW w:w="748" w:type="dxa"/>
            <w:tcBorders>
              <w:tl2br w:val="nil"/>
              <w:tr2bl w:val="nil"/>
            </w:tcBorders>
            <w:vAlign w:val="center"/>
          </w:tcPr>
          <w:p w14:paraId="3AB5C3FE">
            <w:pPr>
              <w:autoSpaceDE w:val="0"/>
              <w:autoSpaceDN w:val="0"/>
              <w:rPr>
                <w:rFonts w:ascii="宋体" w:hAnsi="宋体" w:cs="仿宋"/>
                <w:snapToGrid w:val="0"/>
                <w:sz w:val="24"/>
                <w:highlight w:val="none"/>
              </w:rPr>
            </w:pPr>
          </w:p>
        </w:tc>
      </w:tr>
      <w:tr w14:paraId="3313FE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3" w:hRule="atLeast"/>
        </w:trPr>
        <w:tc>
          <w:tcPr>
            <w:tcW w:w="1028" w:type="dxa"/>
            <w:gridSpan w:val="2"/>
            <w:tcBorders>
              <w:tl2br w:val="nil"/>
              <w:tr2bl w:val="nil"/>
            </w:tcBorders>
            <w:vAlign w:val="center"/>
          </w:tcPr>
          <w:p w14:paraId="25EACE93">
            <w:pPr>
              <w:autoSpaceDE w:val="0"/>
              <w:autoSpaceDN w:val="0"/>
              <w:ind w:firstLine="480" w:firstLineChars="200"/>
              <w:jc w:val="left"/>
              <w:rPr>
                <w:rFonts w:ascii="宋体" w:hAnsi="宋体" w:cs="仿宋"/>
                <w:snapToGrid w:val="0"/>
                <w:sz w:val="24"/>
                <w:highlight w:val="none"/>
              </w:rPr>
            </w:pPr>
          </w:p>
        </w:tc>
        <w:tc>
          <w:tcPr>
            <w:tcW w:w="7620" w:type="dxa"/>
            <w:gridSpan w:val="7"/>
            <w:tcBorders>
              <w:tl2br w:val="nil"/>
              <w:tr2bl w:val="nil"/>
            </w:tcBorders>
            <w:vAlign w:val="center"/>
          </w:tcPr>
          <w:p w14:paraId="76859826">
            <w:pPr>
              <w:autoSpaceDE w:val="0"/>
              <w:autoSpaceDN w:val="0"/>
              <w:rPr>
                <w:rFonts w:ascii="宋体" w:hAnsi="宋体" w:cs="仿宋"/>
                <w:snapToGrid w:val="0"/>
                <w:sz w:val="24"/>
                <w:highlight w:val="none"/>
              </w:rPr>
            </w:pPr>
            <w:r>
              <w:rPr>
                <w:rFonts w:hint="eastAsia" w:ascii="宋体" w:hAnsi="宋体" w:cs="仿宋"/>
                <w:snapToGrid w:val="0"/>
                <w:sz w:val="24"/>
                <w:highlight w:val="none"/>
              </w:rPr>
              <w:t>服务期：</w:t>
            </w:r>
            <w:r>
              <w:rPr>
                <w:rFonts w:ascii="宋体" w:hAnsi="宋体" w:cs="仿宋"/>
                <w:snapToGrid w:val="0"/>
                <w:sz w:val="24"/>
                <w:highlight w:val="none"/>
              </w:rPr>
              <w:t>202</w:t>
            </w:r>
            <w:r>
              <w:rPr>
                <w:rFonts w:hint="eastAsia" w:ascii="宋体" w:hAnsi="宋体" w:cs="仿宋"/>
                <w:snapToGrid w:val="0"/>
                <w:sz w:val="24"/>
                <w:highlight w:val="none"/>
              </w:rPr>
              <w:t>4</w:t>
            </w:r>
            <w:r>
              <w:rPr>
                <w:rFonts w:ascii="宋体" w:hAnsi="宋体" w:cs="仿宋"/>
                <w:snapToGrid w:val="0"/>
                <w:sz w:val="24"/>
                <w:highlight w:val="none"/>
              </w:rPr>
              <w:t>年</w:t>
            </w:r>
            <w:r>
              <w:rPr>
                <w:rFonts w:hint="eastAsia" w:ascii="宋体" w:hAnsi="宋体" w:cs="仿宋"/>
                <w:snapToGrid w:val="0"/>
                <w:sz w:val="24"/>
                <w:highlight w:val="none"/>
              </w:rPr>
              <w:t>8月</w:t>
            </w:r>
            <w:r>
              <w:rPr>
                <w:rFonts w:ascii="宋体" w:hAnsi="宋体" w:cs="仿宋"/>
                <w:snapToGrid w:val="0"/>
                <w:sz w:val="24"/>
                <w:highlight w:val="none"/>
              </w:rPr>
              <w:t>1日至202</w:t>
            </w:r>
            <w:r>
              <w:rPr>
                <w:rFonts w:hint="eastAsia" w:ascii="宋体" w:hAnsi="宋体" w:cs="仿宋"/>
                <w:snapToGrid w:val="0"/>
                <w:sz w:val="24"/>
                <w:highlight w:val="none"/>
              </w:rPr>
              <w:t>5</w:t>
            </w:r>
            <w:r>
              <w:rPr>
                <w:rFonts w:ascii="宋体" w:hAnsi="宋体" w:cs="仿宋"/>
                <w:snapToGrid w:val="0"/>
                <w:sz w:val="24"/>
                <w:highlight w:val="none"/>
              </w:rPr>
              <w:t>年7</w:t>
            </w:r>
            <w:r>
              <w:rPr>
                <w:rFonts w:hint="eastAsia" w:ascii="宋体" w:hAnsi="宋体" w:cs="仿宋"/>
                <w:snapToGrid w:val="0"/>
                <w:sz w:val="24"/>
                <w:highlight w:val="none"/>
              </w:rPr>
              <w:t>月</w:t>
            </w:r>
            <w:r>
              <w:rPr>
                <w:rFonts w:ascii="宋体" w:hAnsi="宋体" w:cs="仿宋"/>
                <w:snapToGrid w:val="0"/>
                <w:sz w:val="24"/>
                <w:highlight w:val="none"/>
              </w:rPr>
              <w:t>31日。</w:t>
            </w:r>
          </w:p>
          <w:p w14:paraId="769EDE93">
            <w:pPr>
              <w:autoSpaceDE w:val="0"/>
              <w:autoSpaceDN w:val="0"/>
              <w:ind w:firstLine="480" w:firstLineChars="200"/>
              <w:rPr>
                <w:rFonts w:ascii="宋体" w:hAnsi="宋体" w:cs="仿宋"/>
                <w:snapToGrid w:val="0"/>
                <w:sz w:val="24"/>
                <w:highlight w:val="none"/>
              </w:rPr>
            </w:pPr>
            <w:r>
              <w:rPr>
                <w:rFonts w:hint="eastAsia" w:ascii="宋体" w:hAnsi="宋体" w:cs="仿宋"/>
                <w:snapToGrid w:val="0"/>
                <w:sz w:val="24"/>
                <w:highlight w:val="none"/>
              </w:rPr>
              <w:t>合同总价（小写）人民币万元</w:t>
            </w:r>
          </w:p>
          <w:p w14:paraId="0F138D63">
            <w:pPr>
              <w:autoSpaceDE w:val="0"/>
              <w:autoSpaceDN w:val="0"/>
              <w:ind w:firstLine="480" w:firstLineChars="200"/>
              <w:jc w:val="left"/>
              <w:rPr>
                <w:rFonts w:ascii="宋体" w:hAnsi="宋体" w:cs="仿宋"/>
                <w:snapToGrid w:val="0"/>
                <w:sz w:val="24"/>
                <w:highlight w:val="none"/>
              </w:rPr>
            </w:pPr>
            <w:r>
              <w:rPr>
                <w:rFonts w:hint="eastAsia" w:ascii="宋体" w:hAnsi="宋体" w:cs="仿宋"/>
                <w:snapToGrid w:val="0"/>
                <w:sz w:val="24"/>
                <w:highlight w:val="none"/>
              </w:rPr>
              <w:t>合同总价（大写）人民币万元</w:t>
            </w:r>
          </w:p>
        </w:tc>
        <w:tc>
          <w:tcPr>
            <w:tcW w:w="748" w:type="dxa"/>
            <w:tcBorders>
              <w:tl2br w:val="nil"/>
              <w:tr2bl w:val="nil"/>
            </w:tcBorders>
            <w:vAlign w:val="center"/>
          </w:tcPr>
          <w:p w14:paraId="364D5481">
            <w:pPr>
              <w:autoSpaceDE w:val="0"/>
              <w:autoSpaceDN w:val="0"/>
              <w:ind w:firstLine="480" w:firstLineChars="200"/>
              <w:jc w:val="left"/>
              <w:rPr>
                <w:rFonts w:ascii="宋体" w:hAnsi="宋体" w:cs="仿宋"/>
                <w:snapToGrid w:val="0"/>
                <w:sz w:val="24"/>
                <w:highlight w:val="none"/>
              </w:rPr>
            </w:pPr>
          </w:p>
        </w:tc>
      </w:tr>
    </w:tbl>
    <w:p w14:paraId="763F4DD5">
      <w:pPr>
        <w:pStyle w:val="79"/>
        <w:ind w:firstLine="0" w:firstLineChars="0"/>
        <w:rPr>
          <w:rFonts w:ascii="仿宋" w:hAnsi="仿宋" w:eastAsia="仿宋" w:cs="宋体"/>
          <w:b/>
          <w:snapToGrid w:val="0"/>
          <w:kern w:val="0"/>
          <w:sz w:val="24"/>
          <w:szCs w:val="24"/>
          <w:highlight w:val="none"/>
          <w:lang w:val="en-US"/>
        </w:rPr>
      </w:pPr>
    </w:p>
    <w:p w14:paraId="6A160281">
      <w:pPr>
        <w:tabs>
          <w:tab w:val="left" w:pos="904"/>
        </w:tabs>
        <w:adjustRightInd/>
        <w:snapToGrid w:val="0"/>
        <w:spacing w:line="360" w:lineRule="auto"/>
        <w:jc w:val="left"/>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附件三：考核办法</w:t>
      </w:r>
    </w:p>
    <w:p w14:paraId="15FDEE81">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sz w:val="24"/>
          <w:highlight w:val="none"/>
          <w:u w:val="single"/>
          <w:lang w:val="zh-CN"/>
        </w:rPr>
        <w:t>甲方负责对本项目的管理指导、验收考核等职责，督促</w:t>
      </w:r>
      <w:r>
        <w:rPr>
          <w:rFonts w:hint="eastAsia" w:ascii="宋体" w:hAnsi="宋体" w:cs="宋体"/>
          <w:sz w:val="24"/>
          <w:highlight w:val="none"/>
          <w:u w:val="single"/>
        </w:rPr>
        <w:t>乙方</w:t>
      </w:r>
      <w:r>
        <w:rPr>
          <w:rFonts w:hint="eastAsia" w:ascii="宋体" w:hAnsi="宋体" w:cs="宋体"/>
          <w:sz w:val="24"/>
          <w:highlight w:val="none"/>
          <w:u w:val="single"/>
          <w:lang w:val="zh-CN"/>
        </w:rPr>
        <w:t>履行合同。甲方委托监理单位对</w:t>
      </w:r>
      <w:r>
        <w:rPr>
          <w:rFonts w:hint="eastAsia" w:ascii="宋体" w:hAnsi="宋体" w:cs="宋体"/>
          <w:sz w:val="24"/>
          <w:highlight w:val="none"/>
          <w:u w:val="single"/>
        </w:rPr>
        <w:t>乙方</w:t>
      </w:r>
      <w:r>
        <w:rPr>
          <w:rFonts w:hint="eastAsia" w:ascii="宋体" w:hAnsi="宋体" w:cs="宋体"/>
          <w:sz w:val="24"/>
          <w:highlight w:val="none"/>
          <w:u w:val="single"/>
          <w:lang w:val="zh-CN"/>
        </w:rPr>
        <w:t>服务工作进行考核，考核结果由甲方经办人、审核人、监理单位、</w:t>
      </w:r>
      <w:r>
        <w:rPr>
          <w:rFonts w:hint="eastAsia" w:ascii="宋体" w:hAnsi="宋体" w:cs="宋体"/>
          <w:sz w:val="24"/>
          <w:highlight w:val="none"/>
          <w:u w:val="single"/>
        </w:rPr>
        <w:t>乙方</w:t>
      </w:r>
      <w:r>
        <w:rPr>
          <w:rFonts w:hint="eastAsia" w:ascii="宋体" w:hAnsi="宋体" w:cs="宋体"/>
          <w:sz w:val="24"/>
          <w:highlight w:val="none"/>
          <w:u w:val="single"/>
          <w:lang w:val="zh-CN"/>
        </w:rPr>
        <w:t>签字盖章。如考核周期内重复出现相同扣分情形，累计计算扣除分值。</w:t>
      </w:r>
    </w:p>
    <w:p w14:paraId="6EFFB910">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sz w:val="24"/>
          <w:highlight w:val="none"/>
          <w:u w:val="single"/>
          <w:lang w:val="zh-CN"/>
        </w:rPr>
        <w:t>本考核以月为考核周期，采用百分制计分方式，甲方根据逐条考核事项及对应扣分对乙方（人员）进行计分。乙方每被扣1分，扣除违约金</w:t>
      </w:r>
      <w:r>
        <w:rPr>
          <w:rFonts w:hint="eastAsia" w:ascii="宋体" w:hAnsi="宋体" w:cs="宋体"/>
          <w:sz w:val="24"/>
          <w:highlight w:val="none"/>
          <w:u w:val="single"/>
        </w:rPr>
        <w:t>10</w:t>
      </w:r>
      <w:r>
        <w:rPr>
          <w:rFonts w:hint="eastAsia" w:ascii="宋体" w:hAnsi="宋体" w:cs="宋体"/>
          <w:sz w:val="24"/>
          <w:highlight w:val="none"/>
          <w:u w:val="single"/>
          <w:lang w:val="zh-CN"/>
        </w:rPr>
        <w:t>00元，违约金在结算合同尾款时扣除。考核分值高于90分（含90分）视为合格，90分以下视为不合格；如乙方经甲方考评连续两次均为不合格，甲方有权无条件终止合同,并没收乙方全部履约保证金。如给甲方造成损失的有权向乙方提出索赔。</w:t>
      </w:r>
    </w:p>
    <w:p w14:paraId="508F56F6">
      <w:pPr>
        <w:spacing w:before="120" w:line="360" w:lineRule="auto"/>
        <w:ind w:firstLine="480" w:firstLineChars="200"/>
        <w:jc w:val="center"/>
        <w:rPr>
          <w:rFonts w:ascii="宋体" w:hAnsi="宋体" w:cs="宋体"/>
          <w:sz w:val="24"/>
          <w:highlight w:val="none"/>
        </w:rPr>
      </w:pPr>
      <w:r>
        <w:rPr>
          <w:rFonts w:hint="eastAsia" w:ascii="宋体" w:hAnsi="宋体" w:cs="宋体"/>
          <w:sz w:val="24"/>
          <w:highlight w:val="none"/>
        </w:rPr>
        <w:t>每月考核表（2024年  月）</w:t>
      </w:r>
    </w:p>
    <w:tbl>
      <w:tblPr>
        <w:tblStyle w:val="62"/>
        <w:tblW w:w="10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03"/>
        <w:gridCol w:w="857"/>
        <w:gridCol w:w="5108"/>
        <w:gridCol w:w="996"/>
        <w:gridCol w:w="992"/>
      </w:tblGrid>
      <w:tr w14:paraId="0D7D5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070" w:type="dxa"/>
            <w:gridSpan w:val="3"/>
            <w:vAlign w:val="center"/>
          </w:tcPr>
          <w:p w14:paraId="0586826F">
            <w:pPr>
              <w:spacing w:before="120"/>
              <w:rPr>
                <w:sz w:val="24"/>
                <w:highlight w:val="none"/>
              </w:rPr>
            </w:pPr>
            <w:r>
              <w:rPr>
                <w:rFonts w:hint="eastAsia"/>
                <w:sz w:val="24"/>
                <w:highlight w:val="none"/>
              </w:rPr>
              <w:t>中标单位</w:t>
            </w:r>
          </w:p>
        </w:tc>
        <w:tc>
          <w:tcPr>
            <w:tcW w:w="7096" w:type="dxa"/>
            <w:gridSpan w:val="3"/>
            <w:vAlign w:val="center"/>
          </w:tcPr>
          <w:p w14:paraId="09A0813B">
            <w:pPr>
              <w:spacing w:before="120" w:line="360" w:lineRule="auto"/>
              <w:ind w:firstLine="420" w:firstLineChars="200"/>
              <w:outlineLvl w:val="3"/>
              <w:rPr>
                <w:rFonts w:ascii="宋体" w:hAnsi="宋体" w:cs="宋体"/>
                <w:szCs w:val="21"/>
                <w:highlight w:val="none"/>
              </w:rPr>
            </w:pPr>
          </w:p>
        </w:tc>
      </w:tr>
      <w:tr w14:paraId="3212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6768CDCE">
            <w:pPr>
              <w:spacing w:before="120"/>
              <w:jc w:val="center"/>
              <w:rPr>
                <w:sz w:val="24"/>
                <w:highlight w:val="none"/>
              </w:rPr>
            </w:pPr>
            <w:r>
              <w:rPr>
                <w:rFonts w:hint="eastAsia"/>
                <w:sz w:val="24"/>
                <w:highlight w:val="none"/>
              </w:rPr>
              <w:t>序号</w:t>
            </w:r>
          </w:p>
        </w:tc>
        <w:tc>
          <w:tcPr>
            <w:tcW w:w="7468" w:type="dxa"/>
            <w:gridSpan w:val="3"/>
            <w:vAlign w:val="center"/>
          </w:tcPr>
          <w:p w14:paraId="79D06E36">
            <w:pPr>
              <w:spacing w:before="120"/>
              <w:jc w:val="center"/>
              <w:rPr>
                <w:sz w:val="24"/>
                <w:highlight w:val="none"/>
              </w:rPr>
            </w:pPr>
            <w:r>
              <w:rPr>
                <w:rFonts w:hint="eastAsia"/>
                <w:sz w:val="24"/>
                <w:highlight w:val="none"/>
              </w:rPr>
              <w:t>考核内容</w:t>
            </w:r>
          </w:p>
        </w:tc>
        <w:tc>
          <w:tcPr>
            <w:tcW w:w="996" w:type="dxa"/>
            <w:vAlign w:val="center"/>
          </w:tcPr>
          <w:p w14:paraId="341756B5">
            <w:pPr>
              <w:spacing w:before="120" w:line="360" w:lineRule="auto"/>
              <w:jc w:val="center"/>
              <w:outlineLvl w:val="3"/>
              <w:rPr>
                <w:rFonts w:ascii="宋体" w:hAnsi="宋体" w:cs="宋体"/>
                <w:sz w:val="24"/>
                <w:highlight w:val="none"/>
              </w:rPr>
            </w:pPr>
            <w:r>
              <w:rPr>
                <w:rFonts w:hint="eastAsia" w:ascii="宋体" w:hAnsi="宋体" w:cs="宋体"/>
                <w:sz w:val="24"/>
                <w:highlight w:val="none"/>
              </w:rPr>
              <w:t>考核 扣分</w:t>
            </w:r>
          </w:p>
        </w:tc>
        <w:tc>
          <w:tcPr>
            <w:tcW w:w="992" w:type="dxa"/>
            <w:vAlign w:val="center"/>
          </w:tcPr>
          <w:p w14:paraId="05D101E5">
            <w:pPr>
              <w:spacing w:before="120" w:line="360" w:lineRule="auto"/>
              <w:jc w:val="center"/>
              <w:outlineLvl w:val="3"/>
              <w:rPr>
                <w:rFonts w:ascii="宋体" w:hAnsi="宋体" w:cs="宋体"/>
                <w:sz w:val="24"/>
                <w:highlight w:val="none"/>
              </w:rPr>
            </w:pPr>
            <w:r>
              <w:rPr>
                <w:rFonts w:hint="eastAsia" w:ascii="宋体" w:hAnsi="宋体" w:cs="宋体"/>
                <w:sz w:val="24"/>
                <w:highlight w:val="none"/>
              </w:rPr>
              <w:t>备注</w:t>
            </w:r>
          </w:p>
        </w:tc>
      </w:tr>
      <w:tr w14:paraId="4747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78E32608">
            <w:pPr>
              <w:spacing w:before="120"/>
              <w:rPr>
                <w:sz w:val="24"/>
                <w:highlight w:val="none"/>
              </w:rPr>
            </w:pPr>
            <w:r>
              <w:rPr>
                <w:sz w:val="24"/>
                <w:highlight w:val="none"/>
              </w:rPr>
              <w:t>1</w:t>
            </w:r>
          </w:p>
        </w:tc>
        <w:tc>
          <w:tcPr>
            <w:tcW w:w="1503" w:type="dxa"/>
            <w:vAlign w:val="center"/>
          </w:tcPr>
          <w:p w14:paraId="3031C997">
            <w:pPr>
              <w:spacing w:before="120"/>
              <w:rPr>
                <w:sz w:val="24"/>
                <w:highlight w:val="none"/>
              </w:rPr>
            </w:pPr>
            <w:r>
              <w:rPr>
                <w:rFonts w:hint="eastAsia"/>
                <w:sz w:val="24"/>
                <w:highlight w:val="none"/>
              </w:rPr>
              <w:t>交通管理数据全生命周期运营服务</w:t>
            </w:r>
          </w:p>
        </w:tc>
        <w:tc>
          <w:tcPr>
            <w:tcW w:w="5965" w:type="dxa"/>
            <w:gridSpan w:val="2"/>
            <w:vAlign w:val="center"/>
          </w:tcPr>
          <w:p w14:paraId="303269DA">
            <w:pPr>
              <w:rPr>
                <w:sz w:val="24"/>
                <w:highlight w:val="none"/>
              </w:rPr>
            </w:pPr>
            <w:r>
              <w:rPr>
                <w:rFonts w:hint="eastAsia"/>
                <w:sz w:val="24"/>
                <w:highlight w:val="none"/>
              </w:rPr>
              <w:t>按甲方实际需求完成当月交通管理数据全生命周期运营服务所要求的内容及数量（不限于甲方电话、微信、钉钉、短信等交办的），服务未达到当月要求的，每发生一次扣10分。</w:t>
            </w:r>
          </w:p>
        </w:tc>
        <w:tc>
          <w:tcPr>
            <w:tcW w:w="996" w:type="dxa"/>
            <w:vAlign w:val="center"/>
          </w:tcPr>
          <w:p w14:paraId="705C095F">
            <w:pPr>
              <w:spacing w:before="120" w:line="360" w:lineRule="auto"/>
              <w:ind w:firstLine="420" w:firstLineChars="200"/>
              <w:outlineLvl w:val="3"/>
              <w:rPr>
                <w:rFonts w:ascii="宋体" w:hAnsi="宋体" w:cs="宋体"/>
                <w:szCs w:val="21"/>
                <w:highlight w:val="none"/>
              </w:rPr>
            </w:pPr>
          </w:p>
        </w:tc>
        <w:tc>
          <w:tcPr>
            <w:tcW w:w="992" w:type="dxa"/>
            <w:vAlign w:val="center"/>
          </w:tcPr>
          <w:p w14:paraId="2B0F28A5">
            <w:pPr>
              <w:spacing w:before="120" w:line="360" w:lineRule="auto"/>
              <w:ind w:firstLine="420" w:firstLineChars="200"/>
              <w:outlineLvl w:val="3"/>
              <w:rPr>
                <w:rFonts w:ascii="宋体" w:hAnsi="宋体" w:cs="宋体"/>
                <w:szCs w:val="21"/>
                <w:highlight w:val="none"/>
              </w:rPr>
            </w:pPr>
          </w:p>
        </w:tc>
      </w:tr>
      <w:tr w14:paraId="418A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74B18C1F">
            <w:pPr>
              <w:spacing w:before="120"/>
              <w:rPr>
                <w:sz w:val="24"/>
                <w:highlight w:val="none"/>
              </w:rPr>
            </w:pPr>
            <w:r>
              <w:rPr>
                <w:sz w:val="24"/>
                <w:highlight w:val="none"/>
              </w:rPr>
              <w:t>2</w:t>
            </w:r>
          </w:p>
        </w:tc>
        <w:tc>
          <w:tcPr>
            <w:tcW w:w="1503" w:type="dxa"/>
            <w:vAlign w:val="center"/>
          </w:tcPr>
          <w:p w14:paraId="4B6D70B6">
            <w:pPr>
              <w:spacing w:before="120"/>
              <w:rPr>
                <w:sz w:val="24"/>
                <w:highlight w:val="none"/>
              </w:rPr>
            </w:pPr>
            <w:r>
              <w:rPr>
                <w:rFonts w:hint="eastAsia"/>
                <w:sz w:val="24"/>
                <w:highlight w:val="none"/>
              </w:rPr>
              <w:t>安全加固及应用迁移改造服务</w:t>
            </w:r>
          </w:p>
        </w:tc>
        <w:tc>
          <w:tcPr>
            <w:tcW w:w="5965" w:type="dxa"/>
            <w:gridSpan w:val="2"/>
            <w:vAlign w:val="center"/>
          </w:tcPr>
          <w:p w14:paraId="725C4704">
            <w:pPr>
              <w:rPr>
                <w:sz w:val="24"/>
                <w:highlight w:val="none"/>
              </w:rPr>
            </w:pPr>
            <w:r>
              <w:rPr>
                <w:rFonts w:hint="eastAsia"/>
                <w:sz w:val="24"/>
                <w:highlight w:val="none"/>
              </w:rPr>
              <w:t>按甲方实际需求完成安全加固及应用迁移改造服务所要求的内容及数量（不限于甲方电话、微信、钉钉、短信等交办的），服务未达到当月要求的，每发生一次扣10分。在服务周期中，如因未按照合同要求进行服务或工作失误，导致发生重大安全事故并被上级部门通报的，每发生一次扣10分。</w:t>
            </w:r>
          </w:p>
        </w:tc>
        <w:tc>
          <w:tcPr>
            <w:tcW w:w="996" w:type="dxa"/>
            <w:vAlign w:val="center"/>
          </w:tcPr>
          <w:p w14:paraId="0885BC17">
            <w:pPr>
              <w:spacing w:before="120" w:line="360" w:lineRule="auto"/>
              <w:ind w:firstLine="420" w:firstLineChars="200"/>
              <w:outlineLvl w:val="3"/>
              <w:rPr>
                <w:rFonts w:ascii="宋体" w:hAnsi="宋体" w:cs="宋体"/>
                <w:szCs w:val="21"/>
                <w:highlight w:val="none"/>
              </w:rPr>
            </w:pPr>
          </w:p>
        </w:tc>
        <w:tc>
          <w:tcPr>
            <w:tcW w:w="992" w:type="dxa"/>
            <w:vAlign w:val="center"/>
          </w:tcPr>
          <w:p w14:paraId="08C2B399">
            <w:pPr>
              <w:spacing w:before="120" w:line="360" w:lineRule="auto"/>
              <w:ind w:firstLine="420" w:firstLineChars="200"/>
              <w:outlineLvl w:val="3"/>
              <w:rPr>
                <w:rFonts w:ascii="宋体" w:hAnsi="宋体" w:cs="宋体"/>
                <w:szCs w:val="21"/>
                <w:highlight w:val="none"/>
              </w:rPr>
            </w:pPr>
          </w:p>
        </w:tc>
      </w:tr>
      <w:tr w14:paraId="7FDF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10" w:type="dxa"/>
            <w:vAlign w:val="center"/>
          </w:tcPr>
          <w:p w14:paraId="4567B079">
            <w:pPr>
              <w:spacing w:before="120"/>
              <w:rPr>
                <w:sz w:val="24"/>
                <w:highlight w:val="none"/>
              </w:rPr>
            </w:pPr>
            <w:r>
              <w:rPr>
                <w:sz w:val="24"/>
                <w:highlight w:val="none"/>
              </w:rPr>
              <w:t>3</w:t>
            </w:r>
          </w:p>
        </w:tc>
        <w:tc>
          <w:tcPr>
            <w:tcW w:w="1503" w:type="dxa"/>
            <w:vAlign w:val="center"/>
          </w:tcPr>
          <w:p w14:paraId="699B9207">
            <w:pPr>
              <w:spacing w:before="120"/>
              <w:rPr>
                <w:sz w:val="24"/>
                <w:highlight w:val="none"/>
              </w:rPr>
            </w:pPr>
            <w:r>
              <w:rPr>
                <w:rFonts w:hint="eastAsia"/>
                <w:sz w:val="24"/>
                <w:highlight w:val="none"/>
              </w:rPr>
              <w:t>货运导航数据及运营保障服务</w:t>
            </w:r>
          </w:p>
        </w:tc>
        <w:tc>
          <w:tcPr>
            <w:tcW w:w="5965" w:type="dxa"/>
            <w:gridSpan w:val="2"/>
            <w:vAlign w:val="center"/>
          </w:tcPr>
          <w:p w14:paraId="09259756">
            <w:pPr>
              <w:rPr>
                <w:sz w:val="24"/>
                <w:highlight w:val="none"/>
              </w:rPr>
            </w:pPr>
            <w:r>
              <w:rPr>
                <w:rFonts w:hint="eastAsia"/>
                <w:sz w:val="24"/>
                <w:highlight w:val="none"/>
              </w:rPr>
              <w:t>按甲方实际需求完成货运导航数据及运营保障服务所要求的内容及数量（不限于甲方电话、微信、钉钉、短信等交办的），服务未达到当月要求的，每发生一次扣10分。</w:t>
            </w:r>
          </w:p>
        </w:tc>
        <w:tc>
          <w:tcPr>
            <w:tcW w:w="996" w:type="dxa"/>
            <w:vAlign w:val="center"/>
          </w:tcPr>
          <w:p w14:paraId="338C35F7">
            <w:pPr>
              <w:spacing w:before="120" w:line="360" w:lineRule="auto"/>
              <w:ind w:firstLine="420" w:firstLineChars="200"/>
              <w:outlineLvl w:val="3"/>
              <w:rPr>
                <w:rFonts w:ascii="宋体" w:hAnsi="宋体" w:cs="宋体"/>
                <w:szCs w:val="21"/>
                <w:highlight w:val="none"/>
              </w:rPr>
            </w:pPr>
          </w:p>
        </w:tc>
        <w:tc>
          <w:tcPr>
            <w:tcW w:w="992" w:type="dxa"/>
            <w:vAlign w:val="center"/>
          </w:tcPr>
          <w:p w14:paraId="00B79794">
            <w:pPr>
              <w:spacing w:before="120" w:line="360" w:lineRule="auto"/>
              <w:ind w:firstLine="420" w:firstLineChars="200"/>
              <w:outlineLvl w:val="3"/>
              <w:rPr>
                <w:rFonts w:ascii="宋体" w:hAnsi="宋体" w:cs="宋体"/>
                <w:szCs w:val="21"/>
                <w:highlight w:val="none"/>
              </w:rPr>
            </w:pPr>
          </w:p>
        </w:tc>
      </w:tr>
      <w:tr w14:paraId="5025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10" w:type="dxa"/>
            <w:vAlign w:val="center"/>
          </w:tcPr>
          <w:p w14:paraId="77620020">
            <w:pPr>
              <w:spacing w:before="120"/>
              <w:rPr>
                <w:sz w:val="24"/>
                <w:highlight w:val="none"/>
              </w:rPr>
            </w:pPr>
            <w:r>
              <w:rPr>
                <w:sz w:val="24"/>
                <w:highlight w:val="none"/>
              </w:rPr>
              <w:t>4</w:t>
            </w:r>
          </w:p>
        </w:tc>
        <w:tc>
          <w:tcPr>
            <w:tcW w:w="1503" w:type="dxa"/>
            <w:vAlign w:val="center"/>
          </w:tcPr>
          <w:p w14:paraId="13DE9DF7">
            <w:pPr>
              <w:spacing w:before="120"/>
              <w:rPr>
                <w:sz w:val="24"/>
                <w:highlight w:val="none"/>
              </w:rPr>
            </w:pPr>
            <w:r>
              <w:rPr>
                <w:rFonts w:hint="eastAsia"/>
                <w:sz w:val="24"/>
                <w:highlight w:val="none"/>
              </w:rPr>
              <w:t>安全防控风险预警服务</w:t>
            </w:r>
          </w:p>
        </w:tc>
        <w:tc>
          <w:tcPr>
            <w:tcW w:w="5965" w:type="dxa"/>
            <w:gridSpan w:val="2"/>
            <w:vAlign w:val="center"/>
          </w:tcPr>
          <w:p w14:paraId="0A768FF3">
            <w:pPr>
              <w:rPr>
                <w:sz w:val="24"/>
                <w:highlight w:val="none"/>
              </w:rPr>
            </w:pPr>
            <w:r>
              <w:rPr>
                <w:rFonts w:hint="eastAsia"/>
                <w:sz w:val="24"/>
                <w:highlight w:val="none"/>
              </w:rPr>
              <w:t>按甲方实际需求完成安全防控风险预警服务所要求的内容及数量（不限于甲方电话、微信、钉钉、短信等交办的），服务未达到当月要求的，每发生一次扣10分。</w:t>
            </w:r>
          </w:p>
        </w:tc>
        <w:tc>
          <w:tcPr>
            <w:tcW w:w="996" w:type="dxa"/>
            <w:vAlign w:val="center"/>
          </w:tcPr>
          <w:p w14:paraId="303D79FF">
            <w:pPr>
              <w:spacing w:before="120" w:line="360" w:lineRule="auto"/>
              <w:ind w:firstLine="420" w:firstLineChars="200"/>
              <w:outlineLvl w:val="3"/>
              <w:rPr>
                <w:rFonts w:ascii="宋体" w:hAnsi="宋体" w:cs="宋体"/>
                <w:szCs w:val="21"/>
                <w:highlight w:val="none"/>
              </w:rPr>
            </w:pPr>
          </w:p>
        </w:tc>
        <w:tc>
          <w:tcPr>
            <w:tcW w:w="992" w:type="dxa"/>
            <w:vAlign w:val="center"/>
          </w:tcPr>
          <w:p w14:paraId="78407EA0">
            <w:pPr>
              <w:spacing w:before="120" w:line="360" w:lineRule="auto"/>
              <w:ind w:firstLine="420" w:firstLineChars="200"/>
              <w:outlineLvl w:val="3"/>
              <w:rPr>
                <w:rFonts w:ascii="宋体" w:hAnsi="宋体" w:cs="宋体"/>
                <w:szCs w:val="21"/>
                <w:highlight w:val="none"/>
              </w:rPr>
            </w:pPr>
          </w:p>
        </w:tc>
      </w:tr>
      <w:tr w14:paraId="13CCF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10" w:type="dxa"/>
            <w:vAlign w:val="center"/>
          </w:tcPr>
          <w:p w14:paraId="1BD1E5D3">
            <w:pPr>
              <w:spacing w:before="120"/>
              <w:rPr>
                <w:sz w:val="24"/>
                <w:highlight w:val="none"/>
              </w:rPr>
            </w:pPr>
            <w:r>
              <w:rPr>
                <w:rFonts w:hint="eastAsia"/>
                <w:sz w:val="24"/>
                <w:highlight w:val="none"/>
              </w:rPr>
              <w:t>5</w:t>
            </w:r>
          </w:p>
        </w:tc>
        <w:tc>
          <w:tcPr>
            <w:tcW w:w="1503" w:type="dxa"/>
            <w:vAlign w:val="center"/>
          </w:tcPr>
          <w:p w14:paraId="56C27259">
            <w:pPr>
              <w:spacing w:before="120"/>
              <w:rPr>
                <w:sz w:val="24"/>
                <w:highlight w:val="none"/>
              </w:rPr>
            </w:pPr>
            <w:r>
              <w:rPr>
                <w:rFonts w:hint="eastAsia"/>
                <w:sz w:val="24"/>
                <w:highlight w:val="none"/>
              </w:rPr>
              <w:t>租赁设备符合情况</w:t>
            </w:r>
          </w:p>
        </w:tc>
        <w:tc>
          <w:tcPr>
            <w:tcW w:w="5965" w:type="dxa"/>
            <w:gridSpan w:val="2"/>
            <w:vAlign w:val="center"/>
          </w:tcPr>
          <w:p w14:paraId="726A99E8">
            <w:pPr>
              <w:rPr>
                <w:sz w:val="24"/>
                <w:highlight w:val="none"/>
              </w:rPr>
            </w:pPr>
            <w:r>
              <w:rPr>
                <w:rFonts w:hint="eastAsia"/>
                <w:sz w:val="24"/>
                <w:highlight w:val="none"/>
              </w:rPr>
              <w:t>未按照要求提供设备的，每发生一次扣10分。</w:t>
            </w:r>
          </w:p>
        </w:tc>
        <w:tc>
          <w:tcPr>
            <w:tcW w:w="996" w:type="dxa"/>
            <w:vAlign w:val="center"/>
          </w:tcPr>
          <w:p w14:paraId="7B8332C7">
            <w:pPr>
              <w:spacing w:before="120" w:line="360" w:lineRule="auto"/>
              <w:ind w:firstLine="420" w:firstLineChars="200"/>
              <w:outlineLvl w:val="3"/>
              <w:rPr>
                <w:rFonts w:ascii="宋体" w:hAnsi="宋体" w:cs="宋体"/>
                <w:szCs w:val="21"/>
                <w:highlight w:val="none"/>
              </w:rPr>
            </w:pPr>
          </w:p>
        </w:tc>
        <w:tc>
          <w:tcPr>
            <w:tcW w:w="992" w:type="dxa"/>
            <w:vAlign w:val="center"/>
          </w:tcPr>
          <w:p w14:paraId="76F3693A">
            <w:pPr>
              <w:spacing w:before="120" w:line="360" w:lineRule="auto"/>
              <w:ind w:firstLine="420" w:firstLineChars="200"/>
              <w:outlineLvl w:val="3"/>
              <w:rPr>
                <w:rFonts w:ascii="宋体" w:hAnsi="宋体" w:cs="宋体"/>
                <w:szCs w:val="21"/>
                <w:highlight w:val="none"/>
              </w:rPr>
            </w:pPr>
          </w:p>
        </w:tc>
      </w:tr>
      <w:tr w14:paraId="6CBB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10" w:type="dxa"/>
            <w:vAlign w:val="center"/>
          </w:tcPr>
          <w:p w14:paraId="57083FF8">
            <w:pPr>
              <w:spacing w:before="120"/>
              <w:rPr>
                <w:sz w:val="24"/>
                <w:highlight w:val="none"/>
              </w:rPr>
            </w:pPr>
            <w:r>
              <w:rPr>
                <w:rFonts w:hint="eastAsia"/>
                <w:sz w:val="24"/>
                <w:highlight w:val="none"/>
              </w:rPr>
              <w:t>6</w:t>
            </w:r>
          </w:p>
        </w:tc>
        <w:tc>
          <w:tcPr>
            <w:tcW w:w="1503" w:type="dxa"/>
            <w:vAlign w:val="center"/>
          </w:tcPr>
          <w:p w14:paraId="3C4808C1">
            <w:pPr>
              <w:spacing w:before="120"/>
              <w:rPr>
                <w:sz w:val="24"/>
                <w:highlight w:val="none"/>
              </w:rPr>
            </w:pPr>
            <w:r>
              <w:rPr>
                <w:rFonts w:hint="eastAsia"/>
                <w:sz w:val="24"/>
                <w:highlight w:val="none"/>
              </w:rPr>
              <w:t>服务响应时间</w:t>
            </w:r>
          </w:p>
        </w:tc>
        <w:tc>
          <w:tcPr>
            <w:tcW w:w="5965" w:type="dxa"/>
            <w:gridSpan w:val="2"/>
            <w:vAlign w:val="center"/>
          </w:tcPr>
          <w:p w14:paraId="6F25D78B">
            <w:pPr>
              <w:rPr>
                <w:sz w:val="24"/>
                <w:highlight w:val="none"/>
              </w:rPr>
            </w:pPr>
            <w:r>
              <w:rPr>
                <w:rFonts w:hint="eastAsia"/>
                <w:sz w:val="24"/>
                <w:highlight w:val="none"/>
              </w:rPr>
              <w:t>提供</w:t>
            </w:r>
            <w:r>
              <w:rPr>
                <w:sz w:val="24"/>
                <w:highlight w:val="none"/>
              </w:rPr>
              <w:t>7*24</w:t>
            </w:r>
            <w:r>
              <w:rPr>
                <w:rFonts w:hint="eastAsia"/>
                <w:sz w:val="24"/>
                <w:highlight w:val="none"/>
              </w:rPr>
              <w:t>小时响应服务。接到甲方通知后应于</w:t>
            </w:r>
            <w:r>
              <w:rPr>
                <w:sz w:val="24"/>
                <w:highlight w:val="none"/>
              </w:rPr>
              <w:t>30</w:t>
            </w:r>
            <w:r>
              <w:rPr>
                <w:rFonts w:hint="eastAsia"/>
                <w:sz w:val="24"/>
                <w:highlight w:val="none"/>
              </w:rPr>
              <w:t>分钟内响应，</w:t>
            </w:r>
            <w:r>
              <w:rPr>
                <w:sz w:val="24"/>
                <w:highlight w:val="none"/>
              </w:rPr>
              <w:t>2</w:t>
            </w:r>
            <w:r>
              <w:rPr>
                <w:rFonts w:hint="eastAsia"/>
                <w:sz w:val="24"/>
                <w:highlight w:val="none"/>
              </w:rPr>
              <w:t>小时内解决问题；如现场驻点人员无法解决需乙方公司提供技术支持的，技术支持人员需</w:t>
            </w:r>
            <w:r>
              <w:rPr>
                <w:sz w:val="24"/>
                <w:highlight w:val="none"/>
              </w:rPr>
              <w:t>3</w:t>
            </w:r>
            <w:r>
              <w:rPr>
                <w:rFonts w:hint="eastAsia"/>
                <w:sz w:val="24"/>
                <w:highlight w:val="none"/>
              </w:rPr>
              <w:t>小时内到达现场，</w:t>
            </w:r>
            <w:r>
              <w:rPr>
                <w:sz w:val="24"/>
                <w:highlight w:val="none"/>
              </w:rPr>
              <w:t>48</w:t>
            </w:r>
            <w:r>
              <w:rPr>
                <w:rFonts w:hint="eastAsia"/>
                <w:sz w:val="24"/>
                <w:highlight w:val="none"/>
              </w:rPr>
              <w:t>小时内解决问题。不满足要求的，每发生一次扣</w:t>
            </w:r>
            <w:r>
              <w:rPr>
                <w:sz w:val="24"/>
                <w:highlight w:val="none"/>
              </w:rPr>
              <w:t>3</w:t>
            </w:r>
            <w:r>
              <w:rPr>
                <w:rFonts w:hint="eastAsia"/>
                <w:sz w:val="24"/>
                <w:highlight w:val="none"/>
              </w:rPr>
              <w:t>分。</w:t>
            </w:r>
          </w:p>
        </w:tc>
        <w:tc>
          <w:tcPr>
            <w:tcW w:w="996" w:type="dxa"/>
            <w:vAlign w:val="center"/>
          </w:tcPr>
          <w:p w14:paraId="0016D552">
            <w:pPr>
              <w:spacing w:before="120" w:line="360" w:lineRule="auto"/>
              <w:ind w:firstLine="420" w:firstLineChars="200"/>
              <w:outlineLvl w:val="3"/>
              <w:rPr>
                <w:rFonts w:ascii="宋体" w:hAnsi="宋体" w:cs="宋体"/>
                <w:szCs w:val="21"/>
                <w:highlight w:val="none"/>
              </w:rPr>
            </w:pPr>
          </w:p>
        </w:tc>
        <w:tc>
          <w:tcPr>
            <w:tcW w:w="992" w:type="dxa"/>
            <w:vAlign w:val="center"/>
          </w:tcPr>
          <w:p w14:paraId="0641E578">
            <w:pPr>
              <w:spacing w:before="120" w:line="360" w:lineRule="auto"/>
              <w:ind w:firstLine="420" w:firstLineChars="200"/>
              <w:outlineLvl w:val="3"/>
              <w:rPr>
                <w:rFonts w:ascii="宋体" w:hAnsi="宋体" w:cs="宋体"/>
                <w:szCs w:val="21"/>
                <w:highlight w:val="none"/>
              </w:rPr>
            </w:pPr>
          </w:p>
        </w:tc>
      </w:tr>
      <w:tr w14:paraId="3482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10" w:type="dxa"/>
            <w:vAlign w:val="center"/>
          </w:tcPr>
          <w:p w14:paraId="5F19549E">
            <w:pPr>
              <w:spacing w:before="120"/>
              <w:rPr>
                <w:sz w:val="24"/>
                <w:highlight w:val="none"/>
              </w:rPr>
            </w:pPr>
            <w:r>
              <w:rPr>
                <w:rFonts w:hint="eastAsia"/>
                <w:sz w:val="24"/>
                <w:highlight w:val="none"/>
              </w:rPr>
              <w:t>7</w:t>
            </w:r>
          </w:p>
        </w:tc>
        <w:tc>
          <w:tcPr>
            <w:tcW w:w="1503" w:type="dxa"/>
            <w:vMerge w:val="restart"/>
            <w:vAlign w:val="center"/>
          </w:tcPr>
          <w:p w14:paraId="4303BC38">
            <w:pPr>
              <w:spacing w:before="120"/>
              <w:rPr>
                <w:sz w:val="24"/>
                <w:highlight w:val="none"/>
              </w:rPr>
            </w:pPr>
            <w:r>
              <w:rPr>
                <w:rFonts w:hint="eastAsia"/>
                <w:sz w:val="24"/>
                <w:highlight w:val="none"/>
              </w:rPr>
              <w:t>人员要求</w:t>
            </w:r>
          </w:p>
        </w:tc>
        <w:tc>
          <w:tcPr>
            <w:tcW w:w="5965" w:type="dxa"/>
            <w:gridSpan w:val="2"/>
            <w:vAlign w:val="center"/>
          </w:tcPr>
          <w:p w14:paraId="2EAC17AF">
            <w:pPr>
              <w:rPr>
                <w:sz w:val="24"/>
                <w:highlight w:val="none"/>
              </w:rPr>
            </w:pPr>
            <w:r>
              <w:rPr>
                <w:rFonts w:hint="eastAsia"/>
                <w:sz w:val="24"/>
                <w:highlight w:val="none"/>
              </w:rPr>
              <w:t>驻点人员数量不符合采购要求的，每发生一次扣</w:t>
            </w:r>
            <w:r>
              <w:rPr>
                <w:sz w:val="24"/>
                <w:highlight w:val="none"/>
              </w:rPr>
              <w:t>5</w:t>
            </w:r>
            <w:r>
              <w:rPr>
                <w:rFonts w:hint="eastAsia"/>
                <w:sz w:val="24"/>
                <w:highlight w:val="none"/>
              </w:rPr>
              <w:t>分。</w:t>
            </w:r>
          </w:p>
        </w:tc>
        <w:tc>
          <w:tcPr>
            <w:tcW w:w="996" w:type="dxa"/>
            <w:vAlign w:val="center"/>
          </w:tcPr>
          <w:p w14:paraId="1C5ABCC0">
            <w:pPr>
              <w:spacing w:before="120" w:line="360" w:lineRule="auto"/>
              <w:ind w:firstLine="420" w:firstLineChars="200"/>
              <w:outlineLvl w:val="3"/>
              <w:rPr>
                <w:rFonts w:ascii="宋体" w:hAnsi="宋体" w:cs="宋体"/>
                <w:szCs w:val="21"/>
                <w:highlight w:val="none"/>
              </w:rPr>
            </w:pPr>
          </w:p>
        </w:tc>
        <w:tc>
          <w:tcPr>
            <w:tcW w:w="992" w:type="dxa"/>
            <w:vAlign w:val="center"/>
          </w:tcPr>
          <w:p w14:paraId="0A71B154">
            <w:pPr>
              <w:spacing w:before="120" w:line="360" w:lineRule="auto"/>
              <w:ind w:firstLine="420" w:firstLineChars="200"/>
              <w:outlineLvl w:val="3"/>
              <w:rPr>
                <w:rFonts w:ascii="宋体" w:hAnsi="宋体" w:cs="宋体"/>
                <w:szCs w:val="21"/>
                <w:highlight w:val="none"/>
              </w:rPr>
            </w:pPr>
          </w:p>
        </w:tc>
      </w:tr>
      <w:tr w14:paraId="310D4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4AA82D7C">
            <w:pPr>
              <w:spacing w:before="120"/>
              <w:rPr>
                <w:sz w:val="24"/>
                <w:highlight w:val="none"/>
              </w:rPr>
            </w:pPr>
            <w:r>
              <w:rPr>
                <w:rFonts w:hint="eastAsia"/>
                <w:sz w:val="24"/>
                <w:highlight w:val="none"/>
              </w:rPr>
              <w:t>8</w:t>
            </w:r>
          </w:p>
        </w:tc>
        <w:tc>
          <w:tcPr>
            <w:tcW w:w="1503" w:type="dxa"/>
            <w:vMerge w:val="continue"/>
            <w:vAlign w:val="center"/>
          </w:tcPr>
          <w:p w14:paraId="5C0457A3">
            <w:pPr>
              <w:spacing w:before="120"/>
              <w:rPr>
                <w:sz w:val="24"/>
                <w:highlight w:val="none"/>
              </w:rPr>
            </w:pPr>
          </w:p>
        </w:tc>
        <w:tc>
          <w:tcPr>
            <w:tcW w:w="5965" w:type="dxa"/>
            <w:gridSpan w:val="2"/>
            <w:vAlign w:val="center"/>
          </w:tcPr>
          <w:p w14:paraId="7144EEB0">
            <w:pPr>
              <w:rPr>
                <w:sz w:val="24"/>
                <w:highlight w:val="none"/>
              </w:rPr>
            </w:pPr>
            <w:r>
              <w:rPr>
                <w:rFonts w:hint="eastAsia"/>
                <w:sz w:val="24"/>
                <w:highlight w:val="none"/>
              </w:rPr>
              <w:t>驻点人员发生变动时未按采购要求提前通知甲方的，每发生一次扣</w:t>
            </w:r>
            <w:r>
              <w:rPr>
                <w:sz w:val="24"/>
                <w:highlight w:val="none"/>
              </w:rPr>
              <w:t>2</w:t>
            </w:r>
            <w:r>
              <w:rPr>
                <w:rFonts w:hint="eastAsia"/>
                <w:sz w:val="24"/>
                <w:highlight w:val="none"/>
              </w:rPr>
              <w:t>分。</w:t>
            </w:r>
          </w:p>
        </w:tc>
        <w:tc>
          <w:tcPr>
            <w:tcW w:w="996" w:type="dxa"/>
            <w:vAlign w:val="center"/>
          </w:tcPr>
          <w:p w14:paraId="690DBE1E">
            <w:pPr>
              <w:spacing w:before="120" w:line="360" w:lineRule="auto"/>
              <w:ind w:firstLine="420" w:firstLineChars="200"/>
              <w:outlineLvl w:val="3"/>
              <w:rPr>
                <w:rFonts w:ascii="宋体" w:hAnsi="宋体" w:cs="宋体"/>
                <w:szCs w:val="21"/>
                <w:highlight w:val="none"/>
              </w:rPr>
            </w:pPr>
          </w:p>
        </w:tc>
        <w:tc>
          <w:tcPr>
            <w:tcW w:w="992" w:type="dxa"/>
            <w:vAlign w:val="center"/>
          </w:tcPr>
          <w:p w14:paraId="1CCA086B">
            <w:pPr>
              <w:spacing w:before="120" w:line="360" w:lineRule="auto"/>
              <w:ind w:firstLine="420" w:firstLineChars="200"/>
              <w:outlineLvl w:val="3"/>
              <w:rPr>
                <w:rFonts w:ascii="宋体" w:hAnsi="宋体" w:cs="宋体"/>
                <w:szCs w:val="21"/>
                <w:highlight w:val="none"/>
              </w:rPr>
            </w:pPr>
          </w:p>
        </w:tc>
      </w:tr>
      <w:tr w14:paraId="378A4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7BE3B3DF">
            <w:pPr>
              <w:spacing w:before="120"/>
              <w:rPr>
                <w:sz w:val="24"/>
                <w:highlight w:val="none"/>
              </w:rPr>
            </w:pPr>
            <w:r>
              <w:rPr>
                <w:rFonts w:hint="eastAsia"/>
                <w:sz w:val="24"/>
                <w:highlight w:val="none"/>
              </w:rPr>
              <w:t>9</w:t>
            </w:r>
          </w:p>
        </w:tc>
        <w:tc>
          <w:tcPr>
            <w:tcW w:w="1503" w:type="dxa"/>
            <w:vAlign w:val="center"/>
          </w:tcPr>
          <w:p w14:paraId="129DCD9F">
            <w:pPr>
              <w:spacing w:before="120"/>
              <w:rPr>
                <w:sz w:val="24"/>
                <w:highlight w:val="none"/>
              </w:rPr>
            </w:pPr>
            <w:r>
              <w:rPr>
                <w:rFonts w:hint="eastAsia"/>
                <w:sz w:val="24"/>
                <w:highlight w:val="none"/>
              </w:rPr>
              <w:t>培训要求</w:t>
            </w:r>
          </w:p>
        </w:tc>
        <w:tc>
          <w:tcPr>
            <w:tcW w:w="5965" w:type="dxa"/>
            <w:gridSpan w:val="2"/>
            <w:vAlign w:val="center"/>
          </w:tcPr>
          <w:p w14:paraId="14EA66F7">
            <w:pPr>
              <w:rPr>
                <w:sz w:val="24"/>
                <w:highlight w:val="none"/>
              </w:rPr>
            </w:pPr>
            <w:r>
              <w:rPr>
                <w:rFonts w:hint="eastAsia"/>
                <w:sz w:val="24"/>
                <w:highlight w:val="none"/>
              </w:rPr>
              <w:t>未按甲方要求进行培训的，每发生一次扣</w:t>
            </w:r>
            <w:r>
              <w:rPr>
                <w:sz w:val="24"/>
                <w:highlight w:val="none"/>
              </w:rPr>
              <w:t>3</w:t>
            </w:r>
            <w:r>
              <w:rPr>
                <w:rFonts w:hint="eastAsia"/>
                <w:sz w:val="24"/>
                <w:highlight w:val="none"/>
              </w:rPr>
              <w:t>分。</w:t>
            </w:r>
          </w:p>
        </w:tc>
        <w:tc>
          <w:tcPr>
            <w:tcW w:w="996" w:type="dxa"/>
            <w:vAlign w:val="center"/>
          </w:tcPr>
          <w:p w14:paraId="7ADF74B3">
            <w:pPr>
              <w:spacing w:before="120" w:line="360" w:lineRule="auto"/>
              <w:ind w:firstLine="420" w:firstLineChars="200"/>
              <w:outlineLvl w:val="3"/>
              <w:rPr>
                <w:rFonts w:ascii="宋体" w:hAnsi="宋体" w:cs="宋体"/>
                <w:szCs w:val="21"/>
                <w:highlight w:val="none"/>
              </w:rPr>
            </w:pPr>
          </w:p>
        </w:tc>
        <w:tc>
          <w:tcPr>
            <w:tcW w:w="992" w:type="dxa"/>
            <w:vAlign w:val="center"/>
          </w:tcPr>
          <w:p w14:paraId="28847D49">
            <w:pPr>
              <w:spacing w:before="120" w:line="360" w:lineRule="auto"/>
              <w:ind w:firstLine="420" w:firstLineChars="200"/>
              <w:outlineLvl w:val="3"/>
              <w:rPr>
                <w:rFonts w:ascii="宋体" w:hAnsi="宋体" w:cs="宋体"/>
                <w:szCs w:val="21"/>
                <w:highlight w:val="none"/>
              </w:rPr>
            </w:pPr>
          </w:p>
        </w:tc>
      </w:tr>
      <w:tr w14:paraId="030F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Merge w:val="restart"/>
            <w:vAlign w:val="center"/>
          </w:tcPr>
          <w:p w14:paraId="14F15BA0">
            <w:pPr>
              <w:spacing w:before="120"/>
              <w:rPr>
                <w:sz w:val="24"/>
                <w:highlight w:val="none"/>
              </w:rPr>
            </w:pPr>
            <w:r>
              <w:rPr>
                <w:rFonts w:hint="eastAsia"/>
                <w:sz w:val="24"/>
                <w:highlight w:val="none"/>
              </w:rPr>
              <w:t>10</w:t>
            </w:r>
          </w:p>
        </w:tc>
        <w:tc>
          <w:tcPr>
            <w:tcW w:w="1503" w:type="dxa"/>
            <w:vMerge w:val="restart"/>
            <w:vAlign w:val="center"/>
          </w:tcPr>
          <w:p w14:paraId="1C7C6AD4">
            <w:pPr>
              <w:spacing w:before="120"/>
              <w:rPr>
                <w:sz w:val="24"/>
                <w:highlight w:val="none"/>
              </w:rPr>
            </w:pPr>
            <w:r>
              <w:rPr>
                <w:rFonts w:hint="eastAsia"/>
                <w:sz w:val="24"/>
                <w:highlight w:val="none"/>
              </w:rPr>
              <w:t>网络安全及保密</w:t>
            </w:r>
          </w:p>
        </w:tc>
        <w:tc>
          <w:tcPr>
            <w:tcW w:w="5965" w:type="dxa"/>
            <w:gridSpan w:val="2"/>
            <w:vAlign w:val="center"/>
          </w:tcPr>
          <w:p w14:paraId="5052552D">
            <w:pPr>
              <w:rPr>
                <w:sz w:val="24"/>
                <w:highlight w:val="none"/>
              </w:rPr>
            </w:pPr>
            <w:r>
              <w:rPr>
                <w:rFonts w:hint="eastAsia"/>
                <w:sz w:val="24"/>
                <w:highlight w:val="none"/>
              </w:rPr>
              <w:t>未按网络安全履行责任和义务的，每发生一次扣除违约金</w:t>
            </w:r>
            <w:r>
              <w:rPr>
                <w:sz w:val="24"/>
                <w:highlight w:val="none"/>
              </w:rPr>
              <w:t>10000</w:t>
            </w:r>
            <w:r>
              <w:rPr>
                <w:rFonts w:hint="eastAsia"/>
                <w:sz w:val="24"/>
                <w:highlight w:val="none"/>
              </w:rPr>
              <w:t>元。</w:t>
            </w:r>
          </w:p>
        </w:tc>
        <w:tc>
          <w:tcPr>
            <w:tcW w:w="996" w:type="dxa"/>
            <w:vAlign w:val="center"/>
          </w:tcPr>
          <w:p w14:paraId="280C286B">
            <w:pPr>
              <w:spacing w:before="120" w:line="360" w:lineRule="auto"/>
              <w:ind w:firstLine="420" w:firstLineChars="200"/>
              <w:outlineLvl w:val="3"/>
              <w:rPr>
                <w:rFonts w:ascii="宋体" w:hAnsi="宋体" w:cs="宋体"/>
                <w:szCs w:val="21"/>
                <w:highlight w:val="none"/>
              </w:rPr>
            </w:pPr>
          </w:p>
        </w:tc>
        <w:tc>
          <w:tcPr>
            <w:tcW w:w="992" w:type="dxa"/>
            <w:vAlign w:val="center"/>
          </w:tcPr>
          <w:p w14:paraId="32A424E6">
            <w:pPr>
              <w:spacing w:before="120" w:line="360" w:lineRule="auto"/>
              <w:ind w:firstLine="420" w:firstLineChars="200"/>
              <w:outlineLvl w:val="3"/>
              <w:rPr>
                <w:rFonts w:ascii="宋体" w:hAnsi="宋体" w:cs="宋体"/>
                <w:szCs w:val="21"/>
                <w:highlight w:val="none"/>
              </w:rPr>
            </w:pPr>
          </w:p>
        </w:tc>
      </w:tr>
      <w:tr w14:paraId="5A497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Merge w:val="continue"/>
            <w:vAlign w:val="center"/>
          </w:tcPr>
          <w:p w14:paraId="5DA695E9">
            <w:pPr>
              <w:spacing w:before="120"/>
              <w:rPr>
                <w:sz w:val="24"/>
                <w:highlight w:val="none"/>
              </w:rPr>
            </w:pPr>
          </w:p>
        </w:tc>
        <w:tc>
          <w:tcPr>
            <w:tcW w:w="1503" w:type="dxa"/>
            <w:vMerge w:val="continue"/>
            <w:vAlign w:val="center"/>
          </w:tcPr>
          <w:p w14:paraId="0BBA1FFD">
            <w:pPr>
              <w:spacing w:before="120"/>
              <w:rPr>
                <w:sz w:val="24"/>
                <w:highlight w:val="none"/>
              </w:rPr>
            </w:pPr>
          </w:p>
        </w:tc>
        <w:tc>
          <w:tcPr>
            <w:tcW w:w="5965" w:type="dxa"/>
            <w:gridSpan w:val="2"/>
            <w:vAlign w:val="center"/>
          </w:tcPr>
          <w:p w14:paraId="14FA28C4">
            <w:pPr>
              <w:rPr>
                <w:sz w:val="24"/>
                <w:highlight w:val="none"/>
              </w:rPr>
            </w:pPr>
            <w:r>
              <w:rPr>
                <w:rFonts w:hint="eastAsia"/>
                <w:sz w:val="24"/>
                <w:highlight w:val="none"/>
              </w:rPr>
              <w:t>乙方未按保密管理条款规定执行的，每发现一次处违约金10000元，如发生泄密事件，除赔偿甲方损失外，还应承担全部法律责任。</w:t>
            </w:r>
          </w:p>
        </w:tc>
        <w:tc>
          <w:tcPr>
            <w:tcW w:w="996" w:type="dxa"/>
            <w:vAlign w:val="center"/>
          </w:tcPr>
          <w:p w14:paraId="218028FB">
            <w:pPr>
              <w:spacing w:before="120" w:line="360" w:lineRule="auto"/>
              <w:ind w:firstLine="420" w:firstLineChars="200"/>
              <w:outlineLvl w:val="3"/>
              <w:rPr>
                <w:rFonts w:ascii="宋体" w:hAnsi="宋体" w:cs="宋体"/>
                <w:szCs w:val="21"/>
                <w:highlight w:val="none"/>
              </w:rPr>
            </w:pPr>
          </w:p>
        </w:tc>
        <w:tc>
          <w:tcPr>
            <w:tcW w:w="992" w:type="dxa"/>
            <w:vAlign w:val="center"/>
          </w:tcPr>
          <w:p w14:paraId="1F62A4A3">
            <w:pPr>
              <w:spacing w:before="120" w:line="360" w:lineRule="auto"/>
              <w:ind w:firstLine="420" w:firstLineChars="200"/>
              <w:outlineLvl w:val="3"/>
              <w:rPr>
                <w:rFonts w:ascii="宋体" w:hAnsi="宋体" w:cs="宋体"/>
                <w:szCs w:val="21"/>
                <w:highlight w:val="none"/>
              </w:rPr>
            </w:pPr>
          </w:p>
        </w:tc>
      </w:tr>
      <w:tr w14:paraId="79DE4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19463F69">
            <w:pPr>
              <w:spacing w:before="120"/>
              <w:rPr>
                <w:sz w:val="24"/>
                <w:highlight w:val="none"/>
              </w:rPr>
            </w:pPr>
            <w:r>
              <w:rPr>
                <w:sz w:val="24"/>
                <w:highlight w:val="none"/>
              </w:rPr>
              <w:t>1</w:t>
            </w:r>
            <w:r>
              <w:rPr>
                <w:rFonts w:hint="eastAsia"/>
                <w:sz w:val="24"/>
                <w:highlight w:val="none"/>
              </w:rPr>
              <w:t>1</w:t>
            </w:r>
          </w:p>
        </w:tc>
        <w:tc>
          <w:tcPr>
            <w:tcW w:w="1503" w:type="dxa"/>
            <w:tcBorders>
              <w:top w:val="single" w:color="auto" w:sz="4" w:space="0"/>
              <w:left w:val="single" w:color="auto" w:sz="4" w:space="0"/>
              <w:bottom w:val="single" w:color="auto" w:sz="4" w:space="0"/>
              <w:right w:val="single" w:color="auto" w:sz="4" w:space="0"/>
            </w:tcBorders>
            <w:vAlign w:val="center"/>
          </w:tcPr>
          <w:p w14:paraId="57B48664">
            <w:pPr>
              <w:spacing w:before="120"/>
              <w:rPr>
                <w:sz w:val="24"/>
                <w:highlight w:val="none"/>
              </w:rPr>
            </w:pPr>
            <w:r>
              <w:rPr>
                <w:rFonts w:hint="eastAsia"/>
                <w:sz w:val="24"/>
                <w:highlight w:val="none"/>
              </w:rPr>
              <w:t>其他</w:t>
            </w:r>
          </w:p>
        </w:tc>
        <w:tc>
          <w:tcPr>
            <w:tcW w:w="5965" w:type="dxa"/>
            <w:gridSpan w:val="2"/>
            <w:tcBorders>
              <w:top w:val="single" w:color="auto" w:sz="4" w:space="0"/>
              <w:left w:val="single" w:color="auto" w:sz="4" w:space="0"/>
              <w:bottom w:val="single" w:color="auto" w:sz="4" w:space="0"/>
              <w:right w:val="single" w:color="auto" w:sz="4" w:space="0"/>
            </w:tcBorders>
            <w:vAlign w:val="center"/>
          </w:tcPr>
          <w:p w14:paraId="5153CBAB">
            <w:pPr>
              <w:rPr>
                <w:sz w:val="24"/>
                <w:highlight w:val="none"/>
              </w:rPr>
            </w:pPr>
            <w:r>
              <w:rPr>
                <w:rFonts w:hint="eastAsia"/>
                <w:sz w:val="24"/>
                <w:highlight w:val="none"/>
              </w:rPr>
              <w:t>其他服务未满足甲方要求的，每发生一次扣</w:t>
            </w:r>
            <w:r>
              <w:rPr>
                <w:sz w:val="24"/>
                <w:highlight w:val="none"/>
              </w:rPr>
              <w:t>1</w:t>
            </w:r>
            <w:r>
              <w:rPr>
                <w:rFonts w:hint="eastAsia"/>
                <w:sz w:val="24"/>
                <w:highlight w:val="none"/>
              </w:rPr>
              <w:t>分。</w:t>
            </w:r>
          </w:p>
        </w:tc>
        <w:tc>
          <w:tcPr>
            <w:tcW w:w="996" w:type="dxa"/>
            <w:tcBorders>
              <w:top w:val="single" w:color="auto" w:sz="4" w:space="0"/>
              <w:left w:val="single" w:color="auto" w:sz="4" w:space="0"/>
              <w:bottom w:val="single" w:color="auto" w:sz="4" w:space="0"/>
              <w:right w:val="single" w:color="auto" w:sz="4" w:space="0"/>
            </w:tcBorders>
            <w:vAlign w:val="center"/>
          </w:tcPr>
          <w:p w14:paraId="3DF29A50">
            <w:pPr>
              <w:spacing w:before="120" w:line="360" w:lineRule="auto"/>
              <w:ind w:firstLine="420" w:firstLineChars="200"/>
              <w:outlineLvl w:val="3"/>
              <w:rPr>
                <w:rFonts w:ascii="宋体" w:hAnsi="宋体" w:cs="宋体"/>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6719FEA">
            <w:pPr>
              <w:spacing w:before="120" w:line="360" w:lineRule="auto"/>
              <w:ind w:firstLine="420" w:firstLineChars="200"/>
              <w:outlineLvl w:val="3"/>
              <w:rPr>
                <w:rFonts w:ascii="宋体" w:hAnsi="宋体" w:cs="宋体"/>
                <w:szCs w:val="21"/>
                <w:highlight w:val="none"/>
              </w:rPr>
            </w:pPr>
          </w:p>
        </w:tc>
      </w:tr>
      <w:tr w14:paraId="2B2C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178" w:type="dxa"/>
            <w:gridSpan w:val="4"/>
            <w:vAlign w:val="center"/>
          </w:tcPr>
          <w:p w14:paraId="0AAC7497">
            <w:pPr>
              <w:spacing w:before="120"/>
              <w:rPr>
                <w:sz w:val="24"/>
                <w:highlight w:val="none"/>
              </w:rPr>
            </w:pPr>
            <w:r>
              <w:rPr>
                <w:rFonts w:hint="eastAsia"/>
                <w:sz w:val="24"/>
                <w:highlight w:val="none"/>
              </w:rPr>
              <w:t>小计</w:t>
            </w:r>
          </w:p>
        </w:tc>
        <w:tc>
          <w:tcPr>
            <w:tcW w:w="996" w:type="dxa"/>
            <w:vAlign w:val="center"/>
          </w:tcPr>
          <w:p w14:paraId="5BCBBFCA">
            <w:pPr>
              <w:spacing w:before="120" w:line="360" w:lineRule="auto"/>
              <w:ind w:firstLine="420" w:firstLineChars="200"/>
              <w:outlineLvl w:val="3"/>
              <w:rPr>
                <w:rFonts w:ascii="宋体" w:hAnsi="宋体" w:cs="宋体"/>
                <w:szCs w:val="21"/>
                <w:highlight w:val="none"/>
              </w:rPr>
            </w:pPr>
          </w:p>
        </w:tc>
        <w:tc>
          <w:tcPr>
            <w:tcW w:w="992" w:type="dxa"/>
            <w:vAlign w:val="center"/>
          </w:tcPr>
          <w:p w14:paraId="39DD2DF5">
            <w:pPr>
              <w:spacing w:before="120" w:line="360" w:lineRule="auto"/>
              <w:ind w:firstLine="420" w:firstLineChars="200"/>
              <w:outlineLvl w:val="3"/>
              <w:rPr>
                <w:rFonts w:ascii="宋体" w:hAnsi="宋体" w:cs="宋体"/>
                <w:szCs w:val="21"/>
                <w:highlight w:val="none"/>
              </w:rPr>
            </w:pPr>
          </w:p>
        </w:tc>
      </w:tr>
      <w:tr w14:paraId="4BA57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66" w:type="dxa"/>
            <w:gridSpan w:val="6"/>
            <w:vAlign w:val="center"/>
          </w:tcPr>
          <w:p w14:paraId="4D5DDCE3">
            <w:pPr>
              <w:rPr>
                <w:sz w:val="24"/>
                <w:highlight w:val="none"/>
              </w:rPr>
            </w:pPr>
            <w:r>
              <w:rPr>
                <w:rFonts w:hint="eastAsia"/>
                <w:sz w:val="24"/>
                <w:highlight w:val="none"/>
              </w:rPr>
              <w:t>甲方项目经办人（签字）：                            监理人签字（盖章）：</w:t>
            </w:r>
          </w:p>
          <w:p w14:paraId="2219E59B">
            <w:pPr>
              <w:rPr>
                <w:sz w:val="24"/>
                <w:highlight w:val="none"/>
              </w:rPr>
            </w:pPr>
            <w:r>
              <w:rPr>
                <w:rFonts w:hint="eastAsia"/>
                <w:sz w:val="24"/>
                <w:highlight w:val="none"/>
              </w:rPr>
              <w:t>甲方项目审核人（签字、盖章）：                      乙方项目负责人（签字、盖章）：</w:t>
            </w:r>
          </w:p>
          <w:p w14:paraId="3DF282DE">
            <w:pPr>
              <w:spacing w:before="120"/>
              <w:rPr>
                <w:sz w:val="24"/>
                <w:highlight w:val="none"/>
              </w:rPr>
            </w:pPr>
            <w:r>
              <w:rPr>
                <w:rFonts w:hint="eastAsia"/>
                <w:sz w:val="24"/>
                <w:highlight w:val="none"/>
              </w:rPr>
              <w:t>日期：日期：</w:t>
            </w:r>
          </w:p>
        </w:tc>
      </w:tr>
    </w:tbl>
    <w:p w14:paraId="52FF005D">
      <w:pPr>
        <w:spacing w:line="360" w:lineRule="auto"/>
        <w:ind w:firstLine="181" w:firstLineChars="50"/>
        <w:rPr>
          <w:rFonts w:ascii="宋体" w:hAnsi="宋体" w:cs="宋体"/>
          <w:b/>
          <w:sz w:val="36"/>
          <w:szCs w:val="36"/>
          <w:highlight w:val="none"/>
        </w:rPr>
      </w:pPr>
    </w:p>
    <w:p w14:paraId="236663E1">
      <w:pPr>
        <w:pStyle w:val="79"/>
        <w:rPr>
          <w:highlight w:val="none"/>
          <w:lang w:val="en-US"/>
        </w:rPr>
      </w:pPr>
    </w:p>
    <w:p w14:paraId="756C6700">
      <w:pPr>
        <w:pStyle w:val="79"/>
        <w:rPr>
          <w:highlight w:val="none"/>
          <w:lang w:val="en-US"/>
        </w:rPr>
      </w:pPr>
    </w:p>
    <w:p w14:paraId="0A5399EB">
      <w:pPr>
        <w:spacing w:line="360" w:lineRule="auto"/>
        <w:ind w:left="-420" w:leftChars="-200" w:right="-420" w:rightChars="-200" w:firstLine="480" w:firstLineChars="200"/>
        <w:jc w:val="center"/>
        <w:outlineLvl w:val="0"/>
        <w:rPr>
          <w:rFonts w:ascii="宋体" w:hAnsi="宋体" w:cs="宋体"/>
          <w:sz w:val="24"/>
          <w:highlight w:val="none"/>
        </w:rPr>
      </w:pPr>
    </w:p>
    <w:p w14:paraId="5252EBCE">
      <w:pPr>
        <w:widowControl/>
        <w:adjustRightInd/>
        <w:jc w:val="center"/>
        <w:rPr>
          <w:rFonts w:ascii="宋体" w:hAnsi="宋体" w:cs="宋体"/>
          <w:b/>
          <w:sz w:val="36"/>
          <w:szCs w:val="20"/>
          <w:highlight w:val="none"/>
        </w:rPr>
      </w:pPr>
      <w:r>
        <w:rPr>
          <w:rFonts w:hint="eastAsia" w:ascii="宋体" w:hAnsi="宋体" w:cs="宋体"/>
          <w:b/>
          <w:sz w:val="36"/>
          <w:szCs w:val="20"/>
          <w:highlight w:val="none"/>
        </w:rPr>
        <w:t>第六部分</w:t>
      </w:r>
      <w:bookmarkEnd w:id="413"/>
      <w:bookmarkEnd w:id="414"/>
      <w:r>
        <w:rPr>
          <w:rFonts w:hint="eastAsia" w:ascii="宋体" w:hAnsi="宋体" w:cs="宋体"/>
          <w:b/>
          <w:sz w:val="36"/>
          <w:szCs w:val="20"/>
          <w:highlight w:val="none"/>
        </w:rPr>
        <w:t>应提交的有关格式范例</w:t>
      </w:r>
    </w:p>
    <w:p w14:paraId="0F822784">
      <w:pPr>
        <w:spacing w:line="360" w:lineRule="auto"/>
        <w:jc w:val="center"/>
        <w:outlineLvl w:val="0"/>
        <w:rPr>
          <w:rFonts w:ascii="宋体" w:hAnsi="宋体" w:cs="宋体"/>
          <w:b/>
          <w:kern w:val="0"/>
          <w:sz w:val="36"/>
          <w:szCs w:val="36"/>
          <w:highlight w:val="none"/>
        </w:rPr>
      </w:pPr>
    </w:p>
    <w:p w14:paraId="37C9B428">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30DC512F">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7CA13B95">
      <w:pPr>
        <w:spacing w:line="360" w:lineRule="auto"/>
        <w:jc w:val="center"/>
        <w:outlineLvl w:val="0"/>
        <w:rPr>
          <w:rFonts w:ascii="宋体" w:hAnsi="宋体" w:cs="宋体"/>
          <w:b/>
          <w:kern w:val="0"/>
          <w:sz w:val="36"/>
          <w:szCs w:val="36"/>
          <w:highlight w:val="none"/>
        </w:rPr>
      </w:pPr>
    </w:p>
    <w:p w14:paraId="52B72273">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6FDD7875">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70464BC3">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14:paraId="28B09741">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14:paraId="504D289C">
      <w:pPr>
        <w:snapToGrid w:val="0"/>
        <w:spacing w:line="360" w:lineRule="auto"/>
        <w:ind w:firstLine="480" w:firstLineChars="200"/>
        <w:rPr>
          <w:rFonts w:ascii="宋体" w:hAnsi="宋体" w:cs="宋体"/>
          <w:sz w:val="24"/>
          <w:highlight w:val="none"/>
        </w:rPr>
      </w:pPr>
    </w:p>
    <w:p w14:paraId="38FD8A73">
      <w:pPr>
        <w:spacing w:line="360" w:lineRule="auto"/>
        <w:ind w:firstLine="480" w:firstLineChars="200"/>
        <w:rPr>
          <w:rFonts w:ascii="宋体" w:hAnsi="宋体" w:cs="宋体"/>
          <w:sz w:val="24"/>
          <w:highlight w:val="none"/>
        </w:rPr>
      </w:pPr>
    </w:p>
    <w:p w14:paraId="50775C2D">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6B4F5405">
      <w:pPr>
        <w:snapToGrid w:val="0"/>
        <w:spacing w:line="360" w:lineRule="auto"/>
        <w:rPr>
          <w:rFonts w:ascii="宋体" w:hAnsi="宋体" w:cs="宋体"/>
          <w:sz w:val="24"/>
          <w:highlight w:val="none"/>
        </w:rPr>
      </w:pPr>
      <w:r>
        <w:rPr>
          <w:rFonts w:hint="eastAsia" w:ascii="宋体" w:hAnsi="宋体" w:cs="宋体"/>
          <w:sz w:val="24"/>
          <w:highlight w:val="none"/>
        </w:rPr>
        <w:t>杭州市公安局交通警察支队、浙江信达咨询监理有限公司：</w:t>
      </w:r>
    </w:p>
    <w:p w14:paraId="4E03E70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我方参与2024年杭州交警业务系统使用服务-2024年杭州交警网络及数据安全运维服务【招标编号：HZSGAJ-2024-17（代)】政府采购活动，郑重承诺：</w:t>
      </w:r>
    </w:p>
    <w:p w14:paraId="0106B274">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574B683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08F9DC7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1622318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152AACF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6F27807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5DFDD91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52FBCBC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634BB1B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41C698D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35D892D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5DB6A310">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3B4131ED">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月日</w:t>
      </w:r>
    </w:p>
    <w:p w14:paraId="46B5F856">
      <w:pPr>
        <w:snapToGrid w:val="0"/>
        <w:spacing w:line="360" w:lineRule="auto"/>
        <w:ind w:right="480"/>
        <w:jc w:val="center"/>
        <w:rPr>
          <w:rFonts w:ascii="宋体" w:hAnsi="宋体" w:cs="宋体"/>
          <w:b/>
          <w:kern w:val="0"/>
          <w:sz w:val="32"/>
          <w:szCs w:val="32"/>
          <w:highlight w:val="none"/>
        </w:rPr>
      </w:pPr>
    </w:p>
    <w:p w14:paraId="18DC1F89">
      <w:pPr>
        <w:snapToGrid w:val="0"/>
        <w:spacing w:line="360" w:lineRule="auto"/>
        <w:ind w:right="480"/>
        <w:jc w:val="center"/>
        <w:rPr>
          <w:rFonts w:ascii="宋体" w:hAnsi="宋体" w:cs="宋体"/>
          <w:b/>
          <w:kern w:val="0"/>
          <w:sz w:val="32"/>
          <w:szCs w:val="32"/>
          <w:highlight w:val="none"/>
        </w:rPr>
      </w:pPr>
    </w:p>
    <w:p w14:paraId="4A767182">
      <w:pPr>
        <w:snapToGrid w:val="0"/>
        <w:spacing w:line="360" w:lineRule="auto"/>
        <w:ind w:right="480"/>
        <w:jc w:val="center"/>
        <w:rPr>
          <w:rFonts w:ascii="宋体" w:hAnsi="宋体" w:cs="宋体"/>
          <w:b/>
          <w:kern w:val="0"/>
          <w:sz w:val="32"/>
          <w:szCs w:val="32"/>
          <w:highlight w:val="none"/>
        </w:rPr>
      </w:pPr>
    </w:p>
    <w:p w14:paraId="4C7B8B28">
      <w:pPr>
        <w:rPr>
          <w:rFonts w:ascii="宋体" w:hAnsi="宋体" w:cs="宋体"/>
          <w:highlight w:val="none"/>
        </w:rPr>
      </w:pPr>
    </w:p>
    <w:p w14:paraId="734357EC">
      <w:pPr>
        <w:snapToGrid w:val="0"/>
        <w:spacing w:line="360" w:lineRule="auto"/>
        <w:ind w:right="480"/>
        <w:jc w:val="center"/>
        <w:rPr>
          <w:rFonts w:ascii="宋体" w:hAnsi="宋体" w:cs="宋体"/>
          <w:b/>
          <w:kern w:val="0"/>
          <w:sz w:val="32"/>
          <w:szCs w:val="32"/>
          <w:highlight w:val="none"/>
        </w:rPr>
      </w:pPr>
    </w:p>
    <w:p w14:paraId="0A4E7E0E">
      <w:pPr>
        <w:snapToGrid w:val="0"/>
        <w:spacing w:line="360" w:lineRule="auto"/>
        <w:ind w:right="480"/>
        <w:jc w:val="center"/>
        <w:rPr>
          <w:rFonts w:ascii="宋体" w:hAnsi="宋体" w:cs="宋体"/>
          <w:b/>
          <w:kern w:val="0"/>
          <w:sz w:val="32"/>
          <w:szCs w:val="32"/>
          <w:highlight w:val="none"/>
        </w:rPr>
      </w:pPr>
    </w:p>
    <w:p w14:paraId="63D05FFC">
      <w:pPr>
        <w:widowControl/>
        <w:adjustRightInd/>
        <w:jc w:val="left"/>
        <w:rPr>
          <w:rFonts w:ascii="宋体" w:hAnsi="宋体" w:cs="宋体"/>
          <w:b/>
          <w:kern w:val="0"/>
          <w:sz w:val="32"/>
          <w:szCs w:val="32"/>
          <w:highlight w:val="none"/>
        </w:rPr>
      </w:pPr>
    </w:p>
    <w:p w14:paraId="0574F48C">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5E1A5620">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080120E2">
      <w:pPr>
        <w:snapToGrid w:val="0"/>
        <w:spacing w:line="360" w:lineRule="auto"/>
        <w:ind w:right="480"/>
        <w:jc w:val="center"/>
        <w:rPr>
          <w:rFonts w:ascii="宋体" w:hAnsi="宋体" w:cs="宋体"/>
          <w:b/>
          <w:kern w:val="0"/>
          <w:sz w:val="32"/>
          <w:szCs w:val="32"/>
          <w:highlight w:val="none"/>
        </w:rPr>
      </w:pPr>
    </w:p>
    <w:p w14:paraId="29DCD2A2">
      <w:pPr>
        <w:snapToGrid w:val="0"/>
        <w:spacing w:line="360" w:lineRule="auto"/>
        <w:ind w:right="480"/>
        <w:jc w:val="center"/>
        <w:rPr>
          <w:rFonts w:ascii="宋体" w:hAnsi="宋体" w:cs="宋体"/>
          <w:b/>
          <w:kern w:val="0"/>
          <w:sz w:val="32"/>
          <w:szCs w:val="32"/>
          <w:highlight w:val="none"/>
        </w:rPr>
      </w:pPr>
    </w:p>
    <w:p w14:paraId="2980E3EA">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3E43B54A">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79FC6B7B">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.专门面向中小企业，服务全部由符合政策要求的中小企业（或小微企业）承接的，提供相应的中小企业声明函（附件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445F8158">
      <w:pPr>
        <w:widowControl/>
        <w:spacing w:line="360" w:lineRule="auto"/>
        <w:ind w:firstLine="480"/>
        <w:jc w:val="left"/>
        <w:rPr>
          <w:rFonts w:ascii="宋体" w:hAnsi="宋体" w:cs="宋体"/>
          <w:sz w:val="24"/>
          <w:highlight w:val="none"/>
        </w:rPr>
      </w:pPr>
    </w:p>
    <w:p w14:paraId="58F7A72C">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488CB444">
      <w:pPr>
        <w:snapToGrid w:val="0"/>
        <w:spacing w:before="50" w:after="50" w:line="360" w:lineRule="auto"/>
        <w:jc w:val="center"/>
        <w:rPr>
          <w:rFonts w:ascii="宋体" w:hAnsi="宋体" w:cs="宋体"/>
          <w:sz w:val="24"/>
          <w:highlight w:val="none"/>
        </w:rPr>
      </w:pPr>
    </w:p>
    <w:p w14:paraId="1F9F160C">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18B0BD89">
      <w:pPr>
        <w:widowControl/>
        <w:spacing w:line="360" w:lineRule="auto"/>
        <w:ind w:left="150"/>
        <w:jc w:val="center"/>
        <w:rPr>
          <w:rFonts w:ascii="宋体" w:hAnsi="宋体" w:cs="宋体"/>
          <w:b/>
          <w:kern w:val="0"/>
          <w:sz w:val="32"/>
          <w:szCs w:val="32"/>
          <w:highlight w:val="none"/>
        </w:rPr>
      </w:pPr>
    </w:p>
    <w:p w14:paraId="7C34FF8D">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51549FEA">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43377E20">
      <w:pPr>
        <w:rPr>
          <w:rFonts w:ascii="宋体" w:hAnsi="宋体" w:cs="宋体"/>
          <w:highlight w:val="none"/>
        </w:rPr>
      </w:pPr>
    </w:p>
    <w:p w14:paraId="69E0D285">
      <w:pPr>
        <w:snapToGrid w:val="0"/>
        <w:spacing w:line="360" w:lineRule="auto"/>
        <w:ind w:right="480"/>
        <w:jc w:val="center"/>
        <w:rPr>
          <w:rFonts w:ascii="宋体" w:hAnsi="宋体" w:cs="宋体"/>
          <w:b/>
          <w:kern w:val="0"/>
          <w:sz w:val="32"/>
          <w:szCs w:val="32"/>
          <w:highlight w:val="none"/>
        </w:rPr>
      </w:pPr>
    </w:p>
    <w:p w14:paraId="0E65DA68">
      <w:pPr>
        <w:widowControl/>
        <w:adjustRightInd/>
        <w:jc w:val="left"/>
        <w:rPr>
          <w:rFonts w:ascii="宋体" w:hAnsi="宋体" w:cs="宋体"/>
          <w:b/>
          <w:kern w:val="0"/>
          <w:sz w:val="36"/>
          <w:szCs w:val="36"/>
          <w:highlight w:val="none"/>
        </w:rPr>
      </w:pPr>
      <w:r>
        <w:rPr>
          <w:rFonts w:ascii="宋体" w:hAnsi="宋体" w:cs="宋体"/>
          <w:b/>
          <w:kern w:val="0"/>
          <w:sz w:val="36"/>
          <w:szCs w:val="36"/>
          <w:highlight w:val="none"/>
        </w:rPr>
        <w:br w:type="page"/>
      </w:r>
    </w:p>
    <w:p w14:paraId="17286F64">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1E328823">
      <w:pPr>
        <w:spacing w:line="360" w:lineRule="auto"/>
        <w:jc w:val="center"/>
        <w:outlineLvl w:val="0"/>
        <w:rPr>
          <w:rFonts w:ascii="宋体" w:hAnsi="宋体" w:cs="宋体"/>
          <w:b/>
          <w:kern w:val="0"/>
          <w:sz w:val="24"/>
          <w:highlight w:val="none"/>
        </w:rPr>
      </w:pPr>
    </w:p>
    <w:p w14:paraId="0C3B1722">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6195B4FA">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1BC0C941">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14:paraId="7FAE8AD9">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14:paraId="60958C7E">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………………………………………………………………………（页码）</w:t>
      </w:r>
    </w:p>
    <w:p w14:paraId="6F6DF7B7">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599E497E">
      <w:pPr>
        <w:snapToGrid w:val="0"/>
        <w:spacing w:line="360" w:lineRule="auto"/>
        <w:jc w:val="center"/>
        <w:rPr>
          <w:rFonts w:ascii="宋体" w:hAnsi="宋体" w:cs="宋体"/>
          <w:b/>
          <w:kern w:val="0"/>
          <w:sz w:val="32"/>
          <w:szCs w:val="32"/>
          <w:highlight w:val="none"/>
          <w:lang w:val="zh-CN"/>
        </w:rPr>
      </w:pPr>
    </w:p>
    <w:p w14:paraId="4CDA1477">
      <w:pPr>
        <w:snapToGrid w:val="0"/>
        <w:spacing w:line="360" w:lineRule="auto"/>
        <w:jc w:val="center"/>
        <w:rPr>
          <w:rFonts w:ascii="宋体" w:hAnsi="宋体" w:cs="宋体"/>
          <w:b/>
          <w:kern w:val="0"/>
          <w:sz w:val="32"/>
          <w:szCs w:val="32"/>
          <w:highlight w:val="none"/>
          <w:lang w:val="zh-CN"/>
        </w:rPr>
      </w:pPr>
    </w:p>
    <w:p w14:paraId="4BC20BB1">
      <w:pPr>
        <w:snapToGrid w:val="0"/>
        <w:spacing w:line="360" w:lineRule="auto"/>
        <w:jc w:val="center"/>
        <w:rPr>
          <w:rFonts w:ascii="宋体" w:hAnsi="宋体" w:cs="宋体"/>
          <w:b/>
          <w:kern w:val="0"/>
          <w:sz w:val="32"/>
          <w:szCs w:val="32"/>
          <w:highlight w:val="none"/>
          <w:lang w:val="zh-CN"/>
        </w:rPr>
      </w:pPr>
    </w:p>
    <w:p w14:paraId="5CD117F3">
      <w:pPr>
        <w:snapToGrid w:val="0"/>
        <w:spacing w:line="360" w:lineRule="auto"/>
        <w:jc w:val="center"/>
        <w:rPr>
          <w:rFonts w:ascii="宋体" w:hAnsi="宋体" w:cs="宋体"/>
          <w:b/>
          <w:kern w:val="0"/>
          <w:sz w:val="32"/>
          <w:szCs w:val="32"/>
          <w:highlight w:val="none"/>
          <w:lang w:val="zh-CN"/>
        </w:rPr>
      </w:pPr>
    </w:p>
    <w:p w14:paraId="71780915">
      <w:pPr>
        <w:snapToGrid w:val="0"/>
        <w:spacing w:line="360" w:lineRule="auto"/>
        <w:jc w:val="center"/>
        <w:rPr>
          <w:rFonts w:ascii="宋体" w:hAnsi="宋体" w:cs="宋体"/>
          <w:b/>
          <w:kern w:val="0"/>
          <w:sz w:val="32"/>
          <w:szCs w:val="32"/>
          <w:highlight w:val="none"/>
          <w:lang w:val="zh-CN"/>
        </w:rPr>
      </w:pPr>
    </w:p>
    <w:p w14:paraId="64C3EAD0">
      <w:pPr>
        <w:snapToGrid w:val="0"/>
        <w:spacing w:line="360" w:lineRule="auto"/>
        <w:jc w:val="center"/>
        <w:rPr>
          <w:rFonts w:ascii="宋体" w:hAnsi="宋体" w:cs="宋体"/>
          <w:b/>
          <w:kern w:val="0"/>
          <w:sz w:val="32"/>
          <w:szCs w:val="32"/>
          <w:highlight w:val="none"/>
          <w:lang w:val="zh-CN"/>
        </w:rPr>
      </w:pPr>
    </w:p>
    <w:p w14:paraId="3DBC9A69">
      <w:pPr>
        <w:snapToGrid w:val="0"/>
        <w:spacing w:line="360" w:lineRule="auto"/>
        <w:jc w:val="center"/>
        <w:rPr>
          <w:rFonts w:ascii="宋体" w:hAnsi="宋体" w:cs="宋体"/>
          <w:b/>
          <w:kern w:val="0"/>
          <w:sz w:val="32"/>
          <w:szCs w:val="32"/>
          <w:highlight w:val="none"/>
          <w:lang w:val="zh-CN"/>
        </w:rPr>
      </w:pPr>
    </w:p>
    <w:p w14:paraId="22D23CB9">
      <w:pPr>
        <w:snapToGrid w:val="0"/>
        <w:spacing w:line="360" w:lineRule="auto"/>
        <w:jc w:val="center"/>
        <w:rPr>
          <w:rFonts w:ascii="宋体" w:hAnsi="宋体" w:cs="宋体"/>
          <w:b/>
          <w:kern w:val="0"/>
          <w:sz w:val="32"/>
          <w:szCs w:val="32"/>
          <w:highlight w:val="none"/>
          <w:lang w:val="zh-CN"/>
        </w:rPr>
      </w:pPr>
    </w:p>
    <w:p w14:paraId="6DA29BC9">
      <w:pPr>
        <w:snapToGrid w:val="0"/>
        <w:spacing w:line="360" w:lineRule="auto"/>
        <w:jc w:val="center"/>
        <w:rPr>
          <w:rFonts w:ascii="宋体" w:hAnsi="宋体" w:cs="宋体"/>
          <w:b/>
          <w:kern w:val="0"/>
          <w:sz w:val="32"/>
          <w:szCs w:val="32"/>
          <w:highlight w:val="none"/>
          <w:lang w:val="zh-CN"/>
        </w:rPr>
      </w:pPr>
    </w:p>
    <w:p w14:paraId="505C9B24">
      <w:pPr>
        <w:snapToGrid w:val="0"/>
        <w:spacing w:line="360" w:lineRule="auto"/>
        <w:jc w:val="center"/>
        <w:rPr>
          <w:rFonts w:ascii="宋体" w:hAnsi="宋体" w:cs="宋体"/>
          <w:b/>
          <w:kern w:val="0"/>
          <w:sz w:val="32"/>
          <w:szCs w:val="32"/>
          <w:highlight w:val="none"/>
          <w:lang w:val="zh-CN"/>
        </w:rPr>
      </w:pPr>
    </w:p>
    <w:p w14:paraId="6F6F8BF8">
      <w:pPr>
        <w:snapToGrid w:val="0"/>
        <w:spacing w:line="360" w:lineRule="auto"/>
        <w:jc w:val="center"/>
        <w:rPr>
          <w:rFonts w:ascii="宋体" w:hAnsi="宋体" w:cs="宋体"/>
          <w:b/>
          <w:kern w:val="0"/>
          <w:sz w:val="32"/>
          <w:szCs w:val="32"/>
          <w:highlight w:val="none"/>
          <w:lang w:val="zh-CN"/>
        </w:rPr>
      </w:pPr>
    </w:p>
    <w:p w14:paraId="1745DB76">
      <w:pPr>
        <w:rPr>
          <w:rFonts w:ascii="宋体" w:hAnsi="宋体" w:cs="宋体"/>
          <w:b/>
          <w:kern w:val="0"/>
          <w:sz w:val="32"/>
          <w:szCs w:val="32"/>
          <w:highlight w:val="none"/>
          <w:lang w:val="zh-CN"/>
        </w:rPr>
      </w:pPr>
    </w:p>
    <w:p w14:paraId="3A66535E">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42B56F39">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42BF94B3">
      <w:pPr>
        <w:snapToGrid w:val="0"/>
        <w:spacing w:line="360" w:lineRule="auto"/>
        <w:rPr>
          <w:rFonts w:ascii="宋体" w:hAnsi="宋体" w:cs="宋体"/>
          <w:sz w:val="24"/>
          <w:highlight w:val="none"/>
        </w:rPr>
      </w:pPr>
      <w:r>
        <w:rPr>
          <w:rFonts w:hint="eastAsia" w:ascii="宋体" w:hAnsi="宋体" w:cs="宋体"/>
          <w:sz w:val="24"/>
          <w:highlight w:val="none"/>
        </w:rPr>
        <w:t>杭州市公安局交通警察支队、浙江信达咨询监理有限公司：</w:t>
      </w:r>
    </w:p>
    <w:p w14:paraId="039D8A3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我方参加你方组织的2024年杭州交警业务系统使用服务-2024年杭州交警网络及数据安全运维服务【招标编号：HZSGAJ-2024-17（代)】招标的有关活动，并对此项目进行投标。为此：</w:t>
      </w:r>
    </w:p>
    <w:p w14:paraId="359D78D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90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638D35D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5FD45DBC">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7FFC07A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751220C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530" w:name="_Hlk101257010"/>
      <w:r>
        <w:rPr>
          <w:rFonts w:hint="eastAsia" w:ascii="宋体" w:hAnsi="宋体" w:cs="宋体"/>
          <w:sz w:val="24"/>
          <w:highlight w:val="none"/>
        </w:rPr>
        <w:t>（如果有)</w:t>
      </w:r>
      <w:bookmarkEnd w:id="530"/>
      <w:r>
        <w:rPr>
          <w:rFonts w:hint="eastAsia" w:ascii="宋体" w:hAnsi="宋体" w:cs="宋体"/>
          <w:snapToGrid w:val="0"/>
          <w:kern w:val="28"/>
          <w:sz w:val="24"/>
          <w:szCs w:val="20"/>
          <w:highlight w:val="none"/>
        </w:rPr>
        <w:t>；</w:t>
      </w:r>
    </w:p>
    <w:p w14:paraId="471C92B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落实政府采购政策需满足的资格要求（如果有）；</w:t>
      </w:r>
    </w:p>
    <w:p w14:paraId="3A6BFD2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本项目的特定资格要求（如果有)。</w:t>
      </w:r>
    </w:p>
    <w:p w14:paraId="1EF30022">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2商务技术</w:t>
      </w:r>
      <w:r>
        <w:rPr>
          <w:rFonts w:hint="eastAsia" w:ascii="宋体" w:hAnsi="宋体" w:cs="宋体"/>
          <w:sz w:val="24"/>
          <w:highlight w:val="none"/>
          <w:lang w:val="zh-CN"/>
        </w:rPr>
        <w:t>文件：</w:t>
      </w:r>
    </w:p>
    <w:p w14:paraId="6FFC672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p>
    <w:p w14:paraId="44F3616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2FE65CC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分包意向协议（如果有)；</w:t>
      </w:r>
    </w:p>
    <w:p w14:paraId="1AB095B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18B57CC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1AA3F30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14:paraId="46142C6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14:paraId="0F2C17EA">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5254856B">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040FA1FC">
      <w:pPr>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56336898">
      <w:pPr>
        <w:spacing w:line="360" w:lineRule="auto"/>
        <w:ind w:left="420" w:leftChars="200" w:firstLine="480" w:firstLineChars="200"/>
        <w:rPr>
          <w:highlight w:val="none"/>
        </w:rPr>
      </w:pPr>
      <w:r>
        <w:rPr>
          <w:rFonts w:ascii="宋体" w:hAnsi="宋体" w:cs="宋体"/>
          <w:sz w:val="24"/>
          <w:szCs w:val="21"/>
          <w:highlight w:val="none"/>
        </w:rPr>
        <w:t xml:space="preserve">2.3.2 </w:t>
      </w:r>
      <w:r>
        <w:rPr>
          <w:rFonts w:hint="eastAsia" w:ascii="宋体" w:hAnsi="宋体" w:cs="宋体"/>
          <w:sz w:val="24"/>
          <w:szCs w:val="21"/>
          <w:highlight w:val="none"/>
        </w:rPr>
        <w:t>报价情况说明（如果有）</w:t>
      </w:r>
    </w:p>
    <w:p w14:paraId="5EA1598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2.3.2中小企业声明函（如果有）。</w:t>
      </w:r>
    </w:p>
    <w:p w14:paraId="472F3688">
      <w:pPr>
        <w:pStyle w:val="79"/>
        <w:spacing w:line="360" w:lineRule="auto"/>
        <w:ind w:firstLine="960" w:firstLineChars="400"/>
        <w:rPr>
          <w:rFonts w:ascii="宋体" w:hAnsi="宋体" w:cs="宋体"/>
          <w:sz w:val="24"/>
          <w:highlight w:val="none"/>
        </w:rPr>
      </w:pPr>
      <w:r>
        <w:rPr>
          <w:rFonts w:ascii="宋体" w:hAnsi="宋体" w:eastAsia="宋体" w:cs="宋体"/>
          <w:sz w:val="24"/>
          <w:szCs w:val="21"/>
          <w:highlight w:val="none"/>
        </w:rPr>
        <w:t>3、我方承诺除商务技术偏离表列出的偏离外，我方响应招标文件的全部要求。</w:t>
      </w:r>
      <w:r>
        <w:rPr>
          <w:rFonts w:hint="eastAsia" w:ascii="宋体" w:hAnsi="宋体" w:eastAsia="宋体" w:cs="宋体"/>
          <w:sz w:val="24"/>
          <w:szCs w:val="21"/>
          <w:highlight w:val="none"/>
        </w:rPr>
        <w:t>对投标文件中材料的真实性、合法性负责。</w:t>
      </w:r>
    </w:p>
    <w:p w14:paraId="2B6D7AF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1C2F9059">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5E9C7B77">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2919E838">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625AF683">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79C18F9D">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p>
    <w:p w14:paraId="40B10F6D">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4BE80598">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358D284C">
      <w:pPr>
        <w:snapToGrid w:val="0"/>
        <w:spacing w:line="360" w:lineRule="auto"/>
        <w:ind w:left="420" w:leftChars="200" w:firstLine="4200" w:firstLineChars="1750"/>
        <w:rPr>
          <w:rFonts w:ascii="宋体" w:hAnsi="宋体" w:cs="宋体"/>
          <w:kern w:val="0"/>
          <w:sz w:val="24"/>
          <w:highlight w:val="none"/>
          <w:u w:val="single"/>
        </w:rPr>
      </w:pPr>
    </w:p>
    <w:p w14:paraId="57C8B11E">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1FDB8B5">
      <w:pPr>
        <w:snapToGrid w:val="0"/>
        <w:spacing w:line="360" w:lineRule="auto"/>
        <w:jc w:val="center"/>
        <w:rPr>
          <w:rFonts w:ascii="宋体" w:hAnsi="宋体" w:cs="宋体"/>
          <w:b/>
          <w:kern w:val="0"/>
          <w:sz w:val="32"/>
          <w:szCs w:val="32"/>
          <w:highlight w:val="none"/>
        </w:rPr>
      </w:pPr>
    </w:p>
    <w:p w14:paraId="0DAB77AB">
      <w:pPr>
        <w:snapToGrid w:val="0"/>
        <w:spacing w:line="360" w:lineRule="auto"/>
        <w:rPr>
          <w:rFonts w:ascii="宋体" w:hAnsi="宋体" w:cs="宋体"/>
          <w:sz w:val="24"/>
          <w:highlight w:val="none"/>
        </w:rPr>
      </w:pPr>
    </w:p>
    <w:p w14:paraId="1526B3A5">
      <w:pPr>
        <w:jc w:val="center"/>
        <w:rPr>
          <w:rFonts w:ascii="宋体" w:hAnsi="宋体" w:cs="宋体"/>
          <w:b/>
          <w:kern w:val="0"/>
          <w:sz w:val="32"/>
          <w:szCs w:val="32"/>
          <w:highlight w:val="none"/>
        </w:rPr>
      </w:pPr>
    </w:p>
    <w:p w14:paraId="439F3D20">
      <w:pPr>
        <w:jc w:val="center"/>
        <w:rPr>
          <w:rFonts w:ascii="宋体" w:hAnsi="宋体" w:cs="宋体"/>
          <w:b/>
          <w:kern w:val="0"/>
          <w:sz w:val="32"/>
          <w:szCs w:val="32"/>
          <w:highlight w:val="none"/>
        </w:rPr>
      </w:pPr>
    </w:p>
    <w:p w14:paraId="33BD6D78">
      <w:pPr>
        <w:jc w:val="center"/>
        <w:rPr>
          <w:rFonts w:ascii="宋体" w:hAnsi="宋体" w:cs="宋体"/>
          <w:b/>
          <w:kern w:val="0"/>
          <w:sz w:val="32"/>
          <w:szCs w:val="32"/>
          <w:highlight w:val="none"/>
        </w:rPr>
      </w:pPr>
    </w:p>
    <w:p w14:paraId="22CDE62C">
      <w:pPr>
        <w:jc w:val="center"/>
        <w:rPr>
          <w:rFonts w:ascii="宋体" w:hAnsi="宋体" w:cs="宋体"/>
          <w:b/>
          <w:kern w:val="0"/>
          <w:sz w:val="32"/>
          <w:szCs w:val="32"/>
          <w:highlight w:val="none"/>
        </w:rPr>
      </w:pPr>
    </w:p>
    <w:p w14:paraId="6EC5289F">
      <w:pPr>
        <w:jc w:val="center"/>
        <w:rPr>
          <w:rFonts w:ascii="宋体" w:hAnsi="宋体" w:cs="宋体"/>
          <w:b/>
          <w:kern w:val="0"/>
          <w:sz w:val="32"/>
          <w:szCs w:val="32"/>
          <w:highlight w:val="none"/>
        </w:rPr>
      </w:pPr>
    </w:p>
    <w:p w14:paraId="27F84527">
      <w:pPr>
        <w:jc w:val="center"/>
        <w:rPr>
          <w:rFonts w:ascii="宋体" w:hAnsi="宋体" w:cs="宋体"/>
          <w:b/>
          <w:kern w:val="0"/>
          <w:sz w:val="32"/>
          <w:szCs w:val="32"/>
          <w:highlight w:val="none"/>
        </w:rPr>
      </w:pPr>
    </w:p>
    <w:p w14:paraId="3AD231B8">
      <w:pPr>
        <w:jc w:val="center"/>
        <w:rPr>
          <w:rFonts w:ascii="宋体" w:hAnsi="宋体" w:cs="宋体"/>
          <w:b/>
          <w:kern w:val="0"/>
          <w:sz w:val="32"/>
          <w:szCs w:val="32"/>
          <w:highlight w:val="none"/>
        </w:rPr>
      </w:pPr>
    </w:p>
    <w:p w14:paraId="1A92B873">
      <w:pPr>
        <w:jc w:val="center"/>
        <w:rPr>
          <w:rFonts w:ascii="宋体" w:hAnsi="宋体" w:cs="宋体"/>
          <w:b/>
          <w:kern w:val="0"/>
          <w:sz w:val="32"/>
          <w:szCs w:val="32"/>
          <w:highlight w:val="none"/>
        </w:rPr>
      </w:pPr>
    </w:p>
    <w:p w14:paraId="5BC591A7">
      <w:pPr>
        <w:jc w:val="center"/>
        <w:rPr>
          <w:rFonts w:ascii="宋体" w:hAnsi="宋体" w:cs="宋体"/>
          <w:b/>
          <w:kern w:val="0"/>
          <w:sz w:val="32"/>
          <w:szCs w:val="32"/>
          <w:highlight w:val="none"/>
        </w:rPr>
      </w:pPr>
    </w:p>
    <w:p w14:paraId="3076ACB5">
      <w:pPr>
        <w:jc w:val="center"/>
        <w:rPr>
          <w:rFonts w:ascii="宋体" w:hAnsi="宋体" w:cs="宋体"/>
          <w:b/>
          <w:kern w:val="0"/>
          <w:sz w:val="32"/>
          <w:szCs w:val="32"/>
          <w:highlight w:val="none"/>
        </w:rPr>
      </w:pPr>
    </w:p>
    <w:p w14:paraId="7ADA0AEE">
      <w:pPr>
        <w:jc w:val="center"/>
        <w:rPr>
          <w:rFonts w:ascii="宋体" w:hAnsi="宋体" w:cs="宋体"/>
          <w:b/>
          <w:kern w:val="0"/>
          <w:sz w:val="32"/>
          <w:szCs w:val="32"/>
          <w:highlight w:val="none"/>
        </w:rPr>
      </w:pPr>
    </w:p>
    <w:p w14:paraId="60240F24">
      <w:pPr>
        <w:jc w:val="center"/>
        <w:rPr>
          <w:rFonts w:ascii="宋体" w:hAnsi="宋体" w:cs="宋体"/>
          <w:b/>
          <w:kern w:val="0"/>
          <w:sz w:val="32"/>
          <w:szCs w:val="32"/>
          <w:highlight w:val="none"/>
        </w:rPr>
      </w:pPr>
    </w:p>
    <w:p w14:paraId="27F37878">
      <w:pPr>
        <w:jc w:val="center"/>
        <w:rPr>
          <w:rFonts w:ascii="宋体" w:hAnsi="宋体" w:cs="宋体"/>
          <w:b/>
          <w:kern w:val="0"/>
          <w:sz w:val="32"/>
          <w:szCs w:val="32"/>
          <w:highlight w:val="none"/>
        </w:rPr>
      </w:pPr>
    </w:p>
    <w:p w14:paraId="4F066D12">
      <w:pPr>
        <w:jc w:val="center"/>
        <w:rPr>
          <w:rFonts w:ascii="宋体" w:hAnsi="宋体" w:cs="宋体"/>
          <w:b/>
          <w:kern w:val="0"/>
          <w:sz w:val="32"/>
          <w:szCs w:val="32"/>
          <w:highlight w:val="none"/>
        </w:rPr>
      </w:pPr>
    </w:p>
    <w:p w14:paraId="387867B3">
      <w:pPr>
        <w:jc w:val="center"/>
        <w:rPr>
          <w:rFonts w:ascii="宋体" w:hAnsi="宋体" w:cs="宋体"/>
          <w:b/>
          <w:kern w:val="0"/>
          <w:sz w:val="32"/>
          <w:szCs w:val="32"/>
          <w:highlight w:val="none"/>
        </w:rPr>
      </w:pPr>
    </w:p>
    <w:p w14:paraId="3323909C">
      <w:pPr>
        <w:jc w:val="center"/>
        <w:rPr>
          <w:rFonts w:ascii="宋体" w:hAnsi="宋体" w:cs="宋体"/>
          <w:b/>
          <w:kern w:val="0"/>
          <w:sz w:val="32"/>
          <w:szCs w:val="32"/>
          <w:highlight w:val="none"/>
        </w:rPr>
      </w:pPr>
    </w:p>
    <w:p w14:paraId="52D9B756">
      <w:pPr>
        <w:jc w:val="center"/>
        <w:rPr>
          <w:rFonts w:ascii="宋体" w:hAnsi="宋体" w:cs="宋体"/>
          <w:b/>
          <w:kern w:val="0"/>
          <w:sz w:val="32"/>
          <w:szCs w:val="32"/>
          <w:highlight w:val="none"/>
        </w:rPr>
      </w:pPr>
    </w:p>
    <w:p w14:paraId="450E63A5">
      <w:pPr>
        <w:jc w:val="center"/>
        <w:rPr>
          <w:rFonts w:ascii="宋体" w:hAnsi="宋体" w:cs="宋体"/>
          <w:b/>
          <w:kern w:val="0"/>
          <w:sz w:val="32"/>
          <w:szCs w:val="32"/>
          <w:highlight w:val="none"/>
        </w:rPr>
      </w:pPr>
    </w:p>
    <w:p w14:paraId="25AB96B8">
      <w:pPr>
        <w:pStyle w:val="3"/>
        <w:rPr>
          <w:highlight w:val="none"/>
          <w:lang w:val="en-US"/>
        </w:rPr>
      </w:pPr>
    </w:p>
    <w:p w14:paraId="13B3BB5B">
      <w:pPr>
        <w:jc w:val="center"/>
        <w:rPr>
          <w:rFonts w:ascii="宋体" w:hAnsi="宋体" w:cs="宋体"/>
          <w:b/>
          <w:kern w:val="0"/>
          <w:sz w:val="32"/>
          <w:szCs w:val="32"/>
          <w:highlight w:val="none"/>
        </w:rPr>
      </w:pPr>
    </w:p>
    <w:p w14:paraId="1B8435DB">
      <w:pPr>
        <w:jc w:val="center"/>
        <w:rPr>
          <w:rFonts w:ascii="宋体" w:hAnsi="宋体" w:cs="宋体"/>
          <w:b/>
          <w:kern w:val="0"/>
          <w:sz w:val="32"/>
          <w:szCs w:val="32"/>
          <w:highlight w:val="none"/>
        </w:rPr>
      </w:pPr>
    </w:p>
    <w:p w14:paraId="0AE4D27D">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3BAADFA5">
      <w:pPr>
        <w:snapToGrid w:val="0"/>
        <w:spacing w:line="360" w:lineRule="auto"/>
        <w:rPr>
          <w:rFonts w:ascii="宋体" w:hAnsi="宋体" w:cs="宋体"/>
          <w:sz w:val="24"/>
          <w:highlight w:val="none"/>
        </w:rPr>
      </w:pPr>
    </w:p>
    <w:p w14:paraId="05DCD5B0">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p>
    <w:p w14:paraId="521BA721">
      <w:pPr>
        <w:snapToGrid w:val="0"/>
        <w:spacing w:line="360" w:lineRule="auto"/>
        <w:rPr>
          <w:rFonts w:ascii="宋体" w:hAnsi="宋体" w:cs="宋体"/>
          <w:kern w:val="0"/>
          <w:sz w:val="24"/>
          <w:highlight w:val="none"/>
        </w:rPr>
      </w:pPr>
      <w:r>
        <w:rPr>
          <w:rFonts w:hint="eastAsia" w:ascii="宋体" w:hAnsi="宋体" w:cs="宋体"/>
          <w:sz w:val="24"/>
          <w:highlight w:val="none"/>
        </w:rPr>
        <w:t>杭州市公安局交通警察支队、浙江信达咨询监理有限公司</w:t>
      </w:r>
      <w:r>
        <w:rPr>
          <w:rFonts w:hint="eastAsia" w:ascii="宋体" w:hAnsi="宋体" w:cs="宋体"/>
          <w:kern w:val="0"/>
          <w:sz w:val="24"/>
          <w:highlight w:val="none"/>
          <w:lang w:val="zh-CN"/>
        </w:rPr>
        <w:t>：</w:t>
      </w:r>
    </w:p>
    <w:p w14:paraId="00AB1B3A">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委托（姓名）为我方代理人（身份证号码：，手机：</w:t>
      </w:r>
      <w:r>
        <w:rPr>
          <w:rFonts w:hint="eastAsia" w:ascii="宋体" w:hAnsi="宋体" w:cs="宋体"/>
          <w:kern w:val="0"/>
          <w:sz w:val="24"/>
          <w:highlight w:val="none"/>
        </w:rPr>
        <w:t>，所在单位：</w:t>
      </w:r>
      <w:r>
        <w:rPr>
          <w:rFonts w:hint="eastAsia" w:ascii="宋体" w:hAnsi="宋体" w:cs="宋体"/>
          <w:kern w:val="0"/>
          <w:sz w:val="24"/>
          <w:highlight w:val="none"/>
          <w:lang w:val="zh-CN"/>
        </w:rPr>
        <w:t>），以我方名义处理</w:t>
      </w:r>
      <w:r>
        <w:rPr>
          <w:rFonts w:hint="eastAsia" w:ascii="宋体" w:hAnsi="宋体" w:cs="宋体"/>
          <w:sz w:val="24"/>
          <w:highlight w:val="none"/>
        </w:rPr>
        <w:t>2024年杭州交警业务系统使用服务-2024年杭州交警网络及数据安全运维服务【招标编号：HZSGAJ-2024-17（代)】</w:t>
      </w:r>
      <w:r>
        <w:rPr>
          <w:rFonts w:hint="eastAsia" w:ascii="宋体" w:hAnsi="宋体" w:cs="宋体"/>
          <w:kern w:val="0"/>
          <w:sz w:val="24"/>
          <w:highlight w:val="none"/>
          <w:lang w:val="zh-CN"/>
        </w:rPr>
        <w:t>政府采购投标的一切事项，其法律后果由我方承担。</w:t>
      </w:r>
    </w:p>
    <w:p w14:paraId="4DEA3046">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自年月日起至年月日止。</w:t>
      </w:r>
    </w:p>
    <w:p w14:paraId="2C2EBAC8">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特此告知。</w:t>
      </w:r>
    </w:p>
    <w:p w14:paraId="23383371">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0C2D8CEC">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793B8E55">
      <w:pPr>
        <w:snapToGrid w:val="0"/>
        <w:spacing w:line="360" w:lineRule="auto"/>
        <w:rPr>
          <w:rFonts w:ascii="宋体" w:hAnsi="宋体" w:cs="宋体"/>
          <w:sz w:val="24"/>
          <w:highlight w:val="none"/>
        </w:rPr>
      </w:pPr>
    </w:p>
    <w:p w14:paraId="5D990990">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授权委托书（适用于联合体投标）</w:t>
      </w:r>
    </w:p>
    <w:p w14:paraId="0764D573">
      <w:pPr>
        <w:pStyle w:val="79"/>
        <w:rPr>
          <w:highlight w:val="none"/>
          <w:lang w:val="zh-CN"/>
        </w:rPr>
      </w:pPr>
    </w:p>
    <w:p w14:paraId="29FF208F">
      <w:pPr>
        <w:snapToGrid w:val="0"/>
        <w:spacing w:line="360" w:lineRule="auto"/>
        <w:rPr>
          <w:rFonts w:ascii="宋体" w:hAnsi="宋体" w:cs="宋体"/>
          <w:kern w:val="0"/>
          <w:sz w:val="24"/>
          <w:highlight w:val="none"/>
        </w:rPr>
      </w:pPr>
      <w:r>
        <w:rPr>
          <w:rFonts w:hint="eastAsia" w:ascii="宋体" w:hAnsi="宋体" w:cs="宋体"/>
          <w:sz w:val="24"/>
          <w:highlight w:val="none"/>
        </w:rPr>
        <w:t>杭州市公安局交通警察支队、浙江信达咨询监理有限公司</w:t>
      </w:r>
      <w:r>
        <w:rPr>
          <w:rFonts w:hint="eastAsia" w:ascii="宋体" w:hAnsi="宋体" w:cs="宋体"/>
          <w:kern w:val="0"/>
          <w:sz w:val="24"/>
          <w:highlight w:val="none"/>
          <w:lang w:val="zh-CN"/>
        </w:rPr>
        <w:t>：</w:t>
      </w:r>
    </w:p>
    <w:p w14:paraId="2E49CC07">
      <w:pPr>
        <w:snapToGrid w:val="0"/>
        <w:spacing w:line="360" w:lineRule="auto"/>
        <w:ind w:firstLine="576"/>
        <w:rPr>
          <w:rFonts w:ascii="宋体" w:hAnsi="宋体" w:cs="宋体"/>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委托（姓名）为我方代理人（身份证号码：，手机：</w:t>
      </w:r>
      <w:r>
        <w:rPr>
          <w:rFonts w:hint="eastAsia" w:ascii="宋体" w:hAnsi="宋体" w:cs="宋体"/>
          <w:kern w:val="0"/>
          <w:sz w:val="24"/>
          <w:highlight w:val="none"/>
        </w:rPr>
        <w:t>，所在单位：</w:t>
      </w:r>
      <w:r>
        <w:rPr>
          <w:rFonts w:hint="eastAsia" w:ascii="宋体" w:hAnsi="宋体" w:cs="宋体"/>
          <w:kern w:val="0"/>
          <w:sz w:val="24"/>
          <w:highlight w:val="none"/>
          <w:lang w:val="zh-CN"/>
        </w:rPr>
        <w:t>），以我方名义处理</w:t>
      </w:r>
      <w:r>
        <w:rPr>
          <w:rFonts w:hint="eastAsia" w:ascii="宋体" w:hAnsi="宋体" w:cs="宋体"/>
          <w:sz w:val="24"/>
          <w:highlight w:val="none"/>
        </w:rPr>
        <w:t>2024年杭州交警业务系统使用服务-2024年杭州交警网络及数据安全运维服务【招标编号：</w:t>
      </w:r>
    </w:p>
    <w:p w14:paraId="56FFDFA5">
      <w:pPr>
        <w:snapToGrid w:val="0"/>
        <w:spacing w:line="360" w:lineRule="auto"/>
        <w:ind w:firstLine="576"/>
        <w:rPr>
          <w:rFonts w:ascii="宋体" w:hAnsi="宋体" w:cs="宋体"/>
          <w:kern w:val="0"/>
          <w:sz w:val="24"/>
          <w:highlight w:val="none"/>
        </w:rPr>
      </w:pPr>
      <w:r>
        <w:rPr>
          <w:rFonts w:hint="eastAsia" w:ascii="宋体" w:hAnsi="宋体" w:cs="宋体"/>
          <w:sz w:val="24"/>
          <w:highlight w:val="none"/>
        </w:rPr>
        <w:t>HZSGAJ-2024-17（代)】</w:t>
      </w:r>
      <w:r>
        <w:rPr>
          <w:rFonts w:hint="eastAsia" w:ascii="宋体" w:hAnsi="宋体" w:cs="宋体"/>
          <w:kern w:val="0"/>
          <w:sz w:val="24"/>
          <w:highlight w:val="none"/>
          <w:lang w:val="zh-CN"/>
        </w:rPr>
        <w:t>政府采购投标的一切事项，其法律后果由我方承担。</w:t>
      </w:r>
    </w:p>
    <w:p w14:paraId="4D1DC207">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自年月日起至年月日止。</w:t>
      </w:r>
    </w:p>
    <w:p w14:paraId="2B09A0D8">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特此告知。</w:t>
      </w:r>
    </w:p>
    <w:p w14:paraId="2EDC45E3">
      <w:pPr>
        <w:jc w:val="center"/>
        <w:rPr>
          <w:rFonts w:ascii="宋体" w:hAnsi="宋体" w:cs="宋体"/>
          <w:b/>
          <w:kern w:val="0"/>
          <w:sz w:val="32"/>
          <w:szCs w:val="32"/>
          <w:highlight w:val="none"/>
        </w:rPr>
      </w:pPr>
    </w:p>
    <w:p w14:paraId="64F71259">
      <w:pPr>
        <w:rPr>
          <w:rFonts w:ascii="宋体" w:hAnsi="宋体" w:cs="宋体"/>
          <w:highlight w:val="none"/>
        </w:rPr>
      </w:pPr>
    </w:p>
    <w:p w14:paraId="7006E64B">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4815065A">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E87E9F7">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63BAD629">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4A9E1025">
      <w:pPr>
        <w:autoSpaceDE w:val="0"/>
        <w:autoSpaceDN w:val="0"/>
        <w:spacing w:line="360" w:lineRule="auto"/>
        <w:jc w:val="center"/>
        <w:rPr>
          <w:rFonts w:ascii="宋体" w:hAnsi="宋体" w:cs="宋体"/>
          <w:b/>
          <w:kern w:val="0"/>
          <w:sz w:val="32"/>
          <w:szCs w:val="32"/>
          <w:highlight w:val="none"/>
          <w:lang w:val="zh-CN"/>
        </w:rPr>
      </w:pPr>
    </w:p>
    <w:p w14:paraId="54D06CA5">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01818A63">
      <w:pPr>
        <w:pStyle w:val="88"/>
        <w:spacing w:line="360" w:lineRule="auto"/>
        <w:rPr>
          <w:rFonts w:hAnsi="宋体" w:cs="宋体"/>
          <w:bCs/>
          <w:sz w:val="24"/>
          <w:highlight w:val="none"/>
        </w:rPr>
      </w:pPr>
      <w:r>
        <w:rPr>
          <w:rFonts w:hint="eastAsia" w:hAnsi="宋体" w:cs="宋体"/>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AED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7298E412">
            <w:pPr>
              <w:pStyle w:val="88"/>
              <w:adjustRightInd w:val="0"/>
              <w:spacing w:line="360" w:lineRule="auto"/>
              <w:rPr>
                <w:rFonts w:hAnsi="宋体" w:cs="宋体"/>
                <w:bCs/>
                <w:sz w:val="24"/>
                <w:highlight w:val="none"/>
              </w:rPr>
            </w:pPr>
            <w:r>
              <w:rPr>
                <w:rFonts w:hint="eastAsia" w:hAnsi="宋体" w:cs="宋体"/>
                <w:bCs/>
                <w:sz w:val="24"/>
                <w:highlight w:val="none"/>
              </w:rPr>
              <w:t>正面：                                 反面：</w:t>
            </w:r>
          </w:p>
          <w:p w14:paraId="19F3F80C">
            <w:pPr>
              <w:pStyle w:val="88"/>
              <w:adjustRightInd w:val="0"/>
              <w:spacing w:line="360" w:lineRule="auto"/>
              <w:rPr>
                <w:rFonts w:hAnsi="宋体" w:cs="宋体"/>
                <w:bCs/>
                <w:sz w:val="24"/>
                <w:highlight w:val="none"/>
              </w:rPr>
            </w:pPr>
          </w:p>
        </w:tc>
      </w:tr>
    </w:tbl>
    <w:p w14:paraId="7E5B2C5E">
      <w:pPr>
        <w:snapToGrid w:val="0"/>
        <w:spacing w:line="360" w:lineRule="auto"/>
        <w:ind w:firstLine="576"/>
        <w:jc w:val="center"/>
        <w:rPr>
          <w:rFonts w:ascii="宋体" w:hAnsi="宋体" w:cs="宋体"/>
          <w:kern w:val="0"/>
          <w:sz w:val="24"/>
          <w:highlight w:val="none"/>
          <w:lang w:val="zh-CN"/>
        </w:rPr>
      </w:pPr>
    </w:p>
    <w:p w14:paraId="73C0C013">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4529CB51">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69BA257B">
      <w:pPr>
        <w:jc w:val="center"/>
        <w:rPr>
          <w:rFonts w:ascii="宋体" w:hAnsi="宋体" w:cs="宋体"/>
          <w:b/>
          <w:kern w:val="0"/>
          <w:sz w:val="32"/>
          <w:szCs w:val="32"/>
          <w:highlight w:val="none"/>
        </w:rPr>
      </w:pPr>
    </w:p>
    <w:p w14:paraId="4CD582E1">
      <w:pPr>
        <w:jc w:val="center"/>
        <w:rPr>
          <w:rFonts w:ascii="宋体" w:hAnsi="宋体" w:cs="宋体"/>
          <w:b/>
          <w:kern w:val="0"/>
          <w:sz w:val="32"/>
          <w:szCs w:val="32"/>
          <w:highlight w:val="none"/>
        </w:rPr>
      </w:pPr>
    </w:p>
    <w:p w14:paraId="2784615D">
      <w:pPr>
        <w:jc w:val="center"/>
        <w:rPr>
          <w:rFonts w:ascii="宋体" w:hAnsi="宋体" w:cs="宋体"/>
          <w:b/>
          <w:kern w:val="0"/>
          <w:sz w:val="32"/>
          <w:szCs w:val="32"/>
          <w:highlight w:val="none"/>
        </w:rPr>
      </w:pPr>
    </w:p>
    <w:p w14:paraId="1BCA2EF0">
      <w:pPr>
        <w:jc w:val="center"/>
        <w:rPr>
          <w:rFonts w:ascii="宋体" w:hAnsi="宋体" w:cs="宋体"/>
          <w:b/>
          <w:kern w:val="0"/>
          <w:sz w:val="32"/>
          <w:szCs w:val="32"/>
          <w:highlight w:val="none"/>
        </w:rPr>
      </w:pPr>
    </w:p>
    <w:p w14:paraId="5D58E247">
      <w:pPr>
        <w:jc w:val="center"/>
        <w:rPr>
          <w:rFonts w:ascii="宋体" w:hAnsi="宋体" w:cs="宋体"/>
          <w:b/>
          <w:kern w:val="0"/>
          <w:sz w:val="32"/>
          <w:szCs w:val="32"/>
          <w:highlight w:val="none"/>
        </w:rPr>
      </w:pPr>
    </w:p>
    <w:p w14:paraId="5B910DC8">
      <w:pPr>
        <w:jc w:val="center"/>
        <w:rPr>
          <w:rFonts w:ascii="宋体" w:hAnsi="宋体" w:cs="宋体"/>
          <w:b/>
          <w:kern w:val="0"/>
          <w:sz w:val="32"/>
          <w:szCs w:val="32"/>
          <w:highlight w:val="none"/>
        </w:rPr>
      </w:pPr>
    </w:p>
    <w:p w14:paraId="5FA38FD9">
      <w:pPr>
        <w:jc w:val="center"/>
        <w:rPr>
          <w:rFonts w:ascii="宋体" w:hAnsi="宋体" w:cs="宋体"/>
          <w:b/>
          <w:kern w:val="0"/>
          <w:sz w:val="32"/>
          <w:szCs w:val="32"/>
          <w:highlight w:val="none"/>
        </w:rPr>
      </w:pPr>
    </w:p>
    <w:p w14:paraId="60A4105C">
      <w:pPr>
        <w:jc w:val="center"/>
        <w:rPr>
          <w:rFonts w:ascii="宋体" w:hAnsi="宋体" w:cs="宋体"/>
          <w:b/>
          <w:kern w:val="0"/>
          <w:sz w:val="32"/>
          <w:szCs w:val="32"/>
          <w:highlight w:val="none"/>
        </w:rPr>
      </w:pPr>
    </w:p>
    <w:p w14:paraId="6030D356">
      <w:pPr>
        <w:jc w:val="center"/>
        <w:rPr>
          <w:rFonts w:ascii="宋体" w:hAnsi="宋体" w:cs="宋体"/>
          <w:b/>
          <w:kern w:val="0"/>
          <w:sz w:val="32"/>
          <w:szCs w:val="32"/>
          <w:highlight w:val="none"/>
        </w:rPr>
      </w:pPr>
    </w:p>
    <w:p w14:paraId="50EE137A">
      <w:pPr>
        <w:jc w:val="center"/>
        <w:rPr>
          <w:rFonts w:ascii="宋体" w:hAnsi="宋体" w:cs="宋体"/>
          <w:b/>
          <w:kern w:val="0"/>
          <w:sz w:val="32"/>
          <w:szCs w:val="32"/>
          <w:highlight w:val="none"/>
        </w:rPr>
      </w:pPr>
    </w:p>
    <w:p w14:paraId="3CFC3E06">
      <w:pPr>
        <w:snapToGrid w:val="0"/>
        <w:spacing w:line="360" w:lineRule="auto"/>
        <w:ind w:right="480"/>
        <w:rPr>
          <w:rFonts w:ascii="宋体" w:hAnsi="宋体" w:cs="宋体"/>
          <w:b/>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7490CE3">
      <w:pPr>
        <w:snapToGrid w:val="0"/>
        <w:spacing w:line="360" w:lineRule="auto"/>
        <w:ind w:firstLine="3534" w:firstLineChars="1100"/>
        <w:rPr>
          <w:rFonts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5EAFBFBE">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p w14:paraId="767A8221">
      <w:pPr>
        <w:snapToGrid w:val="0"/>
        <w:spacing w:line="360" w:lineRule="auto"/>
        <w:rPr>
          <w:rFonts w:ascii="宋体" w:hAnsi="宋体" w:cs="宋体"/>
          <w:kern w:val="0"/>
          <w:sz w:val="24"/>
          <w:highlight w:val="none"/>
        </w:rPr>
      </w:pPr>
    </w:p>
    <w:p w14:paraId="648934EF">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4CE1A0D7">
      <w:pPr>
        <w:jc w:val="center"/>
        <w:rPr>
          <w:rFonts w:ascii="宋体" w:hAnsi="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2B24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DC66A82">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686EEE56">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2040463E">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435D2951">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39D04849">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53CAC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1E5B96">
            <w:pPr>
              <w:jc w:val="center"/>
              <w:rPr>
                <w:rFonts w:ascii="宋体" w:hAnsi="宋体" w:cs="宋体"/>
                <w:sz w:val="24"/>
                <w:highlight w:val="none"/>
              </w:rPr>
            </w:pPr>
            <w:r>
              <w:rPr>
                <w:rFonts w:hint="eastAsia" w:ascii="宋体" w:hAnsi="宋体" w:cs="宋体"/>
                <w:sz w:val="24"/>
                <w:highlight w:val="none"/>
              </w:rPr>
              <w:t>1</w:t>
            </w:r>
          </w:p>
        </w:tc>
        <w:tc>
          <w:tcPr>
            <w:tcW w:w="4991" w:type="dxa"/>
          </w:tcPr>
          <w:p w14:paraId="2D75FC82">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6449FCCE">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14:paraId="17F4D9CF">
            <w:pPr>
              <w:rPr>
                <w:rFonts w:ascii="宋体" w:hAnsi="宋体" w:cs="宋体"/>
                <w:sz w:val="24"/>
                <w:highlight w:val="none"/>
              </w:rPr>
            </w:pPr>
          </w:p>
          <w:p w14:paraId="66F6EEE0">
            <w:pPr>
              <w:rPr>
                <w:rFonts w:ascii="宋体" w:hAnsi="宋体" w:cs="宋体"/>
                <w:sz w:val="24"/>
                <w:highlight w:val="none"/>
              </w:rPr>
            </w:pPr>
            <w:r>
              <w:rPr>
                <w:rFonts w:hint="eastAsia" w:ascii="宋体" w:hAnsi="宋体" w:cs="宋体"/>
                <w:sz w:val="24"/>
                <w:highlight w:val="none"/>
              </w:rPr>
              <w:t>见投标文件</w:t>
            </w:r>
          </w:p>
          <w:p w14:paraId="493B36EE">
            <w:pPr>
              <w:rPr>
                <w:rFonts w:ascii="宋体" w:hAnsi="宋体" w:cs="宋体"/>
                <w:highlight w:val="none"/>
              </w:rPr>
            </w:pPr>
            <w:r>
              <w:rPr>
                <w:rFonts w:hint="eastAsia" w:ascii="宋体" w:hAnsi="宋体" w:cs="宋体"/>
                <w:sz w:val="24"/>
                <w:highlight w:val="none"/>
              </w:rPr>
              <w:t>第页</w:t>
            </w:r>
          </w:p>
        </w:tc>
      </w:tr>
      <w:tr w14:paraId="6B07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F25B769">
            <w:pPr>
              <w:jc w:val="center"/>
              <w:rPr>
                <w:rFonts w:ascii="宋体" w:hAnsi="宋体" w:cs="宋体"/>
                <w:sz w:val="24"/>
                <w:highlight w:val="none"/>
              </w:rPr>
            </w:pPr>
            <w:r>
              <w:rPr>
                <w:rFonts w:hint="eastAsia" w:ascii="宋体" w:hAnsi="宋体" w:cs="宋体"/>
                <w:sz w:val="24"/>
                <w:highlight w:val="none"/>
              </w:rPr>
              <w:t>2</w:t>
            </w:r>
          </w:p>
        </w:tc>
        <w:tc>
          <w:tcPr>
            <w:tcW w:w="4991" w:type="dxa"/>
          </w:tcPr>
          <w:p w14:paraId="6A82AFA8">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61A0126F">
            <w:pPr>
              <w:rPr>
                <w:rFonts w:ascii="宋体" w:hAnsi="宋体" w:cs="宋体"/>
                <w:sz w:val="24"/>
                <w:highlight w:val="none"/>
              </w:rPr>
            </w:pPr>
            <w:r>
              <w:rPr>
                <w:rFonts w:hint="eastAsia" w:ascii="宋体" w:hAnsi="宋体" w:cs="宋体"/>
                <w:sz w:val="24"/>
                <w:highlight w:val="none"/>
              </w:rPr>
              <w:t>投标函</w:t>
            </w:r>
          </w:p>
        </w:tc>
        <w:tc>
          <w:tcPr>
            <w:tcW w:w="1418" w:type="dxa"/>
          </w:tcPr>
          <w:p w14:paraId="4AD16E10">
            <w:pPr>
              <w:rPr>
                <w:rFonts w:ascii="宋体" w:hAnsi="宋体" w:cs="宋体"/>
                <w:highlight w:val="none"/>
              </w:rPr>
            </w:pPr>
            <w:r>
              <w:rPr>
                <w:rFonts w:hint="eastAsia" w:ascii="宋体" w:hAnsi="宋体" w:cs="宋体"/>
                <w:sz w:val="24"/>
                <w:highlight w:val="none"/>
              </w:rPr>
              <w:t>见投标文件第页</w:t>
            </w:r>
          </w:p>
        </w:tc>
      </w:tr>
      <w:tr w14:paraId="1761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7F420F">
            <w:pPr>
              <w:jc w:val="center"/>
              <w:rPr>
                <w:rFonts w:ascii="宋体" w:hAnsi="宋体" w:cs="宋体"/>
                <w:sz w:val="24"/>
                <w:highlight w:val="none"/>
              </w:rPr>
            </w:pPr>
            <w:r>
              <w:rPr>
                <w:rFonts w:hint="eastAsia" w:ascii="宋体" w:hAnsi="宋体" w:cs="宋体"/>
                <w:sz w:val="24"/>
                <w:highlight w:val="none"/>
              </w:rPr>
              <w:t>3</w:t>
            </w:r>
          </w:p>
        </w:tc>
        <w:tc>
          <w:tcPr>
            <w:tcW w:w="4991" w:type="dxa"/>
          </w:tcPr>
          <w:p w14:paraId="28B2C042">
            <w:pPr>
              <w:spacing w:line="360" w:lineRule="auto"/>
              <w:rPr>
                <w:rFonts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14:paraId="519D7638">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tcPr>
          <w:p w14:paraId="090EA0F0">
            <w:pPr>
              <w:rPr>
                <w:rFonts w:ascii="宋体" w:hAnsi="宋体" w:cs="宋体"/>
                <w:highlight w:val="none"/>
              </w:rPr>
            </w:pPr>
            <w:r>
              <w:rPr>
                <w:rFonts w:hint="eastAsia" w:ascii="宋体" w:hAnsi="宋体" w:cs="宋体"/>
                <w:sz w:val="24"/>
                <w:highlight w:val="none"/>
              </w:rPr>
              <w:t>见投标文件第页</w:t>
            </w:r>
          </w:p>
        </w:tc>
      </w:tr>
    </w:tbl>
    <w:p w14:paraId="5EBED062">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745B018">
      <w:pPr>
        <w:jc w:val="center"/>
        <w:rPr>
          <w:rFonts w:ascii="宋体" w:hAnsi="宋体" w:cs="宋体"/>
          <w:b/>
          <w:kern w:val="0"/>
          <w:sz w:val="32"/>
          <w:szCs w:val="32"/>
          <w:highlight w:val="none"/>
        </w:rPr>
      </w:pPr>
    </w:p>
    <w:p w14:paraId="00ACE100">
      <w:pPr>
        <w:jc w:val="center"/>
        <w:rPr>
          <w:rFonts w:ascii="宋体" w:hAnsi="宋体" w:cs="宋体"/>
          <w:b/>
          <w:kern w:val="0"/>
          <w:sz w:val="32"/>
          <w:szCs w:val="32"/>
          <w:highlight w:val="none"/>
        </w:rPr>
      </w:pPr>
    </w:p>
    <w:p w14:paraId="766E28A2">
      <w:pPr>
        <w:jc w:val="center"/>
        <w:rPr>
          <w:rFonts w:ascii="宋体" w:hAnsi="宋体" w:cs="宋体"/>
          <w:b/>
          <w:kern w:val="0"/>
          <w:sz w:val="32"/>
          <w:szCs w:val="32"/>
          <w:highlight w:val="none"/>
        </w:rPr>
      </w:pPr>
    </w:p>
    <w:p w14:paraId="20FFE8BC">
      <w:pPr>
        <w:jc w:val="center"/>
        <w:rPr>
          <w:rFonts w:ascii="宋体" w:hAnsi="宋体" w:cs="宋体"/>
          <w:b/>
          <w:kern w:val="0"/>
          <w:sz w:val="32"/>
          <w:szCs w:val="32"/>
          <w:highlight w:val="none"/>
        </w:rPr>
      </w:pPr>
    </w:p>
    <w:p w14:paraId="66FCF938">
      <w:pPr>
        <w:jc w:val="center"/>
        <w:rPr>
          <w:rFonts w:ascii="宋体" w:hAnsi="宋体" w:cs="宋体"/>
          <w:b/>
          <w:kern w:val="0"/>
          <w:sz w:val="32"/>
          <w:szCs w:val="32"/>
          <w:highlight w:val="none"/>
        </w:rPr>
      </w:pPr>
    </w:p>
    <w:p w14:paraId="76D9B0C7">
      <w:pPr>
        <w:jc w:val="center"/>
        <w:rPr>
          <w:rFonts w:ascii="宋体" w:hAnsi="宋体" w:cs="宋体"/>
          <w:b/>
          <w:kern w:val="0"/>
          <w:sz w:val="32"/>
          <w:szCs w:val="32"/>
          <w:highlight w:val="none"/>
        </w:rPr>
      </w:pPr>
    </w:p>
    <w:p w14:paraId="7E76A68B">
      <w:pPr>
        <w:jc w:val="center"/>
        <w:rPr>
          <w:rFonts w:ascii="宋体" w:hAnsi="宋体" w:cs="宋体"/>
          <w:b/>
          <w:kern w:val="0"/>
          <w:sz w:val="32"/>
          <w:szCs w:val="32"/>
          <w:highlight w:val="none"/>
        </w:rPr>
      </w:pPr>
    </w:p>
    <w:p w14:paraId="29E61229">
      <w:pPr>
        <w:jc w:val="center"/>
        <w:rPr>
          <w:rFonts w:ascii="宋体" w:hAnsi="宋体" w:cs="宋体"/>
          <w:b/>
          <w:kern w:val="0"/>
          <w:sz w:val="32"/>
          <w:szCs w:val="32"/>
          <w:highlight w:val="none"/>
        </w:rPr>
      </w:pPr>
    </w:p>
    <w:p w14:paraId="6F172A31">
      <w:pPr>
        <w:jc w:val="center"/>
        <w:rPr>
          <w:rFonts w:ascii="宋体" w:hAnsi="宋体" w:cs="宋体"/>
          <w:b/>
          <w:kern w:val="0"/>
          <w:sz w:val="32"/>
          <w:szCs w:val="32"/>
          <w:highlight w:val="none"/>
        </w:rPr>
      </w:pPr>
    </w:p>
    <w:p w14:paraId="6337B261">
      <w:pPr>
        <w:jc w:val="center"/>
        <w:rPr>
          <w:rFonts w:ascii="宋体" w:hAnsi="宋体" w:cs="宋体"/>
          <w:b/>
          <w:kern w:val="0"/>
          <w:sz w:val="32"/>
          <w:szCs w:val="32"/>
          <w:highlight w:val="none"/>
        </w:rPr>
      </w:pPr>
    </w:p>
    <w:p w14:paraId="78CC8607">
      <w:pPr>
        <w:jc w:val="center"/>
        <w:rPr>
          <w:rFonts w:ascii="宋体" w:hAnsi="宋体" w:cs="宋体"/>
          <w:b/>
          <w:kern w:val="0"/>
          <w:sz w:val="32"/>
          <w:szCs w:val="32"/>
          <w:highlight w:val="none"/>
        </w:rPr>
      </w:pPr>
    </w:p>
    <w:p w14:paraId="56B890CF">
      <w:pPr>
        <w:jc w:val="center"/>
        <w:rPr>
          <w:rFonts w:ascii="宋体" w:hAnsi="宋体" w:cs="宋体"/>
          <w:b/>
          <w:kern w:val="0"/>
          <w:sz w:val="32"/>
          <w:szCs w:val="32"/>
          <w:highlight w:val="none"/>
        </w:rPr>
      </w:pPr>
    </w:p>
    <w:p w14:paraId="6D051BAF">
      <w:pPr>
        <w:jc w:val="center"/>
        <w:rPr>
          <w:rFonts w:ascii="宋体" w:hAnsi="宋体" w:cs="宋体"/>
          <w:b/>
          <w:kern w:val="0"/>
          <w:sz w:val="32"/>
          <w:szCs w:val="32"/>
          <w:highlight w:val="none"/>
        </w:rPr>
      </w:pPr>
    </w:p>
    <w:p w14:paraId="234643D6">
      <w:pPr>
        <w:jc w:val="center"/>
        <w:rPr>
          <w:rFonts w:ascii="宋体" w:hAnsi="宋体" w:cs="宋体"/>
          <w:b/>
          <w:kern w:val="0"/>
          <w:sz w:val="32"/>
          <w:szCs w:val="32"/>
          <w:highlight w:val="none"/>
        </w:rPr>
      </w:pPr>
    </w:p>
    <w:p w14:paraId="2809B8C4">
      <w:pPr>
        <w:jc w:val="center"/>
        <w:rPr>
          <w:rFonts w:ascii="宋体" w:hAnsi="宋体" w:cs="宋体"/>
          <w:b/>
          <w:kern w:val="0"/>
          <w:sz w:val="32"/>
          <w:szCs w:val="32"/>
          <w:highlight w:val="none"/>
        </w:rPr>
      </w:pPr>
    </w:p>
    <w:p w14:paraId="763A1753">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64CFD1D9">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2F8122B3">
      <w:pPr>
        <w:jc w:val="center"/>
        <w:rPr>
          <w:rFonts w:ascii="宋体" w:hAnsi="宋体" w:cs="宋体"/>
          <w:b/>
          <w:kern w:val="0"/>
          <w:sz w:val="32"/>
          <w:szCs w:val="32"/>
          <w:highlight w:val="none"/>
        </w:rPr>
      </w:pPr>
    </w:p>
    <w:p w14:paraId="74B7FA63">
      <w:pPr>
        <w:jc w:val="center"/>
        <w:rPr>
          <w:rFonts w:ascii="宋体" w:hAnsi="宋体" w:cs="宋体"/>
          <w:b/>
          <w:kern w:val="0"/>
          <w:sz w:val="32"/>
          <w:szCs w:val="32"/>
          <w:highlight w:val="none"/>
        </w:rPr>
      </w:pPr>
    </w:p>
    <w:p w14:paraId="5A59217C">
      <w:pPr>
        <w:jc w:val="center"/>
        <w:rPr>
          <w:rFonts w:ascii="宋体" w:hAnsi="宋体" w:cs="宋体"/>
          <w:b/>
          <w:kern w:val="0"/>
          <w:sz w:val="32"/>
          <w:szCs w:val="32"/>
          <w:highlight w:val="none"/>
        </w:rPr>
      </w:pPr>
    </w:p>
    <w:p w14:paraId="3D714488">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BEC6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EC5E2E1">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A183782">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61D90AB6">
            <w:pPr>
              <w:spacing w:line="360" w:lineRule="auto"/>
              <w:jc w:val="center"/>
              <w:rPr>
                <w:rFonts w:ascii="宋体" w:hAnsi="宋体" w:cs="宋体"/>
                <w:b/>
                <w:sz w:val="24"/>
                <w:highlight w:val="none"/>
              </w:rPr>
            </w:pPr>
          </w:p>
          <w:p w14:paraId="3A5C2B50">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5833B3E">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A4D55B8">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5E6F588">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D97A6EF">
            <w:pPr>
              <w:spacing w:line="360" w:lineRule="auto"/>
              <w:jc w:val="center"/>
              <w:rPr>
                <w:rFonts w:ascii="宋体" w:hAnsi="宋体" w:cs="宋体"/>
                <w:b/>
                <w:sz w:val="24"/>
                <w:highlight w:val="none"/>
              </w:rPr>
            </w:pPr>
          </w:p>
          <w:p w14:paraId="3A6B9317">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150F5E8C">
            <w:pPr>
              <w:spacing w:line="360" w:lineRule="auto"/>
              <w:jc w:val="center"/>
              <w:rPr>
                <w:rFonts w:ascii="宋体" w:hAnsi="宋体" w:cs="宋体"/>
                <w:b/>
                <w:sz w:val="24"/>
                <w:highlight w:val="none"/>
              </w:rPr>
            </w:pPr>
          </w:p>
        </w:tc>
      </w:tr>
      <w:tr w14:paraId="2E404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1562C26">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7E48F6E">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DAA351C">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C12A3E1">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0539DA5">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DD30DDA">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39BF42D">
            <w:pPr>
              <w:spacing w:line="360" w:lineRule="auto"/>
              <w:jc w:val="center"/>
              <w:rPr>
                <w:rFonts w:ascii="宋体" w:hAnsi="宋体" w:cs="宋体"/>
                <w:sz w:val="24"/>
                <w:highlight w:val="none"/>
              </w:rPr>
            </w:pPr>
          </w:p>
        </w:tc>
      </w:tr>
      <w:tr w14:paraId="7C086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EED170">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094F04D">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7E83859">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F27B130">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8F4E1D2">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2636044">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436A42B">
            <w:pPr>
              <w:spacing w:line="360" w:lineRule="auto"/>
              <w:jc w:val="center"/>
              <w:rPr>
                <w:rFonts w:ascii="宋体" w:hAnsi="宋体" w:cs="宋体"/>
                <w:sz w:val="24"/>
                <w:highlight w:val="none"/>
              </w:rPr>
            </w:pPr>
          </w:p>
        </w:tc>
      </w:tr>
      <w:tr w14:paraId="311A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AAB2430">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3EA5427">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2739119">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757F16E">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90C1E73">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D8867C5">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FE00D9E">
            <w:pPr>
              <w:spacing w:line="360" w:lineRule="auto"/>
              <w:jc w:val="center"/>
              <w:rPr>
                <w:rFonts w:ascii="宋体" w:hAnsi="宋体" w:cs="宋体"/>
                <w:sz w:val="24"/>
                <w:highlight w:val="none"/>
              </w:rPr>
            </w:pPr>
          </w:p>
        </w:tc>
      </w:tr>
    </w:tbl>
    <w:p w14:paraId="78639825">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FE8B859">
      <w:pPr>
        <w:jc w:val="center"/>
        <w:rPr>
          <w:rFonts w:ascii="宋体" w:hAnsi="宋体" w:cs="宋体"/>
          <w:b/>
          <w:kern w:val="0"/>
          <w:sz w:val="32"/>
          <w:szCs w:val="32"/>
          <w:highlight w:val="none"/>
        </w:rPr>
      </w:pPr>
    </w:p>
    <w:p w14:paraId="28D980FF">
      <w:pPr>
        <w:jc w:val="center"/>
        <w:rPr>
          <w:rFonts w:ascii="宋体" w:hAnsi="宋体" w:cs="宋体"/>
          <w:b/>
          <w:kern w:val="0"/>
          <w:sz w:val="32"/>
          <w:szCs w:val="32"/>
          <w:highlight w:val="none"/>
        </w:rPr>
      </w:pPr>
    </w:p>
    <w:p w14:paraId="2E2DCF32">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74D4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84D500">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14:paraId="443CF114">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14:paraId="2B271600">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30B52258">
            <w:pPr>
              <w:jc w:val="center"/>
              <w:rPr>
                <w:rFonts w:ascii="宋体" w:hAnsi="宋体" w:cs="宋体"/>
                <w:b/>
                <w:bCs/>
                <w:sz w:val="24"/>
                <w:highlight w:val="none"/>
              </w:rPr>
            </w:pPr>
            <w:r>
              <w:rPr>
                <w:rFonts w:hint="eastAsia" w:ascii="宋体" w:hAnsi="宋体" w:cs="宋体"/>
                <w:b/>
                <w:bCs/>
                <w:sz w:val="24"/>
                <w:highlight w:val="none"/>
              </w:rPr>
              <w:t>偏离说明</w:t>
            </w:r>
          </w:p>
        </w:tc>
      </w:tr>
      <w:tr w14:paraId="1F3A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C144D7">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5B40A277">
            <w:pPr>
              <w:jc w:val="center"/>
              <w:rPr>
                <w:rFonts w:ascii="宋体" w:hAnsi="宋体" w:cs="宋体"/>
                <w:b/>
                <w:kern w:val="0"/>
                <w:sz w:val="32"/>
                <w:szCs w:val="32"/>
                <w:highlight w:val="none"/>
              </w:rPr>
            </w:pPr>
          </w:p>
        </w:tc>
        <w:tc>
          <w:tcPr>
            <w:tcW w:w="3546" w:type="dxa"/>
          </w:tcPr>
          <w:p w14:paraId="18369191">
            <w:pPr>
              <w:jc w:val="center"/>
              <w:rPr>
                <w:rFonts w:ascii="宋体" w:hAnsi="宋体" w:cs="宋体"/>
                <w:b/>
                <w:kern w:val="0"/>
                <w:sz w:val="32"/>
                <w:szCs w:val="32"/>
                <w:highlight w:val="none"/>
              </w:rPr>
            </w:pPr>
          </w:p>
        </w:tc>
        <w:tc>
          <w:tcPr>
            <w:tcW w:w="1276" w:type="dxa"/>
          </w:tcPr>
          <w:p w14:paraId="7B0985CD">
            <w:pPr>
              <w:jc w:val="center"/>
              <w:rPr>
                <w:rFonts w:ascii="宋体" w:hAnsi="宋体" w:cs="宋体"/>
                <w:b/>
                <w:kern w:val="0"/>
                <w:sz w:val="32"/>
                <w:szCs w:val="32"/>
                <w:highlight w:val="none"/>
              </w:rPr>
            </w:pPr>
          </w:p>
        </w:tc>
      </w:tr>
      <w:tr w14:paraId="648A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23B4B2">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4A05EADC">
            <w:pPr>
              <w:jc w:val="center"/>
              <w:rPr>
                <w:rFonts w:ascii="宋体" w:hAnsi="宋体" w:cs="宋体"/>
                <w:b/>
                <w:kern w:val="0"/>
                <w:sz w:val="32"/>
                <w:szCs w:val="32"/>
                <w:highlight w:val="none"/>
              </w:rPr>
            </w:pPr>
          </w:p>
        </w:tc>
        <w:tc>
          <w:tcPr>
            <w:tcW w:w="3546" w:type="dxa"/>
          </w:tcPr>
          <w:p w14:paraId="46FCF544">
            <w:pPr>
              <w:jc w:val="center"/>
              <w:rPr>
                <w:rFonts w:ascii="宋体" w:hAnsi="宋体" w:cs="宋体"/>
                <w:b/>
                <w:kern w:val="0"/>
                <w:sz w:val="32"/>
                <w:szCs w:val="32"/>
                <w:highlight w:val="none"/>
              </w:rPr>
            </w:pPr>
          </w:p>
        </w:tc>
        <w:tc>
          <w:tcPr>
            <w:tcW w:w="1276" w:type="dxa"/>
          </w:tcPr>
          <w:p w14:paraId="68A9F190">
            <w:pPr>
              <w:jc w:val="center"/>
              <w:rPr>
                <w:rFonts w:ascii="宋体" w:hAnsi="宋体" w:cs="宋体"/>
                <w:b/>
                <w:kern w:val="0"/>
                <w:sz w:val="32"/>
                <w:szCs w:val="32"/>
                <w:highlight w:val="none"/>
              </w:rPr>
            </w:pPr>
          </w:p>
        </w:tc>
      </w:tr>
      <w:tr w14:paraId="32B3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72397C">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177AD09E">
            <w:pPr>
              <w:jc w:val="center"/>
              <w:rPr>
                <w:rFonts w:ascii="宋体" w:hAnsi="宋体" w:cs="宋体"/>
                <w:b/>
                <w:kern w:val="0"/>
                <w:sz w:val="32"/>
                <w:szCs w:val="32"/>
                <w:highlight w:val="none"/>
              </w:rPr>
            </w:pPr>
          </w:p>
        </w:tc>
        <w:tc>
          <w:tcPr>
            <w:tcW w:w="3546" w:type="dxa"/>
          </w:tcPr>
          <w:p w14:paraId="393185A7">
            <w:pPr>
              <w:jc w:val="center"/>
              <w:rPr>
                <w:rFonts w:ascii="宋体" w:hAnsi="宋体" w:cs="宋体"/>
                <w:b/>
                <w:kern w:val="0"/>
                <w:sz w:val="32"/>
                <w:szCs w:val="32"/>
                <w:highlight w:val="none"/>
              </w:rPr>
            </w:pPr>
          </w:p>
        </w:tc>
        <w:tc>
          <w:tcPr>
            <w:tcW w:w="1276" w:type="dxa"/>
          </w:tcPr>
          <w:p w14:paraId="10849621">
            <w:pPr>
              <w:jc w:val="center"/>
              <w:rPr>
                <w:rFonts w:ascii="宋体" w:hAnsi="宋体" w:cs="宋体"/>
                <w:b/>
                <w:kern w:val="0"/>
                <w:sz w:val="32"/>
                <w:szCs w:val="32"/>
                <w:highlight w:val="none"/>
              </w:rPr>
            </w:pPr>
          </w:p>
        </w:tc>
      </w:tr>
    </w:tbl>
    <w:p w14:paraId="7D02E080">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39716092">
      <w:pPr>
        <w:jc w:val="center"/>
        <w:rPr>
          <w:rFonts w:ascii="宋体" w:hAnsi="宋体" w:cs="宋体"/>
          <w:b/>
          <w:kern w:val="0"/>
          <w:sz w:val="32"/>
          <w:szCs w:val="32"/>
          <w:highlight w:val="none"/>
        </w:rPr>
      </w:pPr>
    </w:p>
    <w:p w14:paraId="02128C1E">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D1B66CC">
      <w:pPr>
        <w:ind w:firstLine="1911" w:firstLineChars="595"/>
        <w:rPr>
          <w:rFonts w:ascii="宋体" w:hAnsi="宋体" w:cs="宋体"/>
          <w:b/>
          <w:bCs/>
          <w:sz w:val="32"/>
          <w:szCs w:val="32"/>
          <w:highlight w:val="none"/>
        </w:rPr>
      </w:pPr>
    </w:p>
    <w:p w14:paraId="49B3E48F">
      <w:pPr>
        <w:ind w:firstLine="1911" w:firstLineChars="595"/>
        <w:rPr>
          <w:rFonts w:ascii="宋体" w:hAnsi="宋体" w:cs="宋体"/>
          <w:b/>
          <w:bCs/>
          <w:sz w:val="32"/>
          <w:szCs w:val="32"/>
          <w:highlight w:val="none"/>
        </w:rPr>
      </w:pPr>
    </w:p>
    <w:p w14:paraId="5A13FEF7">
      <w:pPr>
        <w:ind w:firstLine="1911" w:firstLineChars="595"/>
        <w:rPr>
          <w:rFonts w:ascii="宋体" w:hAnsi="宋体" w:cs="宋体"/>
          <w:b/>
          <w:bCs/>
          <w:sz w:val="32"/>
          <w:szCs w:val="32"/>
          <w:highlight w:val="none"/>
        </w:rPr>
      </w:pPr>
    </w:p>
    <w:p w14:paraId="0CA94E79">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620D912E">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50E3B076">
      <w:pPr>
        <w:snapToGrid w:val="0"/>
        <w:spacing w:line="360" w:lineRule="auto"/>
        <w:rPr>
          <w:rFonts w:ascii="宋体" w:hAnsi="宋体" w:cs="宋体"/>
          <w:sz w:val="24"/>
          <w:highlight w:val="none"/>
        </w:rPr>
      </w:pPr>
    </w:p>
    <w:p w14:paraId="50CF29C6">
      <w:pPr>
        <w:snapToGrid w:val="0"/>
        <w:spacing w:line="360" w:lineRule="auto"/>
        <w:rPr>
          <w:rFonts w:ascii="宋体" w:hAnsi="宋体" w:cs="宋体"/>
          <w:kern w:val="0"/>
          <w:sz w:val="24"/>
          <w:highlight w:val="none"/>
        </w:rPr>
      </w:pPr>
      <w:r>
        <w:rPr>
          <w:rFonts w:hint="eastAsia" w:ascii="宋体" w:hAnsi="宋体" w:cs="宋体"/>
          <w:sz w:val="24"/>
          <w:highlight w:val="none"/>
        </w:rPr>
        <w:t>杭州市公安局交通警察支队、浙江信达咨询监理有限公司</w:t>
      </w:r>
      <w:r>
        <w:rPr>
          <w:rFonts w:hint="eastAsia" w:ascii="宋体" w:hAnsi="宋体" w:cs="宋体"/>
          <w:kern w:val="0"/>
          <w:sz w:val="24"/>
          <w:highlight w:val="none"/>
          <w:lang w:val="zh-CN"/>
        </w:rPr>
        <w:t>：</w:t>
      </w:r>
    </w:p>
    <w:p w14:paraId="53E168DD">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68D329C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253105A0">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215F6F3D">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5B28CC7D">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6E19B215">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48E27AA6">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0A75445C">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468A2BFA">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1B574ECC">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716AD6B5">
      <w:pPr>
        <w:autoSpaceDE w:val="0"/>
        <w:autoSpaceDN w:val="0"/>
        <w:spacing w:line="360" w:lineRule="auto"/>
        <w:ind w:left="2"/>
        <w:jc w:val="left"/>
        <w:rPr>
          <w:rFonts w:ascii="宋体" w:hAnsi="宋体" w:cs="宋体"/>
          <w:kern w:val="0"/>
          <w:sz w:val="24"/>
          <w:highlight w:val="none"/>
          <w:lang w:val="zh-CN"/>
        </w:rPr>
      </w:pPr>
    </w:p>
    <w:p w14:paraId="728C8866">
      <w:pPr>
        <w:autoSpaceDE w:val="0"/>
        <w:autoSpaceDN w:val="0"/>
        <w:spacing w:line="360" w:lineRule="auto"/>
        <w:ind w:left="2"/>
        <w:jc w:val="left"/>
        <w:rPr>
          <w:rFonts w:ascii="宋体" w:hAnsi="宋体" w:cs="宋体"/>
          <w:kern w:val="0"/>
          <w:sz w:val="24"/>
          <w:highlight w:val="none"/>
          <w:lang w:val="zh-CN"/>
        </w:rPr>
      </w:pPr>
    </w:p>
    <w:p w14:paraId="47ED8BE8">
      <w:pPr>
        <w:autoSpaceDE w:val="0"/>
        <w:autoSpaceDN w:val="0"/>
        <w:spacing w:line="360" w:lineRule="auto"/>
        <w:ind w:left="2"/>
        <w:jc w:val="left"/>
        <w:rPr>
          <w:rFonts w:ascii="宋体" w:hAnsi="宋体" w:cs="宋体"/>
          <w:kern w:val="0"/>
          <w:sz w:val="24"/>
          <w:highlight w:val="none"/>
          <w:lang w:val="zh-CN"/>
        </w:rPr>
      </w:pPr>
    </w:p>
    <w:p w14:paraId="376C0F17">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390849EC">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77228DC8">
      <w:pPr>
        <w:spacing w:line="360" w:lineRule="auto"/>
        <w:jc w:val="center"/>
        <w:rPr>
          <w:rFonts w:ascii="宋体" w:hAnsi="宋体" w:cs="宋体"/>
          <w:b/>
          <w:bCs/>
          <w:sz w:val="24"/>
          <w:highlight w:val="none"/>
        </w:rPr>
      </w:pPr>
    </w:p>
    <w:p w14:paraId="5AB2B5C7">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BC17566">
      <w:pPr>
        <w:spacing w:line="360" w:lineRule="auto"/>
        <w:jc w:val="center"/>
        <w:rPr>
          <w:rFonts w:ascii="宋体" w:hAnsi="宋体" w:cs="宋体"/>
          <w:b/>
          <w:bCs/>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51466B2">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42FC030C">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4DA3266C">
      <w:pPr>
        <w:spacing w:line="360" w:lineRule="auto"/>
        <w:jc w:val="center"/>
        <w:outlineLvl w:val="0"/>
        <w:rPr>
          <w:rFonts w:ascii="宋体" w:hAnsi="宋体" w:cs="宋体"/>
          <w:b/>
          <w:kern w:val="0"/>
          <w:sz w:val="36"/>
          <w:szCs w:val="36"/>
          <w:highlight w:val="none"/>
        </w:rPr>
      </w:pPr>
    </w:p>
    <w:p w14:paraId="4F8827E8">
      <w:pPr>
        <w:numPr>
          <w:ilvl w:val="0"/>
          <w:numId w:val="11"/>
        </w:numPr>
        <w:snapToGrid w:val="0"/>
        <w:spacing w:line="360" w:lineRule="auto"/>
        <w:rPr>
          <w:rFonts w:ascii="宋体" w:hAnsi="宋体" w:cs="宋体"/>
          <w:sz w:val="24"/>
          <w:highlight w:val="none"/>
        </w:rPr>
      </w:pPr>
      <w:r>
        <w:rPr>
          <w:rFonts w:hint="eastAsia" w:ascii="宋体" w:hAnsi="宋体" w:cs="宋体"/>
          <w:sz w:val="24"/>
          <w:highlight w:val="none"/>
        </w:rPr>
        <w:t>开标一览表（报价表）………………………………………………………（页码）</w:t>
      </w:r>
    </w:p>
    <w:p w14:paraId="19FD9929">
      <w:pPr>
        <w:spacing w:line="360" w:lineRule="auto"/>
        <w:rPr>
          <w:sz w:val="24"/>
          <w:highlight w:val="none"/>
        </w:rPr>
      </w:pPr>
      <w:r>
        <w:rPr>
          <w:rFonts w:hint="eastAsia" w:ascii="宋体" w:hAnsi="宋体" w:cs="宋体"/>
          <w:sz w:val="24"/>
          <w:highlight w:val="none"/>
        </w:rPr>
        <w:t>（2）</w:t>
      </w:r>
      <w:r>
        <w:rPr>
          <w:rFonts w:hint="eastAsia" w:hAnsi="仿宋_GB2312" w:cs="仿宋_GB2312"/>
          <w:bCs/>
          <w:snapToGrid w:val="0"/>
          <w:sz w:val="24"/>
          <w:szCs w:val="21"/>
          <w:highlight w:val="none"/>
        </w:rPr>
        <w:t>报价情况说明</w:t>
      </w:r>
      <w:r>
        <w:rPr>
          <w:rFonts w:hint="eastAsia" w:ascii="宋体" w:hAnsi="宋体" w:cs="宋体"/>
          <w:sz w:val="24"/>
          <w:highlight w:val="none"/>
        </w:rPr>
        <w:t>…………………………………………………………………（页码）</w:t>
      </w:r>
    </w:p>
    <w:p w14:paraId="3F6417DD">
      <w:pPr>
        <w:snapToGrid w:val="0"/>
        <w:spacing w:line="360" w:lineRule="auto"/>
        <w:rPr>
          <w:rFonts w:ascii="宋体" w:hAnsi="宋体" w:cs="宋体"/>
          <w:sz w:val="24"/>
          <w:highlight w:val="none"/>
        </w:rPr>
      </w:pPr>
      <w:r>
        <w:rPr>
          <w:rFonts w:hint="eastAsia" w:ascii="宋体" w:hAnsi="宋体" w:cs="宋体"/>
          <w:sz w:val="24"/>
          <w:highlight w:val="none"/>
        </w:rPr>
        <w:t>（3）中小企业声明函………………………………………………………………（页码）</w:t>
      </w:r>
    </w:p>
    <w:p w14:paraId="5A7366A5">
      <w:pPr>
        <w:pStyle w:val="79"/>
        <w:rPr>
          <w:highlight w:val="none"/>
        </w:rPr>
      </w:pPr>
    </w:p>
    <w:p w14:paraId="1543820F">
      <w:pPr>
        <w:pStyle w:val="79"/>
        <w:rPr>
          <w:highlight w:val="none"/>
        </w:rPr>
      </w:pPr>
    </w:p>
    <w:p w14:paraId="3331E9D4">
      <w:pPr>
        <w:snapToGrid w:val="0"/>
        <w:spacing w:line="360" w:lineRule="auto"/>
        <w:ind w:right="480"/>
        <w:jc w:val="center"/>
        <w:rPr>
          <w:rFonts w:ascii="宋体" w:hAnsi="宋体" w:cs="宋体"/>
          <w:b/>
          <w:kern w:val="0"/>
          <w:sz w:val="32"/>
          <w:szCs w:val="32"/>
          <w:highlight w:val="none"/>
        </w:rPr>
      </w:pPr>
    </w:p>
    <w:p w14:paraId="74854E26">
      <w:pPr>
        <w:snapToGrid w:val="0"/>
        <w:spacing w:line="360" w:lineRule="auto"/>
        <w:ind w:right="480"/>
        <w:jc w:val="center"/>
        <w:rPr>
          <w:rFonts w:ascii="宋体" w:hAnsi="宋体" w:cs="宋体"/>
          <w:b/>
          <w:kern w:val="0"/>
          <w:sz w:val="32"/>
          <w:szCs w:val="32"/>
          <w:highlight w:val="none"/>
        </w:rPr>
      </w:pPr>
    </w:p>
    <w:p w14:paraId="28BD57DC">
      <w:pPr>
        <w:snapToGrid w:val="0"/>
        <w:spacing w:line="360" w:lineRule="auto"/>
        <w:ind w:right="480"/>
        <w:jc w:val="center"/>
        <w:rPr>
          <w:rFonts w:ascii="宋体" w:hAnsi="宋体" w:cs="宋体"/>
          <w:b/>
          <w:kern w:val="0"/>
          <w:sz w:val="32"/>
          <w:szCs w:val="32"/>
          <w:highlight w:val="none"/>
        </w:rPr>
      </w:pPr>
    </w:p>
    <w:p w14:paraId="3792D273">
      <w:pPr>
        <w:snapToGrid w:val="0"/>
        <w:spacing w:line="360" w:lineRule="auto"/>
        <w:ind w:right="480"/>
        <w:jc w:val="center"/>
        <w:rPr>
          <w:rFonts w:ascii="宋体" w:hAnsi="宋体" w:cs="宋体"/>
          <w:b/>
          <w:kern w:val="0"/>
          <w:sz w:val="32"/>
          <w:szCs w:val="32"/>
          <w:highlight w:val="none"/>
        </w:rPr>
      </w:pPr>
    </w:p>
    <w:p w14:paraId="795B57A6">
      <w:pPr>
        <w:snapToGrid w:val="0"/>
        <w:spacing w:line="360" w:lineRule="auto"/>
        <w:ind w:right="480"/>
        <w:jc w:val="center"/>
        <w:rPr>
          <w:rFonts w:ascii="宋体" w:hAnsi="宋体" w:cs="宋体"/>
          <w:b/>
          <w:kern w:val="0"/>
          <w:sz w:val="32"/>
          <w:szCs w:val="32"/>
          <w:highlight w:val="none"/>
        </w:rPr>
      </w:pPr>
    </w:p>
    <w:p w14:paraId="190730A2">
      <w:pPr>
        <w:snapToGrid w:val="0"/>
        <w:spacing w:line="360" w:lineRule="auto"/>
        <w:ind w:right="480"/>
        <w:jc w:val="center"/>
        <w:rPr>
          <w:rFonts w:ascii="宋体" w:hAnsi="宋体" w:cs="宋体"/>
          <w:b/>
          <w:kern w:val="0"/>
          <w:sz w:val="32"/>
          <w:szCs w:val="32"/>
          <w:highlight w:val="none"/>
        </w:rPr>
      </w:pPr>
    </w:p>
    <w:p w14:paraId="1383819C">
      <w:pPr>
        <w:snapToGrid w:val="0"/>
        <w:spacing w:line="360" w:lineRule="auto"/>
        <w:ind w:right="480"/>
        <w:jc w:val="center"/>
        <w:rPr>
          <w:rFonts w:ascii="宋体" w:hAnsi="宋体" w:cs="宋体"/>
          <w:b/>
          <w:kern w:val="0"/>
          <w:sz w:val="32"/>
          <w:szCs w:val="32"/>
          <w:highlight w:val="none"/>
        </w:rPr>
      </w:pPr>
    </w:p>
    <w:p w14:paraId="2127AD53">
      <w:pPr>
        <w:snapToGrid w:val="0"/>
        <w:spacing w:line="360" w:lineRule="auto"/>
        <w:ind w:right="480"/>
        <w:jc w:val="center"/>
        <w:rPr>
          <w:rFonts w:ascii="宋体" w:hAnsi="宋体" w:cs="宋体"/>
          <w:b/>
          <w:kern w:val="0"/>
          <w:sz w:val="32"/>
          <w:szCs w:val="32"/>
          <w:highlight w:val="none"/>
        </w:rPr>
      </w:pPr>
    </w:p>
    <w:p w14:paraId="7A1F8ABE">
      <w:pPr>
        <w:snapToGrid w:val="0"/>
        <w:spacing w:line="360" w:lineRule="auto"/>
        <w:ind w:right="480"/>
        <w:jc w:val="center"/>
        <w:rPr>
          <w:rFonts w:ascii="宋体" w:hAnsi="宋体" w:cs="宋体"/>
          <w:b/>
          <w:kern w:val="0"/>
          <w:sz w:val="32"/>
          <w:szCs w:val="32"/>
          <w:highlight w:val="none"/>
        </w:rPr>
      </w:pPr>
    </w:p>
    <w:p w14:paraId="0FA1B531">
      <w:pPr>
        <w:snapToGrid w:val="0"/>
        <w:spacing w:line="360" w:lineRule="auto"/>
        <w:ind w:right="480"/>
        <w:jc w:val="center"/>
        <w:rPr>
          <w:rFonts w:ascii="宋体" w:hAnsi="宋体" w:cs="宋体"/>
          <w:b/>
          <w:kern w:val="0"/>
          <w:sz w:val="32"/>
          <w:szCs w:val="32"/>
          <w:highlight w:val="none"/>
        </w:rPr>
      </w:pPr>
    </w:p>
    <w:p w14:paraId="659C966B">
      <w:pPr>
        <w:snapToGrid w:val="0"/>
        <w:spacing w:line="360" w:lineRule="auto"/>
        <w:ind w:right="480"/>
        <w:jc w:val="center"/>
        <w:rPr>
          <w:rFonts w:ascii="宋体" w:hAnsi="宋体" w:cs="宋体"/>
          <w:b/>
          <w:kern w:val="0"/>
          <w:sz w:val="32"/>
          <w:szCs w:val="32"/>
          <w:highlight w:val="none"/>
        </w:rPr>
      </w:pPr>
    </w:p>
    <w:p w14:paraId="795A55A0">
      <w:pPr>
        <w:snapToGrid w:val="0"/>
        <w:spacing w:line="360" w:lineRule="auto"/>
        <w:ind w:right="480"/>
        <w:jc w:val="center"/>
        <w:rPr>
          <w:rFonts w:ascii="宋体" w:hAnsi="宋体" w:cs="宋体"/>
          <w:b/>
          <w:kern w:val="0"/>
          <w:sz w:val="32"/>
          <w:szCs w:val="32"/>
          <w:highlight w:val="none"/>
        </w:rPr>
      </w:pPr>
    </w:p>
    <w:p w14:paraId="63E0AA70">
      <w:pPr>
        <w:snapToGrid w:val="0"/>
        <w:spacing w:line="360" w:lineRule="auto"/>
        <w:ind w:right="480"/>
        <w:jc w:val="center"/>
        <w:rPr>
          <w:rFonts w:ascii="宋体" w:hAnsi="宋体" w:cs="宋体"/>
          <w:b/>
          <w:kern w:val="0"/>
          <w:sz w:val="32"/>
          <w:szCs w:val="32"/>
          <w:highlight w:val="none"/>
        </w:rPr>
      </w:pPr>
    </w:p>
    <w:p w14:paraId="5E83D762">
      <w:pPr>
        <w:snapToGrid w:val="0"/>
        <w:spacing w:line="360" w:lineRule="auto"/>
        <w:ind w:right="480"/>
        <w:jc w:val="center"/>
        <w:rPr>
          <w:rFonts w:ascii="宋体" w:hAnsi="宋体" w:cs="宋体"/>
          <w:b/>
          <w:kern w:val="0"/>
          <w:sz w:val="32"/>
          <w:szCs w:val="32"/>
          <w:highlight w:val="none"/>
        </w:rPr>
      </w:pPr>
    </w:p>
    <w:p w14:paraId="4D2FA7A7">
      <w:pPr>
        <w:snapToGrid w:val="0"/>
        <w:spacing w:line="360" w:lineRule="auto"/>
        <w:ind w:right="480"/>
        <w:jc w:val="center"/>
        <w:rPr>
          <w:rFonts w:ascii="宋体" w:hAnsi="宋体" w:cs="宋体"/>
          <w:b/>
          <w:kern w:val="0"/>
          <w:sz w:val="32"/>
          <w:szCs w:val="32"/>
          <w:highlight w:val="none"/>
        </w:rPr>
      </w:pPr>
    </w:p>
    <w:p w14:paraId="1222F7E6">
      <w:pPr>
        <w:pStyle w:val="377"/>
        <w:tabs>
          <w:tab w:val="clear" w:pos="720"/>
        </w:tabs>
        <w:snapToGrid w:val="0"/>
        <w:spacing w:before="120" w:after="120"/>
        <w:ind w:firstLine="643"/>
        <w:outlineLvl w:val="9"/>
        <w:rPr>
          <w:rFonts w:ascii="宋体" w:hAnsi="宋体" w:eastAsia="宋体" w:cs="宋体"/>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BE58CA5">
      <w:pPr>
        <w:pStyle w:val="377"/>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3DC710F0">
      <w:pPr>
        <w:snapToGrid w:val="0"/>
        <w:spacing w:line="360" w:lineRule="auto"/>
        <w:rPr>
          <w:rFonts w:ascii="宋体" w:hAnsi="宋体" w:cs="宋体"/>
          <w:kern w:val="0"/>
          <w:sz w:val="24"/>
          <w:highlight w:val="none"/>
        </w:rPr>
      </w:pPr>
      <w:r>
        <w:rPr>
          <w:rFonts w:hint="eastAsia" w:ascii="宋体" w:hAnsi="宋体" w:cs="宋体"/>
          <w:sz w:val="24"/>
          <w:highlight w:val="none"/>
        </w:rPr>
        <w:t>杭州市公安局交通警察支队、浙江信达咨询监理有限公司</w:t>
      </w:r>
      <w:r>
        <w:rPr>
          <w:rFonts w:hint="eastAsia" w:ascii="宋体" w:hAnsi="宋体" w:cs="宋体"/>
          <w:kern w:val="0"/>
          <w:sz w:val="24"/>
          <w:highlight w:val="none"/>
          <w:lang w:val="zh-CN"/>
        </w:rPr>
        <w:t>：</w:t>
      </w:r>
    </w:p>
    <w:p w14:paraId="2BFC747D">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rPr>
        <w:t>2024年杭州交警业务系统使用服务-2024年杭州交警网络及数据安全运维服务</w:t>
      </w:r>
      <w:r>
        <w:rPr>
          <w:rFonts w:hint="eastAsia" w:ascii="宋体" w:hAnsi="宋体" w:cs="宋体"/>
          <w:kern w:val="0"/>
          <w:sz w:val="24"/>
          <w:highlight w:val="none"/>
          <w:lang w:val="zh-CN"/>
        </w:rPr>
        <w:t>【招标编号：</w:t>
      </w:r>
      <w:r>
        <w:rPr>
          <w:rFonts w:hint="eastAsia" w:ascii="宋体" w:hAnsi="宋体" w:cs="宋体"/>
          <w:sz w:val="24"/>
          <w:highlight w:val="none"/>
        </w:rPr>
        <w:t>HZSGAJ-2024-17（代)】的实施</w:t>
      </w:r>
      <w:r>
        <w:rPr>
          <w:rFonts w:hint="eastAsia" w:ascii="宋体" w:hAnsi="宋体" w:cs="宋体"/>
          <w:kern w:val="0"/>
          <w:sz w:val="24"/>
          <w:highlight w:val="none"/>
          <w:lang w:val="zh-CN"/>
        </w:rPr>
        <w:t>。</w:t>
      </w:r>
    </w:p>
    <w:p w14:paraId="2DB93439">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2"/>
        <w:tblW w:w="15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761"/>
        <w:gridCol w:w="3460"/>
        <w:gridCol w:w="1579"/>
        <w:gridCol w:w="1579"/>
        <w:gridCol w:w="1733"/>
        <w:gridCol w:w="1180"/>
        <w:gridCol w:w="1248"/>
        <w:gridCol w:w="1248"/>
      </w:tblGrid>
      <w:tr w14:paraId="35CC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626" w:type="dxa"/>
            <w:vAlign w:val="center"/>
          </w:tcPr>
          <w:p w14:paraId="7D2C784F">
            <w:pPr>
              <w:jc w:val="center"/>
              <w:rPr>
                <w:rFonts w:ascii="宋体" w:hAnsi="宋体" w:cs="仿宋"/>
                <w:kern w:val="0"/>
                <w:sz w:val="24"/>
                <w:highlight w:val="none"/>
              </w:rPr>
            </w:pPr>
            <w:r>
              <w:rPr>
                <w:rFonts w:hint="eastAsia" w:ascii="宋体" w:hAnsi="宋体" w:cs="仿宋"/>
                <w:kern w:val="0"/>
                <w:sz w:val="24"/>
                <w:highlight w:val="none"/>
              </w:rPr>
              <w:t>项目名称</w:t>
            </w:r>
          </w:p>
        </w:tc>
        <w:tc>
          <w:tcPr>
            <w:tcW w:w="1761" w:type="dxa"/>
            <w:vAlign w:val="center"/>
          </w:tcPr>
          <w:p w14:paraId="068F8F58">
            <w:pPr>
              <w:jc w:val="center"/>
              <w:rPr>
                <w:rFonts w:ascii="宋体" w:hAnsi="宋体" w:cs="仿宋"/>
                <w:kern w:val="0"/>
                <w:sz w:val="24"/>
                <w:highlight w:val="none"/>
              </w:rPr>
            </w:pPr>
            <w:r>
              <w:rPr>
                <w:rFonts w:hint="eastAsia" w:ascii="宋体" w:hAnsi="宋体" w:cs="仿宋"/>
                <w:kern w:val="0"/>
                <w:sz w:val="24"/>
                <w:highlight w:val="none"/>
              </w:rPr>
              <w:t>服务模块</w:t>
            </w:r>
          </w:p>
        </w:tc>
        <w:tc>
          <w:tcPr>
            <w:tcW w:w="3460" w:type="dxa"/>
            <w:vAlign w:val="center"/>
          </w:tcPr>
          <w:p w14:paraId="23588971">
            <w:pPr>
              <w:jc w:val="center"/>
              <w:rPr>
                <w:rFonts w:ascii="宋体" w:hAnsi="宋体" w:cs="仿宋"/>
                <w:kern w:val="0"/>
                <w:sz w:val="24"/>
                <w:highlight w:val="none"/>
              </w:rPr>
            </w:pPr>
            <w:r>
              <w:rPr>
                <w:rFonts w:hint="eastAsia" w:ascii="宋体" w:hAnsi="宋体" w:cs="仿宋"/>
                <w:kern w:val="0"/>
                <w:sz w:val="24"/>
                <w:highlight w:val="none"/>
              </w:rPr>
              <w:t>服务内容</w:t>
            </w:r>
          </w:p>
        </w:tc>
        <w:tc>
          <w:tcPr>
            <w:tcW w:w="1579" w:type="dxa"/>
            <w:vAlign w:val="center"/>
          </w:tcPr>
          <w:p w14:paraId="1B222CB1">
            <w:pPr>
              <w:jc w:val="center"/>
              <w:rPr>
                <w:rFonts w:ascii="宋体" w:hAnsi="宋体" w:cs="仿宋"/>
                <w:kern w:val="0"/>
                <w:sz w:val="24"/>
                <w:highlight w:val="none"/>
              </w:rPr>
            </w:pPr>
            <w:r>
              <w:rPr>
                <w:rFonts w:hint="eastAsia" w:ascii="宋体" w:hAnsi="宋体" w:cs="仿宋"/>
                <w:kern w:val="0"/>
                <w:sz w:val="24"/>
                <w:highlight w:val="none"/>
              </w:rPr>
              <w:t>品牌/型号（如有）</w:t>
            </w:r>
          </w:p>
        </w:tc>
        <w:tc>
          <w:tcPr>
            <w:tcW w:w="1579" w:type="dxa"/>
            <w:vAlign w:val="center"/>
          </w:tcPr>
          <w:p w14:paraId="34215CE5">
            <w:pPr>
              <w:jc w:val="center"/>
              <w:rPr>
                <w:rFonts w:ascii="宋体" w:hAnsi="宋体" w:cs="仿宋"/>
                <w:kern w:val="0"/>
                <w:sz w:val="24"/>
                <w:highlight w:val="none"/>
              </w:rPr>
            </w:pPr>
            <w:r>
              <w:rPr>
                <w:rFonts w:hint="eastAsia" w:ascii="宋体" w:hAnsi="宋体" w:cs="仿宋"/>
                <w:kern w:val="0"/>
                <w:sz w:val="24"/>
                <w:highlight w:val="none"/>
              </w:rPr>
              <w:t>服务要求</w:t>
            </w:r>
          </w:p>
        </w:tc>
        <w:tc>
          <w:tcPr>
            <w:tcW w:w="1733" w:type="dxa"/>
            <w:vAlign w:val="center"/>
          </w:tcPr>
          <w:p w14:paraId="69048C9B">
            <w:pPr>
              <w:jc w:val="center"/>
              <w:rPr>
                <w:rFonts w:ascii="宋体" w:hAnsi="宋体" w:cs="仿宋"/>
                <w:kern w:val="0"/>
                <w:sz w:val="24"/>
                <w:highlight w:val="none"/>
              </w:rPr>
            </w:pPr>
            <w:r>
              <w:rPr>
                <w:rFonts w:hint="eastAsia" w:ascii="宋体" w:hAnsi="宋体" w:cs="仿宋"/>
                <w:kern w:val="0"/>
                <w:sz w:val="24"/>
                <w:highlight w:val="none"/>
              </w:rPr>
              <w:t>服务期</w:t>
            </w:r>
          </w:p>
        </w:tc>
        <w:tc>
          <w:tcPr>
            <w:tcW w:w="1180" w:type="dxa"/>
            <w:vAlign w:val="center"/>
          </w:tcPr>
          <w:p w14:paraId="62211BB2">
            <w:pPr>
              <w:jc w:val="center"/>
              <w:rPr>
                <w:rFonts w:ascii="宋体" w:hAnsi="宋体" w:cs="仿宋"/>
                <w:kern w:val="0"/>
                <w:sz w:val="24"/>
                <w:highlight w:val="none"/>
              </w:rPr>
            </w:pPr>
            <w:r>
              <w:rPr>
                <w:rFonts w:hint="eastAsia" w:ascii="宋体" w:hAnsi="宋体" w:cs="仿宋"/>
                <w:kern w:val="0"/>
                <w:sz w:val="24"/>
                <w:highlight w:val="none"/>
              </w:rPr>
              <w:t>单价（万元</w:t>
            </w:r>
            <w:r>
              <w:rPr>
                <w:rFonts w:ascii="宋体" w:hAnsi="宋体" w:cs="仿宋"/>
                <w:kern w:val="0"/>
                <w:sz w:val="24"/>
                <w:highlight w:val="none"/>
              </w:rPr>
              <w:t>/月）</w:t>
            </w:r>
          </w:p>
        </w:tc>
        <w:tc>
          <w:tcPr>
            <w:tcW w:w="1248" w:type="dxa"/>
            <w:vAlign w:val="center"/>
          </w:tcPr>
          <w:p w14:paraId="18AF01C6">
            <w:pPr>
              <w:jc w:val="center"/>
              <w:rPr>
                <w:rFonts w:ascii="宋体" w:hAnsi="宋体" w:cs="仿宋"/>
                <w:kern w:val="0"/>
                <w:sz w:val="24"/>
                <w:highlight w:val="none"/>
              </w:rPr>
            </w:pPr>
            <w:r>
              <w:rPr>
                <w:rFonts w:hint="eastAsia" w:ascii="宋体" w:hAnsi="宋体" w:cs="仿宋"/>
                <w:kern w:val="0"/>
                <w:sz w:val="24"/>
                <w:highlight w:val="none"/>
              </w:rPr>
              <w:t>合计  （万元）</w:t>
            </w:r>
          </w:p>
        </w:tc>
        <w:tc>
          <w:tcPr>
            <w:tcW w:w="1248" w:type="dxa"/>
            <w:vAlign w:val="center"/>
          </w:tcPr>
          <w:p w14:paraId="07BA4262">
            <w:pPr>
              <w:jc w:val="center"/>
              <w:rPr>
                <w:rFonts w:ascii="宋体" w:hAnsi="宋体" w:cs="仿宋"/>
                <w:kern w:val="0"/>
                <w:sz w:val="24"/>
                <w:highlight w:val="none"/>
              </w:rPr>
            </w:pPr>
            <w:r>
              <w:rPr>
                <w:rFonts w:hint="eastAsia" w:ascii="宋体" w:hAnsi="宋体" w:cs="仿宋"/>
                <w:kern w:val="0"/>
                <w:sz w:val="24"/>
                <w:highlight w:val="none"/>
              </w:rPr>
              <w:t>备注</w:t>
            </w:r>
          </w:p>
        </w:tc>
      </w:tr>
      <w:tr w14:paraId="1F68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626" w:type="dxa"/>
            <w:vMerge w:val="restart"/>
            <w:vAlign w:val="center"/>
          </w:tcPr>
          <w:p w14:paraId="330C06B8">
            <w:pPr>
              <w:autoSpaceDE w:val="0"/>
              <w:autoSpaceDN w:val="0"/>
              <w:jc w:val="center"/>
              <w:rPr>
                <w:rFonts w:ascii="宋体" w:hAnsi="宋体" w:cs="仿宋"/>
                <w:kern w:val="0"/>
                <w:sz w:val="24"/>
                <w:highlight w:val="none"/>
              </w:rPr>
            </w:pPr>
            <w:r>
              <w:rPr>
                <w:rFonts w:hint="eastAsia" w:ascii="宋体" w:hAnsi="宋体" w:cs="仿宋"/>
                <w:kern w:val="0"/>
                <w:sz w:val="24"/>
                <w:highlight w:val="none"/>
              </w:rPr>
              <w:t>交通管理数据全生命周期运</w:t>
            </w:r>
          </w:p>
          <w:p w14:paraId="5E0C7996">
            <w:pPr>
              <w:autoSpaceDE w:val="0"/>
              <w:autoSpaceDN w:val="0"/>
              <w:jc w:val="center"/>
              <w:rPr>
                <w:rFonts w:ascii="宋体" w:hAnsi="宋体" w:cs="仿宋"/>
                <w:kern w:val="0"/>
                <w:sz w:val="24"/>
                <w:highlight w:val="none"/>
              </w:rPr>
            </w:pPr>
            <w:r>
              <w:rPr>
                <w:rFonts w:hint="eastAsia" w:ascii="宋体" w:hAnsi="宋体" w:cs="仿宋"/>
                <w:kern w:val="0"/>
                <w:sz w:val="24"/>
                <w:highlight w:val="none"/>
              </w:rPr>
              <w:t>营服务</w:t>
            </w:r>
          </w:p>
          <w:p w14:paraId="569C8016">
            <w:pPr>
              <w:autoSpaceDE w:val="0"/>
              <w:autoSpaceDN w:val="0"/>
              <w:jc w:val="center"/>
              <w:rPr>
                <w:rFonts w:ascii="宋体" w:hAnsi="宋体" w:cs="仿宋"/>
                <w:kern w:val="0"/>
                <w:sz w:val="24"/>
                <w:highlight w:val="none"/>
              </w:rPr>
            </w:pPr>
          </w:p>
          <w:p w14:paraId="6514EED0">
            <w:pPr>
              <w:autoSpaceDE w:val="0"/>
              <w:autoSpaceDN w:val="0"/>
              <w:jc w:val="center"/>
              <w:rPr>
                <w:rFonts w:ascii="宋体" w:hAnsi="宋体" w:cs="仿宋"/>
                <w:kern w:val="0"/>
                <w:sz w:val="24"/>
                <w:highlight w:val="none"/>
              </w:rPr>
            </w:pPr>
          </w:p>
          <w:p w14:paraId="44BC4AA5">
            <w:pPr>
              <w:autoSpaceDE w:val="0"/>
              <w:autoSpaceDN w:val="0"/>
              <w:jc w:val="center"/>
              <w:rPr>
                <w:rFonts w:ascii="宋体" w:hAnsi="宋体" w:cs="仿宋"/>
                <w:kern w:val="0"/>
                <w:sz w:val="24"/>
                <w:highlight w:val="none"/>
              </w:rPr>
            </w:pPr>
          </w:p>
          <w:p w14:paraId="3C361746">
            <w:pPr>
              <w:autoSpaceDE w:val="0"/>
              <w:autoSpaceDN w:val="0"/>
              <w:jc w:val="center"/>
              <w:rPr>
                <w:rFonts w:ascii="宋体" w:hAnsi="宋体" w:cs="仿宋"/>
                <w:kern w:val="0"/>
                <w:sz w:val="24"/>
                <w:highlight w:val="none"/>
              </w:rPr>
            </w:pPr>
          </w:p>
          <w:p w14:paraId="46F095B2">
            <w:pPr>
              <w:autoSpaceDE w:val="0"/>
              <w:autoSpaceDN w:val="0"/>
              <w:jc w:val="center"/>
              <w:rPr>
                <w:rFonts w:ascii="宋体" w:hAnsi="宋体" w:cs="仿宋"/>
                <w:kern w:val="0"/>
                <w:sz w:val="24"/>
                <w:highlight w:val="none"/>
              </w:rPr>
            </w:pPr>
          </w:p>
        </w:tc>
        <w:tc>
          <w:tcPr>
            <w:tcW w:w="1761" w:type="dxa"/>
            <w:vMerge w:val="restart"/>
            <w:vAlign w:val="center"/>
          </w:tcPr>
          <w:p w14:paraId="496EA953">
            <w:pPr>
              <w:autoSpaceDE w:val="0"/>
              <w:autoSpaceDN w:val="0"/>
              <w:jc w:val="center"/>
              <w:rPr>
                <w:rFonts w:ascii="宋体" w:hAnsi="宋体" w:cs="仿宋"/>
                <w:kern w:val="0"/>
                <w:sz w:val="24"/>
                <w:highlight w:val="none"/>
              </w:rPr>
            </w:pPr>
            <w:r>
              <w:rPr>
                <w:rFonts w:hint="eastAsia" w:ascii="宋体" w:hAnsi="宋体" w:cs="仿宋"/>
                <w:kern w:val="0"/>
                <w:sz w:val="24"/>
                <w:highlight w:val="none"/>
              </w:rPr>
              <w:t>专网云平台系统运行及数据治理</w:t>
            </w:r>
          </w:p>
        </w:tc>
        <w:tc>
          <w:tcPr>
            <w:tcW w:w="3460" w:type="dxa"/>
            <w:vAlign w:val="center"/>
          </w:tcPr>
          <w:p w14:paraId="7129579A">
            <w:pPr>
              <w:jc w:val="center"/>
              <w:rPr>
                <w:rFonts w:ascii="宋体" w:hAnsi="宋体" w:cs="仿宋"/>
                <w:kern w:val="0"/>
                <w:sz w:val="24"/>
                <w:highlight w:val="none"/>
              </w:rPr>
            </w:pPr>
            <w:r>
              <w:rPr>
                <w:rFonts w:hint="eastAsia" w:ascii="宋体" w:hAnsi="宋体" w:cs="仿宋"/>
                <w:kern w:val="0"/>
                <w:sz w:val="24"/>
                <w:highlight w:val="none"/>
              </w:rPr>
              <w:t>数据接入</w:t>
            </w:r>
          </w:p>
        </w:tc>
        <w:tc>
          <w:tcPr>
            <w:tcW w:w="1579" w:type="dxa"/>
            <w:vAlign w:val="center"/>
          </w:tcPr>
          <w:p w14:paraId="64082AB6">
            <w:pPr>
              <w:jc w:val="center"/>
              <w:rPr>
                <w:rFonts w:ascii="宋体" w:hAnsi="宋体" w:cs="仿宋"/>
                <w:kern w:val="0"/>
                <w:sz w:val="24"/>
                <w:highlight w:val="none"/>
              </w:rPr>
            </w:pPr>
          </w:p>
        </w:tc>
        <w:tc>
          <w:tcPr>
            <w:tcW w:w="1579" w:type="dxa"/>
            <w:vMerge w:val="restart"/>
            <w:vAlign w:val="center"/>
          </w:tcPr>
          <w:p w14:paraId="22D9221F">
            <w:pPr>
              <w:jc w:val="center"/>
              <w:rPr>
                <w:rFonts w:ascii="宋体" w:hAnsi="宋体" w:cs="仿宋"/>
                <w:kern w:val="0"/>
                <w:sz w:val="24"/>
                <w:highlight w:val="none"/>
              </w:rPr>
            </w:pPr>
            <w:r>
              <w:rPr>
                <w:rFonts w:hint="eastAsia" w:ascii="宋体" w:hAnsi="宋体" w:cs="仿宋"/>
                <w:kern w:val="0"/>
                <w:sz w:val="24"/>
                <w:highlight w:val="none"/>
              </w:rPr>
              <w:t>【服务形式】驻点服务</w:t>
            </w:r>
          </w:p>
        </w:tc>
        <w:tc>
          <w:tcPr>
            <w:tcW w:w="1733" w:type="dxa"/>
            <w:vMerge w:val="restart"/>
            <w:vAlign w:val="center"/>
          </w:tcPr>
          <w:p w14:paraId="3E9D70C7">
            <w:pPr>
              <w:jc w:val="center"/>
              <w:rPr>
                <w:rFonts w:ascii="宋体" w:hAnsi="宋体" w:cs="仿宋"/>
                <w:kern w:val="0"/>
                <w:sz w:val="24"/>
                <w:highlight w:val="none"/>
              </w:rPr>
            </w:pPr>
            <w:r>
              <w:rPr>
                <w:rFonts w:hint="eastAsia" w:ascii="宋体" w:hAnsi="宋体" w:cs="仿宋"/>
                <w:kern w:val="0"/>
                <w:sz w:val="24"/>
                <w:highlight w:val="none"/>
              </w:rPr>
              <w:t>12</w:t>
            </w:r>
            <w:r>
              <w:rPr>
                <w:rFonts w:ascii="宋体" w:hAnsi="宋体" w:cs="仿宋"/>
                <w:kern w:val="0"/>
                <w:sz w:val="24"/>
                <w:highlight w:val="none"/>
              </w:rPr>
              <w:t>个月（202</w:t>
            </w:r>
            <w:r>
              <w:rPr>
                <w:rFonts w:hint="eastAsia" w:ascii="宋体" w:hAnsi="宋体" w:cs="仿宋"/>
                <w:kern w:val="0"/>
                <w:sz w:val="24"/>
                <w:highlight w:val="none"/>
              </w:rPr>
              <w:t>4</w:t>
            </w:r>
            <w:r>
              <w:rPr>
                <w:rFonts w:ascii="宋体" w:hAnsi="宋体" w:cs="仿宋"/>
                <w:kern w:val="0"/>
                <w:sz w:val="24"/>
                <w:highlight w:val="none"/>
              </w:rPr>
              <w:t>.</w:t>
            </w:r>
            <w:r>
              <w:rPr>
                <w:rFonts w:hint="eastAsia" w:ascii="宋体" w:hAnsi="宋体" w:cs="仿宋"/>
                <w:kern w:val="0"/>
                <w:sz w:val="24"/>
                <w:highlight w:val="none"/>
              </w:rPr>
              <w:t>8</w:t>
            </w:r>
            <w:r>
              <w:rPr>
                <w:rFonts w:ascii="宋体" w:hAnsi="宋体" w:cs="仿宋"/>
                <w:kern w:val="0"/>
                <w:sz w:val="24"/>
                <w:highlight w:val="none"/>
              </w:rPr>
              <w:t>.1-202</w:t>
            </w:r>
            <w:r>
              <w:rPr>
                <w:rFonts w:hint="eastAsia" w:ascii="宋体" w:hAnsi="宋体" w:cs="仿宋"/>
                <w:kern w:val="0"/>
                <w:sz w:val="24"/>
                <w:highlight w:val="none"/>
              </w:rPr>
              <w:t>5</w:t>
            </w:r>
            <w:r>
              <w:rPr>
                <w:rFonts w:ascii="宋体" w:hAnsi="宋体" w:cs="仿宋"/>
                <w:kern w:val="0"/>
                <w:sz w:val="24"/>
                <w:highlight w:val="none"/>
              </w:rPr>
              <w:t>.7.31）</w:t>
            </w:r>
          </w:p>
        </w:tc>
        <w:tc>
          <w:tcPr>
            <w:tcW w:w="1180" w:type="dxa"/>
            <w:vMerge w:val="restart"/>
            <w:vAlign w:val="center"/>
          </w:tcPr>
          <w:p w14:paraId="24565007">
            <w:pPr>
              <w:jc w:val="center"/>
              <w:rPr>
                <w:rFonts w:ascii="宋体" w:hAnsi="宋体" w:cs="仿宋"/>
                <w:kern w:val="0"/>
                <w:sz w:val="24"/>
                <w:highlight w:val="none"/>
              </w:rPr>
            </w:pPr>
            <w:r>
              <w:rPr>
                <w:rFonts w:hint="eastAsia" w:ascii="宋体" w:hAnsi="宋体" w:cs="仿宋"/>
                <w:kern w:val="0"/>
                <w:sz w:val="24"/>
                <w:highlight w:val="none"/>
              </w:rPr>
              <w:t>　</w:t>
            </w:r>
          </w:p>
        </w:tc>
        <w:tc>
          <w:tcPr>
            <w:tcW w:w="1248" w:type="dxa"/>
            <w:vMerge w:val="restart"/>
            <w:vAlign w:val="center"/>
          </w:tcPr>
          <w:p w14:paraId="59B60737">
            <w:pPr>
              <w:jc w:val="center"/>
              <w:rPr>
                <w:rFonts w:ascii="宋体" w:hAnsi="宋体" w:cs="仿宋"/>
                <w:kern w:val="0"/>
                <w:sz w:val="24"/>
                <w:highlight w:val="none"/>
              </w:rPr>
            </w:pPr>
            <w:r>
              <w:rPr>
                <w:rFonts w:hint="eastAsia" w:ascii="宋体" w:hAnsi="宋体" w:cs="仿宋"/>
                <w:kern w:val="0"/>
                <w:sz w:val="24"/>
                <w:highlight w:val="none"/>
              </w:rPr>
              <w:t>　</w:t>
            </w:r>
          </w:p>
        </w:tc>
        <w:tc>
          <w:tcPr>
            <w:tcW w:w="1248" w:type="dxa"/>
            <w:vAlign w:val="center"/>
          </w:tcPr>
          <w:p w14:paraId="45702F61">
            <w:pPr>
              <w:jc w:val="center"/>
              <w:rPr>
                <w:rFonts w:ascii="宋体" w:hAnsi="宋体" w:cs="仿宋"/>
                <w:kern w:val="0"/>
                <w:sz w:val="24"/>
                <w:highlight w:val="none"/>
              </w:rPr>
            </w:pPr>
          </w:p>
        </w:tc>
      </w:tr>
      <w:tr w14:paraId="20B2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626" w:type="dxa"/>
            <w:vMerge w:val="continue"/>
            <w:vAlign w:val="center"/>
          </w:tcPr>
          <w:p w14:paraId="4DFE0B56">
            <w:pPr>
              <w:spacing w:line="360" w:lineRule="auto"/>
              <w:jc w:val="left"/>
              <w:outlineLvl w:val="0"/>
              <w:rPr>
                <w:rFonts w:ascii="宋体" w:hAnsi="宋体" w:cs="仿宋"/>
                <w:kern w:val="0"/>
                <w:sz w:val="24"/>
                <w:highlight w:val="none"/>
              </w:rPr>
            </w:pPr>
          </w:p>
        </w:tc>
        <w:tc>
          <w:tcPr>
            <w:tcW w:w="1761" w:type="dxa"/>
            <w:vMerge w:val="continue"/>
            <w:vAlign w:val="center"/>
          </w:tcPr>
          <w:p w14:paraId="3B6EBCC2">
            <w:pPr>
              <w:spacing w:line="360" w:lineRule="auto"/>
              <w:jc w:val="left"/>
              <w:outlineLvl w:val="0"/>
              <w:rPr>
                <w:rFonts w:ascii="宋体" w:hAnsi="宋体" w:cs="仿宋"/>
                <w:kern w:val="0"/>
                <w:sz w:val="24"/>
                <w:highlight w:val="none"/>
              </w:rPr>
            </w:pPr>
          </w:p>
        </w:tc>
        <w:tc>
          <w:tcPr>
            <w:tcW w:w="3460" w:type="dxa"/>
            <w:vAlign w:val="center"/>
          </w:tcPr>
          <w:p w14:paraId="6D1DE631">
            <w:pPr>
              <w:jc w:val="center"/>
              <w:rPr>
                <w:rFonts w:ascii="宋体" w:hAnsi="宋体" w:cs="仿宋"/>
                <w:kern w:val="0"/>
                <w:sz w:val="24"/>
                <w:highlight w:val="none"/>
              </w:rPr>
            </w:pPr>
            <w:r>
              <w:rPr>
                <w:rFonts w:hint="eastAsia" w:ascii="宋体" w:hAnsi="宋体" w:cs="仿宋"/>
                <w:kern w:val="0"/>
                <w:sz w:val="24"/>
                <w:highlight w:val="none"/>
              </w:rPr>
              <w:t>数据加工治理</w:t>
            </w:r>
          </w:p>
        </w:tc>
        <w:tc>
          <w:tcPr>
            <w:tcW w:w="1579" w:type="dxa"/>
            <w:vAlign w:val="center"/>
          </w:tcPr>
          <w:p w14:paraId="54BFFDA0">
            <w:pPr>
              <w:spacing w:line="360" w:lineRule="auto"/>
              <w:jc w:val="left"/>
              <w:outlineLvl w:val="0"/>
              <w:rPr>
                <w:rFonts w:ascii="宋体" w:hAnsi="宋体" w:cs="仿宋"/>
                <w:kern w:val="0"/>
                <w:sz w:val="24"/>
                <w:highlight w:val="none"/>
              </w:rPr>
            </w:pPr>
          </w:p>
        </w:tc>
        <w:tc>
          <w:tcPr>
            <w:tcW w:w="1579" w:type="dxa"/>
            <w:vMerge w:val="continue"/>
            <w:vAlign w:val="center"/>
          </w:tcPr>
          <w:p w14:paraId="275CC62F">
            <w:pPr>
              <w:spacing w:line="360" w:lineRule="auto"/>
              <w:jc w:val="left"/>
              <w:outlineLvl w:val="0"/>
              <w:rPr>
                <w:rFonts w:ascii="宋体" w:hAnsi="宋体" w:cs="仿宋"/>
                <w:kern w:val="0"/>
                <w:sz w:val="24"/>
                <w:highlight w:val="none"/>
              </w:rPr>
            </w:pPr>
          </w:p>
        </w:tc>
        <w:tc>
          <w:tcPr>
            <w:tcW w:w="1733" w:type="dxa"/>
            <w:vMerge w:val="continue"/>
            <w:vAlign w:val="center"/>
          </w:tcPr>
          <w:p w14:paraId="21513C4E">
            <w:pPr>
              <w:spacing w:line="360" w:lineRule="auto"/>
              <w:jc w:val="left"/>
              <w:outlineLvl w:val="0"/>
              <w:rPr>
                <w:rFonts w:ascii="宋体" w:hAnsi="宋体" w:cs="仿宋"/>
                <w:kern w:val="0"/>
                <w:sz w:val="24"/>
                <w:highlight w:val="none"/>
              </w:rPr>
            </w:pPr>
          </w:p>
        </w:tc>
        <w:tc>
          <w:tcPr>
            <w:tcW w:w="1180" w:type="dxa"/>
            <w:vMerge w:val="continue"/>
            <w:vAlign w:val="center"/>
          </w:tcPr>
          <w:p w14:paraId="4F371A23">
            <w:pPr>
              <w:spacing w:line="360" w:lineRule="auto"/>
              <w:jc w:val="left"/>
              <w:outlineLvl w:val="0"/>
              <w:rPr>
                <w:rFonts w:ascii="宋体" w:hAnsi="宋体" w:cs="仿宋"/>
                <w:kern w:val="0"/>
                <w:sz w:val="24"/>
                <w:highlight w:val="none"/>
              </w:rPr>
            </w:pPr>
          </w:p>
        </w:tc>
        <w:tc>
          <w:tcPr>
            <w:tcW w:w="1248" w:type="dxa"/>
            <w:vMerge w:val="continue"/>
            <w:vAlign w:val="center"/>
          </w:tcPr>
          <w:p w14:paraId="2840953A">
            <w:pPr>
              <w:spacing w:line="360" w:lineRule="auto"/>
              <w:jc w:val="left"/>
              <w:outlineLvl w:val="0"/>
              <w:rPr>
                <w:rFonts w:ascii="宋体" w:hAnsi="宋体" w:cs="仿宋"/>
                <w:kern w:val="0"/>
                <w:sz w:val="24"/>
                <w:highlight w:val="none"/>
              </w:rPr>
            </w:pPr>
          </w:p>
        </w:tc>
        <w:tc>
          <w:tcPr>
            <w:tcW w:w="1248" w:type="dxa"/>
            <w:vAlign w:val="center"/>
          </w:tcPr>
          <w:p w14:paraId="780D998D">
            <w:pPr>
              <w:spacing w:line="360" w:lineRule="auto"/>
              <w:jc w:val="left"/>
              <w:outlineLvl w:val="0"/>
              <w:rPr>
                <w:rFonts w:ascii="宋体" w:hAnsi="宋体" w:cs="仿宋"/>
                <w:kern w:val="0"/>
                <w:sz w:val="24"/>
                <w:highlight w:val="none"/>
              </w:rPr>
            </w:pPr>
          </w:p>
        </w:tc>
      </w:tr>
      <w:tr w14:paraId="46705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626" w:type="dxa"/>
            <w:vMerge w:val="continue"/>
            <w:vAlign w:val="center"/>
          </w:tcPr>
          <w:p w14:paraId="35C653DF">
            <w:pPr>
              <w:spacing w:line="360" w:lineRule="auto"/>
              <w:jc w:val="left"/>
              <w:outlineLvl w:val="0"/>
              <w:rPr>
                <w:rFonts w:ascii="宋体" w:hAnsi="宋体" w:cs="仿宋"/>
                <w:kern w:val="0"/>
                <w:sz w:val="24"/>
                <w:highlight w:val="none"/>
              </w:rPr>
            </w:pPr>
          </w:p>
        </w:tc>
        <w:tc>
          <w:tcPr>
            <w:tcW w:w="1761" w:type="dxa"/>
            <w:vMerge w:val="continue"/>
            <w:vAlign w:val="center"/>
          </w:tcPr>
          <w:p w14:paraId="249735FD">
            <w:pPr>
              <w:spacing w:line="360" w:lineRule="auto"/>
              <w:jc w:val="left"/>
              <w:outlineLvl w:val="0"/>
              <w:rPr>
                <w:rFonts w:ascii="宋体" w:hAnsi="宋体" w:cs="仿宋"/>
                <w:kern w:val="0"/>
                <w:sz w:val="24"/>
                <w:highlight w:val="none"/>
              </w:rPr>
            </w:pPr>
          </w:p>
        </w:tc>
        <w:tc>
          <w:tcPr>
            <w:tcW w:w="3460" w:type="dxa"/>
            <w:vAlign w:val="center"/>
          </w:tcPr>
          <w:p w14:paraId="5A2BCA2A">
            <w:pPr>
              <w:jc w:val="center"/>
              <w:rPr>
                <w:rFonts w:ascii="宋体" w:hAnsi="宋体" w:cs="仿宋"/>
                <w:kern w:val="0"/>
                <w:sz w:val="24"/>
                <w:highlight w:val="none"/>
              </w:rPr>
            </w:pPr>
            <w:r>
              <w:rPr>
                <w:rFonts w:hint="eastAsia" w:ascii="宋体" w:hAnsi="宋体" w:cs="仿宋"/>
                <w:kern w:val="0"/>
                <w:sz w:val="24"/>
                <w:highlight w:val="none"/>
              </w:rPr>
              <w:t>数据透出</w:t>
            </w:r>
          </w:p>
        </w:tc>
        <w:tc>
          <w:tcPr>
            <w:tcW w:w="1579" w:type="dxa"/>
            <w:vAlign w:val="center"/>
          </w:tcPr>
          <w:p w14:paraId="43C34AD0">
            <w:pPr>
              <w:spacing w:line="360" w:lineRule="auto"/>
              <w:jc w:val="left"/>
              <w:outlineLvl w:val="0"/>
              <w:rPr>
                <w:rFonts w:ascii="宋体" w:hAnsi="宋体" w:cs="仿宋"/>
                <w:kern w:val="0"/>
                <w:sz w:val="24"/>
                <w:highlight w:val="none"/>
              </w:rPr>
            </w:pPr>
          </w:p>
        </w:tc>
        <w:tc>
          <w:tcPr>
            <w:tcW w:w="1579" w:type="dxa"/>
            <w:vMerge w:val="continue"/>
            <w:vAlign w:val="center"/>
          </w:tcPr>
          <w:p w14:paraId="1B075A69">
            <w:pPr>
              <w:spacing w:line="360" w:lineRule="auto"/>
              <w:jc w:val="left"/>
              <w:outlineLvl w:val="0"/>
              <w:rPr>
                <w:rFonts w:ascii="宋体" w:hAnsi="宋体" w:cs="仿宋"/>
                <w:kern w:val="0"/>
                <w:sz w:val="24"/>
                <w:highlight w:val="none"/>
              </w:rPr>
            </w:pPr>
          </w:p>
        </w:tc>
        <w:tc>
          <w:tcPr>
            <w:tcW w:w="1733" w:type="dxa"/>
            <w:vMerge w:val="continue"/>
            <w:vAlign w:val="center"/>
          </w:tcPr>
          <w:p w14:paraId="2ED0F427">
            <w:pPr>
              <w:spacing w:line="360" w:lineRule="auto"/>
              <w:jc w:val="left"/>
              <w:outlineLvl w:val="0"/>
              <w:rPr>
                <w:rFonts w:ascii="宋体" w:hAnsi="宋体" w:cs="仿宋"/>
                <w:kern w:val="0"/>
                <w:sz w:val="24"/>
                <w:highlight w:val="none"/>
              </w:rPr>
            </w:pPr>
          </w:p>
        </w:tc>
        <w:tc>
          <w:tcPr>
            <w:tcW w:w="1180" w:type="dxa"/>
            <w:vMerge w:val="continue"/>
            <w:vAlign w:val="center"/>
          </w:tcPr>
          <w:p w14:paraId="4A58D226">
            <w:pPr>
              <w:spacing w:line="360" w:lineRule="auto"/>
              <w:jc w:val="left"/>
              <w:outlineLvl w:val="0"/>
              <w:rPr>
                <w:rFonts w:ascii="宋体" w:hAnsi="宋体" w:cs="仿宋"/>
                <w:kern w:val="0"/>
                <w:sz w:val="24"/>
                <w:highlight w:val="none"/>
              </w:rPr>
            </w:pPr>
          </w:p>
        </w:tc>
        <w:tc>
          <w:tcPr>
            <w:tcW w:w="1248" w:type="dxa"/>
            <w:vMerge w:val="continue"/>
            <w:vAlign w:val="center"/>
          </w:tcPr>
          <w:p w14:paraId="16550E3D">
            <w:pPr>
              <w:spacing w:line="360" w:lineRule="auto"/>
              <w:jc w:val="left"/>
              <w:outlineLvl w:val="0"/>
              <w:rPr>
                <w:rFonts w:ascii="宋体" w:hAnsi="宋体" w:cs="仿宋"/>
                <w:kern w:val="0"/>
                <w:sz w:val="24"/>
                <w:highlight w:val="none"/>
              </w:rPr>
            </w:pPr>
          </w:p>
        </w:tc>
        <w:tc>
          <w:tcPr>
            <w:tcW w:w="1248" w:type="dxa"/>
            <w:vAlign w:val="center"/>
          </w:tcPr>
          <w:p w14:paraId="67993E37">
            <w:pPr>
              <w:spacing w:line="360" w:lineRule="auto"/>
              <w:jc w:val="left"/>
              <w:outlineLvl w:val="0"/>
              <w:rPr>
                <w:rFonts w:ascii="宋体" w:hAnsi="宋体" w:cs="仿宋"/>
                <w:kern w:val="0"/>
                <w:sz w:val="24"/>
                <w:highlight w:val="none"/>
              </w:rPr>
            </w:pPr>
          </w:p>
        </w:tc>
      </w:tr>
      <w:tr w14:paraId="39751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626" w:type="dxa"/>
            <w:vMerge w:val="continue"/>
            <w:vAlign w:val="center"/>
          </w:tcPr>
          <w:p w14:paraId="0716FA7D">
            <w:pPr>
              <w:spacing w:line="360" w:lineRule="auto"/>
              <w:jc w:val="left"/>
              <w:outlineLvl w:val="0"/>
              <w:rPr>
                <w:rFonts w:ascii="宋体" w:hAnsi="宋体" w:cs="仿宋"/>
                <w:kern w:val="0"/>
                <w:sz w:val="24"/>
                <w:highlight w:val="none"/>
              </w:rPr>
            </w:pPr>
          </w:p>
        </w:tc>
        <w:tc>
          <w:tcPr>
            <w:tcW w:w="1761" w:type="dxa"/>
            <w:vMerge w:val="continue"/>
            <w:vAlign w:val="center"/>
          </w:tcPr>
          <w:p w14:paraId="272CBF15">
            <w:pPr>
              <w:spacing w:line="360" w:lineRule="auto"/>
              <w:jc w:val="left"/>
              <w:outlineLvl w:val="0"/>
              <w:rPr>
                <w:rFonts w:ascii="宋体" w:hAnsi="宋体" w:cs="仿宋"/>
                <w:kern w:val="0"/>
                <w:sz w:val="24"/>
                <w:highlight w:val="none"/>
              </w:rPr>
            </w:pPr>
          </w:p>
        </w:tc>
        <w:tc>
          <w:tcPr>
            <w:tcW w:w="3460" w:type="dxa"/>
            <w:vAlign w:val="center"/>
          </w:tcPr>
          <w:p w14:paraId="78718D2F">
            <w:pPr>
              <w:jc w:val="center"/>
              <w:rPr>
                <w:rFonts w:ascii="宋体" w:hAnsi="宋体" w:cs="仿宋"/>
                <w:kern w:val="0"/>
                <w:sz w:val="24"/>
                <w:highlight w:val="none"/>
              </w:rPr>
            </w:pPr>
            <w:r>
              <w:rPr>
                <w:rFonts w:hint="eastAsia" w:ascii="宋体" w:hAnsi="宋体" w:cs="宋体"/>
                <w:kern w:val="0"/>
                <w:sz w:val="24"/>
                <w:highlight w:val="none"/>
              </w:rPr>
              <w:t>数据统计</w:t>
            </w:r>
          </w:p>
        </w:tc>
        <w:tc>
          <w:tcPr>
            <w:tcW w:w="1579" w:type="dxa"/>
            <w:vAlign w:val="center"/>
          </w:tcPr>
          <w:p w14:paraId="57E7C3A1">
            <w:pPr>
              <w:spacing w:line="360" w:lineRule="auto"/>
              <w:jc w:val="left"/>
              <w:outlineLvl w:val="0"/>
              <w:rPr>
                <w:rFonts w:ascii="宋体" w:hAnsi="宋体" w:cs="仿宋"/>
                <w:kern w:val="0"/>
                <w:sz w:val="24"/>
                <w:highlight w:val="none"/>
              </w:rPr>
            </w:pPr>
          </w:p>
        </w:tc>
        <w:tc>
          <w:tcPr>
            <w:tcW w:w="1579" w:type="dxa"/>
            <w:vMerge w:val="continue"/>
            <w:vAlign w:val="center"/>
          </w:tcPr>
          <w:p w14:paraId="32F167C6">
            <w:pPr>
              <w:spacing w:line="360" w:lineRule="auto"/>
              <w:jc w:val="left"/>
              <w:outlineLvl w:val="0"/>
              <w:rPr>
                <w:rFonts w:ascii="宋体" w:hAnsi="宋体" w:cs="仿宋"/>
                <w:kern w:val="0"/>
                <w:sz w:val="24"/>
                <w:highlight w:val="none"/>
              </w:rPr>
            </w:pPr>
          </w:p>
        </w:tc>
        <w:tc>
          <w:tcPr>
            <w:tcW w:w="1733" w:type="dxa"/>
            <w:vMerge w:val="continue"/>
            <w:vAlign w:val="center"/>
          </w:tcPr>
          <w:p w14:paraId="06DAA68A">
            <w:pPr>
              <w:spacing w:line="360" w:lineRule="auto"/>
              <w:jc w:val="left"/>
              <w:outlineLvl w:val="0"/>
              <w:rPr>
                <w:rFonts w:ascii="宋体" w:hAnsi="宋体" w:cs="仿宋"/>
                <w:kern w:val="0"/>
                <w:sz w:val="24"/>
                <w:highlight w:val="none"/>
              </w:rPr>
            </w:pPr>
          </w:p>
        </w:tc>
        <w:tc>
          <w:tcPr>
            <w:tcW w:w="1180" w:type="dxa"/>
            <w:vMerge w:val="continue"/>
            <w:vAlign w:val="center"/>
          </w:tcPr>
          <w:p w14:paraId="63B45D39">
            <w:pPr>
              <w:spacing w:line="360" w:lineRule="auto"/>
              <w:jc w:val="left"/>
              <w:outlineLvl w:val="0"/>
              <w:rPr>
                <w:rFonts w:ascii="宋体" w:hAnsi="宋体" w:cs="仿宋"/>
                <w:kern w:val="0"/>
                <w:sz w:val="24"/>
                <w:highlight w:val="none"/>
              </w:rPr>
            </w:pPr>
          </w:p>
        </w:tc>
        <w:tc>
          <w:tcPr>
            <w:tcW w:w="1248" w:type="dxa"/>
            <w:vMerge w:val="continue"/>
            <w:vAlign w:val="center"/>
          </w:tcPr>
          <w:p w14:paraId="58300F02">
            <w:pPr>
              <w:spacing w:line="360" w:lineRule="auto"/>
              <w:jc w:val="left"/>
              <w:outlineLvl w:val="0"/>
              <w:rPr>
                <w:rFonts w:ascii="宋体" w:hAnsi="宋体" w:cs="仿宋"/>
                <w:kern w:val="0"/>
                <w:sz w:val="24"/>
                <w:highlight w:val="none"/>
              </w:rPr>
            </w:pPr>
          </w:p>
        </w:tc>
        <w:tc>
          <w:tcPr>
            <w:tcW w:w="1248" w:type="dxa"/>
            <w:vAlign w:val="center"/>
          </w:tcPr>
          <w:p w14:paraId="7B602566">
            <w:pPr>
              <w:spacing w:line="360" w:lineRule="auto"/>
              <w:jc w:val="left"/>
              <w:outlineLvl w:val="0"/>
              <w:rPr>
                <w:rFonts w:ascii="宋体" w:hAnsi="宋体" w:cs="仿宋"/>
                <w:kern w:val="0"/>
                <w:sz w:val="24"/>
                <w:highlight w:val="none"/>
              </w:rPr>
            </w:pPr>
          </w:p>
        </w:tc>
      </w:tr>
      <w:tr w14:paraId="5876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626" w:type="dxa"/>
            <w:vMerge w:val="continue"/>
            <w:vAlign w:val="center"/>
          </w:tcPr>
          <w:p w14:paraId="2DB9EE94">
            <w:pPr>
              <w:spacing w:line="360" w:lineRule="auto"/>
              <w:jc w:val="left"/>
              <w:outlineLvl w:val="0"/>
              <w:rPr>
                <w:rFonts w:ascii="宋体" w:hAnsi="宋体" w:cs="仿宋"/>
                <w:kern w:val="0"/>
                <w:sz w:val="24"/>
                <w:highlight w:val="none"/>
              </w:rPr>
            </w:pPr>
          </w:p>
        </w:tc>
        <w:tc>
          <w:tcPr>
            <w:tcW w:w="1761" w:type="dxa"/>
            <w:vMerge w:val="continue"/>
            <w:vAlign w:val="center"/>
          </w:tcPr>
          <w:p w14:paraId="15E3D03C">
            <w:pPr>
              <w:spacing w:line="360" w:lineRule="auto"/>
              <w:jc w:val="left"/>
              <w:outlineLvl w:val="0"/>
              <w:rPr>
                <w:rFonts w:ascii="宋体" w:hAnsi="宋体" w:cs="仿宋"/>
                <w:kern w:val="0"/>
                <w:sz w:val="24"/>
                <w:highlight w:val="none"/>
              </w:rPr>
            </w:pPr>
          </w:p>
        </w:tc>
        <w:tc>
          <w:tcPr>
            <w:tcW w:w="3460" w:type="dxa"/>
            <w:vAlign w:val="center"/>
          </w:tcPr>
          <w:p w14:paraId="507E4F11">
            <w:pPr>
              <w:jc w:val="center"/>
              <w:rPr>
                <w:rFonts w:ascii="宋体" w:hAnsi="宋体" w:cs="仿宋"/>
                <w:kern w:val="0"/>
                <w:sz w:val="24"/>
                <w:highlight w:val="none"/>
              </w:rPr>
            </w:pPr>
            <w:r>
              <w:rPr>
                <w:rFonts w:hint="eastAsia" w:ascii="宋体" w:hAnsi="宋体" w:cs="宋体"/>
                <w:kern w:val="0"/>
                <w:sz w:val="24"/>
                <w:highlight w:val="none"/>
              </w:rPr>
              <w:t>运营服务</w:t>
            </w:r>
          </w:p>
        </w:tc>
        <w:tc>
          <w:tcPr>
            <w:tcW w:w="1579" w:type="dxa"/>
            <w:vAlign w:val="center"/>
          </w:tcPr>
          <w:p w14:paraId="1F451B9C">
            <w:pPr>
              <w:spacing w:line="360" w:lineRule="auto"/>
              <w:jc w:val="left"/>
              <w:outlineLvl w:val="0"/>
              <w:rPr>
                <w:rFonts w:ascii="宋体" w:hAnsi="宋体" w:cs="仿宋"/>
                <w:kern w:val="0"/>
                <w:sz w:val="24"/>
                <w:highlight w:val="none"/>
              </w:rPr>
            </w:pPr>
          </w:p>
        </w:tc>
        <w:tc>
          <w:tcPr>
            <w:tcW w:w="1579" w:type="dxa"/>
            <w:vMerge w:val="continue"/>
            <w:vAlign w:val="center"/>
          </w:tcPr>
          <w:p w14:paraId="69DC48F3">
            <w:pPr>
              <w:spacing w:line="360" w:lineRule="auto"/>
              <w:jc w:val="left"/>
              <w:outlineLvl w:val="0"/>
              <w:rPr>
                <w:rFonts w:ascii="宋体" w:hAnsi="宋体" w:cs="仿宋"/>
                <w:kern w:val="0"/>
                <w:sz w:val="24"/>
                <w:highlight w:val="none"/>
              </w:rPr>
            </w:pPr>
          </w:p>
        </w:tc>
        <w:tc>
          <w:tcPr>
            <w:tcW w:w="1733" w:type="dxa"/>
            <w:vMerge w:val="continue"/>
            <w:vAlign w:val="center"/>
          </w:tcPr>
          <w:p w14:paraId="6B36F2DB">
            <w:pPr>
              <w:spacing w:line="360" w:lineRule="auto"/>
              <w:jc w:val="left"/>
              <w:outlineLvl w:val="0"/>
              <w:rPr>
                <w:rFonts w:ascii="宋体" w:hAnsi="宋体" w:cs="仿宋"/>
                <w:kern w:val="0"/>
                <w:sz w:val="24"/>
                <w:highlight w:val="none"/>
              </w:rPr>
            </w:pPr>
          </w:p>
        </w:tc>
        <w:tc>
          <w:tcPr>
            <w:tcW w:w="1180" w:type="dxa"/>
            <w:vMerge w:val="continue"/>
            <w:vAlign w:val="center"/>
          </w:tcPr>
          <w:p w14:paraId="4ED440F3">
            <w:pPr>
              <w:spacing w:line="360" w:lineRule="auto"/>
              <w:jc w:val="left"/>
              <w:outlineLvl w:val="0"/>
              <w:rPr>
                <w:rFonts w:ascii="宋体" w:hAnsi="宋体" w:cs="仿宋"/>
                <w:kern w:val="0"/>
                <w:sz w:val="24"/>
                <w:highlight w:val="none"/>
              </w:rPr>
            </w:pPr>
          </w:p>
        </w:tc>
        <w:tc>
          <w:tcPr>
            <w:tcW w:w="1248" w:type="dxa"/>
            <w:vMerge w:val="continue"/>
            <w:vAlign w:val="center"/>
          </w:tcPr>
          <w:p w14:paraId="7F2F5B29">
            <w:pPr>
              <w:spacing w:line="360" w:lineRule="auto"/>
              <w:jc w:val="left"/>
              <w:outlineLvl w:val="0"/>
              <w:rPr>
                <w:rFonts w:ascii="宋体" w:hAnsi="宋体" w:cs="仿宋"/>
                <w:kern w:val="0"/>
                <w:sz w:val="24"/>
                <w:highlight w:val="none"/>
              </w:rPr>
            </w:pPr>
          </w:p>
        </w:tc>
        <w:tc>
          <w:tcPr>
            <w:tcW w:w="1248" w:type="dxa"/>
            <w:vAlign w:val="center"/>
          </w:tcPr>
          <w:p w14:paraId="41E2320C">
            <w:pPr>
              <w:spacing w:line="360" w:lineRule="auto"/>
              <w:jc w:val="left"/>
              <w:outlineLvl w:val="0"/>
              <w:rPr>
                <w:rFonts w:ascii="宋体" w:hAnsi="宋体" w:cs="仿宋"/>
                <w:kern w:val="0"/>
                <w:sz w:val="24"/>
                <w:highlight w:val="none"/>
              </w:rPr>
            </w:pPr>
          </w:p>
        </w:tc>
      </w:tr>
      <w:tr w14:paraId="11E42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626" w:type="dxa"/>
            <w:vMerge w:val="continue"/>
            <w:vAlign w:val="center"/>
          </w:tcPr>
          <w:p w14:paraId="467E2DA4">
            <w:pPr>
              <w:spacing w:line="360" w:lineRule="auto"/>
              <w:jc w:val="left"/>
              <w:outlineLvl w:val="0"/>
              <w:rPr>
                <w:rFonts w:ascii="宋体" w:hAnsi="宋体" w:cs="仿宋"/>
                <w:kern w:val="0"/>
                <w:sz w:val="24"/>
                <w:highlight w:val="none"/>
              </w:rPr>
            </w:pPr>
          </w:p>
        </w:tc>
        <w:tc>
          <w:tcPr>
            <w:tcW w:w="1761" w:type="dxa"/>
            <w:vMerge w:val="continue"/>
            <w:vAlign w:val="center"/>
          </w:tcPr>
          <w:p w14:paraId="4EA12D9C">
            <w:pPr>
              <w:spacing w:line="360" w:lineRule="auto"/>
              <w:jc w:val="left"/>
              <w:outlineLvl w:val="0"/>
              <w:rPr>
                <w:rFonts w:ascii="宋体" w:hAnsi="宋体" w:cs="仿宋"/>
                <w:kern w:val="0"/>
                <w:sz w:val="24"/>
                <w:highlight w:val="none"/>
              </w:rPr>
            </w:pPr>
          </w:p>
        </w:tc>
        <w:tc>
          <w:tcPr>
            <w:tcW w:w="3460" w:type="dxa"/>
            <w:vAlign w:val="center"/>
          </w:tcPr>
          <w:p w14:paraId="342E8338">
            <w:pPr>
              <w:jc w:val="center"/>
              <w:rPr>
                <w:rFonts w:ascii="宋体" w:hAnsi="宋体" w:cs="仿宋"/>
                <w:kern w:val="0"/>
                <w:sz w:val="24"/>
                <w:highlight w:val="none"/>
              </w:rPr>
            </w:pPr>
            <w:r>
              <w:rPr>
                <w:rFonts w:hint="eastAsia" w:ascii="宋体" w:hAnsi="宋体" w:cs="仿宋"/>
                <w:kern w:val="0"/>
                <w:sz w:val="24"/>
                <w:highlight w:val="none"/>
              </w:rPr>
              <w:t>专网云平台运行保障</w:t>
            </w:r>
          </w:p>
        </w:tc>
        <w:tc>
          <w:tcPr>
            <w:tcW w:w="1579" w:type="dxa"/>
            <w:vAlign w:val="center"/>
          </w:tcPr>
          <w:p w14:paraId="1E9C8137">
            <w:pPr>
              <w:spacing w:line="360" w:lineRule="auto"/>
              <w:jc w:val="left"/>
              <w:outlineLvl w:val="0"/>
              <w:rPr>
                <w:rFonts w:ascii="宋体" w:hAnsi="宋体" w:cs="仿宋"/>
                <w:kern w:val="0"/>
                <w:sz w:val="24"/>
                <w:highlight w:val="none"/>
              </w:rPr>
            </w:pPr>
          </w:p>
        </w:tc>
        <w:tc>
          <w:tcPr>
            <w:tcW w:w="1579" w:type="dxa"/>
            <w:vMerge w:val="continue"/>
            <w:vAlign w:val="center"/>
          </w:tcPr>
          <w:p w14:paraId="5897E19D">
            <w:pPr>
              <w:spacing w:line="360" w:lineRule="auto"/>
              <w:jc w:val="left"/>
              <w:outlineLvl w:val="0"/>
              <w:rPr>
                <w:rFonts w:ascii="宋体" w:hAnsi="宋体" w:cs="仿宋"/>
                <w:kern w:val="0"/>
                <w:sz w:val="24"/>
                <w:highlight w:val="none"/>
              </w:rPr>
            </w:pPr>
          </w:p>
        </w:tc>
        <w:tc>
          <w:tcPr>
            <w:tcW w:w="1733" w:type="dxa"/>
            <w:vMerge w:val="continue"/>
            <w:vAlign w:val="center"/>
          </w:tcPr>
          <w:p w14:paraId="433BF463">
            <w:pPr>
              <w:spacing w:line="360" w:lineRule="auto"/>
              <w:jc w:val="left"/>
              <w:outlineLvl w:val="0"/>
              <w:rPr>
                <w:rFonts w:ascii="宋体" w:hAnsi="宋体" w:cs="仿宋"/>
                <w:kern w:val="0"/>
                <w:sz w:val="24"/>
                <w:highlight w:val="none"/>
              </w:rPr>
            </w:pPr>
          </w:p>
        </w:tc>
        <w:tc>
          <w:tcPr>
            <w:tcW w:w="1180" w:type="dxa"/>
            <w:vMerge w:val="continue"/>
            <w:vAlign w:val="center"/>
          </w:tcPr>
          <w:p w14:paraId="3C1CB9A9">
            <w:pPr>
              <w:spacing w:line="360" w:lineRule="auto"/>
              <w:jc w:val="left"/>
              <w:outlineLvl w:val="0"/>
              <w:rPr>
                <w:rFonts w:ascii="宋体" w:hAnsi="宋体" w:cs="仿宋"/>
                <w:kern w:val="0"/>
                <w:sz w:val="24"/>
                <w:highlight w:val="none"/>
              </w:rPr>
            </w:pPr>
          </w:p>
        </w:tc>
        <w:tc>
          <w:tcPr>
            <w:tcW w:w="1248" w:type="dxa"/>
            <w:vMerge w:val="continue"/>
            <w:vAlign w:val="center"/>
          </w:tcPr>
          <w:p w14:paraId="7610D33D">
            <w:pPr>
              <w:spacing w:line="360" w:lineRule="auto"/>
              <w:jc w:val="left"/>
              <w:outlineLvl w:val="0"/>
              <w:rPr>
                <w:rFonts w:ascii="宋体" w:hAnsi="宋体" w:cs="仿宋"/>
                <w:kern w:val="0"/>
                <w:sz w:val="24"/>
                <w:highlight w:val="none"/>
              </w:rPr>
            </w:pPr>
          </w:p>
        </w:tc>
        <w:tc>
          <w:tcPr>
            <w:tcW w:w="1248" w:type="dxa"/>
            <w:vAlign w:val="center"/>
          </w:tcPr>
          <w:p w14:paraId="6F7A49B8">
            <w:pPr>
              <w:spacing w:line="360" w:lineRule="auto"/>
              <w:jc w:val="left"/>
              <w:outlineLvl w:val="0"/>
              <w:rPr>
                <w:rFonts w:ascii="宋体" w:hAnsi="宋体" w:cs="仿宋"/>
                <w:kern w:val="0"/>
                <w:sz w:val="24"/>
                <w:highlight w:val="none"/>
              </w:rPr>
            </w:pPr>
          </w:p>
        </w:tc>
      </w:tr>
      <w:tr w14:paraId="4E1DF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626" w:type="dxa"/>
            <w:vMerge w:val="continue"/>
            <w:vAlign w:val="center"/>
          </w:tcPr>
          <w:p w14:paraId="7D7FD445">
            <w:pPr>
              <w:spacing w:line="360" w:lineRule="auto"/>
              <w:jc w:val="left"/>
              <w:outlineLvl w:val="0"/>
              <w:rPr>
                <w:rFonts w:ascii="宋体" w:hAnsi="宋体" w:cs="仿宋"/>
                <w:kern w:val="0"/>
                <w:sz w:val="24"/>
                <w:highlight w:val="none"/>
              </w:rPr>
            </w:pPr>
          </w:p>
        </w:tc>
        <w:tc>
          <w:tcPr>
            <w:tcW w:w="1761" w:type="dxa"/>
            <w:vMerge w:val="restart"/>
            <w:vAlign w:val="center"/>
          </w:tcPr>
          <w:p w14:paraId="1FE0A910">
            <w:pPr>
              <w:jc w:val="center"/>
              <w:rPr>
                <w:rFonts w:ascii="宋体" w:hAnsi="宋体" w:cs="仿宋"/>
                <w:kern w:val="0"/>
                <w:sz w:val="24"/>
                <w:highlight w:val="none"/>
              </w:rPr>
            </w:pPr>
            <w:r>
              <w:rPr>
                <w:rFonts w:hint="eastAsia" w:ascii="宋体" w:hAnsi="宋体" w:cs="仿宋"/>
                <w:kern w:val="0"/>
                <w:sz w:val="24"/>
                <w:highlight w:val="none"/>
              </w:rPr>
              <w:t>公安网交警数据服务</w:t>
            </w:r>
          </w:p>
        </w:tc>
        <w:tc>
          <w:tcPr>
            <w:tcW w:w="3460" w:type="dxa"/>
            <w:vAlign w:val="center"/>
          </w:tcPr>
          <w:p w14:paraId="24A82B9B">
            <w:pPr>
              <w:jc w:val="center"/>
              <w:rPr>
                <w:rFonts w:ascii="宋体" w:hAnsi="宋体" w:cs="仿宋"/>
                <w:kern w:val="0"/>
                <w:sz w:val="24"/>
                <w:highlight w:val="none"/>
              </w:rPr>
            </w:pPr>
            <w:r>
              <w:rPr>
                <w:rFonts w:hint="eastAsia" w:ascii="宋体" w:hAnsi="宋体" w:cs="仿宋"/>
                <w:kern w:val="0"/>
                <w:sz w:val="24"/>
                <w:highlight w:val="none"/>
              </w:rPr>
              <w:t>数据上云服务</w:t>
            </w:r>
          </w:p>
        </w:tc>
        <w:tc>
          <w:tcPr>
            <w:tcW w:w="1579" w:type="dxa"/>
            <w:vAlign w:val="center"/>
          </w:tcPr>
          <w:p w14:paraId="15E88309">
            <w:pPr>
              <w:jc w:val="center"/>
              <w:rPr>
                <w:rFonts w:ascii="宋体" w:hAnsi="宋体" w:cs="仿宋"/>
                <w:kern w:val="0"/>
                <w:sz w:val="24"/>
                <w:highlight w:val="none"/>
              </w:rPr>
            </w:pPr>
          </w:p>
        </w:tc>
        <w:tc>
          <w:tcPr>
            <w:tcW w:w="1579" w:type="dxa"/>
            <w:vMerge w:val="restart"/>
            <w:vAlign w:val="center"/>
          </w:tcPr>
          <w:p w14:paraId="4E67BB0F">
            <w:pPr>
              <w:jc w:val="center"/>
              <w:rPr>
                <w:rFonts w:ascii="宋体" w:hAnsi="宋体" w:cs="仿宋"/>
                <w:kern w:val="0"/>
                <w:sz w:val="24"/>
                <w:highlight w:val="none"/>
              </w:rPr>
            </w:pPr>
            <w:r>
              <w:rPr>
                <w:rFonts w:hint="eastAsia" w:ascii="宋体" w:hAnsi="宋体" w:cs="仿宋"/>
                <w:kern w:val="0"/>
                <w:sz w:val="24"/>
                <w:highlight w:val="none"/>
              </w:rPr>
              <w:t>【服务形式】驻点服务</w:t>
            </w:r>
          </w:p>
        </w:tc>
        <w:tc>
          <w:tcPr>
            <w:tcW w:w="1733" w:type="dxa"/>
            <w:vMerge w:val="restart"/>
            <w:vAlign w:val="center"/>
          </w:tcPr>
          <w:p w14:paraId="056DC98A">
            <w:pPr>
              <w:jc w:val="center"/>
              <w:rPr>
                <w:rFonts w:ascii="宋体" w:hAnsi="宋体" w:cs="仿宋"/>
                <w:kern w:val="0"/>
                <w:sz w:val="24"/>
                <w:highlight w:val="none"/>
              </w:rPr>
            </w:pPr>
            <w:r>
              <w:rPr>
                <w:rFonts w:hint="eastAsia" w:ascii="宋体" w:hAnsi="宋体" w:cs="仿宋"/>
                <w:kern w:val="0"/>
                <w:sz w:val="24"/>
                <w:highlight w:val="none"/>
              </w:rPr>
              <w:t>12</w:t>
            </w:r>
            <w:r>
              <w:rPr>
                <w:rFonts w:ascii="宋体" w:hAnsi="宋体" w:cs="仿宋"/>
                <w:kern w:val="0"/>
                <w:sz w:val="24"/>
                <w:highlight w:val="none"/>
              </w:rPr>
              <w:t>个月（202</w:t>
            </w:r>
            <w:r>
              <w:rPr>
                <w:rFonts w:hint="eastAsia" w:ascii="宋体" w:hAnsi="宋体" w:cs="仿宋"/>
                <w:kern w:val="0"/>
                <w:sz w:val="24"/>
                <w:highlight w:val="none"/>
              </w:rPr>
              <w:t>4</w:t>
            </w:r>
            <w:r>
              <w:rPr>
                <w:rFonts w:ascii="宋体" w:hAnsi="宋体" w:cs="仿宋"/>
                <w:kern w:val="0"/>
                <w:sz w:val="24"/>
                <w:highlight w:val="none"/>
              </w:rPr>
              <w:t>.</w:t>
            </w:r>
            <w:r>
              <w:rPr>
                <w:rFonts w:hint="eastAsia" w:ascii="宋体" w:hAnsi="宋体" w:cs="仿宋"/>
                <w:kern w:val="0"/>
                <w:sz w:val="24"/>
                <w:highlight w:val="none"/>
              </w:rPr>
              <w:t>8</w:t>
            </w:r>
            <w:r>
              <w:rPr>
                <w:rFonts w:ascii="宋体" w:hAnsi="宋体" w:cs="仿宋"/>
                <w:kern w:val="0"/>
                <w:sz w:val="24"/>
                <w:highlight w:val="none"/>
              </w:rPr>
              <w:t>.1-202</w:t>
            </w:r>
            <w:r>
              <w:rPr>
                <w:rFonts w:hint="eastAsia" w:ascii="宋体" w:hAnsi="宋体" w:cs="仿宋"/>
                <w:kern w:val="0"/>
                <w:sz w:val="24"/>
                <w:highlight w:val="none"/>
              </w:rPr>
              <w:t>5</w:t>
            </w:r>
            <w:r>
              <w:rPr>
                <w:rFonts w:ascii="宋体" w:hAnsi="宋体" w:cs="仿宋"/>
                <w:kern w:val="0"/>
                <w:sz w:val="24"/>
                <w:highlight w:val="none"/>
              </w:rPr>
              <w:t>.7.31）</w:t>
            </w:r>
          </w:p>
        </w:tc>
        <w:tc>
          <w:tcPr>
            <w:tcW w:w="1180" w:type="dxa"/>
            <w:vMerge w:val="restart"/>
            <w:vAlign w:val="center"/>
          </w:tcPr>
          <w:p w14:paraId="4C433689">
            <w:pPr>
              <w:jc w:val="center"/>
              <w:rPr>
                <w:rFonts w:ascii="宋体" w:hAnsi="宋体" w:cs="仿宋"/>
                <w:kern w:val="0"/>
                <w:sz w:val="24"/>
                <w:highlight w:val="none"/>
              </w:rPr>
            </w:pPr>
          </w:p>
          <w:p w14:paraId="3B58769A">
            <w:pPr>
              <w:jc w:val="center"/>
              <w:rPr>
                <w:rFonts w:ascii="宋体" w:hAnsi="宋体" w:cs="仿宋"/>
                <w:kern w:val="0"/>
                <w:sz w:val="24"/>
                <w:highlight w:val="none"/>
              </w:rPr>
            </w:pPr>
          </w:p>
        </w:tc>
        <w:tc>
          <w:tcPr>
            <w:tcW w:w="1248" w:type="dxa"/>
            <w:vMerge w:val="restart"/>
            <w:vAlign w:val="center"/>
          </w:tcPr>
          <w:p w14:paraId="53E268B9">
            <w:pPr>
              <w:jc w:val="center"/>
              <w:rPr>
                <w:rFonts w:ascii="宋体" w:hAnsi="宋体" w:cs="仿宋"/>
                <w:kern w:val="0"/>
                <w:sz w:val="24"/>
                <w:highlight w:val="none"/>
              </w:rPr>
            </w:pPr>
          </w:p>
          <w:p w14:paraId="4710FC90">
            <w:pPr>
              <w:jc w:val="center"/>
              <w:rPr>
                <w:rFonts w:ascii="宋体" w:hAnsi="宋体" w:cs="仿宋"/>
                <w:kern w:val="0"/>
                <w:sz w:val="24"/>
                <w:highlight w:val="none"/>
              </w:rPr>
            </w:pPr>
          </w:p>
        </w:tc>
        <w:tc>
          <w:tcPr>
            <w:tcW w:w="1248" w:type="dxa"/>
            <w:vAlign w:val="center"/>
          </w:tcPr>
          <w:p w14:paraId="43241F29">
            <w:pPr>
              <w:jc w:val="center"/>
              <w:rPr>
                <w:rFonts w:ascii="宋体" w:hAnsi="宋体" w:cs="仿宋"/>
                <w:kern w:val="0"/>
                <w:sz w:val="24"/>
                <w:highlight w:val="none"/>
              </w:rPr>
            </w:pPr>
          </w:p>
        </w:tc>
      </w:tr>
      <w:tr w14:paraId="04BD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626" w:type="dxa"/>
            <w:vMerge w:val="continue"/>
            <w:vAlign w:val="center"/>
          </w:tcPr>
          <w:p w14:paraId="4978FEB5">
            <w:pPr>
              <w:spacing w:line="360" w:lineRule="auto"/>
              <w:jc w:val="left"/>
              <w:outlineLvl w:val="0"/>
              <w:rPr>
                <w:rFonts w:ascii="宋体" w:hAnsi="宋体" w:cs="仿宋"/>
                <w:kern w:val="0"/>
                <w:sz w:val="24"/>
                <w:highlight w:val="none"/>
              </w:rPr>
            </w:pPr>
          </w:p>
        </w:tc>
        <w:tc>
          <w:tcPr>
            <w:tcW w:w="1761" w:type="dxa"/>
            <w:vMerge w:val="continue"/>
            <w:vAlign w:val="center"/>
          </w:tcPr>
          <w:p w14:paraId="3D32AEEB">
            <w:pPr>
              <w:spacing w:line="360" w:lineRule="auto"/>
              <w:jc w:val="left"/>
              <w:outlineLvl w:val="0"/>
              <w:rPr>
                <w:rFonts w:ascii="宋体" w:hAnsi="宋体" w:cs="仿宋"/>
                <w:kern w:val="0"/>
                <w:sz w:val="24"/>
                <w:highlight w:val="none"/>
              </w:rPr>
            </w:pPr>
          </w:p>
        </w:tc>
        <w:tc>
          <w:tcPr>
            <w:tcW w:w="3460" w:type="dxa"/>
            <w:vAlign w:val="center"/>
          </w:tcPr>
          <w:p w14:paraId="5B875299">
            <w:pPr>
              <w:jc w:val="center"/>
              <w:rPr>
                <w:rFonts w:ascii="宋体" w:hAnsi="宋体" w:cs="仿宋"/>
                <w:kern w:val="0"/>
                <w:sz w:val="24"/>
                <w:highlight w:val="none"/>
              </w:rPr>
            </w:pPr>
            <w:r>
              <w:rPr>
                <w:rFonts w:hint="eastAsia" w:ascii="宋体" w:hAnsi="宋体" w:cs="宋体"/>
                <w:kern w:val="0"/>
                <w:sz w:val="24"/>
                <w:highlight w:val="none"/>
              </w:rPr>
              <w:t>数据治理服务</w:t>
            </w:r>
          </w:p>
        </w:tc>
        <w:tc>
          <w:tcPr>
            <w:tcW w:w="1579" w:type="dxa"/>
            <w:vAlign w:val="center"/>
          </w:tcPr>
          <w:p w14:paraId="4E6D7202">
            <w:pPr>
              <w:spacing w:line="360" w:lineRule="auto"/>
              <w:jc w:val="left"/>
              <w:outlineLvl w:val="0"/>
              <w:rPr>
                <w:rFonts w:ascii="宋体" w:hAnsi="宋体" w:cs="仿宋"/>
                <w:kern w:val="0"/>
                <w:sz w:val="24"/>
                <w:highlight w:val="none"/>
              </w:rPr>
            </w:pPr>
          </w:p>
        </w:tc>
        <w:tc>
          <w:tcPr>
            <w:tcW w:w="1579" w:type="dxa"/>
            <w:vMerge w:val="continue"/>
            <w:vAlign w:val="center"/>
          </w:tcPr>
          <w:p w14:paraId="12CDD54A">
            <w:pPr>
              <w:spacing w:line="360" w:lineRule="auto"/>
              <w:jc w:val="left"/>
              <w:outlineLvl w:val="0"/>
              <w:rPr>
                <w:rFonts w:ascii="宋体" w:hAnsi="宋体" w:cs="仿宋"/>
                <w:kern w:val="0"/>
                <w:sz w:val="24"/>
                <w:highlight w:val="none"/>
              </w:rPr>
            </w:pPr>
          </w:p>
        </w:tc>
        <w:tc>
          <w:tcPr>
            <w:tcW w:w="1733" w:type="dxa"/>
            <w:vMerge w:val="continue"/>
            <w:vAlign w:val="center"/>
          </w:tcPr>
          <w:p w14:paraId="05CB0E71">
            <w:pPr>
              <w:spacing w:line="360" w:lineRule="auto"/>
              <w:jc w:val="left"/>
              <w:outlineLvl w:val="0"/>
              <w:rPr>
                <w:rFonts w:ascii="宋体" w:hAnsi="宋体" w:cs="仿宋"/>
                <w:kern w:val="0"/>
                <w:sz w:val="24"/>
                <w:highlight w:val="none"/>
              </w:rPr>
            </w:pPr>
          </w:p>
        </w:tc>
        <w:tc>
          <w:tcPr>
            <w:tcW w:w="1180" w:type="dxa"/>
            <w:vMerge w:val="continue"/>
            <w:vAlign w:val="center"/>
          </w:tcPr>
          <w:p w14:paraId="2260A03A">
            <w:pPr>
              <w:jc w:val="center"/>
              <w:rPr>
                <w:rFonts w:ascii="宋体" w:hAnsi="宋体" w:cs="仿宋"/>
                <w:kern w:val="0"/>
                <w:sz w:val="24"/>
                <w:highlight w:val="none"/>
              </w:rPr>
            </w:pPr>
          </w:p>
        </w:tc>
        <w:tc>
          <w:tcPr>
            <w:tcW w:w="1248" w:type="dxa"/>
            <w:vMerge w:val="continue"/>
            <w:vAlign w:val="center"/>
          </w:tcPr>
          <w:p w14:paraId="5994E0C2">
            <w:pPr>
              <w:jc w:val="center"/>
              <w:rPr>
                <w:rFonts w:ascii="宋体" w:hAnsi="宋体" w:cs="仿宋"/>
                <w:kern w:val="0"/>
                <w:sz w:val="24"/>
                <w:highlight w:val="none"/>
              </w:rPr>
            </w:pPr>
          </w:p>
        </w:tc>
        <w:tc>
          <w:tcPr>
            <w:tcW w:w="1248" w:type="dxa"/>
            <w:vAlign w:val="center"/>
          </w:tcPr>
          <w:p w14:paraId="6F4A93C5">
            <w:pPr>
              <w:jc w:val="center"/>
              <w:rPr>
                <w:rFonts w:ascii="宋体" w:hAnsi="宋体" w:cs="仿宋"/>
                <w:kern w:val="0"/>
                <w:sz w:val="24"/>
                <w:highlight w:val="none"/>
              </w:rPr>
            </w:pPr>
          </w:p>
        </w:tc>
      </w:tr>
      <w:tr w14:paraId="1505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626" w:type="dxa"/>
            <w:vMerge w:val="continue"/>
            <w:vAlign w:val="center"/>
          </w:tcPr>
          <w:p w14:paraId="2AA939D9">
            <w:pPr>
              <w:spacing w:line="360" w:lineRule="auto"/>
              <w:jc w:val="left"/>
              <w:outlineLvl w:val="0"/>
              <w:rPr>
                <w:rFonts w:ascii="宋体" w:hAnsi="宋体" w:cs="仿宋"/>
                <w:kern w:val="0"/>
                <w:sz w:val="24"/>
                <w:highlight w:val="none"/>
              </w:rPr>
            </w:pPr>
          </w:p>
        </w:tc>
        <w:tc>
          <w:tcPr>
            <w:tcW w:w="1761" w:type="dxa"/>
            <w:vMerge w:val="continue"/>
            <w:vAlign w:val="center"/>
          </w:tcPr>
          <w:p w14:paraId="5A129DEF">
            <w:pPr>
              <w:spacing w:line="360" w:lineRule="auto"/>
              <w:jc w:val="left"/>
              <w:outlineLvl w:val="0"/>
              <w:rPr>
                <w:rFonts w:ascii="宋体" w:hAnsi="宋体" w:cs="仿宋"/>
                <w:kern w:val="0"/>
                <w:sz w:val="24"/>
                <w:highlight w:val="none"/>
              </w:rPr>
            </w:pPr>
          </w:p>
        </w:tc>
        <w:tc>
          <w:tcPr>
            <w:tcW w:w="3460" w:type="dxa"/>
            <w:vAlign w:val="center"/>
          </w:tcPr>
          <w:p w14:paraId="3B9020D2">
            <w:pPr>
              <w:jc w:val="center"/>
              <w:rPr>
                <w:rFonts w:ascii="宋体" w:hAnsi="宋体" w:cs="仿宋"/>
                <w:kern w:val="0"/>
                <w:sz w:val="24"/>
                <w:highlight w:val="none"/>
              </w:rPr>
            </w:pPr>
            <w:r>
              <w:rPr>
                <w:rFonts w:hint="eastAsia" w:ascii="宋体" w:hAnsi="宋体" w:cs="宋体"/>
                <w:kern w:val="0"/>
                <w:sz w:val="24"/>
                <w:highlight w:val="none"/>
              </w:rPr>
              <w:t>数据开发服务</w:t>
            </w:r>
          </w:p>
        </w:tc>
        <w:tc>
          <w:tcPr>
            <w:tcW w:w="1579" w:type="dxa"/>
            <w:vAlign w:val="center"/>
          </w:tcPr>
          <w:p w14:paraId="3215DFFD">
            <w:pPr>
              <w:spacing w:line="360" w:lineRule="auto"/>
              <w:jc w:val="left"/>
              <w:outlineLvl w:val="0"/>
              <w:rPr>
                <w:rFonts w:ascii="宋体" w:hAnsi="宋体" w:cs="仿宋"/>
                <w:kern w:val="0"/>
                <w:sz w:val="24"/>
                <w:highlight w:val="none"/>
              </w:rPr>
            </w:pPr>
          </w:p>
        </w:tc>
        <w:tc>
          <w:tcPr>
            <w:tcW w:w="1579" w:type="dxa"/>
            <w:vMerge w:val="continue"/>
            <w:vAlign w:val="center"/>
          </w:tcPr>
          <w:p w14:paraId="5F3EC929">
            <w:pPr>
              <w:spacing w:line="360" w:lineRule="auto"/>
              <w:jc w:val="left"/>
              <w:outlineLvl w:val="0"/>
              <w:rPr>
                <w:rFonts w:ascii="宋体" w:hAnsi="宋体" w:cs="仿宋"/>
                <w:kern w:val="0"/>
                <w:sz w:val="24"/>
                <w:highlight w:val="none"/>
              </w:rPr>
            </w:pPr>
          </w:p>
        </w:tc>
        <w:tc>
          <w:tcPr>
            <w:tcW w:w="1733" w:type="dxa"/>
            <w:vMerge w:val="continue"/>
            <w:vAlign w:val="center"/>
          </w:tcPr>
          <w:p w14:paraId="4400970D">
            <w:pPr>
              <w:spacing w:line="360" w:lineRule="auto"/>
              <w:jc w:val="left"/>
              <w:outlineLvl w:val="0"/>
              <w:rPr>
                <w:rFonts w:ascii="宋体" w:hAnsi="宋体" w:cs="仿宋"/>
                <w:kern w:val="0"/>
                <w:sz w:val="24"/>
                <w:highlight w:val="none"/>
              </w:rPr>
            </w:pPr>
          </w:p>
        </w:tc>
        <w:tc>
          <w:tcPr>
            <w:tcW w:w="1180" w:type="dxa"/>
            <w:vMerge w:val="continue"/>
            <w:vAlign w:val="center"/>
          </w:tcPr>
          <w:p w14:paraId="5B52CE77">
            <w:pPr>
              <w:jc w:val="center"/>
              <w:rPr>
                <w:rFonts w:ascii="宋体" w:hAnsi="宋体" w:cs="仿宋"/>
                <w:kern w:val="0"/>
                <w:sz w:val="24"/>
                <w:highlight w:val="none"/>
              </w:rPr>
            </w:pPr>
          </w:p>
        </w:tc>
        <w:tc>
          <w:tcPr>
            <w:tcW w:w="1248" w:type="dxa"/>
            <w:vMerge w:val="continue"/>
            <w:vAlign w:val="center"/>
          </w:tcPr>
          <w:p w14:paraId="1A29C925">
            <w:pPr>
              <w:jc w:val="center"/>
              <w:rPr>
                <w:rFonts w:ascii="宋体" w:hAnsi="宋体" w:cs="仿宋"/>
                <w:kern w:val="0"/>
                <w:sz w:val="24"/>
                <w:highlight w:val="none"/>
              </w:rPr>
            </w:pPr>
          </w:p>
        </w:tc>
        <w:tc>
          <w:tcPr>
            <w:tcW w:w="1248" w:type="dxa"/>
            <w:vAlign w:val="center"/>
          </w:tcPr>
          <w:p w14:paraId="008393F4">
            <w:pPr>
              <w:jc w:val="center"/>
              <w:rPr>
                <w:rFonts w:ascii="宋体" w:hAnsi="宋体" w:cs="仿宋"/>
                <w:kern w:val="0"/>
                <w:sz w:val="24"/>
                <w:highlight w:val="none"/>
              </w:rPr>
            </w:pPr>
          </w:p>
        </w:tc>
      </w:tr>
      <w:tr w14:paraId="6CDE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626" w:type="dxa"/>
            <w:vMerge w:val="continue"/>
            <w:vAlign w:val="center"/>
          </w:tcPr>
          <w:p w14:paraId="47444D27">
            <w:pPr>
              <w:spacing w:line="360" w:lineRule="auto"/>
              <w:jc w:val="left"/>
              <w:outlineLvl w:val="0"/>
              <w:rPr>
                <w:rFonts w:ascii="宋体" w:hAnsi="宋体" w:cs="仿宋"/>
                <w:kern w:val="0"/>
                <w:sz w:val="24"/>
                <w:highlight w:val="none"/>
              </w:rPr>
            </w:pPr>
          </w:p>
        </w:tc>
        <w:tc>
          <w:tcPr>
            <w:tcW w:w="1761" w:type="dxa"/>
            <w:vMerge w:val="continue"/>
            <w:vAlign w:val="center"/>
          </w:tcPr>
          <w:p w14:paraId="3FFD5BF8">
            <w:pPr>
              <w:spacing w:line="360" w:lineRule="auto"/>
              <w:jc w:val="left"/>
              <w:outlineLvl w:val="0"/>
              <w:rPr>
                <w:rFonts w:ascii="宋体" w:hAnsi="宋体" w:cs="仿宋"/>
                <w:kern w:val="0"/>
                <w:sz w:val="24"/>
                <w:highlight w:val="none"/>
              </w:rPr>
            </w:pPr>
          </w:p>
        </w:tc>
        <w:tc>
          <w:tcPr>
            <w:tcW w:w="3460" w:type="dxa"/>
            <w:vAlign w:val="center"/>
          </w:tcPr>
          <w:p w14:paraId="304B73FB">
            <w:pPr>
              <w:jc w:val="center"/>
              <w:rPr>
                <w:rFonts w:ascii="宋体" w:hAnsi="宋体" w:cs="仿宋"/>
                <w:kern w:val="0"/>
                <w:sz w:val="24"/>
                <w:highlight w:val="none"/>
              </w:rPr>
            </w:pPr>
            <w:r>
              <w:rPr>
                <w:rFonts w:hint="eastAsia" w:ascii="宋体" w:hAnsi="宋体" w:cs="宋体"/>
                <w:kern w:val="0"/>
                <w:sz w:val="24"/>
                <w:highlight w:val="none"/>
              </w:rPr>
              <w:t>数据能力支撑</w:t>
            </w:r>
          </w:p>
        </w:tc>
        <w:tc>
          <w:tcPr>
            <w:tcW w:w="1579" w:type="dxa"/>
            <w:vAlign w:val="center"/>
          </w:tcPr>
          <w:p w14:paraId="1C8873F8">
            <w:pPr>
              <w:spacing w:line="360" w:lineRule="auto"/>
              <w:jc w:val="left"/>
              <w:outlineLvl w:val="0"/>
              <w:rPr>
                <w:rFonts w:ascii="宋体" w:hAnsi="宋体" w:cs="仿宋"/>
                <w:kern w:val="0"/>
                <w:sz w:val="24"/>
                <w:highlight w:val="none"/>
              </w:rPr>
            </w:pPr>
          </w:p>
        </w:tc>
        <w:tc>
          <w:tcPr>
            <w:tcW w:w="1579" w:type="dxa"/>
            <w:vMerge w:val="continue"/>
            <w:vAlign w:val="center"/>
          </w:tcPr>
          <w:p w14:paraId="31A2822B">
            <w:pPr>
              <w:spacing w:line="360" w:lineRule="auto"/>
              <w:jc w:val="left"/>
              <w:outlineLvl w:val="0"/>
              <w:rPr>
                <w:rFonts w:ascii="宋体" w:hAnsi="宋体" w:cs="仿宋"/>
                <w:kern w:val="0"/>
                <w:sz w:val="24"/>
                <w:highlight w:val="none"/>
              </w:rPr>
            </w:pPr>
          </w:p>
        </w:tc>
        <w:tc>
          <w:tcPr>
            <w:tcW w:w="1733" w:type="dxa"/>
            <w:vMerge w:val="continue"/>
            <w:vAlign w:val="center"/>
          </w:tcPr>
          <w:p w14:paraId="01796955">
            <w:pPr>
              <w:spacing w:line="360" w:lineRule="auto"/>
              <w:jc w:val="left"/>
              <w:outlineLvl w:val="0"/>
              <w:rPr>
                <w:rFonts w:ascii="宋体" w:hAnsi="宋体" w:cs="仿宋"/>
                <w:kern w:val="0"/>
                <w:sz w:val="24"/>
                <w:highlight w:val="none"/>
              </w:rPr>
            </w:pPr>
          </w:p>
        </w:tc>
        <w:tc>
          <w:tcPr>
            <w:tcW w:w="1180" w:type="dxa"/>
            <w:vMerge w:val="continue"/>
            <w:vAlign w:val="center"/>
          </w:tcPr>
          <w:p w14:paraId="59908510">
            <w:pPr>
              <w:jc w:val="center"/>
              <w:rPr>
                <w:rFonts w:ascii="宋体" w:hAnsi="宋体" w:cs="仿宋"/>
                <w:kern w:val="0"/>
                <w:sz w:val="24"/>
                <w:highlight w:val="none"/>
              </w:rPr>
            </w:pPr>
          </w:p>
        </w:tc>
        <w:tc>
          <w:tcPr>
            <w:tcW w:w="1248" w:type="dxa"/>
            <w:vMerge w:val="continue"/>
            <w:vAlign w:val="center"/>
          </w:tcPr>
          <w:p w14:paraId="5B48184C">
            <w:pPr>
              <w:jc w:val="center"/>
              <w:rPr>
                <w:rFonts w:ascii="宋体" w:hAnsi="宋体" w:cs="仿宋"/>
                <w:kern w:val="0"/>
                <w:sz w:val="24"/>
                <w:highlight w:val="none"/>
              </w:rPr>
            </w:pPr>
          </w:p>
        </w:tc>
        <w:tc>
          <w:tcPr>
            <w:tcW w:w="1248" w:type="dxa"/>
            <w:vAlign w:val="center"/>
          </w:tcPr>
          <w:p w14:paraId="52FB8BE6">
            <w:pPr>
              <w:jc w:val="center"/>
              <w:rPr>
                <w:rFonts w:ascii="宋体" w:hAnsi="宋体" w:cs="仿宋"/>
                <w:kern w:val="0"/>
                <w:sz w:val="24"/>
                <w:highlight w:val="none"/>
              </w:rPr>
            </w:pPr>
          </w:p>
        </w:tc>
      </w:tr>
      <w:tr w14:paraId="74B3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626" w:type="dxa"/>
            <w:vMerge w:val="continue"/>
            <w:vAlign w:val="center"/>
          </w:tcPr>
          <w:p w14:paraId="5D29E195">
            <w:pPr>
              <w:spacing w:line="360" w:lineRule="auto"/>
              <w:jc w:val="left"/>
              <w:outlineLvl w:val="0"/>
              <w:rPr>
                <w:rFonts w:ascii="宋体" w:hAnsi="宋体" w:cs="仿宋"/>
                <w:kern w:val="0"/>
                <w:sz w:val="24"/>
                <w:highlight w:val="none"/>
              </w:rPr>
            </w:pPr>
          </w:p>
        </w:tc>
        <w:tc>
          <w:tcPr>
            <w:tcW w:w="1761" w:type="dxa"/>
            <w:vMerge w:val="continue"/>
            <w:vAlign w:val="center"/>
          </w:tcPr>
          <w:p w14:paraId="5DA65FE8">
            <w:pPr>
              <w:spacing w:line="360" w:lineRule="auto"/>
              <w:jc w:val="left"/>
              <w:outlineLvl w:val="0"/>
              <w:rPr>
                <w:rFonts w:ascii="宋体" w:hAnsi="宋体" w:cs="仿宋"/>
                <w:kern w:val="0"/>
                <w:sz w:val="24"/>
                <w:highlight w:val="none"/>
              </w:rPr>
            </w:pPr>
          </w:p>
        </w:tc>
        <w:tc>
          <w:tcPr>
            <w:tcW w:w="3460" w:type="dxa"/>
            <w:vAlign w:val="center"/>
          </w:tcPr>
          <w:p w14:paraId="22BD0A1A">
            <w:pPr>
              <w:jc w:val="center"/>
              <w:rPr>
                <w:rFonts w:ascii="宋体" w:hAnsi="宋体" w:cs="宋体"/>
                <w:kern w:val="0"/>
                <w:sz w:val="24"/>
                <w:highlight w:val="none"/>
              </w:rPr>
            </w:pPr>
            <w:r>
              <w:rPr>
                <w:rFonts w:hint="eastAsia" w:ascii="宋体" w:hAnsi="宋体" w:cs="宋体"/>
                <w:kern w:val="0"/>
                <w:sz w:val="24"/>
                <w:highlight w:val="none"/>
              </w:rPr>
              <w:t>数据预警运营</w:t>
            </w:r>
          </w:p>
          <w:p w14:paraId="0842E6B9">
            <w:pPr>
              <w:jc w:val="center"/>
              <w:rPr>
                <w:rFonts w:ascii="宋体" w:hAnsi="宋体" w:cs="宋体"/>
                <w:kern w:val="0"/>
                <w:sz w:val="24"/>
                <w:highlight w:val="none"/>
              </w:rPr>
            </w:pPr>
          </w:p>
        </w:tc>
        <w:tc>
          <w:tcPr>
            <w:tcW w:w="1579" w:type="dxa"/>
            <w:vAlign w:val="center"/>
          </w:tcPr>
          <w:p w14:paraId="3AF0845E">
            <w:pPr>
              <w:spacing w:line="360" w:lineRule="auto"/>
              <w:jc w:val="left"/>
              <w:outlineLvl w:val="0"/>
              <w:rPr>
                <w:rFonts w:ascii="宋体" w:hAnsi="宋体" w:cs="仿宋"/>
                <w:kern w:val="0"/>
                <w:sz w:val="24"/>
                <w:highlight w:val="none"/>
              </w:rPr>
            </w:pPr>
          </w:p>
        </w:tc>
        <w:tc>
          <w:tcPr>
            <w:tcW w:w="1579" w:type="dxa"/>
            <w:vMerge w:val="continue"/>
            <w:vAlign w:val="center"/>
          </w:tcPr>
          <w:p w14:paraId="1EA1AC22">
            <w:pPr>
              <w:spacing w:line="360" w:lineRule="auto"/>
              <w:jc w:val="left"/>
              <w:outlineLvl w:val="0"/>
              <w:rPr>
                <w:rFonts w:ascii="宋体" w:hAnsi="宋体" w:cs="仿宋"/>
                <w:kern w:val="0"/>
                <w:sz w:val="24"/>
                <w:highlight w:val="none"/>
              </w:rPr>
            </w:pPr>
          </w:p>
        </w:tc>
        <w:tc>
          <w:tcPr>
            <w:tcW w:w="1733" w:type="dxa"/>
            <w:vMerge w:val="continue"/>
            <w:vAlign w:val="center"/>
          </w:tcPr>
          <w:p w14:paraId="55D4A9CE">
            <w:pPr>
              <w:spacing w:line="360" w:lineRule="auto"/>
              <w:jc w:val="left"/>
              <w:outlineLvl w:val="0"/>
              <w:rPr>
                <w:rFonts w:ascii="宋体" w:hAnsi="宋体" w:cs="仿宋"/>
                <w:kern w:val="0"/>
                <w:sz w:val="24"/>
                <w:highlight w:val="none"/>
              </w:rPr>
            </w:pPr>
          </w:p>
        </w:tc>
        <w:tc>
          <w:tcPr>
            <w:tcW w:w="1180" w:type="dxa"/>
            <w:vMerge w:val="continue"/>
            <w:vAlign w:val="center"/>
          </w:tcPr>
          <w:p w14:paraId="3C5DA1E8">
            <w:pPr>
              <w:jc w:val="center"/>
              <w:rPr>
                <w:rFonts w:ascii="宋体" w:hAnsi="宋体" w:cs="仿宋"/>
                <w:kern w:val="0"/>
                <w:sz w:val="24"/>
                <w:highlight w:val="none"/>
              </w:rPr>
            </w:pPr>
          </w:p>
        </w:tc>
        <w:tc>
          <w:tcPr>
            <w:tcW w:w="1248" w:type="dxa"/>
            <w:vMerge w:val="continue"/>
            <w:vAlign w:val="center"/>
          </w:tcPr>
          <w:p w14:paraId="68B485E6">
            <w:pPr>
              <w:jc w:val="center"/>
              <w:rPr>
                <w:rFonts w:ascii="宋体" w:hAnsi="宋体" w:cs="仿宋"/>
                <w:kern w:val="0"/>
                <w:sz w:val="24"/>
                <w:highlight w:val="none"/>
              </w:rPr>
            </w:pPr>
          </w:p>
        </w:tc>
        <w:tc>
          <w:tcPr>
            <w:tcW w:w="1248" w:type="dxa"/>
            <w:vAlign w:val="center"/>
          </w:tcPr>
          <w:p w14:paraId="7EBD5F1A">
            <w:pPr>
              <w:jc w:val="center"/>
              <w:rPr>
                <w:rFonts w:ascii="宋体" w:hAnsi="宋体" w:cs="仿宋"/>
                <w:kern w:val="0"/>
                <w:sz w:val="24"/>
                <w:highlight w:val="none"/>
              </w:rPr>
            </w:pPr>
          </w:p>
        </w:tc>
      </w:tr>
      <w:tr w14:paraId="09481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626" w:type="dxa"/>
            <w:vMerge w:val="restart"/>
            <w:vAlign w:val="center"/>
          </w:tcPr>
          <w:p w14:paraId="26841BC3">
            <w:pPr>
              <w:autoSpaceDE w:val="0"/>
              <w:autoSpaceDN w:val="0"/>
              <w:jc w:val="center"/>
              <w:rPr>
                <w:rFonts w:ascii="宋体" w:hAnsi="宋体" w:cs="仿宋"/>
                <w:kern w:val="0"/>
                <w:sz w:val="24"/>
                <w:highlight w:val="none"/>
              </w:rPr>
            </w:pPr>
            <w:r>
              <w:rPr>
                <w:rFonts w:hint="eastAsia" w:ascii="宋体" w:hAnsi="宋体" w:cs="仿宋"/>
                <w:kern w:val="0"/>
                <w:sz w:val="24"/>
                <w:highlight w:val="none"/>
              </w:rPr>
              <w:t>安全加固及应用迁移改造服务</w:t>
            </w:r>
          </w:p>
        </w:tc>
        <w:tc>
          <w:tcPr>
            <w:tcW w:w="1761" w:type="dxa"/>
            <w:vMerge w:val="restart"/>
            <w:vAlign w:val="center"/>
          </w:tcPr>
          <w:p w14:paraId="0C01A37D">
            <w:pPr>
              <w:autoSpaceDE w:val="0"/>
              <w:autoSpaceDN w:val="0"/>
              <w:jc w:val="center"/>
              <w:rPr>
                <w:rFonts w:ascii="宋体" w:hAnsi="宋体" w:cs="仿宋"/>
                <w:kern w:val="0"/>
                <w:sz w:val="24"/>
                <w:highlight w:val="none"/>
              </w:rPr>
            </w:pPr>
            <w:r>
              <w:rPr>
                <w:rFonts w:hint="eastAsia" w:ascii="宋体" w:hAnsi="宋体" w:cs="仿宋"/>
                <w:kern w:val="0"/>
                <w:sz w:val="24"/>
                <w:highlight w:val="none"/>
              </w:rPr>
              <w:t>网络安全服务</w:t>
            </w:r>
          </w:p>
        </w:tc>
        <w:tc>
          <w:tcPr>
            <w:tcW w:w="3460" w:type="dxa"/>
            <w:vAlign w:val="center"/>
          </w:tcPr>
          <w:p w14:paraId="30BE660C">
            <w:pPr>
              <w:autoSpaceDE w:val="0"/>
              <w:autoSpaceDN w:val="0"/>
              <w:jc w:val="center"/>
              <w:rPr>
                <w:rFonts w:ascii="宋体" w:hAnsi="宋体" w:cs="仿宋"/>
                <w:kern w:val="0"/>
                <w:sz w:val="24"/>
                <w:highlight w:val="none"/>
              </w:rPr>
            </w:pPr>
            <w:r>
              <w:rPr>
                <w:rFonts w:hint="eastAsia" w:ascii="宋体" w:hAnsi="宋体" w:cs="宋体"/>
                <w:kern w:val="0"/>
                <w:sz w:val="24"/>
                <w:highlight w:val="none"/>
              </w:rPr>
              <w:t>漏洞扫描服务</w:t>
            </w:r>
          </w:p>
        </w:tc>
        <w:tc>
          <w:tcPr>
            <w:tcW w:w="1579" w:type="dxa"/>
            <w:vAlign w:val="center"/>
          </w:tcPr>
          <w:p w14:paraId="134244CC">
            <w:pPr>
              <w:jc w:val="center"/>
              <w:rPr>
                <w:rFonts w:ascii="宋体" w:hAnsi="宋体" w:cs="宋体"/>
                <w:kern w:val="0"/>
                <w:sz w:val="20"/>
                <w:szCs w:val="20"/>
                <w:highlight w:val="none"/>
              </w:rPr>
            </w:pPr>
          </w:p>
        </w:tc>
        <w:tc>
          <w:tcPr>
            <w:tcW w:w="1579" w:type="dxa"/>
            <w:vAlign w:val="center"/>
          </w:tcPr>
          <w:p w14:paraId="659937EE">
            <w:pPr>
              <w:jc w:val="center"/>
              <w:rPr>
                <w:rFonts w:ascii="宋体" w:hAnsi="宋体" w:cs="仿宋"/>
                <w:kern w:val="0"/>
                <w:sz w:val="24"/>
                <w:highlight w:val="none"/>
              </w:rPr>
            </w:pPr>
            <w:r>
              <w:rPr>
                <w:rFonts w:hint="eastAsia" w:ascii="宋体" w:hAnsi="宋体" w:cs="宋体"/>
                <w:kern w:val="0"/>
                <w:sz w:val="20"/>
                <w:szCs w:val="20"/>
                <w:highlight w:val="none"/>
              </w:rPr>
              <w:t>【服务形式】一年提供4次漏洞扫描服务；</w:t>
            </w:r>
          </w:p>
        </w:tc>
        <w:tc>
          <w:tcPr>
            <w:tcW w:w="1733" w:type="dxa"/>
            <w:vMerge w:val="restart"/>
            <w:vAlign w:val="center"/>
          </w:tcPr>
          <w:p w14:paraId="75C68C53">
            <w:pPr>
              <w:jc w:val="center"/>
              <w:rPr>
                <w:rFonts w:ascii="宋体" w:hAnsi="宋体" w:cs="仿宋"/>
                <w:kern w:val="0"/>
                <w:sz w:val="24"/>
                <w:highlight w:val="none"/>
              </w:rPr>
            </w:pPr>
            <w:r>
              <w:rPr>
                <w:rFonts w:hint="eastAsia" w:ascii="宋体" w:hAnsi="宋体" w:cs="仿宋"/>
                <w:kern w:val="0"/>
                <w:sz w:val="24"/>
                <w:highlight w:val="none"/>
              </w:rPr>
              <w:t>12</w:t>
            </w:r>
            <w:r>
              <w:rPr>
                <w:rFonts w:ascii="宋体" w:hAnsi="宋体" w:cs="仿宋"/>
                <w:kern w:val="0"/>
                <w:sz w:val="24"/>
                <w:highlight w:val="none"/>
              </w:rPr>
              <w:t>个月（202</w:t>
            </w:r>
            <w:r>
              <w:rPr>
                <w:rFonts w:hint="eastAsia" w:ascii="宋体" w:hAnsi="宋体" w:cs="仿宋"/>
                <w:kern w:val="0"/>
                <w:sz w:val="24"/>
                <w:highlight w:val="none"/>
              </w:rPr>
              <w:t>4</w:t>
            </w:r>
            <w:r>
              <w:rPr>
                <w:rFonts w:ascii="宋体" w:hAnsi="宋体" w:cs="仿宋"/>
                <w:kern w:val="0"/>
                <w:sz w:val="24"/>
                <w:highlight w:val="none"/>
              </w:rPr>
              <w:t>.</w:t>
            </w:r>
            <w:r>
              <w:rPr>
                <w:rFonts w:hint="eastAsia" w:ascii="宋体" w:hAnsi="宋体" w:cs="仿宋"/>
                <w:kern w:val="0"/>
                <w:sz w:val="24"/>
                <w:highlight w:val="none"/>
              </w:rPr>
              <w:t>8</w:t>
            </w:r>
            <w:r>
              <w:rPr>
                <w:rFonts w:ascii="宋体" w:hAnsi="宋体" w:cs="仿宋"/>
                <w:kern w:val="0"/>
                <w:sz w:val="24"/>
                <w:highlight w:val="none"/>
              </w:rPr>
              <w:t>.1-202</w:t>
            </w:r>
            <w:r>
              <w:rPr>
                <w:rFonts w:hint="eastAsia" w:ascii="宋体" w:hAnsi="宋体" w:cs="仿宋"/>
                <w:kern w:val="0"/>
                <w:sz w:val="24"/>
                <w:highlight w:val="none"/>
              </w:rPr>
              <w:t>5</w:t>
            </w:r>
            <w:r>
              <w:rPr>
                <w:rFonts w:ascii="宋体" w:hAnsi="宋体" w:cs="仿宋"/>
                <w:kern w:val="0"/>
                <w:sz w:val="24"/>
                <w:highlight w:val="none"/>
              </w:rPr>
              <w:t>.7.31）</w:t>
            </w:r>
          </w:p>
        </w:tc>
        <w:tc>
          <w:tcPr>
            <w:tcW w:w="1180" w:type="dxa"/>
            <w:vMerge w:val="restart"/>
            <w:vAlign w:val="center"/>
          </w:tcPr>
          <w:p w14:paraId="6EE060CB">
            <w:pPr>
              <w:jc w:val="center"/>
              <w:rPr>
                <w:rFonts w:ascii="宋体" w:hAnsi="宋体" w:cs="仿宋"/>
                <w:kern w:val="0"/>
                <w:sz w:val="24"/>
                <w:highlight w:val="none"/>
              </w:rPr>
            </w:pPr>
          </w:p>
        </w:tc>
        <w:tc>
          <w:tcPr>
            <w:tcW w:w="1248" w:type="dxa"/>
            <w:vMerge w:val="restart"/>
            <w:vAlign w:val="center"/>
          </w:tcPr>
          <w:p w14:paraId="4796ABD2">
            <w:pPr>
              <w:jc w:val="center"/>
              <w:rPr>
                <w:rFonts w:ascii="宋体" w:hAnsi="宋体" w:cs="仿宋"/>
                <w:kern w:val="0"/>
                <w:sz w:val="24"/>
                <w:highlight w:val="none"/>
              </w:rPr>
            </w:pPr>
          </w:p>
        </w:tc>
        <w:tc>
          <w:tcPr>
            <w:tcW w:w="1248" w:type="dxa"/>
            <w:vAlign w:val="center"/>
          </w:tcPr>
          <w:p w14:paraId="2FFF05B3">
            <w:pPr>
              <w:jc w:val="center"/>
              <w:rPr>
                <w:rFonts w:ascii="宋体" w:hAnsi="宋体" w:cs="仿宋"/>
                <w:kern w:val="0"/>
                <w:sz w:val="24"/>
                <w:highlight w:val="none"/>
              </w:rPr>
            </w:pPr>
          </w:p>
        </w:tc>
      </w:tr>
      <w:tr w14:paraId="0EAD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626" w:type="dxa"/>
            <w:vMerge w:val="continue"/>
            <w:vAlign w:val="center"/>
          </w:tcPr>
          <w:p w14:paraId="15AC4433">
            <w:pPr>
              <w:spacing w:line="360" w:lineRule="auto"/>
              <w:jc w:val="left"/>
              <w:outlineLvl w:val="0"/>
              <w:rPr>
                <w:rFonts w:ascii="宋体" w:hAnsi="宋体" w:cs="仿宋"/>
                <w:kern w:val="0"/>
                <w:sz w:val="24"/>
                <w:highlight w:val="none"/>
              </w:rPr>
            </w:pPr>
          </w:p>
        </w:tc>
        <w:tc>
          <w:tcPr>
            <w:tcW w:w="1761" w:type="dxa"/>
            <w:vMerge w:val="continue"/>
            <w:vAlign w:val="center"/>
          </w:tcPr>
          <w:p w14:paraId="066127D2">
            <w:pPr>
              <w:spacing w:line="360" w:lineRule="auto"/>
              <w:jc w:val="left"/>
              <w:outlineLvl w:val="0"/>
              <w:rPr>
                <w:rFonts w:ascii="宋体" w:hAnsi="宋体" w:cs="仿宋"/>
                <w:kern w:val="0"/>
                <w:sz w:val="24"/>
                <w:highlight w:val="none"/>
              </w:rPr>
            </w:pPr>
          </w:p>
        </w:tc>
        <w:tc>
          <w:tcPr>
            <w:tcW w:w="3460" w:type="dxa"/>
            <w:vAlign w:val="center"/>
          </w:tcPr>
          <w:p w14:paraId="07B3FAAF">
            <w:pPr>
              <w:jc w:val="center"/>
              <w:rPr>
                <w:rFonts w:ascii="宋体" w:hAnsi="宋体" w:cs="仿宋"/>
                <w:kern w:val="0"/>
                <w:sz w:val="24"/>
                <w:highlight w:val="none"/>
              </w:rPr>
            </w:pPr>
            <w:r>
              <w:rPr>
                <w:rFonts w:hint="eastAsia" w:ascii="宋体" w:hAnsi="宋体" w:cs="宋体"/>
                <w:kern w:val="0"/>
                <w:sz w:val="24"/>
                <w:highlight w:val="none"/>
              </w:rPr>
              <w:t>数据库审计服务</w:t>
            </w:r>
          </w:p>
        </w:tc>
        <w:tc>
          <w:tcPr>
            <w:tcW w:w="1579" w:type="dxa"/>
            <w:vAlign w:val="center"/>
          </w:tcPr>
          <w:p w14:paraId="09184298">
            <w:pPr>
              <w:spacing w:line="360" w:lineRule="auto"/>
              <w:jc w:val="left"/>
              <w:outlineLvl w:val="0"/>
              <w:rPr>
                <w:rFonts w:ascii="宋体" w:hAnsi="宋体" w:cs="宋体"/>
                <w:kern w:val="0"/>
                <w:sz w:val="20"/>
                <w:szCs w:val="20"/>
                <w:highlight w:val="none"/>
              </w:rPr>
            </w:pPr>
          </w:p>
        </w:tc>
        <w:tc>
          <w:tcPr>
            <w:tcW w:w="1579" w:type="dxa"/>
            <w:vAlign w:val="center"/>
          </w:tcPr>
          <w:p w14:paraId="2A1F9750">
            <w:pPr>
              <w:spacing w:line="360" w:lineRule="auto"/>
              <w:jc w:val="left"/>
              <w:outlineLvl w:val="0"/>
              <w:rPr>
                <w:rFonts w:ascii="宋体" w:hAnsi="宋体" w:cs="仿宋"/>
                <w:kern w:val="0"/>
                <w:sz w:val="24"/>
                <w:highlight w:val="none"/>
              </w:rPr>
            </w:pPr>
            <w:r>
              <w:rPr>
                <w:rFonts w:hint="eastAsia" w:ascii="宋体" w:hAnsi="宋体" w:cs="宋体"/>
                <w:kern w:val="0"/>
                <w:sz w:val="20"/>
                <w:szCs w:val="20"/>
                <w:highlight w:val="none"/>
              </w:rPr>
              <w:t>【服务形式】一次性提供；</w:t>
            </w:r>
          </w:p>
        </w:tc>
        <w:tc>
          <w:tcPr>
            <w:tcW w:w="1733" w:type="dxa"/>
            <w:vMerge w:val="continue"/>
            <w:vAlign w:val="center"/>
          </w:tcPr>
          <w:p w14:paraId="79C30337">
            <w:pPr>
              <w:spacing w:line="360" w:lineRule="auto"/>
              <w:jc w:val="left"/>
              <w:outlineLvl w:val="0"/>
              <w:rPr>
                <w:rFonts w:ascii="宋体" w:hAnsi="宋体" w:cs="仿宋"/>
                <w:kern w:val="0"/>
                <w:sz w:val="24"/>
                <w:highlight w:val="none"/>
              </w:rPr>
            </w:pPr>
          </w:p>
        </w:tc>
        <w:tc>
          <w:tcPr>
            <w:tcW w:w="1180" w:type="dxa"/>
            <w:vMerge w:val="continue"/>
            <w:vAlign w:val="center"/>
          </w:tcPr>
          <w:p w14:paraId="3A24344D">
            <w:pPr>
              <w:jc w:val="center"/>
              <w:rPr>
                <w:rFonts w:ascii="宋体" w:hAnsi="宋体" w:cs="仿宋"/>
                <w:kern w:val="0"/>
                <w:sz w:val="24"/>
                <w:highlight w:val="none"/>
              </w:rPr>
            </w:pPr>
          </w:p>
        </w:tc>
        <w:tc>
          <w:tcPr>
            <w:tcW w:w="1248" w:type="dxa"/>
            <w:vMerge w:val="continue"/>
            <w:vAlign w:val="center"/>
          </w:tcPr>
          <w:p w14:paraId="2CC77FBD">
            <w:pPr>
              <w:jc w:val="center"/>
              <w:rPr>
                <w:rFonts w:ascii="宋体" w:hAnsi="宋体" w:cs="仿宋"/>
                <w:kern w:val="0"/>
                <w:sz w:val="24"/>
                <w:highlight w:val="none"/>
              </w:rPr>
            </w:pPr>
          </w:p>
        </w:tc>
        <w:tc>
          <w:tcPr>
            <w:tcW w:w="1248" w:type="dxa"/>
            <w:vAlign w:val="center"/>
          </w:tcPr>
          <w:p w14:paraId="650D680E">
            <w:pPr>
              <w:jc w:val="center"/>
              <w:rPr>
                <w:rFonts w:ascii="宋体" w:hAnsi="宋体" w:cs="仿宋"/>
                <w:kern w:val="0"/>
                <w:sz w:val="24"/>
                <w:highlight w:val="none"/>
              </w:rPr>
            </w:pPr>
          </w:p>
        </w:tc>
      </w:tr>
      <w:tr w14:paraId="3DA5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626" w:type="dxa"/>
            <w:vMerge w:val="continue"/>
            <w:vAlign w:val="center"/>
          </w:tcPr>
          <w:p w14:paraId="64474FC1">
            <w:pPr>
              <w:spacing w:line="360" w:lineRule="auto"/>
              <w:jc w:val="left"/>
              <w:outlineLvl w:val="0"/>
              <w:rPr>
                <w:rFonts w:ascii="宋体" w:hAnsi="宋体" w:cs="仿宋"/>
                <w:kern w:val="0"/>
                <w:sz w:val="24"/>
                <w:highlight w:val="none"/>
              </w:rPr>
            </w:pPr>
          </w:p>
        </w:tc>
        <w:tc>
          <w:tcPr>
            <w:tcW w:w="1761" w:type="dxa"/>
            <w:vMerge w:val="continue"/>
            <w:vAlign w:val="center"/>
          </w:tcPr>
          <w:p w14:paraId="42B0796D">
            <w:pPr>
              <w:spacing w:line="360" w:lineRule="auto"/>
              <w:jc w:val="left"/>
              <w:outlineLvl w:val="0"/>
              <w:rPr>
                <w:rFonts w:ascii="宋体" w:hAnsi="宋体" w:cs="仿宋"/>
                <w:kern w:val="0"/>
                <w:sz w:val="24"/>
                <w:highlight w:val="none"/>
              </w:rPr>
            </w:pPr>
          </w:p>
        </w:tc>
        <w:tc>
          <w:tcPr>
            <w:tcW w:w="3460" w:type="dxa"/>
            <w:vAlign w:val="center"/>
          </w:tcPr>
          <w:p w14:paraId="63335E53">
            <w:pPr>
              <w:jc w:val="center"/>
              <w:rPr>
                <w:rFonts w:ascii="宋体" w:hAnsi="宋体" w:cs="仿宋"/>
                <w:kern w:val="0"/>
                <w:sz w:val="24"/>
                <w:highlight w:val="none"/>
              </w:rPr>
            </w:pPr>
            <w:r>
              <w:rPr>
                <w:rFonts w:hint="eastAsia" w:ascii="宋体" w:hAnsi="宋体" w:cs="宋体"/>
                <w:kern w:val="0"/>
                <w:sz w:val="24"/>
                <w:highlight w:val="none"/>
              </w:rPr>
              <w:t>日志审计服务</w:t>
            </w:r>
          </w:p>
        </w:tc>
        <w:tc>
          <w:tcPr>
            <w:tcW w:w="1579" w:type="dxa"/>
            <w:vAlign w:val="center"/>
          </w:tcPr>
          <w:p w14:paraId="543AA907">
            <w:pPr>
              <w:spacing w:line="360" w:lineRule="auto"/>
              <w:jc w:val="left"/>
              <w:outlineLvl w:val="0"/>
              <w:rPr>
                <w:rFonts w:ascii="宋体" w:hAnsi="宋体" w:cs="宋体"/>
                <w:kern w:val="0"/>
                <w:sz w:val="20"/>
                <w:szCs w:val="20"/>
                <w:highlight w:val="none"/>
              </w:rPr>
            </w:pPr>
          </w:p>
        </w:tc>
        <w:tc>
          <w:tcPr>
            <w:tcW w:w="1579" w:type="dxa"/>
            <w:vAlign w:val="center"/>
          </w:tcPr>
          <w:p w14:paraId="4C7F79E4">
            <w:pPr>
              <w:spacing w:line="360" w:lineRule="auto"/>
              <w:jc w:val="left"/>
              <w:outlineLvl w:val="0"/>
              <w:rPr>
                <w:rFonts w:ascii="宋体" w:hAnsi="宋体" w:cs="仿宋"/>
                <w:kern w:val="0"/>
                <w:sz w:val="24"/>
                <w:highlight w:val="none"/>
              </w:rPr>
            </w:pPr>
            <w:r>
              <w:rPr>
                <w:rFonts w:hint="eastAsia" w:ascii="宋体" w:hAnsi="宋体" w:cs="宋体"/>
                <w:kern w:val="0"/>
                <w:sz w:val="20"/>
                <w:szCs w:val="20"/>
                <w:highlight w:val="none"/>
              </w:rPr>
              <w:t>【服务形式】一次性提供；</w:t>
            </w:r>
          </w:p>
        </w:tc>
        <w:tc>
          <w:tcPr>
            <w:tcW w:w="1733" w:type="dxa"/>
            <w:vMerge w:val="continue"/>
            <w:vAlign w:val="center"/>
          </w:tcPr>
          <w:p w14:paraId="40ED7698">
            <w:pPr>
              <w:spacing w:line="360" w:lineRule="auto"/>
              <w:jc w:val="left"/>
              <w:outlineLvl w:val="0"/>
              <w:rPr>
                <w:rFonts w:ascii="宋体" w:hAnsi="宋体" w:cs="仿宋"/>
                <w:kern w:val="0"/>
                <w:sz w:val="24"/>
                <w:highlight w:val="none"/>
              </w:rPr>
            </w:pPr>
          </w:p>
        </w:tc>
        <w:tc>
          <w:tcPr>
            <w:tcW w:w="1180" w:type="dxa"/>
            <w:vMerge w:val="continue"/>
            <w:vAlign w:val="center"/>
          </w:tcPr>
          <w:p w14:paraId="5D2153F8">
            <w:pPr>
              <w:jc w:val="center"/>
              <w:rPr>
                <w:rFonts w:ascii="宋体" w:hAnsi="宋体" w:cs="仿宋"/>
                <w:kern w:val="0"/>
                <w:sz w:val="24"/>
                <w:highlight w:val="none"/>
              </w:rPr>
            </w:pPr>
          </w:p>
        </w:tc>
        <w:tc>
          <w:tcPr>
            <w:tcW w:w="1248" w:type="dxa"/>
            <w:vMerge w:val="continue"/>
            <w:vAlign w:val="center"/>
          </w:tcPr>
          <w:p w14:paraId="363E1971">
            <w:pPr>
              <w:jc w:val="center"/>
              <w:rPr>
                <w:rFonts w:ascii="宋体" w:hAnsi="宋体" w:cs="仿宋"/>
                <w:kern w:val="0"/>
                <w:sz w:val="24"/>
                <w:highlight w:val="none"/>
              </w:rPr>
            </w:pPr>
          </w:p>
        </w:tc>
        <w:tc>
          <w:tcPr>
            <w:tcW w:w="1248" w:type="dxa"/>
            <w:vAlign w:val="center"/>
          </w:tcPr>
          <w:p w14:paraId="269FA270">
            <w:pPr>
              <w:jc w:val="center"/>
              <w:rPr>
                <w:rFonts w:ascii="宋体" w:hAnsi="宋体" w:cs="仿宋"/>
                <w:kern w:val="0"/>
                <w:sz w:val="24"/>
                <w:highlight w:val="none"/>
              </w:rPr>
            </w:pPr>
          </w:p>
        </w:tc>
      </w:tr>
      <w:tr w14:paraId="4D183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626" w:type="dxa"/>
            <w:vMerge w:val="continue"/>
            <w:vAlign w:val="center"/>
          </w:tcPr>
          <w:p w14:paraId="0123FBBC">
            <w:pPr>
              <w:spacing w:line="360" w:lineRule="auto"/>
              <w:jc w:val="left"/>
              <w:outlineLvl w:val="0"/>
              <w:rPr>
                <w:rFonts w:ascii="宋体" w:hAnsi="宋体" w:cs="仿宋"/>
                <w:kern w:val="0"/>
                <w:sz w:val="24"/>
                <w:highlight w:val="none"/>
              </w:rPr>
            </w:pPr>
          </w:p>
        </w:tc>
        <w:tc>
          <w:tcPr>
            <w:tcW w:w="1761" w:type="dxa"/>
            <w:vMerge w:val="continue"/>
            <w:vAlign w:val="center"/>
          </w:tcPr>
          <w:p w14:paraId="0482D223">
            <w:pPr>
              <w:spacing w:line="360" w:lineRule="auto"/>
              <w:jc w:val="left"/>
              <w:outlineLvl w:val="0"/>
              <w:rPr>
                <w:rFonts w:ascii="宋体" w:hAnsi="宋体" w:cs="仿宋"/>
                <w:kern w:val="0"/>
                <w:sz w:val="24"/>
                <w:highlight w:val="none"/>
              </w:rPr>
            </w:pPr>
          </w:p>
        </w:tc>
        <w:tc>
          <w:tcPr>
            <w:tcW w:w="3460" w:type="dxa"/>
            <w:vAlign w:val="center"/>
          </w:tcPr>
          <w:p w14:paraId="5B300281">
            <w:pPr>
              <w:jc w:val="center"/>
              <w:rPr>
                <w:rFonts w:ascii="宋体" w:hAnsi="宋体" w:cs="仿宋"/>
                <w:kern w:val="0"/>
                <w:sz w:val="24"/>
                <w:highlight w:val="none"/>
              </w:rPr>
            </w:pPr>
            <w:r>
              <w:rPr>
                <w:rFonts w:hint="eastAsia" w:ascii="宋体" w:hAnsi="宋体" w:cs="宋体"/>
                <w:kern w:val="0"/>
                <w:sz w:val="24"/>
                <w:highlight w:val="none"/>
              </w:rPr>
              <w:t>安全运营服务</w:t>
            </w:r>
          </w:p>
        </w:tc>
        <w:tc>
          <w:tcPr>
            <w:tcW w:w="1579" w:type="dxa"/>
            <w:vAlign w:val="center"/>
          </w:tcPr>
          <w:p w14:paraId="54ECC16E">
            <w:pPr>
              <w:spacing w:line="360" w:lineRule="auto"/>
              <w:jc w:val="left"/>
              <w:outlineLvl w:val="0"/>
              <w:rPr>
                <w:rFonts w:ascii="宋体" w:hAnsi="宋体" w:cs="宋体"/>
                <w:kern w:val="0"/>
                <w:sz w:val="20"/>
                <w:szCs w:val="20"/>
                <w:highlight w:val="none"/>
              </w:rPr>
            </w:pPr>
          </w:p>
        </w:tc>
        <w:tc>
          <w:tcPr>
            <w:tcW w:w="1579" w:type="dxa"/>
            <w:vAlign w:val="center"/>
          </w:tcPr>
          <w:p w14:paraId="607759C0">
            <w:pPr>
              <w:spacing w:line="360" w:lineRule="auto"/>
              <w:jc w:val="left"/>
              <w:outlineLvl w:val="0"/>
              <w:rPr>
                <w:rFonts w:ascii="宋体" w:hAnsi="宋体" w:cs="仿宋"/>
                <w:kern w:val="0"/>
                <w:sz w:val="24"/>
                <w:highlight w:val="none"/>
              </w:rPr>
            </w:pPr>
            <w:r>
              <w:rPr>
                <w:rFonts w:hint="eastAsia" w:ascii="宋体" w:hAnsi="宋体" w:cs="宋体"/>
                <w:kern w:val="0"/>
                <w:sz w:val="20"/>
                <w:szCs w:val="20"/>
                <w:highlight w:val="none"/>
              </w:rPr>
              <w:t>【服务形式】驻点服务1人</w:t>
            </w:r>
          </w:p>
        </w:tc>
        <w:tc>
          <w:tcPr>
            <w:tcW w:w="1733" w:type="dxa"/>
            <w:vMerge w:val="continue"/>
            <w:vAlign w:val="center"/>
          </w:tcPr>
          <w:p w14:paraId="0A4E64C2">
            <w:pPr>
              <w:spacing w:line="360" w:lineRule="auto"/>
              <w:jc w:val="left"/>
              <w:outlineLvl w:val="0"/>
              <w:rPr>
                <w:rFonts w:ascii="宋体" w:hAnsi="宋体" w:cs="仿宋"/>
                <w:kern w:val="0"/>
                <w:sz w:val="24"/>
                <w:highlight w:val="none"/>
              </w:rPr>
            </w:pPr>
          </w:p>
        </w:tc>
        <w:tc>
          <w:tcPr>
            <w:tcW w:w="1180" w:type="dxa"/>
            <w:vMerge w:val="continue"/>
            <w:vAlign w:val="center"/>
          </w:tcPr>
          <w:p w14:paraId="4E28C150">
            <w:pPr>
              <w:jc w:val="center"/>
              <w:rPr>
                <w:rFonts w:ascii="宋体" w:hAnsi="宋体" w:cs="仿宋"/>
                <w:kern w:val="0"/>
                <w:sz w:val="24"/>
                <w:highlight w:val="none"/>
              </w:rPr>
            </w:pPr>
          </w:p>
        </w:tc>
        <w:tc>
          <w:tcPr>
            <w:tcW w:w="1248" w:type="dxa"/>
            <w:vMerge w:val="continue"/>
            <w:vAlign w:val="center"/>
          </w:tcPr>
          <w:p w14:paraId="39E81687">
            <w:pPr>
              <w:jc w:val="center"/>
              <w:rPr>
                <w:rFonts w:ascii="宋体" w:hAnsi="宋体" w:cs="仿宋"/>
                <w:kern w:val="0"/>
                <w:sz w:val="24"/>
                <w:highlight w:val="none"/>
              </w:rPr>
            </w:pPr>
          </w:p>
        </w:tc>
        <w:tc>
          <w:tcPr>
            <w:tcW w:w="1248" w:type="dxa"/>
            <w:vAlign w:val="center"/>
          </w:tcPr>
          <w:p w14:paraId="2D1A886A">
            <w:pPr>
              <w:jc w:val="center"/>
              <w:rPr>
                <w:rFonts w:ascii="宋体" w:hAnsi="宋体" w:cs="仿宋"/>
                <w:kern w:val="0"/>
                <w:sz w:val="24"/>
                <w:highlight w:val="none"/>
              </w:rPr>
            </w:pPr>
          </w:p>
        </w:tc>
      </w:tr>
      <w:tr w14:paraId="3A67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626" w:type="dxa"/>
            <w:vMerge w:val="continue"/>
            <w:vAlign w:val="center"/>
          </w:tcPr>
          <w:p w14:paraId="1C75A0B9">
            <w:pPr>
              <w:spacing w:line="360" w:lineRule="auto"/>
              <w:jc w:val="left"/>
              <w:outlineLvl w:val="0"/>
              <w:rPr>
                <w:rFonts w:ascii="宋体" w:hAnsi="宋体" w:cs="仿宋"/>
                <w:kern w:val="0"/>
                <w:sz w:val="24"/>
                <w:highlight w:val="none"/>
              </w:rPr>
            </w:pPr>
          </w:p>
        </w:tc>
        <w:tc>
          <w:tcPr>
            <w:tcW w:w="1761" w:type="dxa"/>
            <w:vMerge w:val="continue"/>
            <w:vAlign w:val="center"/>
          </w:tcPr>
          <w:p w14:paraId="42F5749E">
            <w:pPr>
              <w:spacing w:line="360" w:lineRule="auto"/>
              <w:jc w:val="left"/>
              <w:outlineLvl w:val="0"/>
              <w:rPr>
                <w:rFonts w:ascii="宋体" w:hAnsi="宋体" w:cs="仿宋"/>
                <w:kern w:val="0"/>
                <w:sz w:val="24"/>
                <w:highlight w:val="none"/>
              </w:rPr>
            </w:pPr>
          </w:p>
        </w:tc>
        <w:tc>
          <w:tcPr>
            <w:tcW w:w="3460" w:type="dxa"/>
            <w:vAlign w:val="center"/>
          </w:tcPr>
          <w:p w14:paraId="2FE2281F">
            <w:pPr>
              <w:jc w:val="center"/>
              <w:rPr>
                <w:rFonts w:ascii="宋体" w:hAnsi="宋体" w:cs="仿宋"/>
                <w:kern w:val="0"/>
                <w:sz w:val="24"/>
                <w:highlight w:val="none"/>
              </w:rPr>
            </w:pPr>
            <w:r>
              <w:rPr>
                <w:rFonts w:hint="eastAsia" w:ascii="宋体" w:hAnsi="宋体" w:cs="宋体"/>
                <w:kern w:val="0"/>
                <w:sz w:val="24"/>
                <w:highlight w:val="none"/>
              </w:rPr>
              <w:t>应急响应服务</w:t>
            </w:r>
          </w:p>
        </w:tc>
        <w:tc>
          <w:tcPr>
            <w:tcW w:w="1579" w:type="dxa"/>
            <w:vAlign w:val="center"/>
          </w:tcPr>
          <w:p w14:paraId="117ADC2D">
            <w:pPr>
              <w:jc w:val="center"/>
              <w:rPr>
                <w:rFonts w:ascii="宋体" w:hAnsi="宋体" w:cs="宋体"/>
                <w:kern w:val="0"/>
                <w:sz w:val="20"/>
                <w:szCs w:val="20"/>
                <w:highlight w:val="none"/>
              </w:rPr>
            </w:pPr>
          </w:p>
        </w:tc>
        <w:tc>
          <w:tcPr>
            <w:tcW w:w="1579" w:type="dxa"/>
            <w:vAlign w:val="center"/>
          </w:tcPr>
          <w:p w14:paraId="6680D372">
            <w:pPr>
              <w:jc w:val="center"/>
              <w:rPr>
                <w:rFonts w:ascii="宋体" w:hAnsi="宋体" w:cs="仿宋"/>
                <w:kern w:val="0"/>
                <w:sz w:val="24"/>
                <w:highlight w:val="none"/>
              </w:rPr>
            </w:pPr>
            <w:r>
              <w:rPr>
                <w:rFonts w:hint="eastAsia" w:ascii="宋体" w:hAnsi="宋体" w:cs="宋体"/>
                <w:kern w:val="0"/>
                <w:sz w:val="20"/>
                <w:szCs w:val="20"/>
                <w:highlight w:val="none"/>
              </w:rPr>
              <w:t>【服务形式】一年提供4次应急响应服务</w:t>
            </w:r>
          </w:p>
        </w:tc>
        <w:tc>
          <w:tcPr>
            <w:tcW w:w="1733" w:type="dxa"/>
            <w:vMerge w:val="continue"/>
            <w:vAlign w:val="center"/>
          </w:tcPr>
          <w:p w14:paraId="7EF197C9">
            <w:pPr>
              <w:spacing w:line="360" w:lineRule="auto"/>
              <w:jc w:val="left"/>
              <w:outlineLvl w:val="0"/>
              <w:rPr>
                <w:rFonts w:ascii="宋体" w:hAnsi="宋体" w:cs="仿宋"/>
                <w:kern w:val="0"/>
                <w:sz w:val="24"/>
                <w:highlight w:val="none"/>
              </w:rPr>
            </w:pPr>
          </w:p>
        </w:tc>
        <w:tc>
          <w:tcPr>
            <w:tcW w:w="1180" w:type="dxa"/>
            <w:vMerge w:val="continue"/>
            <w:vAlign w:val="center"/>
          </w:tcPr>
          <w:p w14:paraId="5F908D3D">
            <w:pPr>
              <w:jc w:val="center"/>
              <w:rPr>
                <w:rFonts w:ascii="宋体" w:hAnsi="宋体" w:cs="仿宋"/>
                <w:kern w:val="0"/>
                <w:sz w:val="24"/>
                <w:highlight w:val="none"/>
              </w:rPr>
            </w:pPr>
          </w:p>
        </w:tc>
        <w:tc>
          <w:tcPr>
            <w:tcW w:w="1248" w:type="dxa"/>
            <w:vMerge w:val="continue"/>
            <w:vAlign w:val="center"/>
          </w:tcPr>
          <w:p w14:paraId="5CDE577F">
            <w:pPr>
              <w:jc w:val="center"/>
              <w:rPr>
                <w:rFonts w:ascii="宋体" w:hAnsi="宋体" w:cs="仿宋"/>
                <w:kern w:val="0"/>
                <w:sz w:val="24"/>
                <w:highlight w:val="none"/>
              </w:rPr>
            </w:pPr>
          </w:p>
        </w:tc>
        <w:tc>
          <w:tcPr>
            <w:tcW w:w="1248" w:type="dxa"/>
            <w:vAlign w:val="center"/>
          </w:tcPr>
          <w:p w14:paraId="33F513C9">
            <w:pPr>
              <w:jc w:val="center"/>
              <w:rPr>
                <w:rFonts w:ascii="宋体" w:hAnsi="宋体" w:cs="仿宋"/>
                <w:kern w:val="0"/>
                <w:sz w:val="24"/>
                <w:highlight w:val="none"/>
              </w:rPr>
            </w:pPr>
          </w:p>
        </w:tc>
      </w:tr>
      <w:tr w14:paraId="612EC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626" w:type="dxa"/>
            <w:vMerge w:val="continue"/>
            <w:vAlign w:val="center"/>
          </w:tcPr>
          <w:p w14:paraId="6CC46D8F">
            <w:pPr>
              <w:spacing w:line="360" w:lineRule="auto"/>
              <w:jc w:val="left"/>
              <w:outlineLvl w:val="0"/>
              <w:rPr>
                <w:rFonts w:ascii="宋体" w:hAnsi="宋体" w:cs="仿宋"/>
                <w:kern w:val="0"/>
                <w:sz w:val="24"/>
                <w:highlight w:val="none"/>
              </w:rPr>
            </w:pPr>
          </w:p>
        </w:tc>
        <w:tc>
          <w:tcPr>
            <w:tcW w:w="1761" w:type="dxa"/>
            <w:vMerge w:val="continue"/>
            <w:vAlign w:val="center"/>
          </w:tcPr>
          <w:p w14:paraId="677E8F0F">
            <w:pPr>
              <w:spacing w:line="360" w:lineRule="auto"/>
              <w:jc w:val="left"/>
              <w:outlineLvl w:val="0"/>
              <w:rPr>
                <w:rFonts w:ascii="宋体" w:hAnsi="宋体" w:cs="仿宋"/>
                <w:kern w:val="0"/>
                <w:sz w:val="24"/>
                <w:highlight w:val="none"/>
              </w:rPr>
            </w:pPr>
          </w:p>
        </w:tc>
        <w:tc>
          <w:tcPr>
            <w:tcW w:w="3460" w:type="dxa"/>
            <w:vAlign w:val="center"/>
          </w:tcPr>
          <w:p w14:paraId="1A08DB40">
            <w:pPr>
              <w:jc w:val="center"/>
              <w:rPr>
                <w:rFonts w:ascii="宋体" w:hAnsi="宋体" w:cs="仿宋"/>
                <w:kern w:val="0"/>
                <w:sz w:val="24"/>
                <w:highlight w:val="none"/>
              </w:rPr>
            </w:pPr>
            <w:r>
              <w:rPr>
                <w:rFonts w:hint="eastAsia" w:ascii="宋体" w:hAnsi="宋体" w:cs="宋体"/>
                <w:kern w:val="0"/>
                <w:sz w:val="24"/>
                <w:highlight w:val="none"/>
              </w:rPr>
              <w:t>高级渗透测试服务</w:t>
            </w:r>
          </w:p>
        </w:tc>
        <w:tc>
          <w:tcPr>
            <w:tcW w:w="1579" w:type="dxa"/>
            <w:vAlign w:val="center"/>
          </w:tcPr>
          <w:p w14:paraId="50C872D1">
            <w:pPr>
              <w:jc w:val="center"/>
              <w:rPr>
                <w:rFonts w:ascii="宋体" w:hAnsi="宋体" w:cs="宋体"/>
                <w:kern w:val="0"/>
                <w:sz w:val="20"/>
                <w:szCs w:val="20"/>
                <w:highlight w:val="none"/>
              </w:rPr>
            </w:pPr>
          </w:p>
        </w:tc>
        <w:tc>
          <w:tcPr>
            <w:tcW w:w="1579" w:type="dxa"/>
            <w:vAlign w:val="center"/>
          </w:tcPr>
          <w:p w14:paraId="2C225458">
            <w:pPr>
              <w:jc w:val="center"/>
              <w:rPr>
                <w:rFonts w:ascii="宋体" w:hAnsi="宋体" w:cs="仿宋"/>
                <w:kern w:val="0"/>
                <w:sz w:val="24"/>
                <w:highlight w:val="none"/>
              </w:rPr>
            </w:pPr>
            <w:r>
              <w:rPr>
                <w:rFonts w:hint="eastAsia" w:ascii="宋体" w:hAnsi="宋体" w:cs="宋体"/>
                <w:kern w:val="0"/>
                <w:sz w:val="20"/>
                <w:szCs w:val="20"/>
                <w:highlight w:val="none"/>
              </w:rPr>
              <w:t>【服务形式】一年提供20个系统的渗透测试服务；</w:t>
            </w:r>
          </w:p>
        </w:tc>
        <w:tc>
          <w:tcPr>
            <w:tcW w:w="1733" w:type="dxa"/>
            <w:vMerge w:val="continue"/>
            <w:vAlign w:val="center"/>
          </w:tcPr>
          <w:p w14:paraId="2D997CCB">
            <w:pPr>
              <w:spacing w:line="360" w:lineRule="auto"/>
              <w:jc w:val="left"/>
              <w:outlineLvl w:val="0"/>
              <w:rPr>
                <w:rFonts w:ascii="宋体" w:hAnsi="宋体" w:cs="仿宋"/>
                <w:kern w:val="0"/>
                <w:sz w:val="24"/>
                <w:highlight w:val="none"/>
              </w:rPr>
            </w:pPr>
          </w:p>
        </w:tc>
        <w:tc>
          <w:tcPr>
            <w:tcW w:w="1180" w:type="dxa"/>
            <w:vMerge w:val="continue"/>
            <w:vAlign w:val="center"/>
          </w:tcPr>
          <w:p w14:paraId="07BCB0F5">
            <w:pPr>
              <w:jc w:val="center"/>
              <w:rPr>
                <w:rFonts w:ascii="宋体" w:hAnsi="宋体" w:cs="仿宋"/>
                <w:kern w:val="0"/>
                <w:sz w:val="24"/>
                <w:highlight w:val="none"/>
              </w:rPr>
            </w:pPr>
          </w:p>
        </w:tc>
        <w:tc>
          <w:tcPr>
            <w:tcW w:w="1248" w:type="dxa"/>
            <w:vMerge w:val="continue"/>
            <w:vAlign w:val="center"/>
          </w:tcPr>
          <w:p w14:paraId="04340198">
            <w:pPr>
              <w:jc w:val="center"/>
              <w:rPr>
                <w:rFonts w:ascii="宋体" w:hAnsi="宋体" w:cs="仿宋"/>
                <w:kern w:val="0"/>
                <w:sz w:val="24"/>
                <w:highlight w:val="none"/>
              </w:rPr>
            </w:pPr>
          </w:p>
        </w:tc>
        <w:tc>
          <w:tcPr>
            <w:tcW w:w="1248" w:type="dxa"/>
            <w:vAlign w:val="center"/>
          </w:tcPr>
          <w:p w14:paraId="6CB70F19">
            <w:pPr>
              <w:jc w:val="center"/>
              <w:rPr>
                <w:rFonts w:ascii="宋体" w:hAnsi="宋体" w:cs="仿宋"/>
                <w:kern w:val="0"/>
                <w:sz w:val="24"/>
                <w:highlight w:val="none"/>
              </w:rPr>
            </w:pPr>
          </w:p>
        </w:tc>
      </w:tr>
      <w:tr w14:paraId="3291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626" w:type="dxa"/>
            <w:vMerge w:val="continue"/>
            <w:vAlign w:val="center"/>
          </w:tcPr>
          <w:p w14:paraId="036ECA77">
            <w:pPr>
              <w:spacing w:line="360" w:lineRule="auto"/>
              <w:jc w:val="left"/>
              <w:outlineLvl w:val="0"/>
              <w:rPr>
                <w:rFonts w:ascii="宋体" w:hAnsi="宋体" w:cs="仿宋"/>
                <w:kern w:val="0"/>
                <w:sz w:val="24"/>
                <w:highlight w:val="none"/>
              </w:rPr>
            </w:pPr>
          </w:p>
        </w:tc>
        <w:tc>
          <w:tcPr>
            <w:tcW w:w="1761" w:type="dxa"/>
            <w:vMerge w:val="continue"/>
            <w:vAlign w:val="center"/>
          </w:tcPr>
          <w:p w14:paraId="25F11AC5">
            <w:pPr>
              <w:spacing w:line="360" w:lineRule="auto"/>
              <w:jc w:val="left"/>
              <w:outlineLvl w:val="0"/>
              <w:rPr>
                <w:rFonts w:ascii="宋体" w:hAnsi="宋体" w:cs="仿宋"/>
                <w:kern w:val="0"/>
                <w:sz w:val="24"/>
                <w:highlight w:val="none"/>
              </w:rPr>
            </w:pPr>
          </w:p>
        </w:tc>
        <w:tc>
          <w:tcPr>
            <w:tcW w:w="3460" w:type="dxa"/>
            <w:vAlign w:val="center"/>
          </w:tcPr>
          <w:p w14:paraId="0FFAA5E0">
            <w:pPr>
              <w:jc w:val="center"/>
              <w:rPr>
                <w:rFonts w:ascii="宋体" w:hAnsi="宋体" w:cs="宋体"/>
                <w:kern w:val="0"/>
                <w:sz w:val="24"/>
                <w:highlight w:val="none"/>
              </w:rPr>
            </w:pPr>
            <w:r>
              <w:rPr>
                <w:rFonts w:hint="eastAsia" w:ascii="宋体" w:hAnsi="宋体" w:cs="宋体"/>
                <w:kern w:val="0"/>
                <w:sz w:val="24"/>
                <w:highlight w:val="none"/>
              </w:rPr>
              <w:t>应急预案服务</w:t>
            </w:r>
          </w:p>
        </w:tc>
        <w:tc>
          <w:tcPr>
            <w:tcW w:w="1579" w:type="dxa"/>
            <w:vAlign w:val="center"/>
          </w:tcPr>
          <w:p w14:paraId="71CDD195">
            <w:pPr>
              <w:rPr>
                <w:rFonts w:ascii="宋体" w:hAnsi="宋体" w:cs="宋体"/>
                <w:kern w:val="0"/>
                <w:sz w:val="20"/>
                <w:szCs w:val="20"/>
                <w:highlight w:val="none"/>
              </w:rPr>
            </w:pPr>
          </w:p>
        </w:tc>
        <w:tc>
          <w:tcPr>
            <w:tcW w:w="1579" w:type="dxa"/>
            <w:vAlign w:val="center"/>
          </w:tcPr>
          <w:p w14:paraId="5BEA7EFC">
            <w:pPr>
              <w:rPr>
                <w:rFonts w:ascii="宋体" w:hAnsi="宋体" w:cs="宋体"/>
                <w:kern w:val="0"/>
                <w:sz w:val="24"/>
                <w:highlight w:val="none"/>
              </w:rPr>
            </w:pPr>
            <w:r>
              <w:rPr>
                <w:rFonts w:hint="eastAsia" w:ascii="宋体" w:hAnsi="宋体" w:cs="宋体"/>
                <w:kern w:val="0"/>
                <w:sz w:val="20"/>
                <w:szCs w:val="20"/>
                <w:highlight w:val="none"/>
              </w:rPr>
              <w:t>【服务形式】一年提供一次应急预案服务；</w:t>
            </w:r>
          </w:p>
        </w:tc>
        <w:tc>
          <w:tcPr>
            <w:tcW w:w="1733" w:type="dxa"/>
            <w:vMerge w:val="continue"/>
            <w:vAlign w:val="center"/>
          </w:tcPr>
          <w:p w14:paraId="5042D139">
            <w:pPr>
              <w:spacing w:line="360" w:lineRule="auto"/>
              <w:jc w:val="left"/>
              <w:outlineLvl w:val="0"/>
              <w:rPr>
                <w:rFonts w:ascii="宋体" w:hAnsi="宋体" w:cs="仿宋"/>
                <w:kern w:val="0"/>
                <w:sz w:val="24"/>
                <w:highlight w:val="none"/>
              </w:rPr>
            </w:pPr>
          </w:p>
        </w:tc>
        <w:tc>
          <w:tcPr>
            <w:tcW w:w="1180" w:type="dxa"/>
            <w:vMerge w:val="continue"/>
            <w:vAlign w:val="center"/>
          </w:tcPr>
          <w:p w14:paraId="5371808A">
            <w:pPr>
              <w:jc w:val="center"/>
              <w:rPr>
                <w:rFonts w:ascii="宋体" w:hAnsi="宋体" w:cs="仿宋"/>
                <w:kern w:val="0"/>
                <w:sz w:val="24"/>
                <w:highlight w:val="none"/>
              </w:rPr>
            </w:pPr>
          </w:p>
        </w:tc>
        <w:tc>
          <w:tcPr>
            <w:tcW w:w="1248" w:type="dxa"/>
            <w:vMerge w:val="continue"/>
            <w:vAlign w:val="center"/>
          </w:tcPr>
          <w:p w14:paraId="62BDB95E">
            <w:pPr>
              <w:jc w:val="center"/>
              <w:rPr>
                <w:rFonts w:ascii="宋体" w:hAnsi="宋体" w:cs="仿宋"/>
                <w:kern w:val="0"/>
                <w:sz w:val="24"/>
                <w:highlight w:val="none"/>
              </w:rPr>
            </w:pPr>
          </w:p>
        </w:tc>
        <w:tc>
          <w:tcPr>
            <w:tcW w:w="1248" w:type="dxa"/>
            <w:vAlign w:val="center"/>
          </w:tcPr>
          <w:p w14:paraId="2A1D6831">
            <w:pPr>
              <w:jc w:val="center"/>
              <w:rPr>
                <w:rFonts w:ascii="宋体" w:hAnsi="宋体" w:cs="仿宋"/>
                <w:kern w:val="0"/>
                <w:sz w:val="24"/>
                <w:highlight w:val="none"/>
              </w:rPr>
            </w:pPr>
          </w:p>
        </w:tc>
      </w:tr>
      <w:tr w14:paraId="7867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626" w:type="dxa"/>
            <w:vMerge w:val="continue"/>
            <w:vAlign w:val="center"/>
          </w:tcPr>
          <w:p w14:paraId="34412202">
            <w:pPr>
              <w:spacing w:line="360" w:lineRule="auto"/>
              <w:jc w:val="left"/>
              <w:outlineLvl w:val="0"/>
              <w:rPr>
                <w:rFonts w:ascii="宋体" w:hAnsi="宋体" w:cs="仿宋"/>
                <w:kern w:val="0"/>
                <w:sz w:val="24"/>
                <w:highlight w:val="none"/>
              </w:rPr>
            </w:pPr>
          </w:p>
        </w:tc>
        <w:tc>
          <w:tcPr>
            <w:tcW w:w="1761" w:type="dxa"/>
            <w:vMerge w:val="continue"/>
            <w:vAlign w:val="center"/>
          </w:tcPr>
          <w:p w14:paraId="0442F863">
            <w:pPr>
              <w:spacing w:line="360" w:lineRule="auto"/>
              <w:jc w:val="left"/>
              <w:outlineLvl w:val="0"/>
              <w:rPr>
                <w:rFonts w:ascii="宋体" w:hAnsi="宋体" w:cs="仿宋"/>
                <w:kern w:val="0"/>
                <w:sz w:val="24"/>
                <w:highlight w:val="none"/>
              </w:rPr>
            </w:pPr>
          </w:p>
        </w:tc>
        <w:tc>
          <w:tcPr>
            <w:tcW w:w="3460" w:type="dxa"/>
            <w:vAlign w:val="center"/>
          </w:tcPr>
          <w:p w14:paraId="6666C98C">
            <w:pPr>
              <w:jc w:val="center"/>
              <w:rPr>
                <w:rFonts w:ascii="宋体" w:hAnsi="宋体" w:cs="宋体"/>
                <w:kern w:val="0"/>
                <w:sz w:val="24"/>
                <w:highlight w:val="none"/>
              </w:rPr>
            </w:pPr>
            <w:r>
              <w:rPr>
                <w:rFonts w:hint="eastAsia" w:ascii="宋体" w:hAnsi="宋体" w:cs="宋体"/>
                <w:kern w:val="0"/>
                <w:sz w:val="24"/>
                <w:highlight w:val="none"/>
              </w:rPr>
              <w:t>应急演练服务</w:t>
            </w:r>
          </w:p>
        </w:tc>
        <w:tc>
          <w:tcPr>
            <w:tcW w:w="1579" w:type="dxa"/>
            <w:vAlign w:val="center"/>
          </w:tcPr>
          <w:p w14:paraId="2DD2F8BD">
            <w:pPr>
              <w:jc w:val="center"/>
              <w:rPr>
                <w:rFonts w:ascii="宋体" w:hAnsi="宋体" w:cs="宋体"/>
                <w:kern w:val="0"/>
                <w:sz w:val="20"/>
                <w:szCs w:val="20"/>
                <w:highlight w:val="none"/>
              </w:rPr>
            </w:pPr>
          </w:p>
        </w:tc>
        <w:tc>
          <w:tcPr>
            <w:tcW w:w="1579" w:type="dxa"/>
            <w:vAlign w:val="center"/>
          </w:tcPr>
          <w:p w14:paraId="45195891">
            <w:pPr>
              <w:jc w:val="center"/>
              <w:rPr>
                <w:rFonts w:ascii="宋体" w:hAnsi="宋体" w:cs="宋体"/>
                <w:kern w:val="0"/>
                <w:sz w:val="24"/>
                <w:highlight w:val="none"/>
              </w:rPr>
            </w:pPr>
            <w:r>
              <w:rPr>
                <w:rFonts w:hint="eastAsia" w:ascii="宋体" w:hAnsi="宋体" w:cs="宋体"/>
                <w:kern w:val="0"/>
                <w:sz w:val="20"/>
                <w:szCs w:val="20"/>
                <w:highlight w:val="none"/>
              </w:rPr>
              <w:t>【服务形式】一年提供一次应急演练服务；</w:t>
            </w:r>
          </w:p>
        </w:tc>
        <w:tc>
          <w:tcPr>
            <w:tcW w:w="1733" w:type="dxa"/>
            <w:vMerge w:val="continue"/>
            <w:vAlign w:val="center"/>
          </w:tcPr>
          <w:p w14:paraId="3964846C">
            <w:pPr>
              <w:spacing w:line="360" w:lineRule="auto"/>
              <w:jc w:val="left"/>
              <w:outlineLvl w:val="0"/>
              <w:rPr>
                <w:rFonts w:ascii="宋体" w:hAnsi="宋体" w:cs="仿宋"/>
                <w:kern w:val="0"/>
                <w:sz w:val="24"/>
                <w:highlight w:val="none"/>
              </w:rPr>
            </w:pPr>
          </w:p>
        </w:tc>
        <w:tc>
          <w:tcPr>
            <w:tcW w:w="1180" w:type="dxa"/>
            <w:vMerge w:val="continue"/>
            <w:vAlign w:val="center"/>
          </w:tcPr>
          <w:p w14:paraId="68B17F22">
            <w:pPr>
              <w:jc w:val="center"/>
              <w:rPr>
                <w:rFonts w:ascii="宋体" w:hAnsi="宋体" w:cs="仿宋"/>
                <w:kern w:val="0"/>
                <w:sz w:val="24"/>
                <w:highlight w:val="none"/>
              </w:rPr>
            </w:pPr>
          </w:p>
        </w:tc>
        <w:tc>
          <w:tcPr>
            <w:tcW w:w="1248" w:type="dxa"/>
            <w:vMerge w:val="continue"/>
            <w:vAlign w:val="center"/>
          </w:tcPr>
          <w:p w14:paraId="7D2762BD">
            <w:pPr>
              <w:jc w:val="center"/>
              <w:rPr>
                <w:rFonts w:ascii="宋体" w:hAnsi="宋体" w:cs="仿宋"/>
                <w:kern w:val="0"/>
                <w:sz w:val="24"/>
                <w:highlight w:val="none"/>
              </w:rPr>
            </w:pPr>
          </w:p>
        </w:tc>
        <w:tc>
          <w:tcPr>
            <w:tcW w:w="1248" w:type="dxa"/>
            <w:vAlign w:val="center"/>
          </w:tcPr>
          <w:p w14:paraId="1B8FE657">
            <w:pPr>
              <w:jc w:val="center"/>
              <w:rPr>
                <w:rFonts w:ascii="宋体" w:hAnsi="宋体" w:cs="仿宋"/>
                <w:kern w:val="0"/>
                <w:sz w:val="24"/>
                <w:highlight w:val="none"/>
              </w:rPr>
            </w:pPr>
          </w:p>
        </w:tc>
      </w:tr>
      <w:tr w14:paraId="6A6CD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626" w:type="dxa"/>
            <w:vMerge w:val="continue"/>
            <w:vAlign w:val="center"/>
          </w:tcPr>
          <w:p w14:paraId="2E5AE7CC">
            <w:pPr>
              <w:spacing w:line="360" w:lineRule="auto"/>
              <w:jc w:val="left"/>
              <w:outlineLvl w:val="0"/>
              <w:rPr>
                <w:rFonts w:ascii="宋体" w:hAnsi="宋体" w:cs="仿宋"/>
                <w:kern w:val="0"/>
                <w:sz w:val="24"/>
                <w:highlight w:val="none"/>
              </w:rPr>
            </w:pPr>
          </w:p>
        </w:tc>
        <w:tc>
          <w:tcPr>
            <w:tcW w:w="1761" w:type="dxa"/>
            <w:vMerge w:val="continue"/>
            <w:vAlign w:val="center"/>
          </w:tcPr>
          <w:p w14:paraId="399A0099">
            <w:pPr>
              <w:spacing w:line="360" w:lineRule="auto"/>
              <w:jc w:val="left"/>
              <w:outlineLvl w:val="0"/>
              <w:rPr>
                <w:rFonts w:ascii="宋体" w:hAnsi="宋体" w:cs="仿宋"/>
                <w:kern w:val="0"/>
                <w:sz w:val="24"/>
                <w:highlight w:val="none"/>
              </w:rPr>
            </w:pPr>
          </w:p>
        </w:tc>
        <w:tc>
          <w:tcPr>
            <w:tcW w:w="3460" w:type="dxa"/>
            <w:vAlign w:val="center"/>
          </w:tcPr>
          <w:p w14:paraId="47DD985F">
            <w:pPr>
              <w:jc w:val="center"/>
              <w:rPr>
                <w:rFonts w:ascii="宋体" w:hAnsi="宋体" w:cs="宋体"/>
                <w:kern w:val="0"/>
                <w:sz w:val="24"/>
                <w:highlight w:val="none"/>
              </w:rPr>
            </w:pPr>
            <w:r>
              <w:rPr>
                <w:rFonts w:hint="eastAsia" w:ascii="宋体" w:hAnsi="宋体" w:cs="宋体"/>
                <w:kern w:val="0"/>
                <w:sz w:val="24"/>
                <w:highlight w:val="none"/>
              </w:rPr>
              <w:t>重要时期安全专家保障服务</w:t>
            </w:r>
          </w:p>
        </w:tc>
        <w:tc>
          <w:tcPr>
            <w:tcW w:w="1579" w:type="dxa"/>
            <w:vAlign w:val="center"/>
          </w:tcPr>
          <w:p w14:paraId="36BAA835">
            <w:pPr>
              <w:rPr>
                <w:rFonts w:ascii="宋体" w:hAnsi="宋体" w:cs="宋体"/>
                <w:kern w:val="0"/>
                <w:sz w:val="20"/>
                <w:szCs w:val="20"/>
                <w:highlight w:val="none"/>
              </w:rPr>
            </w:pPr>
          </w:p>
        </w:tc>
        <w:tc>
          <w:tcPr>
            <w:tcW w:w="1579" w:type="dxa"/>
            <w:vAlign w:val="center"/>
          </w:tcPr>
          <w:p w14:paraId="40286AF9">
            <w:pPr>
              <w:rPr>
                <w:rFonts w:ascii="宋体" w:hAnsi="宋体" w:cs="宋体"/>
                <w:kern w:val="0"/>
                <w:sz w:val="24"/>
                <w:highlight w:val="none"/>
              </w:rPr>
            </w:pPr>
            <w:r>
              <w:rPr>
                <w:rFonts w:hint="eastAsia" w:ascii="宋体" w:hAnsi="宋体" w:cs="宋体"/>
                <w:kern w:val="0"/>
                <w:sz w:val="20"/>
                <w:szCs w:val="20"/>
                <w:highlight w:val="none"/>
              </w:rPr>
              <w:t>【服务形式】一年提供4次重要时期安全专家保障服务；</w:t>
            </w:r>
          </w:p>
        </w:tc>
        <w:tc>
          <w:tcPr>
            <w:tcW w:w="1733" w:type="dxa"/>
            <w:vMerge w:val="continue"/>
            <w:vAlign w:val="center"/>
          </w:tcPr>
          <w:p w14:paraId="6946D8E9">
            <w:pPr>
              <w:spacing w:line="360" w:lineRule="auto"/>
              <w:jc w:val="left"/>
              <w:outlineLvl w:val="0"/>
              <w:rPr>
                <w:rFonts w:ascii="宋体" w:hAnsi="宋体" w:cs="仿宋"/>
                <w:kern w:val="0"/>
                <w:sz w:val="24"/>
                <w:highlight w:val="none"/>
              </w:rPr>
            </w:pPr>
          </w:p>
        </w:tc>
        <w:tc>
          <w:tcPr>
            <w:tcW w:w="1180" w:type="dxa"/>
            <w:vMerge w:val="continue"/>
            <w:vAlign w:val="center"/>
          </w:tcPr>
          <w:p w14:paraId="654F2FDF">
            <w:pPr>
              <w:jc w:val="center"/>
              <w:rPr>
                <w:rFonts w:ascii="宋体" w:hAnsi="宋体" w:cs="仿宋"/>
                <w:kern w:val="0"/>
                <w:sz w:val="24"/>
                <w:highlight w:val="none"/>
              </w:rPr>
            </w:pPr>
          </w:p>
        </w:tc>
        <w:tc>
          <w:tcPr>
            <w:tcW w:w="1248" w:type="dxa"/>
            <w:vMerge w:val="continue"/>
            <w:vAlign w:val="center"/>
          </w:tcPr>
          <w:p w14:paraId="08E49AF4">
            <w:pPr>
              <w:jc w:val="center"/>
              <w:rPr>
                <w:rFonts w:ascii="宋体" w:hAnsi="宋体" w:cs="仿宋"/>
                <w:kern w:val="0"/>
                <w:sz w:val="24"/>
                <w:highlight w:val="none"/>
              </w:rPr>
            </w:pPr>
          </w:p>
        </w:tc>
        <w:tc>
          <w:tcPr>
            <w:tcW w:w="1248" w:type="dxa"/>
            <w:vAlign w:val="center"/>
          </w:tcPr>
          <w:p w14:paraId="543E8EC1">
            <w:pPr>
              <w:jc w:val="center"/>
              <w:rPr>
                <w:rFonts w:ascii="宋体" w:hAnsi="宋体" w:cs="仿宋"/>
                <w:kern w:val="0"/>
                <w:sz w:val="24"/>
                <w:highlight w:val="none"/>
              </w:rPr>
            </w:pPr>
          </w:p>
        </w:tc>
      </w:tr>
      <w:tr w14:paraId="3D3F5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626" w:type="dxa"/>
            <w:vMerge w:val="continue"/>
            <w:vAlign w:val="center"/>
          </w:tcPr>
          <w:p w14:paraId="6F43A786">
            <w:pPr>
              <w:spacing w:line="360" w:lineRule="auto"/>
              <w:jc w:val="left"/>
              <w:outlineLvl w:val="0"/>
              <w:rPr>
                <w:rFonts w:ascii="宋体" w:hAnsi="宋体" w:cs="仿宋"/>
                <w:kern w:val="0"/>
                <w:sz w:val="24"/>
                <w:highlight w:val="none"/>
              </w:rPr>
            </w:pPr>
          </w:p>
        </w:tc>
        <w:tc>
          <w:tcPr>
            <w:tcW w:w="1761" w:type="dxa"/>
            <w:vMerge w:val="continue"/>
            <w:vAlign w:val="center"/>
          </w:tcPr>
          <w:p w14:paraId="02510813">
            <w:pPr>
              <w:autoSpaceDE w:val="0"/>
              <w:autoSpaceDN w:val="0"/>
              <w:jc w:val="center"/>
              <w:rPr>
                <w:rFonts w:ascii="宋体" w:hAnsi="宋体" w:cs="仿宋"/>
                <w:kern w:val="0"/>
                <w:sz w:val="24"/>
                <w:highlight w:val="none"/>
              </w:rPr>
            </w:pPr>
          </w:p>
        </w:tc>
        <w:tc>
          <w:tcPr>
            <w:tcW w:w="3460" w:type="dxa"/>
            <w:vAlign w:val="center"/>
          </w:tcPr>
          <w:p w14:paraId="1D74CC91">
            <w:pPr>
              <w:jc w:val="center"/>
              <w:rPr>
                <w:rFonts w:ascii="宋体" w:hAnsi="宋体" w:cs="仿宋"/>
                <w:kern w:val="0"/>
                <w:sz w:val="24"/>
                <w:highlight w:val="none"/>
              </w:rPr>
            </w:pPr>
            <w:r>
              <w:rPr>
                <w:rFonts w:hint="eastAsia" w:ascii="宋体" w:hAnsi="宋体" w:cs="宋体"/>
                <w:kern w:val="0"/>
                <w:sz w:val="24"/>
                <w:highlight w:val="none"/>
              </w:rPr>
              <w:t>跨网数据请求与响应服务</w:t>
            </w:r>
          </w:p>
        </w:tc>
        <w:tc>
          <w:tcPr>
            <w:tcW w:w="1579" w:type="dxa"/>
            <w:vAlign w:val="center"/>
          </w:tcPr>
          <w:p w14:paraId="4B4B682A">
            <w:pPr>
              <w:jc w:val="center"/>
              <w:rPr>
                <w:rFonts w:ascii="宋体" w:hAnsi="宋体" w:cs="宋体"/>
                <w:kern w:val="0"/>
                <w:sz w:val="20"/>
                <w:szCs w:val="20"/>
                <w:highlight w:val="none"/>
              </w:rPr>
            </w:pPr>
          </w:p>
        </w:tc>
        <w:tc>
          <w:tcPr>
            <w:tcW w:w="1579" w:type="dxa"/>
            <w:vAlign w:val="center"/>
          </w:tcPr>
          <w:p w14:paraId="30F8D7D4">
            <w:pPr>
              <w:jc w:val="center"/>
              <w:rPr>
                <w:rFonts w:ascii="宋体" w:hAnsi="宋体" w:cs="仿宋"/>
                <w:kern w:val="0"/>
                <w:sz w:val="24"/>
                <w:highlight w:val="none"/>
              </w:rPr>
            </w:pPr>
            <w:r>
              <w:rPr>
                <w:rFonts w:hint="eastAsia" w:ascii="宋体" w:hAnsi="宋体" w:cs="宋体"/>
                <w:kern w:val="0"/>
                <w:sz w:val="20"/>
                <w:szCs w:val="20"/>
                <w:highlight w:val="none"/>
              </w:rPr>
              <w:t>【服务形式】工具租用，符合信创要求，租赁期满后设备处置权</w:t>
            </w:r>
            <w:r>
              <w:rPr>
                <w:rFonts w:hint="eastAsia" w:ascii="宋体" w:hAnsi="宋体" w:cs="宋体"/>
                <w:kern w:val="0"/>
                <w:sz w:val="20"/>
                <w:szCs w:val="20"/>
                <w:highlight w:val="none"/>
                <w:lang w:val="en-US" w:eastAsia="zh-CN"/>
              </w:rPr>
              <w:t>归属采购人</w:t>
            </w:r>
            <w:r>
              <w:rPr>
                <w:rFonts w:hint="eastAsia" w:ascii="宋体" w:hAnsi="宋体" w:cs="宋体"/>
                <w:kern w:val="0"/>
                <w:sz w:val="20"/>
                <w:szCs w:val="20"/>
                <w:highlight w:val="none"/>
              </w:rPr>
              <w:t>所有</w:t>
            </w:r>
          </w:p>
        </w:tc>
        <w:tc>
          <w:tcPr>
            <w:tcW w:w="1733" w:type="dxa"/>
            <w:vMerge w:val="continue"/>
            <w:vAlign w:val="center"/>
          </w:tcPr>
          <w:p w14:paraId="33F57420">
            <w:pPr>
              <w:jc w:val="center"/>
              <w:rPr>
                <w:rFonts w:ascii="宋体" w:hAnsi="宋体" w:cs="仿宋"/>
                <w:kern w:val="0"/>
                <w:sz w:val="24"/>
                <w:highlight w:val="none"/>
              </w:rPr>
            </w:pPr>
          </w:p>
        </w:tc>
        <w:tc>
          <w:tcPr>
            <w:tcW w:w="1180" w:type="dxa"/>
            <w:vMerge w:val="continue"/>
            <w:vAlign w:val="center"/>
          </w:tcPr>
          <w:p w14:paraId="670AEB72">
            <w:pPr>
              <w:jc w:val="center"/>
              <w:rPr>
                <w:rFonts w:ascii="宋体" w:hAnsi="宋体" w:cs="仿宋"/>
                <w:kern w:val="0"/>
                <w:sz w:val="24"/>
                <w:highlight w:val="none"/>
              </w:rPr>
            </w:pPr>
          </w:p>
        </w:tc>
        <w:tc>
          <w:tcPr>
            <w:tcW w:w="1248" w:type="dxa"/>
            <w:vMerge w:val="continue"/>
            <w:vAlign w:val="center"/>
          </w:tcPr>
          <w:p w14:paraId="4F5A806A">
            <w:pPr>
              <w:jc w:val="center"/>
              <w:rPr>
                <w:rFonts w:ascii="宋体" w:hAnsi="宋体" w:cs="仿宋"/>
                <w:kern w:val="0"/>
                <w:sz w:val="24"/>
                <w:highlight w:val="none"/>
              </w:rPr>
            </w:pPr>
          </w:p>
        </w:tc>
        <w:tc>
          <w:tcPr>
            <w:tcW w:w="1248" w:type="dxa"/>
            <w:vAlign w:val="center"/>
          </w:tcPr>
          <w:p w14:paraId="0A49F913">
            <w:pPr>
              <w:jc w:val="center"/>
              <w:rPr>
                <w:rFonts w:ascii="宋体" w:hAnsi="宋体" w:cs="仿宋"/>
                <w:kern w:val="0"/>
                <w:sz w:val="24"/>
                <w:highlight w:val="none"/>
              </w:rPr>
            </w:pPr>
          </w:p>
        </w:tc>
      </w:tr>
      <w:tr w14:paraId="2CB84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626" w:type="dxa"/>
            <w:vMerge w:val="continue"/>
            <w:vAlign w:val="center"/>
          </w:tcPr>
          <w:p w14:paraId="788A197D">
            <w:pPr>
              <w:spacing w:line="360" w:lineRule="auto"/>
              <w:jc w:val="left"/>
              <w:outlineLvl w:val="0"/>
              <w:rPr>
                <w:rFonts w:ascii="宋体" w:hAnsi="宋体" w:cs="仿宋"/>
                <w:kern w:val="0"/>
                <w:sz w:val="24"/>
                <w:highlight w:val="none"/>
              </w:rPr>
            </w:pPr>
          </w:p>
        </w:tc>
        <w:tc>
          <w:tcPr>
            <w:tcW w:w="1761" w:type="dxa"/>
            <w:vMerge w:val="continue"/>
            <w:vAlign w:val="center"/>
          </w:tcPr>
          <w:p w14:paraId="1EABF7F0">
            <w:pPr>
              <w:autoSpaceDE w:val="0"/>
              <w:autoSpaceDN w:val="0"/>
              <w:jc w:val="center"/>
              <w:rPr>
                <w:rFonts w:ascii="宋体" w:hAnsi="宋体" w:cs="仿宋"/>
                <w:kern w:val="0"/>
                <w:sz w:val="24"/>
                <w:highlight w:val="none"/>
              </w:rPr>
            </w:pPr>
          </w:p>
        </w:tc>
        <w:tc>
          <w:tcPr>
            <w:tcW w:w="3460" w:type="dxa"/>
            <w:vAlign w:val="center"/>
          </w:tcPr>
          <w:p w14:paraId="775F58AB">
            <w:pPr>
              <w:jc w:val="center"/>
              <w:rPr>
                <w:rFonts w:ascii="宋体" w:hAnsi="宋体" w:cs="宋体"/>
                <w:kern w:val="0"/>
                <w:sz w:val="24"/>
                <w:highlight w:val="none"/>
              </w:rPr>
            </w:pPr>
            <w:r>
              <w:rPr>
                <w:rFonts w:hint="eastAsia" w:ascii="宋体" w:hAnsi="宋体" w:cs="宋体"/>
                <w:kern w:val="0"/>
                <w:sz w:val="24"/>
                <w:highlight w:val="none"/>
              </w:rPr>
              <w:t>数据交换边界防护服务</w:t>
            </w:r>
          </w:p>
        </w:tc>
        <w:tc>
          <w:tcPr>
            <w:tcW w:w="1579" w:type="dxa"/>
            <w:vAlign w:val="center"/>
          </w:tcPr>
          <w:p w14:paraId="72524384">
            <w:pPr>
              <w:jc w:val="center"/>
              <w:rPr>
                <w:rFonts w:ascii="宋体" w:hAnsi="宋体" w:cs="宋体"/>
                <w:kern w:val="0"/>
                <w:sz w:val="20"/>
                <w:szCs w:val="20"/>
                <w:highlight w:val="none"/>
              </w:rPr>
            </w:pPr>
          </w:p>
        </w:tc>
        <w:tc>
          <w:tcPr>
            <w:tcW w:w="1579" w:type="dxa"/>
            <w:vAlign w:val="center"/>
          </w:tcPr>
          <w:p w14:paraId="56BCEC3E">
            <w:pPr>
              <w:jc w:val="center"/>
              <w:rPr>
                <w:rFonts w:ascii="宋体" w:hAnsi="宋体" w:cs="仿宋"/>
                <w:kern w:val="0"/>
                <w:sz w:val="24"/>
                <w:highlight w:val="none"/>
              </w:rPr>
            </w:pPr>
            <w:r>
              <w:rPr>
                <w:rFonts w:hint="eastAsia" w:ascii="宋体" w:hAnsi="宋体" w:cs="宋体"/>
                <w:kern w:val="0"/>
                <w:sz w:val="20"/>
                <w:szCs w:val="20"/>
                <w:highlight w:val="none"/>
              </w:rPr>
              <w:t>【服务形式】工具租用，符合信创要求，租赁期满后设备处置权</w:t>
            </w:r>
            <w:r>
              <w:rPr>
                <w:rFonts w:hint="eastAsia" w:ascii="宋体" w:hAnsi="宋体" w:cs="宋体"/>
                <w:kern w:val="0"/>
                <w:sz w:val="20"/>
                <w:szCs w:val="20"/>
                <w:highlight w:val="none"/>
                <w:lang w:val="en-US" w:eastAsia="zh-CN"/>
              </w:rPr>
              <w:t>归属采购人</w:t>
            </w:r>
            <w:r>
              <w:rPr>
                <w:rFonts w:hint="eastAsia" w:ascii="宋体" w:hAnsi="宋体" w:cs="宋体"/>
                <w:kern w:val="0"/>
                <w:sz w:val="20"/>
                <w:szCs w:val="20"/>
                <w:highlight w:val="none"/>
              </w:rPr>
              <w:t>所有</w:t>
            </w:r>
          </w:p>
        </w:tc>
        <w:tc>
          <w:tcPr>
            <w:tcW w:w="1733" w:type="dxa"/>
            <w:vMerge w:val="continue"/>
            <w:vAlign w:val="center"/>
          </w:tcPr>
          <w:p w14:paraId="5093083D">
            <w:pPr>
              <w:jc w:val="center"/>
              <w:rPr>
                <w:rFonts w:ascii="宋体" w:hAnsi="宋体" w:cs="仿宋"/>
                <w:kern w:val="0"/>
                <w:sz w:val="24"/>
                <w:highlight w:val="none"/>
              </w:rPr>
            </w:pPr>
          </w:p>
        </w:tc>
        <w:tc>
          <w:tcPr>
            <w:tcW w:w="1180" w:type="dxa"/>
            <w:vMerge w:val="continue"/>
            <w:vAlign w:val="center"/>
          </w:tcPr>
          <w:p w14:paraId="1860136A">
            <w:pPr>
              <w:jc w:val="center"/>
              <w:rPr>
                <w:rFonts w:ascii="宋体" w:hAnsi="宋体" w:cs="仿宋"/>
                <w:kern w:val="0"/>
                <w:sz w:val="24"/>
                <w:highlight w:val="none"/>
              </w:rPr>
            </w:pPr>
          </w:p>
        </w:tc>
        <w:tc>
          <w:tcPr>
            <w:tcW w:w="1248" w:type="dxa"/>
            <w:vMerge w:val="continue"/>
            <w:vAlign w:val="center"/>
          </w:tcPr>
          <w:p w14:paraId="2B75AE0D">
            <w:pPr>
              <w:jc w:val="center"/>
              <w:rPr>
                <w:rFonts w:ascii="宋体" w:hAnsi="宋体" w:cs="仿宋"/>
                <w:kern w:val="0"/>
                <w:sz w:val="24"/>
                <w:highlight w:val="none"/>
              </w:rPr>
            </w:pPr>
          </w:p>
        </w:tc>
        <w:tc>
          <w:tcPr>
            <w:tcW w:w="1248" w:type="dxa"/>
            <w:vAlign w:val="center"/>
          </w:tcPr>
          <w:p w14:paraId="05179C8E">
            <w:pPr>
              <w:jc w:val="center"/>
              <w:rPr>
                <w:rFonts w:ascii="宋体" w:hAnsi="宋体" w:cs="仿宋"/>
                <w:kern w:val="0"/>
                <w:sz w:val="24"/>
                <w:highlight w:val="none"/>
              </w:rPr>
            </w:pPr>
          </w:p>
        </w:tc>
      </w:tr>
      <w:tr w14:paraId="05E6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626" w:type="dxa"/>
            <w:vMerge w:val="continue"/>
            <w:vAlign w:val="center"/>
          </w:tcPr>
          <w:p w14:paraId="709E1AF4">
            <w:pPr>
              <w:spacing w:line="360" w:lineRule="auto"/>
              <w:jc w:val="left"/>
              <w:outlineLvl w:val="0"/>
              <w:rPr>
                <w:rFonts w:ascii="宋体" w:hAnsi="宋体" w:cs="仿宋"/>
                <w:kern w:val="0"/>
                <w:sz w:val="24"/>
                <w:highlight w:val="none"/>
              </w:rPr>
            </w:pPr>
          </w:p>
        </w:tc>
        <w:tc>
          <w:tcPr>
            <w:tcW w:w="1761" w:type="dxa"/>
            <w:vMerge w:val="continue"/>
            <w:vAlign w:val="center"/>
          </w:tcPr>
          <w:p w14:paraId="608B98BB">
            <w:pPr>
              <w:autoSpaceDE w:val="0"/>
              <w:autoSpaceDN w:val="0"/>
              <w:jc w:val="center"/>
              <w:rPr>
                <w:rFonts w:ascii="宋体" w:hAnsi="宋体" w:cs="仿宋"/>
                <w:kern w:val="0"/>
                <w:sz w:val="24"/>
                <w:highlight w:val="none"/>
              </w:rPr>
            </w:pPr>
          </w:p>
        </w:tc>
        <w:tc>
          <w:tcPr>
            <w:tcW w:w="3460" w:type="dxa"/>
            <w:vAlign w:val="center"/>
          </w:tcPr>
          <w:p w14:paraId="42FC869B">
            <w:pPr>
              <w:jc w:val="center"/>
              <w:rPr>
                <w:rFonts w:ascii="宋体" w:hAnsi="宋体" w:cs="宋体"/>
                <w:kern w:val="0"/>
                <w:sz w:val="24"/>
                <w:highlight w:val="none"/>
              </w:rPr>
            </w:pPr>
            <w:r>
              <w:rPr>
                <w:rFonts w:hint="eastAsia" w:ascii="宋体" w:hAnsi="宋体" w:cs="宋体"/>
                <w:kern w:val="0"/>
                <w:sz w:val="24"/>
                <w:highlight w:val="none"/>
              </w:rPr>
              <w:t>违规外联监测服务</w:t>
            </w:r>
          </w:p>
        </w:tc>
        <w:tc>
          <w:tcPr>
            <w:tcW w:w="1579" w:type="dxa"/>
            <w:vAlign w:val="center"/>
          </w:tcPr>
          <w:p w14:paraId="6E44641D">
            <w:pPr>
              <w:jc w:val="center"/>
              <w:rPr>
                <w:rFonts w:ascii="宋体" w:hAnsi="宋体" w:cs="宋体"/>
                <w:kern w:val="0"/>
                <w:sz w:val="20"/>
                <w:szCs w:val="20"/>
                <w:highlight w:val="none"/>
              </w:rPr>
            </w:pPr>
          </w:p>
        </w:tc>
        <w:tc>
          <w:tcPr>
            <w:tcW w:w="1579" w:type="dxa"/>
            <w:vAlign w:val="center"/>
          </w:tcPr>
          <w:p w14:paraId="6F5928D6">
            <w:pPr>
              <w:jc w:val="center"/>
              <w:rPr>
                <w:rFonts w:ascii="宋体" w:hAnsi="宋体" w:cs="仿宋"/>
                <w:kern w:val="0"/>
                <w:sz w:val="24"/>
                <w:highlight w:val="none"/>
              </w:rPr>
            </w:pPr>
            <w:r>
              <w:rPr>
                <w:rFonts w:hint="eastAsia" w:ascii="宋体" w:hAnsi="宋体" w:cs="宋体"/>
                <w:kern w:val="0"/>
                <w:sz w:val="20"/>
                <w:szCs w:val="20"/>
                <w:highlight w:val="none"/>
              </w:rPr>
              <w:t>【服务形式】租赁期内7*24小时服务</w:t>
            </w:r>
          </w:p>
        </w:tc>
        <w:tc>
          <w:tcPr>
            <w:tcW w:w="1733" w:type="dxa"/>
            <w:vMerge w:val="continue"/>
            <w:vAlign w:val="center"/>
          </w:tcPr>
          <w:p w14:paraId="497AC32A">
            <w:pPr>
              <w:jc w:val="center"/>
              <w:rPr>
                <w:rFonts w:ascii="宋体" w:hAnsi="宋体" w:cs="仿宋"/>
                <w:kern w:val="0"/>
                <w:sz w:val="24"/>
                <w:highlight w:val="none"/>
              </w:rPr>
            </w:pPr>
          </w:p>
        </w:tc>
        <w:tc>
          <w:tcPr>
            <w:tcW w:w="1180" w:type="dxa"/>
            <w:vMerge w:val="continue"/>
            <w:vAlign w:val="center"/>
          </w:tcPr>
          <w:p w14:paraId="2203286D">
            <w:pPr>
              <w:jc w:val="center"/>
              <w:rPr>
                <w:rFonts w:ascii="宋体" w:hAnsi="宋体" w:cs="仿宋"/>
                <w:kern w:val="0"/>
                <w:sz w:val="24"/>
                <w:highlight w:val="none"/>
              </w:rPr>
            </w:pPr>
          </w:p>
        </w:tc>
        <w:tc>
          <w:tcPr>
            <w:tcW w:w="1248" w:type="dxa"/>
            <w:vMerge w:val="continue"/>
            <w:vAlign w:val="center"/>
          </w:tcPr>
          <w:p w14:paraId="11A9BD66">
            <w:pPr>
              <w:jc w:val="center"/>
              <w:rPr>
                <w:rFonts w:ascii="宋体" w:hAnsi="宋体" w:cs="仿宋"/>
                <w:kern w:val="0"/>
                <w:sz w:val="24"/>
                <w:highlight w:val="none"/>
              </w:rPr>
            </w:pPr>
          </w:p>
        </w:tc>
        <w:tc>
          <w:tcPr>
            <w:tcW w:w="1248" w:type="dxa"/>
            <w:vAlign w:val="center"/>
          </w:tcPr>
          <w:p w14:paraId="13B6FC1B">
            <w:pPr>
              <w:jc w:val="center"/>
              <w:rPr>
                <w:rFonts w:ascii="宋体" w:hAnsi="宋体" w:cs="仿宋"/>
                <w:kern w:val="0"/>
                <w:sz w:val="24"/>
                <w:highlight w:val="none"/>
              </w:rPr>
            </w:pPr>
          </w:p>
        </w:tc>
      </w:tr>
      <w:tr w14:paraId="69643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626" w:type="dxa"/>
            <w:vMerge w:val="continue"/>
            <w:vAlign w:val="center"/>
          </w:tcPr>
          <w:p w14:paraId="42861352">
            <w:pPr>
              <w:spacing w:line="360" w:lineRule="auto"/>
              <w:jc w:val="left"/>
              <w:outlineLvl w:val="0"/>
              <w:rPr>
                <w:rFonts w:ascii="宋体" w:hAnsi="宋体" w:cs="仿宋"/>
                <w:kern w:val="0"/>
                <w:sz w:val="24"/>
                <w:highlight w:val="none"/>
              </w:rPr>
            </w:pPr>
          </w:p>
        </w:tc>
        <w:tc>
          <w:tcPr>
            <w:tcW w:w="1761" w:type="dxa"/>
            <w:vMerge w:val="restart"/>
            <w:vAlign w:val="center"/>
          </w:tcPr>
          <w:p w14:paraId="53FE7CA9">
            <w:pPr>
              <w:autoSpaceDE w:val="0"/>
              <w:autoSpaceDN w:val="0"/>
              <w:jc w:val="center"/>
              <w:rPr>
                <w:rFonts w:ascii="宋体" w:hAnsi="宋体" w:cs="仿宋"/>
                <w:kern w:val="0"/>
                <w:sz w:val="24"/>
                <w:highlight w:val="none"/>
              </w:rPr>
            </w:pPr>
            <w:r>
              <w:rPr>
                <w:rFonts w:hint="eastAsia" w:ascii="宋体" w:hAnsi="宋体" w:cs="宋体"/>
                <w:kern w:val="0"/>
                <w:sz w:val="24"/>
                <w:highlight w:val="none"/>
              </w:rPr>
              <w:t>关键业务安全迁移及改造</w:t>
            </w:r>
          </w:p>
        </w:tc>
        <w:tc>
          <w:tcPr>
            <w:tcW w:w="3460" w:type="dxa"/>
            <w:vAlign w:val="center"/>
          </w:tcPr>
          <w:p w14:paraId="067060CF">
            <w:pPr>
              <w:jc w:val="center"/>
              <w:rPr>
                <w:rFonts w:ascii="宋体" w:hAnsi="宋体" w:cs="宋体"/>
                <w:kern w:val="0"/>
                <w:sz w:val="24"/>
                <w:highlight w:val="none"/>
              </w:rPr>
            </w:pPr>
            <w:r>
              <w:rPr>
                <w:rFonts w:hint="eastAsia" w:ascii="宋体" w:hAnsi="宋体" w:cs="宋体"/>
                <w:kern w:val="0"/>
                <w:sz w:val="24"/>
                <w:highlight w:val="none"/>
              </w:rPr>
              <w:t>合成作战应用迁移服务</w:t>
            </w:r>
          </w:p>
        </w:tc>
        <w:tc>
          <w:tcPr>
            <w:tcW w:w="1579" w:type="dxa"/>
            <w:vAlign w:val="center"/>
          </w:tcPr>
          <w:p w14:paraId="3F6BE778">
            <w:pPr>
              <w:jc w:val="center"/>
              <w:rPr>
                <w:rFonts w:ascii="宋体" w:hAnsi="宋体" w:cs="宋体"/>
                <w:kern w:val="0"/>
                <w:sz w:val="20"/>
                <w:szCs w:val="20"/>
                <w:highlight w:val="none"/>
              </w:rPr>
            </w:pPr>
          </w:p>
        </w:tc>
        <w:tc>
          <w:tcPr>
            <w:tcW w:w="1579" w:type="dxa"/>
            <w:vAlign w:val="center"/>
          </w:tcPr>
          <w:p w14:paraId="308CCACA">
            <w:pPr>
              <w:jc w:val="center"/>
              <w:rPr>
                <w:rFonts w:ascii="宋体" w:hAnsi="宋体" w:cs="仿宋"/>
                <w:kern w:val="0"/>
                <w:sz w:val="24"/>
                <w:highlight w:val="none"/>
              </w:rPr>
            </w:pPr>
            <w:r>
              <w:rPr>
                <w:rFonts w:hint="eastAsia" w:ascii="宋体" w:hAnsi="宋体" w:cs="宋体"/>
                <w:kern w:val="0"/>
                <w:sz w:val="20"/>
                <w:szCs w:val="20"/>
                <w:highlight w:val="none"/>
              </w:rPr>
              <w:t>【服务形式】一次性提供</w:t>
            </w:r>
          </w:p>
        </w:tc>
        <w:tc>
          <w:tcPr>
            <w:tcW w:w="1733" w:type="dxa"/>
            <w:vMerge w:val="restart"/>
            <w:vAlign w:val="center"/>
          </w:tcPr>
          <w:p w14:paraId="3972955A">
            <w:pPr>
              <w:jc w:val="center"/>
              <w:rPr>
                <w:rFonts w:ascii="宋体" w:hAnsi="宋体" w:cs="仿宋"/>
                <w:kern w:val="0"/>
                <w:sz w:val="24"/>
                <w:highlight w:val="none"/>
              </w:rPr>
            </w:pPr>
            <w:r>
              <w:rPr>
                <w:rFonts w:hint="eastAsia" w:ascii="宋体" w:hAnsi="宋体" w:cs="仿宋"/>
                <w:kern w:val="0"/>
                <w:sz w:val="24"/>
                <w:highlight w:val="none"/>
              </w:rPr>
              <w:t>12</w:t>
            </w:r>
            <w:r>
              <w:rPr>
                <w:rFonts w:ascii="宋体" w:hAnsi="宋体" w:cs="仿宋"/>
                <w:kern w:val="0"/>
                <w:sz w:val="24"/>
                <w:highlight w:val="none"/>
              </w:rPr>
              <w:t>个月（202</w:t>
            </w:r>
            <w:r>
              <w:rPr>
                <w:rFonts w:hint="eastAsia" w:ascii="宋体" w:hAnsi="宋体" w:cs="仿宋"/>
                <w:kern w:val="0"/>
                <w:sz w:val="24"/>
                <w:highlight w:val="none"/>
              </w:rPr>
              <w:t>4</w:t>
            </w:r>
            <w:r>
              <w:rPr>
                <w:rFonts w:ascii="宋体" w:hAnsi="宋体" w:cs="仿宋"/>
                <w:kern w:val="0"/>
                <w:sz w:val="24"/>
                <w:highlight w:val="none"/>
              </w:rPr>
              <w:t>.</w:t>
            </w:r>
            <w:r>
              <w:rPr>
                <w:rFonts w:hint="eastAsia" w:ascii="宋体" w:hAnsi="宋体" w:cs="仿宋"/>
                <w:kern w:val="0"/>
                <w:sz w:val="24"/>
                <w:highlight w:val="none"/>
              </w:rPr>
              <w:t>8</w:t>
            </w:r>
            <w:r>
              <w:rPr>
                <w:rFonts w:ascii="宋体" w:hAnsi="宋体" w:cs="仿宋"/>
                <w:kern w:val="0"/>
                <w:sz w:val="24"/>
                <w:highlight w:val="none"/>
              </w:rPr>
              <w:t>.1-202</w:t>
            </w:r>
            <w:r>
              <w:rPr>
                <w:rFonts w:hint="eastAsia" w:ascii="宋体" w:hAnsi="宋体" w:cs="仿宋"/>
                <w:kern w:val="0"/>
                <w:sz w:val="24"/>
                <w:highlight w:val="none"/>
              </w:rPr>
              <w:t>5</w:t>
            </w:r>
            <w:r>
              <w:rPr>
                <w:rFonts w:ascii="宋体" w:hAnsi="宋体" w:cs="仿宋"/>
                <w:kern w:val="0"/>
                <w:sz w:val="24"/>
                <w:highlight w:val="none"/>
              </w:rPr>
              <w:t>.7.31）</w:t>
            </w:r>
          </w:p>
        </w:tc>
        <w:tc>
          <w:tcPr>
            <w:tcW w:w="1180" w:type="dxa"/>
            <w:vMerge w:val="restart"/>
            <w:vAlign w:val="center"/>
          </w:tcPr>
          <w:p w14:paraId="27B37418">
            <w:pPr>
              <w:jc w:val="center"/>
              <w:rPr>
                <w:rFonts w:ascii="宋体" w:hAnsi="宋体" w:cs="仿宋"/>
                <w:kern w:val="0"/>
                <w:sz w:val="24"/>
                <w:highlight w:val="none"/>
              </w:rPr>
            </w:pPr>
          </w:p>
        </w:tc>
        <w:tc>
          <w:tcPr>
            <w:tcW w:w="1248" w:type="dxa"/>
            <w:vMerge w:val="restart"/>
            <w:vAlign w:val="center"/>
          </w:tcPr>
          <w:p w14:paraId="7C831A66">
            <w:pPr>
              <w:jc w:val="center"/>
              <w:rPr>
                <w:rFonts w:ascii="宋体" w:hAnsi="宋体" w:cs="仿宋"/>
                <w:kern w:val="0"/>
                <w:sz w:val="24"/>
                <w:highlight w:val="none"/>
              </w:rPr>
            </w:pPr>
          </w:p>
        </w:tc>
        <w:tc>
          <w:tcPr>
            <w:tcW w:w="1248" w:type="dxa"/>
            <w:vAlign w:val="center"/>
          </w:tcPr>
          <w:p w14:paraId="4D0F0170">
            <w:pPr>
              <w:jc w:val="center"/>
              <w:rPr>
                <w:rFonts w:ascii="宋体" w:hAnsi="宋体" w:cs="仿宋"/>
                <w:kern w:val="0"/>
                <w:sz w:val="24"/>
                <w:highlight w:val="none"/>
              </w:rPr>
            </w:pPr>
          </w:p>
        </w:tc>
      </w:tr>
      <w:tr w14:paraId="20F6E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1626" w:type="dxa"/>
            <w:vMerge w:val="continue"/>
            <w:vAlign w:val="center"/>
          </w:tcPr>
          <w:p w14:paraId="669BDDF5">
            <w:pPr>
              <w:spacing w:line="360" w:lineRule="auto"/>
              <w:jc w:val="left"/>
              <w:outlineLvl w:val="0"/>
              <w:rPr>
                <w:rFonts w:ascii="宋体" w:hAnsi="宋体" w:cs="仿宋"/>
                <w:kern w:val="0"/>
                <w:sz w:val="24"/>
                <w:highlight w:val="none"/>
              </w:rPr>
            </w:pPr>
          </w:p>
        </w:tc>
        <w:tc>
          <w:tcPr>
            <w:tcW w:w="1761" w:type="dxa"/>
            <w:vMerge w:val="continue"/>
            <w:vAlign w:val="center"/>
          </w:tcPr>
          <w:p w14:paraId="666276DC">
            <w:pPr>
              <w:spacing w:line="360" w:lineRule="auto"/>
              <w:jc w:val="left"/>
              <w:outlineLvl w:val="0"/>
              <w:rPr>
                <w:rFonts w:ascii="宋体" w:hAnsi="宋体" w:cs="仿宋"/>
                <w:kern w:val="0"/>
                <w:sz w:val="24"/>
                <w:highlight w:val="none"/>
              </w:rPr>
            </w:pPr>
          </w:p>
        </w:tc>
        <w:tc>
          <w:tcPr>
            <w:tcW w:w="3460" w:type="dxa"/>
            <w:vAlign w:val="center"/>
          </w:tcPr>
          <w:p w14:paraId="02751D88">
            <w:pPr>
              <w:jc w:val="center"/>
              <w:rPr>
                <w:rFonts w:ascii="宋体" w:hAnsi="宋体" w:cs="仿宋"/>
                <w:kern w:val="0"/>
                <w:sz w:val="24"/>
                <w:highlight w:val="none"/>
              </w:rPr>
            </w:pPr>
            <w:r>
              <w:rPr>
                <w:rFonts w:hint="eastAsia" w:ascii="宋体" w:hAnsi="宋体" w:cs="宋体"/>
                <w:kern w:val="0"/>
                <w:sz w:val="24"/>
                <w:highlight w:val="none"/>
              </w:rPr>
              <w:t>非现场执法平台升级改造服务</w:t>
            </w:r>
          </w:p>
        </w:tc>
        <w:tc>
          <w:tcPr>
            <w:tcW w:w="1579" w:type="dxa"/>
            <w:vAlign w:val="center"/>
          </w:tcPr>
          <w:p w14:paraId="242C6863">
            <w:pPr>
              <w:jc w:val="center"/>
              <w:rPr>
                <w:rFonts w:ascii="宋体" w:hAnsi="宋体" w:cs="宋体"/>
                <w:kern w:val="0"/>
                <w:sz w:val="20"/>
                <w:szCs w:val="20"/>
                <w:highlight w:val="none"/>
              </w:rPr>
            </w:pPr>
          </w:p>
        </w:tc>
        <w:tc>
          <w:tcPr>
            <w:tcW w:w="1579" w:type="dxa"/>
            <w:vAlign w:val="center"/>
          </w:tcPr>
          <w:p w14:paraId="75C7019A">
            <w:pPr>
              <w:jc w:val="center"/>
              <w:rPr>
                <w:rFonts w:ascii="宋体" w:hAnsi="宋体" w:cs="仿宋"/>
                <w:kern w:val="0"/>
                <w:sz w:val="24"/>
                <w:highlight w:val="none"/>
              </w:rPr>
            </w:pPr>
            <w:r>
              <w:rPr>
                <w:rFonts w:hint="eastAsia" w:ascii="宋体" w:hAnsi="宋体" w:cs="宋体"/>
                <w:kern w:val="0"/>
                <w:sz w:val="20"/>
                <w:szCs w:val="20"/>
                <w:highlight w:val="none"/>
              </w:rPr>
              <w:t>【服务形式】平台升级改造服务一次性提供；工具租用，符合信创要求，租赁期满后</w:t>
            </w:r>
            <w:r>
              <w:rPr>
                <w:rFonts w:hint="eastAsia" w:ascii="宋体" w:hAnsi="宋体" w:cs="宋体"/>
                <w:kern w:val="0"/>
                <w:sz w:val="20"/>
                <w:szCs w:val="20"/>
                <w:highlight w:val="none"/>
                <w:lang w:eastAsia="zh-CN"/>
              </w:rPr>
              <w:t>设备处置权</w:t>
            </w:r>
            <w:r>
              <w:rPr>
                <w:rFonts w:hint="eastAsia" w:ascii="宋体" w:hAnsi="宋体" w:cs="宋体"/>
                <w:kern w:val="0"/>
                <w:sz w:val="20"/>
                <w:szCs w:val="20"/>
                <w:highlight w:val="none"/>
              </w:rPr>
              <w:t>归属</w:t>
            </w:r>
            <w:r>
              <w:rPr>
                <w:rFonts w:hint="eastAsia" w:ascii="宋体" w:hAnsi="宋体" w:cs="宋体"/>
                <w:kern w:val="0"/>
                <w:sz w:val="20"/>
                <w:szCs w:val="20"/>
                <w:highlight w:val="none"/>
                <w:lang w:eastAsia="zh-CN"/>
              </w:rPr>
              <w:t>投标人</w:t>
            </w:r>
            <w:r>
              <w:rPr>
                <w:rFonts w:hint="eastAsia" w:ascii="宋体" w:hAnsi="宋体" w:cs="宋体"/>
                <w:kern w:val="0"/>
                <w:sz w:val="20"/>
                <w:szCs w:val="20"/>
                <w:highlight w:val="none"/>
                <w:lang w:val="en-US" w:eastAsia="zh-CN"/>
              </w:rPr>
              <w:t>所有</w:t>
            </w:r>
          </w:p>
        </w:tc>
        <w:tc>
          <w:tcPr>
            <w:tcW w:w="1733" w:type="dxa"/>
            <w:vMerge w:val="continue"/>
            <w:vAlign w:val="center"/>
          </w:tcPr>
          <w:p w14:paraId="70E0539D">
            <w:pPr>
              <w:jc w:val="center"/>
              <w:rPr>
                <w:rFonts w:ascii="宋体" w:hAnsi="宋体" w:cs="仿宋"/>
                <w:kern w:val="0"/>
                <w:sz w:val="24"/>
                <w:highlight w:val="none"/>
              </w:rPr>
            </w:pPr>
          </w:p>
        </w:tc>
        <w:tc>
          <w:tcPr>
            <w:tcW w:w="1180" w:type="dxa"/>
            <w:vMerge w:val="continue"/>
            <w:vAlign w:val="center"/>
          </w:tcPr>
          <w:p w14:paraId="0DAF540A">
            <w:pPr>
              <w:jc w:val="center"/>
              <w:rPr>
                <w:rFonts w:ascii="宋体" w:hAnsi="宋体" w:cs="仿宋"/>
                <w:kern w:val="0"/>
                <w:sz w:val="24"/>
                <w:highlight w:val="none"/>
              </w:rPr>
            </w:pPr>
          </w:p>
        </w:tc>
        <w:tc>
          <w:tcPr>
            <w:tcW w:w="1248" w:type="dxa"/>
            <w:vMerge w:val="continue"/>
            <w:vAlign w:val="center"/>
          </w:tcPr>
          <w:p w14:paraId="04A801C4">
            <w:pPr>
              <w:jc w:val="center"/>
              <w:rPr>
                <w:rFonts w:ascii="宋体" w:hAnsi="宋体" w:cs="仿宋"/>
                <w:kern w:val="0"/>
                <w:sz w:val="24"/>
                <w:highlight w:val="none"/>
              </w:rPr>
            </w:pPr>
          </w:p>
        </w:tc>
        <w:tc>
          <w:tcPr>
            <w:tcW w:w="1248" w:type="dxa"/>
            <w:vAlign w:val="center"/>
          </w:tcPr>
          <w:p w14:paraId="2C141782">
            <w:pPr>
              <w:jc w:val="center"/>
              <w:rPr>
                <w:rFonts w:ascii="宋体" w:hAnsi="宋体" w:cs="仿宋"/>
                <w:kern w:val="0"/>
                <w:sz w:val="24"/>
                <w:highlight w:val="none"/>
              </w:rPr>
            </w:pPr>
          </w:p>
        </w:tc>
      </w:tr>
      <w:tr w14:paraId="1695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26" w:type="dxa"/>
            <w:vMerge w:val="continue"/>
            <w:vAlign w:val="center"/>
          </w:tcPr>
          <w:p w14:paraId="07F9E52B">
            <w:pPr>
              <w:spacing w:line="360" w:lineRule="auto"/>
              <w:jc w:val="left"/>
              <w:outlineLvl w:val="0"/>
              <w:rPr>
                <w:rFonts w:ascii="宋体" w:hAnsi="宋体" w:cs="仿宋"/>
                <w:kern w:val="0"/>
                <w:sz w:val="24"/>
                <w:highlight w:val="none"/>
              </w:rPr>
            </w:pPr>
          </w:p>
        </w:tc>
        <w:tc>
          <w:tcPr>
            <w:tcW w:w="1761" w:type="dxa"/>
            <w:vMerge w:val="continue"/>
            <w:vAlign w:val="center"/>
          </w:tcPr>
          <w:p w14:paraId="32035B6D">
            <w:pPr>
              <w:spacing w:line="360" w:lineRule="auto"/>
              <w:jc w:val="left"/>
              <w:outlineLvl w:val="0"/>
              <w:rPr>
                <w:rFonts w:ascii="宋体" w:hAnsi="宋体" w:cs="仿宋"/>
                <w:kern w:val="0"/>
                <w:sz w:val="24"/>
                <w:highlight w:val="none"/>
              </w:rPr>
            </w:pPr>
          </w:p>
        </w:tc>
        <w:tc>
          <w:tcPr>
            <w:tcW w:w="3460" w:type="dxa"/>
            <w:vAlign w:val="center"/>
          </w:tcPr>
          <w:p w14:paraId="71BEC5CC">
            <w:pPr>
              <w:jc w:val="center"/>
              <w:rPr>
                <w:rFonts w:ascii="宋体" w:hAnsi="宋体" w:cs="仿宋"/>
                <w:kern w:val="0"/>
                <w:sz w:val="24"/>
                <w:highlight w:val="none"/>
              </w:rPr>
            </w:pPr>
            <w:r>
              <w:rPr>
                <w:rFonts w:hint="eastAsia" w:ascii="宋体" w:hAnsi="宋体" w:cs="宋体"/>
                <w:kern w:val="0"/>
                <w:sz w:val="24"/>
                <w:highlight w:val="none"/>
              </w:rPr>
              <w:t>视频业务安全改造</w:t>
            </w:r>
          </w:p>
        </w:tc>
        <w:tc>
          <w:tcPr>
            <w:tcW w:w="1579" w:type="dxa"/>
            <w:vAlign w:val="center"/>
          </w:tcPr>
          <w:p w14:paraId="230FC5BD">
            <w:pPr>
              <w:jc w:val="center"/>
              <w:rPr>
                <w:rFonts w:ascii="宋体" w:hAnsi="宋体" w:cs="宋体"/>
                <w:kern w:val="0"/>
                <w:sz w:val="20"/>
                <w:szCs w:val="20"/>
                <w:highlight w:val="none"/>
              </w:rPr>
            </w:pPr>
          </w:p>
        </w:tc>
        <w:tc>
          <w:tcPr>
            <w:tcW w:w="1579" w:type="dxa"/>
            <w:vAlign w:val="center"/>
          </w:tcPr>
          <w:p w14:paraId="2B06EF2C">
            <w:pPr>
              <w:jc w:val="center"/>
              <w:rPr>
                <w:rFonts w:ascii="宋体" w:hAnsi="宋体" w:cs="仿宋"/>
                <w:kern w:val="0"/>
                <w:sz w:val="24"/>
                <w:highlight w:val="none"/>
              </w:rPr>
            </w:pPr>
            <w:r>
              <w:rPr>
                <w:rFonts w:hint="eastAsia" w:ascii="宋体" w:hAnsi="宋体" w:cs="宋体"/>
                <w:kern w:val="0"/>
                <w:sz w:val="20"/>
                <w:szCs w:val="20"/>
                <w:highlight w:val="none"/>
              </w:rPr>
              <w:t>【服务形式】视频业务安全改造服务一次性提供；工具租用，符合信创要求，租赁期满后设备处置权</w:t>
            </w:r>
            <w:r>
              <w:rPr>
                <w:rFonts w:hint="eastAsia" w:ascii="宋体" w:hAnsi="宋体" w:cs="宋体"/>
                <w:kern w:val="0"/>
                <w:sz w:val="20"/>
                <w:szCs w:val="20"/>
                <w:highlight w:val="none"/>
                <w:lang w:val="en-US" w:eastAsia="zh-CN"/>
              </w:rPr>
              <w:t>归属采购人</w:t>
            </w:r>
            <w:r>
              <w:rPr>
                <w:rFonts w:hint="eastAsia" w:ascii="宋体" w:hAnsi="宋体" w:cs="宋体"/>
                <w:kern w:val="0"/>
                <w:sz w:val="20"/>
                <w:szCs w:val="20"/>
                <w:highlight w:val="none"/>
              </w:rPr>
              <w:t>所有</w:t>
            </w:r>
          </w:p>
        </w:tc>
        <w:tc>
          <w:tcPr>
            <w:tcW w:w="1733" w:type="dxa"/>
            <w:vMerge w:val="continue"/>
            <w:vAlign w:val="center"/>
          </w:tcPr>
          <w:p w14:paraId="4158897F">
            <w:pPr>
              <w:jc w:val="center"/>
              <w:rPr>
                <w:rFonts w:ascii="宋体" w:hAnsi="宋体" w:cs="仿宋"/>
                <w:kern w:val="0"/>
                <w:sz w:val="24"/>
                <w:highlight w:val="none"/>
              </w:rPr>
            </w:pPr>
          </w:p>
        </w:tc>
        <w:tc>
          <w:tcPr>
            <w:tcW w:w="1180" w:type="dxa"/>
            <w:vMerge w:val="continue"/>
            <w:vAlign w:val="center"/>
          </w:tcPr>
          <w:p w14:paraId="04D50DBD">
            <w:pPr>
              <w:jc w:val="center"/>
              <w:rPr>
                <w:rFonts w:ascii="宋体" w:hAnsi="宋体" w:cs="仿宋"/>
                <w:kern w:val="0"/>
                <w:sz w:val="24"/>
                <w:highlight w:val="none"/>
              </w:rPr>
            </w:pPr>
          </w:p>
        </w:tc>
        <w:tc>
          <w:tcPr>
            <w:tcW w:w="1248" w:type="dxa"/>
            <w:vMerge w:val="continue"/>
            <w:vAlign w:val="center"/>
          </w:tcPr>
          <w:p w14:paraId="2B4F7ADC">
            <w:pPr>
              <w:jc w:val="center"/>
              <w:rPr>
                <w:rFonts w:ascii="宋体" w:hAnsi="宋体" w:cs="仿宋"/>
                <w:kern w:val="0"/>
                <w:sz w:val="24"/>
                <w:highlight w:val="none"/>
              </w:rPr>
            </w:pPr>
          </w:p>
        </w:tc>
        <w:tc>
          <w:tcPr>
            <w:tcW w:w="1248" w:type="dxa"/>
            <w:vAlign w:val="center"/>
          </w:tcPr>
          <w:p w14:paraId="32CF8057">
            <w:pPr>
              <w:jc w:val="center"/>
              <w:rPr>
                <w:rFonts w:ascii="宋体" w:hAnsi="宋体" w:cs="仿宋"/>
                <w:kern w:val="0"/>
                <w:sz w:val="24"/>
                <w:highlight w:val="none"/>
              </w:rPr>
            </w:pPr>
          </w:p>
        </w:tc>
      </w:tr>
      <w:tr w14:paraId="4E1C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626" w:type="dxa"/>
            <w:vMerge w:val="restart"/>
            <w:vAlign w:val="center"/>
          </w:tcPr>
          <w:p w14:paraId="21E5949E">
            <w:pPr>
              <w:autoSpaceDE w:val="0"/>
              <w:autoSpaceDN w:val="0"/>
              <w:jc w:val="center"/>
              <w:rPr>
                <w:rFonts w:ascii="宋体" w:hAnsi="宋体" w:cs="仿宋"/>
                <w:kern w:val="0"/>
                <w:sz w:val="24"/>
                <w:highlight w:val="none"/>
              </w:rPr>
            </w:pPr>
            <w:r>
              <w:rPr>
                <w:rFonts w:hint="eastAsia" w:ascii="宋体" w:hAnsi="宋体" w:cs="仿宋"/>
                <w:kern w:val="0"/>
                <w:sz w:val="24"/>
                <w:highlight w:val="none"/>
              </w:rPr>
              <w:t>货运导航数据及运营保障服务</w:t>
            </w:r>
          </w:p>
        </w:tc>
        <w:tc>
          <w:tcPr>
            <w:tcW w:w="1761" w:type="dxa"/>
            <w:vMerge w:val="restart"/>
            <w:vAlign w:val="center"/>
          </w:tcPr>
          <w:p w14:paraId="4445DF48">
            <w:pPr>
              <w:autoSpaceDE w:val="0"/>
              <w:autoSpaceDN w:val="0"/>
              <w:jc w:val="center"/>
              <w:rPr>
                <w:rFonts w:ascii="宋体" w:hAnsi="宋体" w:cs="仿宋"/>
                <w:kern w:val="0"/>
                <w:sz w:val="24"/>
                <w:highlight w:val="none"/>
              </w:rPr>
            </w:pPr>
            <w:r>
              <w:rPr>
                <w:rFonts w:hint="eastAsia" w:ascii="宋体" w:hAnsi="宋体" w:cs="宋体"/>
                <w:kern w:val="0"/>
                <w:sz w:val="24"/>
                <w:highlight w:val="none"/>
              </w:rPr>
              <w:t>互联网地图导航基础服务</w:t>
            </w:r>
          </w:p>
        </w:tc>
        <w:tc>
          <w:tcPr>
            <w:tcW w:w="3460" w:type="dxa"/>
            <w:vAlign w:val="center"/>
          </w:tcPr>
          <w:p w14:paraId="4D9FC4A9">
            <w:pPr>
              <w:autoSpaceDE w:val="0"/>
              <w:autoSpaceDN w:val="0"/>
              <w:ind w:firstLine="480" w:firstLineChars="200"/>
              <w:jc w:val="center"/>
              <w:rPr>
                <w:rFonts w:ascii="宋体" w:hAnsi="宋体" w:cs="仿宋"/>
                <w:kern w:val="0"/>
                <w:sz w:val="24"/>
                <w:highlight w:val="none"/>
              </w:rPr>
            </w:pPr>
            <w:r>
              <w:rPr>
                <w:rFonts w:hint="eastAsia" w:ascii="宋体" w:hAnsi="宋体" w:cs="宋体"/>
                <w:kern w:val="0"/>
                <w:sz w:val="24"/>
                <w:highlight w:val="none"/>
              </w:rPr>
              <w:t>货车线路规划</w:t>
            </w:r>
          </w:p>
        </w:tc>
        <w:tc>
          <w:tcPr>
            <w:tcW w:w="1579" w:type="dxa"/>
            <w:vAlign w:val="center"/>
          </w:tcPr>
          <w:p w14:paraId="17347F72">
            <w:pPr>
              <w:autoSpaceDE w:val="0"/>
              <w:autoSpaceDN w:val="0"/>
              <w:jc w:val="center"/>
              <w:rPr>
                <w:rFonts w:ascii="宋体" w:hAnsi="宋体" w:cs="仿宋"/>
                <w:kern w:val="0"/>
                <w:sz w:val="24"/>
                <w:highlight w:val="none"/>
              </w:rPr>
            </w:pPr>
          </w:p>
        </w:tc>
        <w:tc>
          <w:tcPr>
            <w:tcW w:w="1579" w:type="dxa"/>
            <w:vMerge w:val="restart"/>
            <w:vAlign w:val="center"/>
          </w:tcPr>
          <w:p w14:paraId="11528DD7">
            <w:pPr>
              <w:autoSpaceDE w:val="0"/>
              <w:autoSpaceDN w:val="0"/>
              <w:jc w:val="center"/>
              <w:rPr>
                <w:rFonts w:ascii="宋体" w:hAnsi="宋体" w:cs="仿宋"/>
                <w:kern w:val="0"/>
                <w:sz w:val="24"/>
                <w:highlight w:val="none"/>
              </w:rPr>
            </w:pPr>
            <w:r>
              <w:rPr>
                <w:rFonts w:hint="eastAsia" w:ascii="宋体" w:hAnsi="宋体" w:cs="仿宋"/>
                <w:kern w:val="0"/>
                <w:sz w:val="24"/>
                <w:highlight w:val="none"/>
              </w:rPr>
              <w:t>【服务形式】租赁期内7*24小时服务</w:t>
            </w:r>
          </w:p>
        </w:tc>
        <w:tc>
          <w:tcPr>
            <w:tcW w:w="1733" w:type="dxa"/>
            <w:vMerge w:val="restart"/>
            <w:vAlign w:val="center"/>
          </w:tcPr>
          <w:p w14:paraId="5D22ABEB">
            <w:pPr>
              <w:autoSpaceDE w:val="0"/>
              <w:autoSpaceDN w:val="0"/>
              <w:ind w:firstLine="480" w:firstLineChars="200"/>
              <w:jc w:val="center"/>
              <w:rPr>
                <w:rFonts w:ascii="宋体" w:hAnsi="宋体" w:cs="仿宋"/>
                <w:kern w:val="0"/>
                <w:sz w:val="24"/>
                <w:highlight w:val="none"/>
              </w:rPr>
            </w:pPr>
            <w:r>
              <w:rPr>
                <w:rFonts w:hint="eastAsia" w:ascii="宋体" w:hAnsi="宋体" w:cs="仿宋"/>
                <w:kern w:val="0"/>
                <w:sz w:val="24"/>
                <w:highlight w:val="none"/>
              </w:rPr>
              <w:t>12</w:t>
            </w:r>
            <w:r>
              <w:rPr>
                <w:rFonts w:ascii="宋体" w:hAnsi="宋体" w:cs="仿宋"/>
                <w:kern w:val="0"/>
                <w:sz w:val="24"/>
                <w:highlight w:val="none"/>
              </w:rPr>
              <w:t>个月（202</w:t>
            </w:r>
            <w:r>
              <w:rPr>
                <w:rFonts w:hint="eastAsia" w:ascii="宋体" w:hAnsi="宋体" w:cs="仿宋"/>
                <w:kern w:val="0"/>
                <w:sz w:val="24"/>
                <w:highlight w:val="none"/>
              </w:rPr>
              <w:t>4</w:t>
            </w:r>
            <w:r>
              <w:rPr>
                <w:rFonts w:ascii="宋体" w:hAnsi="宋体" w:cs="仿宋"/>
                <w:kern w:val="0"/>
                <w:sz w:val="24"/>
                <w:highlight w:val="none"/>
              </w:rPr>
              <w:t>.</w:t>
            </w:r>
            <w:r>
              <w:rPr>
                <w:rFonts w:hint="eastAsia" w:ascii="宋体" w:hAnsi="宋体" w:cs="仿宋"/>
                <w:kern w:val="0"/>
                <w:sz w:val="24"/>
                <w:highlight w:val="none"/>
              </w:rPr>
              <w:t>8</w:t>
            </w:r>
            <w:r>
              <w:rPr>
                <w:rFonts w:ascii="宋体" w:hAnsi="宋体" w:cs="仿宋"/>
                <w:kern w:val="0"/>
                <w:sz w:val="24"/>
                <w:highlight w:val="none"/>
              </w:rPr>
              <w:t>.1-202</w:t>
            </w:r>
            <w:r>
              <w:rPr>
                <w:rFonts w:hint="eastAsia" w:ascii="宋体" w:hAnsi="宋体" w:cs="仿宋"/>
                <w:kern w:val="0"/>
                <w:sz w:val="24"/>
                <w:highlight w:val="none"/>
              </w:rPr>
              <w:t>5</w:t>
            </w:r>
            <w:r>
              <w:rPr>
                <w:rFonts w:ascii="宋体" w:hAnsi="宋体" w:cs="仿宋"/>
                <w:kern w:val="0"/>
                <w:sz w:val="24"/>
                <w:highlight w:val="none"/>
              </w:rPr>
              <w:t>.7.31）</w:t>
            </w:r>
          </w:p>
        </w:tc>
        <w:tc>
          <w:tcPr>
            <w:tcW w:w="1180" w:type="dxa"/>
            <w:vMerge w:val="restart"/>
            <w:vAlign w:val="center"/>
          </w:tcPr>
          <w:p w14:paraId="40B695A9">
            <w:pPr>
              <w:autoSpaceDE w:val="0"/>
              <w:autoSpaceDN w:val="0"/>
              <w:ind w:firstLine="480" w:firstLineChars="200"/>
              <w:jc w:val="center"/>
              <w:rPr>
                <w:rFonts w:ascii="宋体" w:hAnsi="宋体" w:cs="仿宋"/>
                <w:kern w:val="0"/>
                <w:sz w:val="24"/>
                <w:highlight w:val="none"/>
              </w:rPr>
            </w:pPr>
          </w:p>
        </w:tc>
        <w:tc>
          <w:tcPr>
            <w:tcW w:w="1248" w:type="dxa"/>
            <w:vMerge w:val="restart"/>
            <w:vAlign w:val="center"/>
          </w:tcPr>
          <w:p w14:paraId="4184C062">
            <w:pPr>
              <w:autoSpaceDE w:val="0"/>
              <w:autoSpaceDN w:val="0"/>
              <w:ind w:firstLine="480" w:firstLineChars="200"/>
              <w:jc w:val="center"/>
              <w:rPr>
                <w:rFonts w:ascii="宋体" w:hAnsi="宋体" w:cs="仿宋"/>
                <w:kern w:val="0"/>
                <w:sz w:val="24"/>
                <w:highlight w:val="none"/>
              </w:rPr>
            </w:pPr>
            <w:r>
              <w:rPr>
                <w:rFonts w:hint="eastAsia" w:ascii="宋体" w:hAnsi="宋体" w:cs="仿宋"/>
                <w:kern w:val="0"/>
                <w:sz w:val="24"/>
                <w:highlight w:val="none"/>
              </w:rPr>
              <w:t>　</w:t>
            </w:r>
          </w:p>
        </w:tc>
        <w:tc>
          <w:tcPr>
            <w:tcW w:w="1248" w:type="dxa"/>
            <w:vAlign w:val="center"/>
          </w:tcPr>
          <w:p w14:paraId="6B24459A">
            <w:pPr>
              <w:autoSpaceDE w:val="0"/>
              <w:autoSpaceDN w:val="0"/>
              <w:ind w:firstLine="480" w:firstLineChars="200"/>
              <w:jc w:val="center"/>
              <w:rPr>
                <w:rFonts w:ascii="宋体" w:hAnsi="宋体" w:cs="仿宋"/>
                <w:kern w:val="0"/>
                <w:sz w:val="24"/>
                <w:highlight w:val="none"/>
              </w:rPr>
            </w:pPr>
          </w:p>
        </w:tc>
      </w:tr>
      <w:tr w14:paraId="048A4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626" w:type="dxa"/>
            <w:vMerge w:val="continue"/>
            <w:vAlign w:val="center"/>
          </w:tcPr>
          <w:p w14:paraId="667C3E7F">
            <w:pPr>
              <w:spacing w:line="360" w:lineRule="auto"/>
              <w:jc w:val="left"/>
              <w:outlineLvl w:val="0"/>
              <w:rPr>
                <w:rFonts w:ascii="宋体" w:hAnsi="宋体" w:cs="仿宋"/>
                <w:kern w:val="0"/>
                <w:sz w:val="24"/>
                <w:highlight w:val="none"/>
              </w:rPr>
            </w:pPr>
          </w:p>
        </w:tc>
        <w:tc>
          <w:tcPr>
            <w:tcW w:w="1761" w:type="dxa"/>
            <w:vMerge w:val="continue"/>
            <w:vAlign w:val="center"/>
          </w:tcPr>
          <w:p w14:paraId="695D66BF">
            <w:pPr>
              <w:spacing w:line="360" w:lineRule="auto"/>
              <w:jc w:val="left"/>
              <w:outlineLvl w:val="0"/>
              <w:rPr>
                <w:rFonts w:ascii="宋体" w:hAnsi="宋体" w:cs="仿宋"/>
                <w:kern w:val="0"/>
                <w:sz w:val="24"/>
                <w:highlight w:val="none"/>
              </w:rPr>
            </w:pPr>
          </w:p>
        </w:tc>
        <w:tc>
          <w:tcPr>
            <w:tcW w:w="3460" w:type="dxa"/>
            <w:vAlign w:val="center"/>
          </w:tcPr>
          <w:p w14:paraId="548BFE4F">
            <w:pPr>
              <w:jc w:val="center"/>
              <w:rPr>
                <w:rFonts w:ascii="宋体" w:hAnsi="宋体" w:cs="仿宋"/>
                <w:kern w:val="0"/>
                <w:sz w:val="24"/>
                <w:highlight w:val="none"/>
              </w:rPr>
            </w:pPr>
            <w:r>
              <w:rPr>
                <w:rFonts w:hint="eastAsia" w:ascii="宋体" w:hAnsi="宋体" w:cs="宋体"/>
                <w:kern w:val="0"/>
                <w:sz w:val="24"/>
                <w:highlight w:val="none"/>
              </w:rPr>
              <w:t>货车导航接口</w:t>
            </w:r>
          </w:p>
        </w:tc>
        <w:tc>
          <w:tcPr>
            <w:tcW w:w="1579" w:type="dxa"/>
            <w:vAlign w:val="center"/>
          </w:tcPr>
          <w:p w14:paraId="0EB00E9F">
            <w:pPr>
              <w:spacing w:line="360" w:lineRule="auto"/>
              <w:jc w:val="left"/>
              <w:outlineLvl w:val="0"/>
              <w:rPr>
                <w:rFonts w:ascii="宋体" w:hAnsi="宋体" w:cs="仿宋"/>
                <w:kern w:val="0"/>
                <w:sz w:val="24"/>
                <w:highlight w:val="none"/>
              </w:rPr>
            </w:pPr>
          </w:p>
        </w:tc>
        <w:tc>
          <w:tcPr>
            <w:tcW w:w="1579" w:type="dxa"/>
            <w:vMerge w:val="continue"/>
            <w:vAlign w:val="center"/>
          </w:tcPr>
          <w:p w14:paraId="59AADD27">
            <w:pPr>
              <w:spacing w:line="360" w:lineRule="auto"/>
              <w:jc w:val="left"/>
              <w:outlineLvl w:val="0"/>
              <w:rPr>
                <w:rFonts w:ascii="宋体" w:hAnsi="宋体" w:cs="仿宋"/>
                <w:kern w:val="0"/>
                <w:sz w:val="24"/>
                <w:highlight w:val="none"/>
              </w:rPr>
            </w:pPr>
          </w:p>
        </w:tc>
        <w:tc>
          <w:tcPr>
            <w:tcW w:w="1733" w:type="dxa"/>
            <w:vMerge w:val="continue"/>
            <w:vAlign w:val="center"/>
          </w:tcPr>
          <w:p w14:paraId="6B10F994">
            <w:pPr>
              <w:spacing w:line="360" w:lineRule="auto"/>
              <w:jc w:val="left"/>
              <w:outlineLvl w:val="0"/>
              <w:rPr>
                <w:rFonts w:ascii="宋体" w:hAnsi="宋体" w:cs="仿宋"/>
                <w:kern w:val="0"/>
                <w:sz w:val="24"/>
                <w:highlight w:val="none"/>
              </w:rPr>
            </w:pPr>
          </w:p>
        </w:tc>
        <w:tc>
          <w:tcPr>
            <w:tcW w:w="1180" w:type="dxa"/>
            <w:vMerge w:val="continue"/>
            <w:vAlign w:val="center"/>
          </w:tcPr>
          <w:p w14:paraId="03D60449">
            <w:pPr>
              <w:spacing w:line="360" w:lineRule="auto"/>
              <w:jc w:val="left"/>
              <w:outlineLvl w:val="0"/>
              <w:rPr>
                <w:rFonts w:ascii="宋体" w:hAnsi="宋体" w:cs="仿宋"/>
                <w:kern w:val="0"/>
                <w:sz w:val="24"/>
                <w:highlight w:val="none"/>
              </w:rPr>
            </w:pPr>
          </w:p>
        </w:tc>
        <w:tc>
          <w:tcPr>
            <w:tcW w:w="1248" w:type="dxa"/>
            <w:vMerge w:val="continue"/>
            <w:vAlign w:val="center"/>
          </w:tcPr>
          <w:p w14:paraId="028A7AF5">
            <w:pPr>
              <w:spacing w:line="360" w:lineRule="auto"/>
              <w:jc w:val="left"/>
              <w:outlineLvl w:val="0"/>
              <w:rPr>
                <w:rFonts w:ascii="宋体" w:hAnsi="宋体" w:cs="仿宋"/>
                <w:kern w:val="0"/>
                <w:sz w:val="24"/>
                <w:highlight w:val="none"/>
              </w:rPr>
            </w:pPr>
          </w:p>
        </w:tc>
        <w:tc>
          <w:tcPr>
            <w:tcW w:w="1248" w:type="dxa"/>
            <w:vAlign w:val="center"/>
          </w:tcPr>
          <w:p w14:paraId="3F72B488">
            <w:pPr>
              <w:spacing w:line="360" w:lineRule="auto"/>
              <w:jc w:val="left"/>
              <w:outlineLvl w:val="0"/>
              <w:rPr>
                <w:rFonts w:ascii="宋体" w:hAnsi="宋体" w:cs="仿宋"/>
                <w:kern w:val="0"/>
                <w:sz w:val="24"/>
                <w:highlight w:val="none"/>
              </w:rPr>
            </w:pPr>
          </w:p>
        </w:tc>
      </w:tr>
      <w:tr w14:paraId="541D4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626" w:type="dxa"/>
            <w:vMerge w:val="continue"/>
            <w:vAlign w:val="center"/>
          </w:tcPr>
          <w:p w14:paraId="30039314">
            <w:pPr>
              <w:spacing w:line="360" w:lineRule="auto"/>
              <w:jc w:val="left"/>
              <w:outlineLvl w:val="0"/>
              <w:rPr>
                <w:rFonts w:ascii="宋体" w:hAnsi="宋体" w:cs="仿宋"/>
                <w:kern w:val="0"/>
                <w:sz w:val="24"/>
                <w:highlight w:val="none"/>
              </w:rPr>
            </w:pPr>
          </w:p>
        </w:tc>
        <w:tc>
          <w:tcPr>
            <w:tcW w:w="1761" w:type="dxa"/>
            <w:vMerge w:val="continue"/>
            <w:vAlign w:val="center"/>
          </w:tcPr>
          <w:p w14:paraId="6515341F">
            <w:pPr>
              <w:spacing w:line="360" w:lineRule="auto"/>
              <w:jc w:val="left"/>
              <w:outlineLvl w:val="0"/>
              <w:rPr>
                <w:rFonts w:ascii="宋体" w:hAnsi="宋体" w:cs="仿宋"/>
                <w:kern w:val="0"/>
                <w:sz w:val="24"/>
                <w:highlight w:val="none"/>
              </w:rPr>
            </w:pPr>
          </w:p>
        </w:tc>
        <w:tc>
          <w:tcPr>
            <w:tcW w:w="3460" w:type="dxa"/>
            <w:vAlign w:val="center"/>
          </w:tcPr>
          <w:p w14:paraId="3A02C905">
            <w:pPr>
              <w:jc w:val="center"/>
              <w:rPr>
                <w:rFonts w:ascii="宋体" w:hAnsi="宋体" w:cs="仿宋"/>
                <w:kern w:val="0"/>
                <w:sz w:val="24"/>
                <w:highlight w:val="none"/>
              </w:rPr>
            </w:pPr>
            <w:r>
              <w:rPr>
                <w:rFonts w:hint="eastAsia" w:ascii="宋体" w:hAnsi="宋体" w:cs="宋体"/>
                <w:kern w:val="0"/>
                <w:sz w:val="24"/>
                <w:highlight w:val="none"/>
              </w:rPr>
              <w:t>创建路线及绑定-路线增加</w:t>
            </w:r>
          </w:p>
        </w:tc>
        <w:tc>
          <w:tcPr>
            <w:tcW w:w="1579" w:type="dxa"/>
            <w:vAlign w:val="center"/>
          </w:tcPr>
          <w:p w14:paraId="1DE18A59">
            <w:pPr>
              <w:spacing w:line="360" w:lineRule="auto"/>
              <w:jc w:val="left"/>
              <w:outlineLvl w:val="0"/>
              <w:rPr>
                <w:rFonts w:ascii="宋体" w:hAnsi="宋体" w:cs="仿宋"/>
                <w:kern w:val="0"/>
                <w:sz w:val="24"/>
                <w:highlight w:val="none"/>
              </w:rPr>
            </w:pPr>
          </w:p>
        </w:tc>
        <w:tc>
          <w:tcPr>
            <w:tcW w:w="1579" w:type="dxa"/>
            <w:vMerge w:val="continue"/>
            <w:vAlign w:val="center"/>
          </w:tcPr>
          <w:p w14:paraId="50570376">
            <w:pPr>
              <w:spacing w:line="360" w:lineRule="auto"/>
              <w:jc w:val="left"/>
              <w:outlineLvl w:val="0"/>
              <w:rPr>
                <w:rFonts w:ascii="宋体" w:hAnsi="宋体" w:cs="仿宋"/>
                <w:kern w:val="0"/>
                <w:sz w:val="24"/>
                <w:highlight w:val="none"/>
              </w:rPr>
            </w:pPr>
          </w:p>
        </w:tc>
        <w:tc>
          <w:tcPr>
            <w:tcW w:w="1733" w:type="dxa"/>
            <w:vMerge w:val="continue"/>
            <w:vAlign w:val="center"/>
          </w:tcPr>
          <w:p w14:paraId="07A38ADE">
            <w:pPr>
              <w:spacing w:line="360" w:lineRule="auto"/>
              <w:jc w:val="left"/>
              <w:outlineLvl w:val="0"/>
              <w:rPr>
                <w:rFonts w:ascii="宋体" w:hAnsi="宋体" w:cs="仿宋"/>
                <w:kern w:val="0"/>
                <w:sz w:val="24"/>
                <w:highlight w:val="none"/>
              </w:rPr>
            </w:pPr>
          </w:p>
        </w:tc>
        <w:tc>
          <w:tcPr>
            <w:tcW w:w="1180" w:type="dxa"/>
            <w:vMerge w:val="continue"/>
            <w:vAlign w:val="center"/>
          </w:tcPr>
          <w:p w14:paraId="13CA8B7F">
            <w:pPr>
              <w:spacing w:line="360" w:lineRule="auto"/>
              <w:jc w:val="left"/>
              <w:outlineLvl w:val="0"/>
              <w:rPr>
                <w:rFonts w:ascii="宋体" w:hAnsi="宋体" w:cs="仿宋"/>
                <w:kern w:val="0"/>
                <w:sz w:val="24"/>
                <w:highlight w:val="none"/>
              </w:rPr>
            </w:pPr>
          </w:p>
        </w:tc>
        <w:tc>
          <w:tcPr>
            <w:tcW w:w="1248" w:type="dxa"/>
            <w:vMerge w:val="continue"/>
            <w:vAlign w:val="center"/>
          </w:tcPr>
          <w:p w14:paraId="30CA8343">
            <w:pPr>
              <w:spacing w:line="360" w:lineRule="auto"/>
              <w:jc w:val="left"/>
              <w:outlineLvl w:val="0"/>
              <w:rPr>
                <w:rFonts w:ascii="宋体" w:hAnsi="宋体" w:cs="仿宋"/>
                <w:kern w:val="0"/>
                <w:sz w:val="24"/>
                <w:highlight w:val="none"/>
              </w:rPr>
            </w:pPr>
          </w:p>
        </w:tc>
        <w:tc>
          <w:tcPr>
            <w:tcW w:w="1248" w:type="dxa"/>
            <w:vAlign w:val="center"/>
          </w:tcPr>
          <w:p w14:paraId="7DDB0606">
            <w:pPr>
              <w:spacing w:line="360" w:lineRule="auto"/>
              <w:jc w:val="left"/>
              <w:outlineLvl w:val="0"/>
              <w:rPr>
                <w:rFonts w:ascii="宋体" w:hAnsi="宋体" w:cs="仿宋"/>
                <w:kern w:val="0"/>
                <w:sz w:val="24"/>
                <w:highlight w:val="none"/>
              </w:rPr>
            </w:pPr>
          </w:p>
        </w:tc>
      </w:tr>
      <w:tr w14:paraId="2AF1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626" w:type="dxa"/>
            <w:vMerge w:val="continue"/>
            <w:vAlign w:val="center"/>
          </w:tcPr>
          <w:p w14:paraId="4D59B64B">
            <w:pPr>
              <w:spacing w:line="360" w:lineRule="auto"/>
              <w:jc w:val="left"/>
              <w:outlineLvl w:val="0"/>
              <w:rPr>
                <w:rFonts w:ascii="宋体" w:hAnsi="宋体" w:cs="仿宋"/>
                <w:kern w:val="0"/>
                <w:sz w:val="24"/>
                <w:highlight w:val="none"/>
              </w:rPr>
            </w:pPr>
          </w:p>
        </w:tc>
        <w:tc>
          <w:tcPr>
            <w:tcW w:w="1761" w:type="dxa"/>
            <w:vMerge w:val="continue"/>
            <w:vAlign w:val="center"/>
          </w:tcPr>
          <w:p w14:paraId="2110763F">
            <w:pPr>
              <w:spacing w:line="360" w:lineRule="auto"/>
              <w:jc w:val="left"/>
              <w:outlineLvl w:val="0"/>
              <w:rPr>
                <w:rFonts w:ascii="宋体" w:hAnsi="宋体" w:cs="仿宋"/>
                <w:kern w:val="0"/>
                <w:sz w:val="24"/>
                <w:highlight w:val="none"/>
              </w:rPr>
            </w:pPr>
          </w:p>
        </w:tc>
        <w:tc>
          <w:tcPr>
            <w:tcW w:w="3460" w:type="dxa"/>
            <w:vAlign w:val="center"/>
          </w:tcPr>
          <w:p w14:paraId="0FDC87AC">
            <w:pPr>
              <w:jc w:val="center"/>
              <w:rPr>
                <w:rFonts w:ascii="宋体" w:hAnsi="宋体" w:cs="仿宋"/>
                <w:kern w:val="0"/>
                <w:sz w:val="24"/>
                <w:highlight w:val="none"/>
              </w:rPr>
            </w:pPr>
            <w:r>
              <w:rPr>
                <w:rFonts w:hint="eastAsia" w:ascii="宋体" w:hAnsi="宋体" w:cs="宋体"/>
                <w:kern w:val="0"/>
                <w:sz w:val="24"/>
                <w:highlight w:val="none"/>
              </w:rPr>
              <w:t>创建路线及绑定-路线和线路绑定</w:t>
            </w:r>
          </w:p>
        </w:tc>
        <w:tc>
          <w:tcPr>
            <w:tcW w:w="1579" w:type="dxa"/>
            <w:vAlign w:val="center"/>
          </w:tcPr>
          <w:p w14:paraId="34D23E3F">
            <w:pPr>
              <w:spacing w:line="360" w:lineRule="auto"/>
              <w:jc w:val="left"/>
              <w:outlineLvl w:val="0"/>
              <w:rPr>
                <w:rFonts w:ascii="宋体" w:hAnsi="宋体" w:cs="仿宋"/>
                <w:kern w:val="0"/>
                <w:sz w:val="24"/>
                <w:highlight w:val="none"/>
              </w:rPr>
            </w:pPr>
          </w:p>
        </w:tc>
        <w:tc>
          <w:tcPr>
            <w:tcW w:w="1579" w:type="dxa"/>
            <w:vMerge w:val="continue"/>
            <w:vAlign w:val="center"/>
          </w:tcPr>
          <w:p w14:paraId="46C3A099">
            <w:pPr>
              <w:spacing w:line="360" w:lineRule="auto"/>
              <w:jc w:val="left"/>
              <w:outlineLvl w:val="0"/>
              <w:rPr>
                <w:rFonts w:ascii="宋体" w:hAnsi="宋体" w:cs="仿宋"/>
                <w:kern w:val="0"/>
                <w:sz w:val="24"/>
                <w:highlight w:val="none"/>
              </w:rPr>
            </w:pPr>
          </w:p>
        </w:tc>
        <w:tc>
          <w:tcPr>
            <w:tcW w:w="1733" w:type="dxa"/>
            <w:vMerge w:val="continue"/>
            <w:vAlign w:val="center"/>
          </w:tcPr>
          <w:p w14:paraId="6CFFFF20">
            <w:pPr>
              <w:spacing w:line="360" w:lineRule="auto"/>
              <w:jc w:val="left"/>
              <w:outlineLvl w:val="0"/>
              <w:rPr>
                <w:rFonts w:ascii="宋体" w:hAnsi="宋体" w:cs="仿宋"/>
                <w:kern w:val="0"/>
                <w:sz w:val="24"/>
                <w:highlight w:val="none"/>
              </w:rPr>
            </w:pPr>
          </w:p>
        </w:tc>
        <w:tc>
          <w:tcPr>
            <w:tcW w:w="1180" w:type="dxa"/>
            <w:vMerge w:val="continue"/>
            <w:vAlign w:val="center"/>
          </w:tcPr>
          <w:p w14:paraId="7F221A36">
            <w:pPr>
              <w:spacing w:line="360" w:lineRule="auto"/>
              <w:jc w:val="left"/>
              <w:outlineLvl w:val="0"/>
              <w:rPr>
                <w:rFonts w:ascii="宋体" w:hAnsi="宋体" w:cs="仿宋"/>
                <w:kern w:val="0"/>
                <w:sz w:val="24"/>
                <w:highlight w:val="none"/>
              </w:rPr>
            </w:pPr>
          </w:p>
        </w:tc>
        <w:tc>
          <w:tcPr>
            <w:tcW w:w="1248" w:type="dxa"/>
            <w:vMerge w:val="continue"/>
            <w:vAlign w:val="center"/>
          </w:tcPr>
          <w:p w14:paraId="59E92FD2">
            <w:pPr>
              <w:spacing w:line="360" w:lineRule="auto"/>
              <w:jc w:val="left"/>
              <w:outlineLvl w:val="0"/>
              <w:rPr>
                <w:rFonts w:ascii="宋体" w:hAnsi="宋体" w:cs="仿宋"/>
                <w:kern w:val="0"/>
                <w:sz w:val="24"/>
                <w:highlight w:val="none"/>
              </w:rPr>
            </w:pPr>
          </w:p>
        </w:tc>
        <w:tc>
          <w:tcPr>
            <w:tcW w:w="1248" w:type="dxa"/>
            <w:vAlign w:val="center"/>
          </w:tcPr>
          <w:p w14:paraId="445804ED">
            <w:pPr>
              <w:spacing w:line="360" w:lineRule="auto"/>
              <w:jc w:val="left"/>
              <w:outlineLvl w:val="0"/>
              <w:rPr>
                <w:rFonts w:ascii="宋体" w:hAnsi="宋体" w:cs="仿宋"/>
                <w:kern w:val="0"/>
                <w:sz w:val="24"/>
                <w:highlight w:val="none"/>
              </w:rPr>
            </w:pPr>
          </w:p>
        </w:tc>
      </w:tr>
      <w:tr w14:paraId="1786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626" w:type="dxa"/>
            <w:vMerge w:val="continue"/>
            <w:vAlign w:val="center"/>
          </w:tcPr>
          <w:p w14:paraId="7750BD00">
            <w:pPr>
              <w:spacing w:line="360" w:lineRule="auto"/>
              <w:jc w:val="left"/>
              <w:outlineLvl w:val="0"/>
              <w:rPr>
                <w:rFonts w:ascii="宋体" w:hAnsi="宋体" w:cs="仿宋"/>
                <w:kern w:val="0"/>
                <w:sz w:val="24"/>
                <w:highlight w:val="none"/>
              </w:rPr>
            </w:pPr>
          </w:p>
        </w:tc>
        <w:tc>
          <w:tcPr>
            <w:tcW w:w="1761" w:type="dxa"/>
            <w:vMerge w:val="continue"/>
            <w:vAlign w:val="center"/>
          </w:tcPr>
          <w:p w14:paraId="14BEEBB3">
            <w:pPr>
              <w:spacing w:line="360" w:lineRule="auto"/>
              <w:jc w:val="left"/>
              <w:outlineLvl w:val="0"/>
              <w:rPr>
                <w:rFonts w:ascii="宋体" w:hAnsi="宋体" w:cs="仿宋"/>
                <w:kern w:val="0"/>
                <w:sz w:val="24"/>
                <w:highlight w:val="none"/>
              </w:rPr>
            </w:pPr>
          </w:p>
        </w:tc>
        <w:tc>
          <w:tcPr>
            <w:tcW w:w="3460" w:type="dxa"/>
            <w:vAlign w:val="center"/>
          </w:tcPr>
          <w:p w14:paraId="1A5CA53C">
            <w:pPr>
              <w:jc w:val="center"/>
              <w:rPr>
                <w:rFonts w:ascii="宋体" w:hAnsi="宋体" w:cs="仿宋"/>
                <w:kern w:val="0"/>
                <w:sz w:val="24"/>
                <w:highlight w:val="none"/>
              </w:rPr>
            </w:pPr>
            <w:r>
              <w:rPr>
                <w:rFonts w:hint="eastAsia" w:ascii="宋体" w:hAnsi="宋体" w:cs="宋体"/>
                <w:kern w:val="0"/>
                <w:sz w:val="24"/>
                <w:highlight w:val="none"/>
              </w:rPr>
              <w:t>搜索服务-关键字搜索</w:t>
            </w:r>
          </w:p>
        </w:tc>
        <w:tc>
          <w:tcPr>
            <w:tcW w:w="1579" w:type="dxa"/>
            <w:vAlign w:val="center"/>
          </w:tcPr>
          <w:p w14:paraId="3861F6B2">
            <w:pPr>
              <w:spacing w:line="360" w:lineRule="auto"/>
              <w:jc w:val="left"/>
              <w:outlineLvl w:val="0"/>
              <w:rPr>
                <w:rFonts w:ascii="宋体" w:hAnsi="宋体" w:cs="仿宋"/>
                <w:kern w:val="0"/>
                <w:sz w:val="24"/>
                <w:highlight w:val="none"/>
              </w:rPr>
            </w:pPr>
          </w:p>
        </w:tc>
        <w:tc>
          <w:tcPr>
            <w:tcW w:w="1579" w:type="dxa"/>
            <w:vMerge w:val="continue"/>
            <w:vAlign w:val="center"/>
          </w:tcPr>
          <w:p w14:paraId="326F00C3">
            <w:pPr>
              <w:spacing w:line="360" w:lineRule="auto"/>
              <w:jc w:val="left"/>
              <w:outlineLvl w:val="0"/>
              <w:rPr>
                <w:rFonts w:ascii="宋体" w:hAnsi="宋体" w:cs="仿宋"/>
                <w:kern w:val="0"/>
                <w:sz w:val="24"/>
                <w:highlight w:val="none"/>
              </w:rPr>
            </w:pPr>
          </w:p>
        </w:tc>
        <w:tc>
          <w:tcPr>
            <w:tcW w:w="1733" w:type="dxa"/>
            <w:vMerge w:val="continue"/>
            <w:vAlign w:val="center"/>
          </w:tcPr>
          <w:p w14:paraId="5C66337A">
            <w:pPr>
              <w:spacing w:line="360" w:lineRule="auto"/>
              <w:jc w:val="left"/>
              <w:outlineLvl w:val="0"/>
              <w:rPr>
                <w:rFonts w:ascii="宋体" w:hAnsi="宋体" w:cs="仿宋"/>
                <w:kern w:val="0"/>
                <w:sz w:val="24"/>
                <w:highlight w:val="none"/>
              </w:rPr>
            </w:pPr>
          </w:p>
        </w:tc>
        <w:tc>
          <w:tcPr>
            <w:tcW w:w="1180" w:type="dxa"/>
            <w:vMerge w:val="continue"/>
            <w:vAlign w:val="center"/>
          </w:tcPr>
          <w:p w14:paraId="12B957BD">
            <w:pPr>
              <w:spacing w:line="360" w:lineRule="auto"/>
              <w:jc w:val="left"/>
              <w:outlineLvl w:val="0"/>
              <w:rPr>
                <w:rFonts w:ascii="宋体" w:hAnsi="宋体" w:cs="仿宋"/>
                <w:kern w:val="0"/>
                <w:sz w:val="24"/>
                <w:highlight w:val="none"/>
              </w:rPr>
            </w:pPr>
          </w:p>
        </w:tc>
        <w:tc>
          <w:tcPr>
            <w:tcW w:w="1248" w:type="dxa"/>
            <w:vMerge w:val="continue"/>
            <w:vAlign w:val="center"/>
          </w:tcPr>
          <w:p w14:paraId="4DDFCF20">
            <w:pPr>
              <w:spacing w:line="360" w:lineRule="auto"/>
              <w:jc w:val="left"/>
              <w:outlineLvl w:val="0"/>
              <w:rPr>
                <w:rFonts w:ascii="宋体" w:hAnsi="宋体" w:cs="仿宋"/>
                <w:kern w:val="0"/>
                <w:sz w:val="24"/>
                <w:highlight w:val="none"/>
              </w:rPr>
            </w:pPr>
          </w:p>
        </w:tc>
        <w:tc>
          <w:tcPr>
            <w:tcW w:w="1248" w:type="dxa"/>
            <w:vAlign w:val="center"/>
          </w:tcPr>
          <w:p w14:paraId="38C82756">
            <w:pPr>
              <w:spacing w:line="360" w:lineRule="auto"/>
              <w:jc w:val="left"/>
              <w:outlineLvl w:val="0"/>
              <w:rPr>
                <w:rFonts w:ascii="宋体" w:hAnsi="宋体" w:cs="仿宋"/>
                <w:kern w:val="0"/>
                <w:sz w:val="24"/>
                <w:highlight w:val="none"/>
              </w:rPr>
            </w:pPr>
          </w:p>
        </w:tc>
      </w:tr>
      <w:tr w14:paraId="1297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626" w:type="dxa"/>
            <w:vMerge w:val="continue"/>
            <w:vAlign w:val="center"/>
          </w:tcPr>
          <w:p w14:paraId="2926A2B8">
            <w:pPr>
              <w:spacing w:line="360" w:lineRule="auto"/>
              <w:jc w:val="left"/>
              <w:outlineLvl w:val="0"/>
              <w:rPr>
                <w:rFonts w:ascii="宋体" w:hAnsi="宋体" w:cs="仿宋"/>
                <w:kern w:val="0"/>
                <w:sz w:val="24"/>
                <w:highlight w:val="none"/>
              </w:rPr>
            </w:pPr>
          </w:p>
        </w:tc>
        <w:tc>
          <w:tcPr>
            <w:tcW w:w="1761" w:type="dxa"/>
            <w:vMerge w:val="continue"/>
            <w:vAlign w:val="center"/>
          </w:tcPr>
          <w:p w14:paraId="405F6848">
            <w:pPr>
              <w:spacing w:line="360" w:lineRule="auto"/>
              <w:jc w:val="left"/>
              <w:outlineLvl w:val="0"/>
              <w:rPr>
                <w:rFonts w:ascii="宋体" w:hAnsi="宋体" w:cs="仿宋"/>
                <w:kern w:val="0"/>
                <w:sz w:val="24"/>
                <w:highlight w:val="none"/>
              </w:rPr>
            </w:pPr>
          </w:p>
        </w:tc>
        <w:tc>
          <w:tcPr>
            <w:tcW w:w="3460" w:type="dxa"/>
            <w:vAlign w:val="center"/>
          </w:tcPr>
          <w:p w14:paraId="09F570B2">
            <w:pPr>
              <w:jc w:val="center"/>
              <w:rPr>
                <w:rFonts w:ascii="宋体" w:hAnsi="宋体" w:cs="仿宋"/>
                <w:kern w:val="0"/>
                <w:sz w:val="24"/>
                <w:highlight w:val="none"/>
              </w:rPr>
            </w:pPr>
            <w:r>
              <w:rPr>
                <w:rFonts w:hint="eastAsia" w:ascii="宋体" w:hAnsi="宋体" w:cs="宋体"/>
                <w:kern w:val="0"/>
                <w:sz w:val="24"/>
                <w:highlight w:val="none"/>
              </w:rPr>
              <w:t>定线导航信息获取服务</w:t>
            </w:r>
          </w:p>
        </w:tc>
        <w:tc>
          <w:tcPr>
            <w:tcW w:w="1579" w:type="dxa"/>
            <w:vAlign w:val="center"/>
          </w:tcPr>
          <w:p w14:paraId="0C206B0E">
            <w:pPr>
              <w:spacing w:line="360" w:lineRule="auto"/>
              <w:jc w:val="left"/>
              <w:outlineLvl w:val="0"/>
              <w:rPr>
                <w:rFonts w:ascii="宋体" w:hAnsi="宋体" w:cs="仿宋"/>
                <w:kern w:val="0"/>
                <w:sz w:val="24"/>
                <w:highlight w:val="none"/>
              </w:rPr>
            </w:pPr>
          </w:p>
        </w:tc>
        <w:tc>
          <w:tcPr>
            <w:tcW w:w="1579" w:type="dxa"/>
            <w:vMerge w:val="continue"/>
            <w:vAlign w:val="center"/>
          </w:tcPr>
          <w:p w14:paraId="64A3ED7F">
            <w:pPr>
              <w:spacing w:line="360" w:lineRule="auto"/>
              <w:jc w:val="left"/>
              <w:outlineLvl w:val="0"/>
              <w:rPr>
                <w:rFonts w:ascii="宋体" w:hAnsi="宋体" w:cs="仿宋"/>
                <w:kern w:val="0"/>
                <w:sz w:val="24"/>
                <w:highlight w:val="none"/>
              </w:rPr>
            </w:pPr>
          </w:p>
        </w:tc>
        <w:tc>
          <w:tcPr>
            <w:tcW w:w="1733" w:type="dxa"/>
            <w:vMerge w:val="continue"/>
            <w:vAlign w:val="center"/>
          </w:tcPr>
          <w:p w14:paraId="3F6E216D">
            <w:pPr>
              <w:spacing w:line="360" w:lineRule="auto"/>
              <w:jc w:val="left"/>
              <w:outlineLvl w:val="0"/>
              <w:rPr>
                <w:rFonts w:ascii="宋体" w:hAnsi="宋体" w:cs="仿宋"/>
                <w:kern w:val="0"/>
                <w:sz w:val="24"/>
                <w:highlight w:val="none"/>
              </w:rPr>
            </w:pPr>
          </w:p>
        </w:tc>
        <w:tc>
          <w:tcPr>
            <w:tcW w:w="1180" w:type="dxa"/>
            <w:vMerge w:val="continue"/>
            <w:vAlign w:val="center"/>
          </w:tcPr>
          <w:p w14:paraId="277BB86A">
            <w:pPr>
              <w:spacing w:line="360" w:lineRule="auto"/>
              <w:jc w:val="left"/>
              <w:outlineLvl w:val="0"/>
              <w:rPr>
                <w:rFonts w:ascii="宋体" w:hAnsi="宋体" w:cs="仿宋"/>
                <w:kern w:val="0"/>
                <w:sz w:val="24"/>
                <w:highlight w:val="none"/>
              </w:rPr>
            </w:pPr>
          </w:p>
        </w:tc>
        <w:tc>
          <w:tcPr>
            <w:tcW w:w="1248" w:type="dxa"/>
            <w:vMerge w:val="continue"/>
            <w:vAlign w:val="center"/>
          </w:tcPr>
          <w:p w14:paraId="6350EB0E">
            <w:pPr>
              <w:spacing w:line="360" w:lineRule="auto"/>
              <w:jc w:val="left"/>
              <w:outlineLvl w:val="0"/>
              <w:rPr>
                <w:rFonts w:ascii="宋体" w:hAnsi="宋体" w:cs="仿宋"/>
                <w:kern w:val="0"/>
                <w:sz w:val="24"/>
                <w:highlight w:val="none"/>
              </w:rPr>
            </w:pPr>
          </w:p>
        </w:tc>
        <w:tc>
          <w:tcPr>
            <w:tcW w:w="1248" w:type="dxa"/>
            <w:vAlign w:val="center"/>
          </w:tcPr>
          <w:p w14:paraId="63FEDE68">
            <w:pPr>
              <w:spacing w:line="360" w:lineRule="auto"/>
              <w:jc w:val="left"/>
              <w:outlineLvl w:val="0"/>
              <w:rPr>
                <w:rFonts w:ascii="宋体" w:hAnsi="宋体" w:cs="仿宋"/>
                <w:kern w:val="0"/>
                <w:sz w:val="24"/>
                <w:highlight w:val="none"/>
              </w:rPr>
            </w:pPr>
          </w:p>
        </w:tc>
      </w:tr>
      <w:tr w14:paraId="266C3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626" w:type="dxa"/>
            <w:vMerge w:val="continue"/>
            <w:vAlign w:val="center"/>
          </w:tcPr>
          <w:p w14:paraId="53BB0C65">
            <w:pPr>
              <w:autoSpaceDE w:val="0"/>
              <w:autoSpaceDN w:val="0"/>
              <w:rPr>
                <w:rFonts w:ascii="宋体" w:hAnsi="宋体" w:cs="仿宋"/>
                <w:snapToGrid w:val="0"/>
                <w:sz w:val="24"/>
                <w:highlight w:val="none"/>
              </w:rPr>
            </w:pPr>
          </w:p>
        </w:tc>
        <w:tc>
          <w:tcPr>
            <w:tcW w:w="1761" w:type="dxa"/>
            <w:vMerge w:val="restart"/>
            <w:vAlign w:val="center"/>
          </w:tcPr>
          <w:p w14:paraId="24955B2F">
            <w:pPr>
              <w:autoSpaceDE w:val="0"/>
              <w:autoSpaceDN w:val="0"/>
              <w:jc w:val="center"/>
              <w:rPr>
                <w:rFonts w:ascii="宋体" w:hAnsi="宋体" w:cs="仿宋"/>
                <w:snapToGrid w:val="0"/>
                <w:sz w:val="24"/>
                <w:highlight w:val="none"/>
              </w:rPr>
            </w:pPr>
            <w:r>
              <w:rPr>
                <w:rFonts w:hint="eastAsia" w:ascii="宋体" w:hAnsi="宋体" w:cs="宋体"/>
                <w:kern w:val="0"/>
                <w:sz w:val="24"/>
                <w:highlight w:val="none"/>
              </w:rPr>
              <w:t>城市货运导航数据运营服务</w:t>
            </w:r>
          </w:p>
        </w:tc>
        <w:tc>
          <w:tcPr>
            <w:tcW w:w="3460" w:type="dxa"/>
            <w:vAlign w:val="center"/>
          </w:tcPr>
          <w:p w14:paraId="7ADBA86F">
            <w:pPr>
              <w:autoSpaceDE w:val="0"/>
              <w:autoSpaceDN w:val="0"/>
              <w:rPr>
                <w:rFonts w:ascii="宋体" w:hAnsi="宋体" w:cs="仿宋"/>
                <w:snapToGrid w:val="0"/>
                <w:sz w:val="24"/>
                <w:highlight w:val="none"/>
              </w:rPr>
            </w:pPr>
            <w:r>
              <w:rPr>
                <w:rFonts w:hint="eastAsia" w:ascii="宋体" w:hAnsi="宋体" w:cs="宋体"/>
                <w:kern w:val="0"/>
                <w:sz w:val="24"/>
                <w:highlight w:val="none"/>
              </w:rPr>
              <w:t>常态化货运交通组织优化调整数据服务</w:t>
            </w:r>
          </w:p>
        </w:tc>
        <w:tc>
          <w:tcPr>
            <w:tcW w:w="1579" w:type="dxa"/>
            <w:vAlign w:val="center"/>
          </w:tcPr>
          <w:p w14:paraId="38BBB192">
            <w:pPr>
              <w:autoSpaceDE w:val="0"/>
              <w:autoSpaceDN w:val="0"/>
              <w:ind w:right="-107" w:rightChars="-51"/>
              <w:rPr>
                <w:rFonts w:ascii="宋体" w:hAnsi="宋体" w:cs="仿宋"/>
                <w:kern w:val="0"/>
                <w:sz w:val="24"/>
                <w:highlight w:val="none"/>
              </w:rPr>
            </w:pPr>
          </w:p>
        </w:tc>
        <w:tc>
          <w:tcPr>
            <w:tcW w:w="1579" w:type="dxa"/>
            <w:vMerge w:val="restart"/>
            <w:vAlign w:val="center"/>
          </w:tcPr>
          <w:p w14:paraId="459CBCB4">
            <w:pPr>
              <w:autoSpaceDE w:val="0"/>
              <w:autoSpaceDN w:val="0"/>
              <w:ind w:right="-107" w:rightChars="-51"/>
              <w:rPr>
                <w:rFonts w:ascii="宋体" w:hAnsi="宋体" w:cs="仿宋"/>
                <w:snapToGrid w:val="0"/>
                <w:sz w:val="24"/>
                <w:highlight w:val="none"/>
              </w:rPr>
            </w:pPr>
            <w:r>
              <w:rPr>
                <w:rFonts w:hint="eastAsia" w:ascii="宋体" w:hAnsi="宋体" w:cs="仿宋"/>
                <w:kern w:val="0"/>
                <w:sz w:val="24"/>
                <w:highlight w:val="none"/>
              </w:rPr>
              <w:t>【服务形式】驻点服务</w:t>
            </w:r>
          </w:p>
        </w:tc>
        <w:tc>
          <w:tcPr>
            <w:tcW w:w="1733" w:type="dxa"/>
            <w:vMerge w:val="restart"/>
            <w:vAlign w:val="center"/>
          </w:tcPr>
          <w:p w14:paraId="65AE0966">
            <w:pPr>
              <w:autoSpaceDE w:val="0"/>
              <w:autoSpaceDN w:val="0"/>
              <w:rPr>
                <w:rFonts w:ascii="宋体" w:hAnsi="宋体" w:cs="仿宋"/>
                <w:snapToGrid w:val="0"/>
                <w:sz w:val="24"/>
                <w:highlight w:val="none"/>
              </w:rPr>
            </w:pPr>
            <w:r>
              <w:rPr>
                <w:rFonts w:hint="eastAsia" w:ascii="宋体" w:hAnsi="宋体" w:cs="仿宋"/>
                <w:kern w:val="0"/>
                <w:sz w:val="24"/>
                <w:highlight w:val="none"/>
              </w:rPr>
              <w:t>12</w:t>
            </w:r>
            <w:r>
              <w:rPr>
                <w:rFonts w:ascii="宋体" w:hAnsi="宋体" w:cs="仿宋"/>
                <w:kern w:val="0"/>
                <w:sz w:val="24"/>
                <w:highlight w:val="none"/>
              </w:rPr>
              <w:t>个月（202</w:t>
            </w:r>
            <w:r>
              <w:rPr>
                <w:rFonts w:hint="eastAsia" w:ascii="宋体" w:hAnsi="宋体" w:cs="仿宋"/>
                <w:kern w:val="0"/>
                <w:sz w:val="24"/>
                <w:highlight w:val="none"/>
              </w:rPr>
              <w:t>4</w:t>
            </w:r>
            <w:r>
              <w:rPr>
                <w:rFonts w:ascii="宋体" w:hAnsi="宋体" w:cs="仿宋"/>
                <w:kern w:val="0"/>
                <w:sz w:val="24"/>
                <w:highlight w:val="none"/>
              </w:rPr>
              <w:t>.</w:t>
            </w:r>
            <w:r>
              <w:rPr>
                <w:rFonts w:hint="eastAsia" w:ascii="宋体" w:hAnsi="宋体" w:cs="仿宋"/>
                <w:kern w:val="0"/>
                <w:sz w:val="24"/>
                <w:highlight w:val="none"/>
              </w:rPr>
              <w:t>8</w:t>
            </w:r>
            <w:r>
              <w:rPr>
                <w:rFonts w:ascii="宋体" w:hAnsi="宋体" w:cs="仿宋"/>
                <w:kern w:val="0"/>
                <w:sz w:val="24"/>
                <w:highlight w:val="none"/>
              </w:rPr>
              <w:t>.1-202</w:t>
            </w:r>
            <w:r>
              <w:rPr>
                <w:rFonts w:hint="eastAsia" w:ascii="宋体" w:hAnsi="宋体" w:cs="仿宋"/>
                <w:kern w:val="0"/>
                <w:sz w:val="24"/>
                <w:highlight w:val="none"/>
              </w:rPr>
              <w:t>5</w:t>
            </w:r>
            <w:r>
              <w:rPr>
                <w:rFonts w:ascii="宋体" w:hAnsi="宋体" w:cs="仿宋"/>
                <w:kern w:val="0"/>
                <w:sz w:val="24"/>
                <w:highlight w:val="none"/>
              </w:rPr>
              <w:t>.7.31）</w:t>
            </w:r>
          </w:p>
        </w:tc>
        <w:tc>
          <w:tcPr>
            <w:tcW w:w="1180" w:type="dxa"/>
            <w:vMerge w:val="restart"/>
            <w:vAlign w:val="center"/>
          </w:tcPr>
          <w:p w14:paraId="0E50F01A">
            <w:pPr>
              <w:autoSpaceDE w:val="0"/>
              <w:autoSpaceDN w:val="0"/>
              <w:rPr>
                <w:rFonts w:ascii="宋体" w:hAnsi="宋体" w:cs="仿宋"/>
                <w:snapToGrid w:val="0"/>
                <w:sz w:val="24"/>
                <w:highlight w:val="none"/>
              </w:rPr>
            </w:pPr>
          </w:p>
        </w:tc>
        <w:tc>
          <w:tcPr>
            <w:tcW w:w="1248" w:type="dxa"/>
            <w:vMerge w:val="restart"/>
            <w:vAlign w:val="center"/>
          </w:tcPr>
          <w:p w14:paraId="6D477CA3">
            <w:pPr>
              <w:autoSpaceDE w:val="0"/>
              <w:autoSpaceDN w:val="0"/>
              <w:rPr>
                <w:rFonts w:ascii="宋体" w:hAnsi="宋体" w:cs="仿宋"/>
                <w:snapToGrid w:val="0"/>
                <w:sz w:val="24"/>
                <w:highlight w:val="none"/>
              </w:rPr>
            </w:pPr>
          </w:p>
        </w:tc>
        <w:tc>
          <w:tcPr>
            <w:tcW w:w="1248" w:type="dxa"/>
            <w:vAlign w:val="center"/>
          </w:tcPr>
          <w:p w14:paraId="402BA6F9">
            <w:pPr>
              <w:autoSpaceDE w:val="0"/>
              <w:autoSpaceDN w:val="0"/>
              <w:rPr>
                <w:rFonts w:ascii="宋体" w:hAnsi="宋体" w:cs="仿宋"/>
                <w:snapToGrid w:val="0"/>
                <w:sz w:val="24"/>
                <w:highlight w:val="none"/>
              </w:rPr>
            </w:pPr>
          </w:p>
        </w:tc>
      </w:tr>
      <w:tr w14:paraId="5B28D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626" w:type="dxa"/>
            <w:vMerge w:val="continue"/>
            <w:vAlign w:val="center"/>
          </w:tcPr>
          <w:p w14:paraId="1BBE6443">
            <w:pPr>
              <w:autoSpaceDE w:val="0"/>
              <w:autoSpaceDN w:val="0"/>
              <w:rPr>
                <w:rFonts w:ascii="宋体" w:hAnsi="宋体" w:cs="仿宋"/>
                <w:snapToGrid w:val="0"/>
                <w:sz w:val="24"/>
                <w:highlight w:val="none"/>
              </w:rPr>
            </w:pPr>
          </w:p>
        </w:tc>
        <w:tc>
          <w:tcPr>
            <w:tcW w:w="1761" w:type="dxa"/>
            <w:vMerge w:val="continue"/>
            <w:vAlign w:val="center"/>
          </w:tcPr>
          <w:p w14:paraId="42ADC833">
            <w:pPr>
              <w:autoSpaceDE w:val="0"/>
              <w:autoSpaceDN w:val="0"/>
              <w:rPr>
                <w:rFonts w:ascii="宋体" w:hAnsi="宋体" w:cs="仿宋"/>
                <w:snapToGrid w:val="0"/>
                <w:sz w:val="24"/>
                <w:highlight w:val="none"/>
              </w:rPr>
            </w:pPr>
          </w:p>
        </w:tc>
        <w:tc>
          <w:tcPr>
            <w:tcW w:w="3460" w:type="dxa"/>
            <w:vAlign w:val="center"/>
          </w:tcPr>
          <w:p w14:paraId="181026CF">
            <w:pPr>
              <w:autoSpaceDE w:val="0"/>
              <w:autoSpaceDN w:val="0"/>
              <w:rPr>
                <w:rFonts w:ascii="宋体" w:hAnsi="宋体" w:cs="仿宋"/>
                <w:snapToGrid w:val="0"/>
                <w:sz w:val="24"/>
                <w:highlight w:val="none"/>
              </w:rPr>
            </w:pPr>
            <w:r>
              <w:rPr>
                <w:rFonts w:hint="eastAsia" w:ascii="宋体" w:hAnsi="宋体" w:cs="宋体"/>
                <w:kern w:val="0"/>
                <w:sz w:val="24"/>
                <w:highlight w:val="none"/>
              </w:rPr>
              <w:t>大型活动、会议货运交通组织调整数据服务</w:t>
            </w:r>
          </w:p>
        </w:tc>
        <w:tc>
          <w:tcPr>
            <w:tcW w:w="1579" w:type="dxa"/>
            <w:vAlign w:val="center"/>
          </w:tcPr>
          <w:p w14:paraId="427258B9">
            <w:pPr>
              <w:autoSpaceDE w:val="0"/>
              <w:autoSpaceDN w:val="0"/>
              <w:rPr>
                <w:rFonts w:ascii="宋体" w:hAnsi="宋体" w:cs="仿宋"/>
                <w:snapToGrid w:val="0"/>
                <w:sz w:val="24"/>
                <w:highlight w:val="none"/>
              </w:rPr>
            </w:pPr>
          </w:p>
        </w:tc>
        <w:tc>
          <w:tcPr>
            <w:tcW w:w="1579" w:type="dxa"/>
            <w:vMerge w:val="continue"/>
            <w:vAlign w:val="center"/>
          </w:tcPr>
          <w:p w14:paraId="3D74FFC6">
            <w:pPr>
              <w:autoSpaceDE w:val="0"/>
              <w:autoSpaceDN w:val="0"/>
              <w:rPr>
                <w:rFonts w:ascii="宋体" w:hAnsi="宋体" w:cs="仿宋"/>
                <w:snapToGrid w:val="0"/>
                <w:sz w:val="24"/>
                <w:highlight w:val="none"/>
              </w:rPr>
            </w:pPr>
          </w:p>
        </w:tc>
        <w:tc>
          <w:tcPr>
            <w:tcW w:w="1733" w:type="dxa"/>
            <w:vMerge w:val="continue"/>
            <w:vAlign w:val="center"/>
          </w:tcPr>
          <w:p w14:paraId="2DBB22FF">
            <w:pPr>
              <w:autoSpaceDE w:val="0"/>
              <w:autoSpaceDN w:val="0"/>
              <w:rPr>
                <w:rFonts w:ascii="宋体" w:hAnsi="宋体" w:cs="仿宋"/>
                <w:snapToGrid w:val="0"/>
                <w:sz w:val="24"/>
                <w:highlight w:val="none"/>
              </w:rPr>
            </w:pPr>
          </w:p>
        </w:tc>
        <w:tc>
          <w:tcPr>
            <w:tcW w:w="1180" w:type="dxa"/>
            <w:vMerge w:val="continue"/>
            <w:vAlign w:val="center"/>
          </w:tcPr>
          <w:p w14:paraId="09A2A11D">
            <w:pPr>
              <w:autoSpaceDE w:val="0"/>
              <w:autoSpaceDN w:val="0"/>
              <w:rPr>
                <w:rFonts w:ascii="宋体" w:hAnsi="宋体" w:cs="仿宋"/>
                <w:snapToGrid w:val="0"/>
                <w:sz w:val="24"/>
                <w:highlight w:val="none"/>
              </w:rPr>
            </w:pPr>
          </w:p>
        </w:tc>
        <w:tc>
          <w:tcPr>
            <w:tcW w:w="1248" w:type="dxa"/>
            <w:vMerge w:val="continue"/>
            <w:vAlign w:val="center"/>
          </w:tcPr>
          <w:p w14:paraId="35725AD0">
            <w:pPr>
              <w:autoSpaceDE w:val="0"/>
              <w:autoSpaceDN w:val="0"/>
              <w:rPr>
                <w:rFonts w:ascii="宋体" w:hAnsi="宋体" w:cs="仿宋"/>
                <w:snapToGrid w:val="0"/>
                <w:sz w:val="24"/>
                <w:highlight w:val="none"/>
              </w:rPr>
            </w:pPr>
          </w:p>
        </w:tc>
        <w:tc>
          <w:tcPr>
            <w:tcW w:w="1248" w:type="dxa"/>
            <w:vAlign w:val="center"/>
          </w:tcPr>
          <w:p w14:paraId="449C33E0">
            <w:pPr>
              <w:autoSpaceDE w:val="0"/>
              <w:autoSpaceDN w:val="0"/>
              <w:rPr>
                <w:rFonts w:ascii="宋体" w:hAnsi="宋体" w:cs="仿宋"/>
                <w:snapToGrid w:val="0"/>
                <w:sz w:val="24"/>
                <w:highlight w:val="none"/>
              </w:rPr>
            </w:pPr>
          </w:p>
        </w:tc>
      </w:tr>
      <w:tr w14:paraId="6F9C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626" w:type="dxa"/>
            <w:vMerge w:val="continue"/>
            <w:vAlign w:val="center"/>
          </w:tcPr>
          <w:p w14:paraId="51CC1684">
            <w:pPr>
              <w:autoSpaceDE w:val="0"/>
              <w:autoSpaceDN w:val="0"/>
              <w:rPr>
                <w:rFonts w:ascii="宋体" w:hAnsi="宋体" w:cs="仿宋"/>
                <w:snapToGrid w:val="0"/>
                <w:sz w:val="24"/>
                <w:highlight w:val="none"/>
              </w:rPr>
            </w:pPr>
          </w:p>
        </w:tc>
        <w:tc>
          <w:tcPr>
            <w:tcW w:w="1761" w:type="dxa"/>
            <w:vMerge w:val="continue"/>
            <w:vAlign w:val="center"/>
          </w:tcPr>
          <w:p w14:paraId="08E7035D">
            <w:pPr>
              <w:autoSpaceDE w:val="0"/>
              <w:autoSpaceDN w:val="0"/>
              <w:rPr>
                <w:rFonts w:ascii="宋体" w:hAnsi="宋体" w:cs="仿宋"/>
                <w:snapToGrid w:val="0"/>
                <w:sz w:val="24"/>
                <w:highlight w:val="none"/>
              </w:rPr>
            </w:pPr>
          </w:p>
        </w:tc>
        <w:tc>
          <w:tcPr>
            <w:tcW w:w="3460" w:type="dxa"/>
            <w:vAlign w:val="center"/>
          </w:tcPr>
          <w:p w14:paraId="2C3CA6A5">
            <w:pPr>
              <w:autoSpaceDE w:val="0"/>
              <w:autoSpaceDN w:val="0"/>
              <w:rPr>
                <w:rFonts w:ascii="宋体" w:hAnsi="宋体" w:cs="仿宋"/>
                <w:snapToGrid w:val="0"/>
                <w:sz w:val="24"/>
                <w:highlight w:val="none"/>
              </w:rPr>
            </w:pPr>
            <w:r>
              <w:rPr>
                <w:rFonts w:hint="eastAsia" w:ascii="宋体" w:hAnsi="宋体" w:cs="宋体"/>
                <w:kern w:val="0"/>
                <w:sz w:val="24"/>
                <w:highlight w:val="none"/>
              </w:rPr>
              <w:t>浙江省公安厅行政审批系统、货车通行证系统数据接口对接、数据运营服务</w:t>
            </w:r>
          </w:p>
        </w:tc>
        <w:tc>
          <w:tcPr>
            <w:tcW w:w="1579" w:type="dxa"/>
            <w:vAlign w:val="center"/>
          </w:tcPr>
          <w:p w14:paraId="356E8274">
            <w:pPr>
              <w:autoSpaceDE w:val="0"/>
              <w:autoSpaceDN w:val="0"/>
              <w:rPr>
                <w:rFonts w:ascii="宋体" w:hAnsi="宋体" w:cs="仿宋"/>
                <w:snapToGrid w:val="0"/>
                <w:sz w:val="24"/>
                <w:highlight w:val="none"/>
              </w:rPr>
            </w:pPr>
          </w:p>
        </w:tc>
        <w:tc>
          <w:tcPr>
            <w:tcW w:w="1579" w:type="dxa"/>
            <w:vMerge w:val="continue"/>
            <w:vAlign w:val="center"/>
          </w:tcPr>
          <w:p w14:paraId="5E7C351A">
            <w:pPr>
              <w:autoSpaceDE w:val="0"/>
              <w:autoSpaceDN w:val="0"/>
              <w:rPr>
                <w:rFonts w:ascii="宋体" w:hAnsi="宋体" w:cs="仿宋"/>
                <w:snapToGrid w:val="0"/>
                <w:sz w:val="24"/>
                <w:highlight w:val="none"/>
              </w:rPr>
            </w:pPr>
          </w:p>
        </w:tc>
        <w:tc>
          <w:tcPr>
            <w:tcW w:w="1733" w:type="dxa"/>
            <w:vMerge w:val="continue"/>
            <w:vAlign w:val="center"/>
          </w:tcPr>
          <w:p w14:paraId="22234E03">
            <w:pPr>
              <w:autoSpaceDE w:val="0"/>
              <w:autoSpaceDN w:val="0"/>
              <w:rPr>
                <w:rFonts w:ascii="宋体" w:hAnsi="宋体" w:cs="仿宋"/>
                <w:snapToGrid w:val="0"/>
                <w:sz w:val="24"/>
                <w:highlight w:val="none"/>
              </w:rPr>
            </w:pPr>
          </w:p>
        </w:tc>
        <w:tc>
          <w:tcPr>
            <w:tcW w:w="1180" w:type="dxa"/>
            <w:vMerge w:val="continue"/>
            <w:vAlign w:val="center"/>
          </w:tcPr>
          <w:p w14:paraId="35A3A267">
            <w:pPr>
              <w:autoSpaceDE w:val="0"/>
              <w:autoSpaceDN w:val="0"/>
              <w:rPr>
                <w:rFonts w:ascii="宋体" w:hAnsi="宋体" w:cs="仿宋"/>
                <w:snapToGrid w:val="0"/>
                <w:sz w:val="24"/>
                <w:highlight w:val="none"/>
              </w:rPr>
            </w:pPr>
          </w:p>
        </w:tc>
        <w:tc>
          <w:tcPr>
            <w:tcW w:w="1248" w:type="dxa"/>
            <w:vMerge w:val="continue"/>
            <w:vAlign w:val="center"/>
          </w:tcPr>
          <w:p w14:paraId="240BBE0C">
            <w:pPr>
              <w:autoSpaceDE w:val="0"/>
              <w:autoSpaceDN w:val="0"/>
              <w:rPr>
                <w:rFonts w:ascii="宋体" w:hAnsi="宋体" w:cs="仿宋"/>
                <w:snapToGrid w:val="0"/>
                <w:sz w:val="24"/>
                <w:highlight w:val="none"/>
              </w:rPr>
            </w:pPr>
          </w:p>
        </w:tc>
        <w:tc>
          <w:tcPr>
            <w:tcW w:w="1248" w:type="dxa"/>
            <w:vAlign w:val="center"/>
          </w:tcPr>
          <w:p w14:paraId="4BC4AF0A">
            <w:pPr>
              <w:autoSpaceDE w:val="0"/>
              <w:autoSpaceDN w:val="0"/>
              <w:rPr>
                <w:rFonts w:ascii="宋体" w:hAnsi="宋体" w:cs="仿宋"/>
                <w:snapToGrid w:val="0"/>
                <w:sz w:val="24"/>
                <w:highlight w:val="none"/>
              </w:rPr>
            </w:pPr>
          </w:p>
        </w:tc>
      </w:tr>
      <w:tr w14:paraId="53F9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626" w:type="dxa"/>
            <w:vMerge w:val="continue"/>
            <w:vAlign w:val="center"/>
          </w:tcPr>
          <w:p w14:paraId="2EBD67E5">
            <w:pPr>
              <w:autoSpaceDE w:val="0"/>
              <w:autoSpaceDN w:val="0"/>
              <w:rPr>
                <w:rFonts w:ascii="宋体" w:hAnsi="宋体" w:cs="仿宋"/>
                <w:snapToGrid w:val="0"/>
                <w:sz w:val="24"/>
                <w:highlight w:val="none"/>
              </w:rPr>
            </w:pPr>
          </w:p>
        </w:tc>
        <w:tc>
          <w:tcPr>
            <w:tcW w:w="1761" w:type="dxa"/>
            <w:vMerge w:val="continue"/>
            <w:vAlign w:val="center"/>
          </w:tcPr>
          <w:p w14:paraId="797D333B">
            <w:pPr>
              <w:autoSpaceDE w:val="0"/>
              <w:autoSpaceDN w:val="0"/>
              <w:rPr>
                <w:rFonts w:ascii="宋体" w:hAnsi="宋体" w:cs="仿宋"/>
                <w:snapToGrid w:val="0"/>
                <w:sz w:val="24"/>
                <w:highlight w:val="none"/>
              </w:rPr>
            </w:pPr>
          </w:p>
        </w:tc>
        <w:tc>
          <w:tcPr>
            <w:tcW w:w="3460" w:type="dxa"/>
            <w:vAlign w:val="center"/>
          </w:tcPr>
          <w:p w14:paraId="4108C0DB">
            <w:pPr>
              <w:autoSpaceDE w:val="0"/>
              <w:autoSpaceDN w:val="0"/>
              <w:rPr>
                <w:rFonts w:ascii="宋体" w:hAnsi="宋体" w:cs="仿宋"/>
                <w:snapToGrid w:val="0"/>
                <w:sz w:val="24"/>
                <w:highlight w:val="none"/>
              </w:rPr>
            </w:pPr>
            <w:r>
              <w:rPr>
                <w:rFonts w:hint="eastAsia" w:ascii="宋体" w:hAnsi="宋体" w:cs="宋体"/>
                <w:kern w:val="0"/>
                <w:sz w:val="24"/>
                <w:highlight w:val="none"/>
              </w:rPr>
              <w:t>大型活动期间浙江省公安厅行政审批系统、货车通行证系统数据接口对接、数据运营服务</w:t>
            </w:r>
          </w:p>
        </w:tc>
        <w:tc>
          <w:tcPr>
            <w:tcW w:w="1579" w:type="dxa"/>
            <w:vAlign w:val="center"/>
          </w:tcPr>
          <w:p w14:paraId="36130237">
            <w:pPr>
              <w:autoSpaceDE w:val="0"/>
              <w:autoSpaceDN w:val="0"/>
              <w:rPr>
                <w:rFonts w:ascii="宋体" w:hAnsi="宋体" w:cs="仿宋"/>
                <w:snapToGrid w:val="0"/>
                <w:sz w:val="24"/>
                <w:highlight w:val="none"/>
              </w:rPr>
            </w:pPr>
          </w:p>
        </w:tc>
        <w:tc>
          <w:tcPr>
            <w:tcW w:w="1579" w:type="dxa"/>
            <w:vMerge w:val="continue"/>
            <w:vAlign w:val="center"/>
          </w:tcPr>
          <w:p w14:paraId="44BE79FD">
            <w:pPr>
              <w:autoSpaceDE w:val="0"/>
              <w:autoSpaceDN w:val="0"/>
              <w:rPr>
                <w:rFonts w:ascii="宋体" w:hAnsi="宋体" w:cs="仿宋"/>
                <w:snapToGrid w:val="0"/>
                <w:sz w:val="24"/>
                <w:highlight w:val="none"/>
              </w:rPr>
            </w:pPr>
          </w:p>
        </w:tc>
        <w:tc>
          <w:tcPr>
            <w:tcW w:w="1733" w:type="dxa"/>
            <w:vMerge w:val="continue"/>
            <w:vAlign w:val="center"/>
          </w:tcPr>
          <w:p w14:paraId="70667E66">
            <w:pPr>
              <w:autoSpaceDE w:val="0"/>
              <w:autoSpaceDN w:val="0"/>
              <w:rPr>
                <w:rFonts w:ascii="宋体" w:hAnsi="宋体" w:cs="仿宋"/>
                <w:snapToGrid w:val="0"/>
                <w:sz w:val="24"/>
                <w:highlight w:val="none"/>
              </w:rPr>
            </w:pPr>
          </w:p>
        </w:tc>
        <w:tc>
          <w:tcPr>
            <w:tcW w:w="1180" w:type="dxa"/>
            <w:vMerge w:val="continue"/>
            <w:vAlign w:val="center"/>
          </w:tcPr>
          <w:p w14:paraId="2C4D6D1E">
            <w:pPr>
              <w:autoSpaceDE w:val="0"/>
              <w:autoSpaceDN w:val="0"/>
              <w:rPr>
                <w:rFonts w:ascii="宋体" w:hAnsi="宋体" w:cs="仿宋"/>
                <w:snapToGrid w:val="0"/>
                <w:sz w:val="24"/>
                <w:highlight w:val="none"/>
              </w:rPr>
            </w:pPr>
          </w:p>
        </w:tc>
        <w:tc>
          <w:tcPr>
            <w:tcW w:w="1248" w:type="dxa"/>
            <w:vMerge w:val="continue"/>
            <w:vAlign w:val="center"/>
          </w:tcPr>
          <w:p w14:paraId="1750DCF1">
            <w:pPr>
              <w:autoSpaceDE w:val="0"/>
              <w:autoSpaceDN w:val="0"/>
              <w:rPr>
                <w:rFonts w:ascii="宋体" w:hAnsi="宋体" w:cs="仿宋"/>
                <w:snapToGrid w:val="0"/>
                <w:sz w:val="24"/>
                <w:highlight w:val="none"/>
              </w:rPr>
            </w:pPr>
          </w:p>
        </w:tc>
        <w:tc>
          <w:tcPr>
            <w:tcW w:w="1248" w:type="dxa"/>
            <w:vAlign w:val="center"/>
          </w:tcPr>
          <w:p w14:paraId="0467681F">
            <w:pPr>
              <w:autoSpaceDE w:val="0"/>
              <w:autoSpaceDN w:val="0"/>
              <w:rPr>
                <w:rFonts w:ascii="宋体" w:hAnsi="宋体" w:cs="仿宋"/>
                <w:snapToGrid w:val="0"/>
                <w:sz w:val="24"/>
                <w:highlight w:val="none"/>
              </w:rPr>
            </w:pPr>
          </w:p>
        </w:tc>
      </w:tr>
      <w:tr w14:paraId="14A3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626" w:type="dxa"/>
            <w:vMerge w:val="restart"/>
            <w:vAlign w:val="center"/>
          </w:tcPr>
          <w:p w14:paraId="0823842C">
            <w:pPr>
              <w:autoSpaceDE w:val="0"/>
              <w:autoSpaceDN w:val="0"/>
              <w:rPr>
                <w:rFonts w:ascii="宋体" w:hAnsi="宋体" w:cs="仿宋"/>
                <w:snapToGrid w:val="0"/>
                <w:sz w:val="24"/>
                <w:highlight w:val="none"/>
              </w:rPr>
            </w:pPr>
            <w:r>
              <w:rPr>
                <w:rFonts w:hint="eastAsia" w:ascii="宋体" w:hAnsi="宋体" w:cs="宋体"/>
                <w:kern w:val="0"/>
                <w:sz w:val="24"/>
                <w:highlight w:val="none"/>
              </w:rPr>
              <w:t>安全防控风险预警服务</w:t>
            </w:r>
          </w:p>
        </w:tc>
        <w:tc>
          <w:tcPr>
            <w:tcW w:w="1761" w:type="dxa"/>
            <w:vMerge w:val="restart"/>
            <w:vAlign w:val="center"/>
          </w:tcPr>
          <w:p w14:paraId="5FC30580">
            <w:pPr>
              <w:autoSpaceDE w:val="0"/>
              <w:autoSpaceDN w:val="0"/>
              <w:rPr>
                <w:rFonts w:ascii="宋体" w:hAnsi="宋体" w:cs="仿宋"/>
                <w:snapToGrid w:val="0"/>
                <w:sz w:val="24"/>
                <w:highlight w:val="none"/>
              </w:rPr>
            </w:pPr>
            <w:r>
              <w:rPr>
                <w:rFonts w:hint="eastAsia" w:ascii="宋体" w:hAnsi="宋体" w:cs="宋体"/>
                <w:kern w:val="0"/>
                <w:sz w:val="24"/>
                <w:highlight w:val="none"/>
              </w:rPr>
              <w:t>安全防控风险预警服务</w:t>
            </w:r>
          </w:p>
        </w:tc>
        <w:tc>
          <w:tcPr>
            <w:tcW w:w="3460" w:type="dxa"/>
            <w:vAlign w:val="center"/>
          </w:tcPr>
          <w:p w14:paraId="26F8D407">
            <w:pPr>
              <w:autoSpaceDE w:val="0"/>
              <w:autoSpaceDN w:val="0"/>
              <w:rPr>
                <w:rFonts w:ascii="宋体" w:hAnsi="宋体" w:cs="仿宋"/>
                <w:snapToGrid w:val="0"/>
                <w:sz w:val="24"/>
                <w:highlight w:val="none"/>
              </w:rPr>
            </w:pPr>
            <w:r>
              <w:rPr>
                <w:rFonts w:hint="eastAsia" w:ascii="宋体" w:hAnsi="宋体" w:cs="宋体"/>
                <w:kern w:val="0"/>
                <w:sz w:val="24"/>
                <w:highlight w:val="none"/>
              </w:rPr>
              <w:t>“波次统一行动”预警服务</w:t>
            </w:r>
          </w:p>
        </w:tc>
        <w:tc>
          <w:tcPr>
            <w:tcW w:w="1579" w:type="dxa"/>
            <w:vAlign w:val="center"/>
          </w:tcPr>
          <w:p w14:paraId="28703296">
            <w:pPr>
              <w:autoSpaceDE w:val="0"/>
              <w:autoSpaceDN w:val="0"/>
              <w:rPr>
                <w:rFonts w:ascii="宋体" w:hAnsi="宋体" w:cs="宋体"/>
                <w:kern w:val="0"/>
                <w:sz w:val="20"/>
                <w:szCs w:val="20"/>
                <w:highlight w:val="none"/>
              </w:rPr>
            </w:pPr>
          </w:p>
        </w:tc>
        <w:tc>
          <w:tcPr>
            <w:tcW w:w="1579" w:type="dxa"/>
            <w:vMerge w:val="restart"/>
            <w:vAlign w:val="center"/>
          </w:tcPr>
          <w:p w14:paraId="06CA88BE">
            <w:pPr>
              <w:autoSpaceDE w:val="0"/>
              <w:autoSpaceDN w:val="0"/>
              <w:rPr>
                <w:rFonts w:ascii="宋体" w:hAnsi="宋体" w:cs="仿宋"/>
                <w:kern w:val="0"/>
                <w:sz w:val="24"/>
                <w:highlight w:val="none"/>
              </w:rPr>
            </w:pPr>
            <w:r>
              <w:rPr>
                <w:rFonts w:hint="eastAsia" w:ascii="宋体" w:hAnsi="宋体" w:cs="仿宋"/>
                <w:kern w:val="0"/>
                <w:sz w:val="24"/>
                <w:highlight w:val="none"/>
              </w:rPr>
              <w:t>【服务形式】</w:t>
            </w:r>
          </w:p>
          <w:p w14:paraId="7FC5A4E0">
            <w:pPr>
              <w:autoSpaceDE w:val="0"/>
              <w:autoSpaceDN w:val="0"/>
              <w:rPr>
                <w:rFonts w:ascii="宋体" w:hAnsi="宋体" w:cs="仿宋"/>
                <w:snapToGrid w:val="0"/>
                <w:sz w:val="24"/>
                <w:highlight w:val="none"/>
              </w:rPr>
            </w:pPr>
            <w:r>
              <w:rPr>
                <w:rFonts w:hint="eastAsia" w:ascii="宋体" w:hAnsi="宋体" w:cs="宋体"/>
                <w:kern w:val="0"/>
                <w:sz w:val="20"/>
                <w:szCs w:val="20"/>
                <w:highlight w:val="none"/>
              </w:rPr>
              <w:t>工具租用，租赁期满后设备处置权</w:t>
            </w:r>
            <w:r>
              <w:rPr>
                <w:rFonts w:hint="eastAsia" w:ascii="宋体" w:hAnsi="宋体" w:cs="宋体"/>
                <w:kern w:val="0"/>
                <w:sz w:val="20"/>
                <w:szCs w:val="20"/>
                <w:highlight w:val="none"/>
                <w:lang w:val="en-US" w:eastAsia="zh-CN"/>
              </w:rPr>
              <w:t>归属采购人</w:t>
            </w:r>
            <w:r>
              <w:rPr>
                <w:rFonts w:hint="eastAsia" w:ascii="宋体" w:hAnsi="宋体" w:cs="宋体"/>
                <w:kern w:val="0"/>
                <w:sz w:val="20"/>
                <w:szCs w:val="20"/>
                <w:highlight w:val="none"/>
              </w:rPr>
              <w:t>所有</w:t>
            </w:r>
          </w:p>
        </w:tc>
        <w:tc>
          <w:tcPr>
            <w:tcW w:w="1733" w:type="dxa"/>
            <w:vMerge w:val="restart"/>
            <w:vAlign w:val="center"/>
          </w:tcPr>
          <w:p w14:paraId="1F1C29CF">
            <w:pPr>
              <w:autoSpaceDE w:val="0"/>
              <w:autoSpaceDN w:val="0"/>
              <w:rPr>
                <w:rFonts w:ascii="宋体" w:hAnsi="宋体" w:cs="仿宋"/>
                <w:snapToGrid w:val="0"/>
                <w:sz w:val="24"/>
                <w:highlight w:val="none"/>
              </w:rPr>
            </w:pPr>
            <w:r>
              <w:rPr>
                <w:rFonts w:hint="eastAsia" w:ascii="宋体" w:hAnsi="宋体" w:cs="仿宋"/>
                <w:kern w:val="0"/>
                <w:sz w:val="24"/>
                <w:highlight w:val="none"/>
              </w:rPr>
              <w:t>12</w:t>
            </w:r>
            <w:r>
              <w:rPr>
                <w:rFonts w:ascii="宋体" w:hAnsi="宋体" w:cs="仿宋"/>
                <w:kern w:val="0"/>
                <w:sz w:val="24"/>
                <w:highlight w:val="none"/>
              </w:rPr>
              <w:t>个月（202</w:t>
            </w:r>
            <w:r>
              <w:rPr>
                <w:rFonts w:hint="eastAsia" w:ascii="宋体" w:hAnsi="宋体" w:cs="仿宋"/>
                <w:kern w:val="0"/>
                <w:sz w:val="24"/>
                <w:highlight w:val="none"/>
              </w:rPr>
              <w:t>4</w:t>
            </w:r>
            <w:r>
              <w:rPr>
                <w:rFonts w:ascii="宋体" w:hAnsi="宋体" w:cs="仿宋"/>
                <w:kern w:val="0"/>
                <w:sz w:val="24"/>
                <w:highlight w:val="none"/>
              </w:rPr>
              <w:t>.</w:t>
            </w:r>
            <w:r>
              <w:rPr>
                <w:rFonts w:hint="eastAsia" w:ascii="宋体" w:hAnsi="宋体" w:cs="仿宋"/>
                <w:kern w:val="0"/>
                <w:sz w:val="24"/>
                <w:highlight w:val="none"/>
              </w:rPr>
              <w:t>8</w:t>
            </w:r>
            <w:r>
              <w:rPr>
                <w:rFonts w:ascii="宋体" w:hAnsi="宋体" w:cs="仿宋"/>
                <w:kern w:val="0"/>
                <w:sz w:val="24"/>
                <w:highlight w:val="none"/>
              </w:rPr>
              <w:t>.1-202</w:t>
            </w:r>
            <w:r>
              <w:rPr>
                <w:rFonts w:hint="eastAsia" w:ascii="宋体" w:hAnsi="宋体" w:cs="仿宋"/>
                <w:kern w:val="0"/>
                <w:sz w:val="24"/>
                <w:highlight w:val="none"/>
              </w:rPr>
              <w:t>5</w:t>
            </w:r>
            <w:r>
              <w:rPr>
                <w:rFonts w:ascii="宋体" w:hAnsi="宋体" w:cs="仿宋"/>
                <w:kern w:val="0"/>
                <w:sz w:val="24"/>
                <w:highlight w:val="none"/>
              </w:rPr>
              <w:t>.7.31）</w:t>
            </w:r>
          </w:p>
        </w:tc>
        <w:tc>
          <w:tcPr>
            <w:tcW w:w="1180" w:type="dxa"/>
            <w:vMerge w:val="restart"/>
            <w:vAlign w:val="center"/>
          </w:tcPr>
          <w:p w14:paraId="5D97D929">
            <w:pPr>
              <w:autoSpaceDE w:val="0"/>
              <w:autoSpaceDN w:val="0"/>
              <w:rPr>
                <w:rFonts w:ascii="宋体" w:hAnsi="宋体" w:cs="仿宋"/>
                <w:snapToGrid w:val="0"/>
                <w:sz w:val="24"/>
                <w:highlight w:val="none"/>
              </w:rPr>
            </w:pPr>
          </w:p>
        </w:tc>
        <w:tc>
          <w:tcPr>
            <w:tcW w:w="1248" w:type="dxa"/>
            <w:vMerge w:val="restart"/>
            <w:vAlign w:val="center"/>
          </w:tcPr>
          <w:p w14:paraId="0E3D66BE">
            <w:pPr>
              <w:autoSpaceDE w:val="0"/>
              <w:autoSpaceDN w:val="0"/>
              <w:rPr>
                <w:rFonts w:ascii="宋体" w:hAnsi="宋体" w:cs="仿宋"/>
                <w:snapToGrid w:val="0"/>
                <w:sz w:val="24"/>
                <w:highlight w:val="none"/>
              </w:rPr>
            </w:pPr>
          </w:p>
        </w:tc>
        <w:tc>
          <w:tcPr>
            <w:tcW w:w="1248" w:type="dxa"/>
            <w:vAlign w:val="center"/>
          </w:tcPr>
          <w:p w14:paraId="4B2A1EF3">
            <w:pPr>
              <w:autoSpaceDE w:val="0"/>
              <w:autoSpaceDN w:val="0"/>
              <w:rPr>
                <w:rFonts w:ascii="宋体" w:hAnsi="宋体" w:cs="仿宋"/>
                <w:snapToGrid w:val="0"/>
                <w:sz w:val="24"/>
                <w:highlight w:val="none"/>
              </w:rPr>
            </w:pPr>
          </w:p>
        </w:tc>
      </w:tr>
      <w:tr w14:paraId="6948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626" w:type="dxa"/>
            <w:vMerge w:val="continue"/>
            <w:vAlign w:val="center"/>
          </w:tcPr>
          <w:p w14:paraId="2BFCB80A">
            <w:pPr>
              <w:autoSpaceDE w:val="0"/>
              <w:autoSpaceDN w:val="0"/>
              <w:rPr>
                <w:rFonts w:ascii="宋体" w:hAnsi="宋体" w:cs="仿宋"/>
                <w:snapToGrid w:val="0"/>
                <w:sz w:val="24"/>
                <w:highlight w:val="none"/>
              </w:rPr>
            </w:pPr>
          </w:p>
        </w:tc>
        <w:tc>
          <w:tcPr>
            <w:tcW w:w="1761" w:type="dxa"/>
            <w:vMerge w:val="continue"/>
            <w:vAlign w:val="center"/>
          </w:tcPr>
          <w:p w14:paraId="0D1935FB">
            <w:pPr>
              <w:autoSpaceDE w:val="0"/>
              <w:autoSpaceDN w:val="0"/>
              <w:rPr>
                <w:rFonts w:ascii="宋体" w:hAnsi="宋体" w:cs="仿宋"/>
                <w:snapToGrid w:val="0"/>
                <w:sz w:val="24"/>
                <w:highlight w:val="none"/>
              </w:rPr>
            </w:pPr>
          </w:p>
        </w:tc>
        <w:tc>
          <w:tcPr>
            <w:tcW w:w="3460" w:type="dxa"/>
            <w:vAlign w:val="center"/>
          </w:tcPr>
          <w:p w14:paraId="50AC41DD">
            <w:pPr>
              <w:autoSpaceDE w:val="0"/>
              <w:autoSpaceDN w:val="0"/>
              <w:rPr>
                <w:rFonts w:ascii="宋体" w:hAnsi="宋体" w:cs="仿宋"/>
                <w:snapToGrid w:val="0"/>
                <w:sz w:val="24"/>
                <w:highlight w:val="none"/>
              </w:rPr>
            </w:pPr>
            <w:r>
              <w:rPr>
                <w:rFonts w:hint="eastAsia" w:ascii="宋体" w:hAnsi="宋体" w:cs="宋体"/>
                <w:kern w:val="0"/>
                <w:sz w:val="24"/>
                <w:highlight w:val="none"/>
              </w:rPr>
              <w:t>事故与违法查处趋势分析服务</w:t>
            </w:r>
          </w:p>
        </w:tc>
        <w:tc>
          <w:tcPr>
            <w:tcW w:w="1579" w:type="dxa"/>
            <w:vAlign w:val="center"/>
          </w:tcPr>
          <w:p w14:paraId="4608BB3B">
            <w:pPr>
              <w:autoSpaceDE w:val="0"/>
              <w:autoSpaceDN w:val="0"/>
              <w:rPr>
                <w:rFonts w:ascii="宋体" w:hAnsi="宋体" w:cs="仿宋"/>
                <w:snapToGrid w:val="0"/>
                <w:sz w:val="24"/>
                <w:highlight w:val="none"/>
              </w:rPr>
            </w:pPr>
          </w:p>
        </w:tc>
        <w:tc>
          <w:tcPr>
            <w:tcW w:w="1579" w:type="dxa"/>
            <w:vMerge w:val="continue"/>
            <w:vAlign w:val="center"/>
          </w:tcPr>
          <w:p w14:paraId="500B7EF7">
            <w:pPr>
              <w:autoSpaceDE w:val="0"/>
              <w:autoSpaceDN w:val="0"/>
              <w:rPr>
                <w:rFonts w:ascii="宋体" w:hAnsi="宋体" w:cs="仿宋"/>
                <w:snapToGrid w:val="0"/>
                <w:sz w:val="24"/>
                <w:highlight w:val="none"/>
              </w:rPr>
            </w:pPr>
          </w:p>
        </w:tc>
        <w:tc>
          <w:tcPr>
            <w:tcW w:w="1733" w:type="dxa"/>
            <w:vMerge w:val="continue"/>
            <w:vAlign w:val="center"/>
          </w:tcPr>
          <w:p w14:paraId="3F962AD0">
            <w:pPr>
              <w:autoSpaceDE w:val="0"/>
              <w:autoSpaceDN w:val="0"/>
              <w:rPr>
                <w:rFonts w:ascii="宋体" w:hAnsi="宋体" w:cs="仿宋"/>
                <w:snapToGrid w:val="0"/>
                <w:sz w:val="24"/>
                <w:highlight w:val="none"/>
              </w:rPr>
            </w:pPr>
          </w:p>
        </w:tc>
        <w:tc>
          <w:tcPr>
            <w:tcW w:w="1180" w:type="dxa"/>
            <w:vMerge w:val="continue"/>
            <w:vAlign w:val="center"/>
          </w:tcPr>
          <w:p w14:paraId="3784CAD2">
            <w:pPr>
              <w:autoSpaceDE w:val="0"/>
              <w:autoSpaceDN w:val="0"/>
              <w:rPr>
                <w:rFonts w:ascii="宋体" w:hAnsi="宋体" w:cs="仿宋"/>
                <w:snapToGrid w:val="0"/>
                <w:sz w:val="24"/>
                <w:highlight w:val="none"/>
              </w:rPr>
            </w:pPr>
          </w:p>
        </w:tc>
        <w:tc>
          <w:tcPr>
            <w:tcW w:w="1248" w:type="dxa"/>
            <w:vMerge w:val="continue"/>
            <w:vAlign w:val="center"/>
          </w:tcPr>
          <w:p w14:paraId="6ED6122C">
            <w:pPr>
              <w:autoSpaceDE w:val="0"/>
              <w:autoSpaceDN w:val="0"/>
              <w:rPr>
                <w:rFonts w:ascii="宋体" w:hAnsi="宋体" w:cs="仿宋"/>
                <w:snapToGrid w:val="0"/>
                <w:sz w:val="24"/>
                <w:highlight w:val="none"/>
              </w:rPr>
            </w:pPr>
          </w:p>
        </w:tc>
        <w:tc>
          <w:tcPr>
            <w:tcW w:w="1248" w:type="dxa"/>
            <w:vAlign w:val="center"/>
          </w:tcPr>
          <w:p w14:paraId="4CB9123C">
            <w:pPr>
              <w:autoSpaceDE w:val="0"/>
              <w:autoSpaceDN w:val="0"/>
              <w:rPr>
                <w:rFonts w:ascii="宋体" w:hAnsi="宋体" w:cs="仿宋"/>
                <w:snapToGrid w:val="0"/>
                <w:sz w:val="24"/>
                <w:highlight w:val="none"/>
              </w:rPr>
            </w:pPr>
          </w:p>
        </w:tc>
      </w:tr>
      <w:tr w14:paraId="15184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626" w:type="dxa"/>
            <w:vMerge w:val="continue"/>
            <w:vAlign w:val="center"/>
          </w:tcPr>
          <w:p w14:paraId="79BC7EE4">
            <w:pPr>
              <w:autoSpaceDE w:val="0"/>
              <w:autoSpaceDN w:val="0"/>
              <w:rPr>
                <w:rFonts w:ascii="宋体" w:hAnsi="宋体" w:cs="仿宋"/>
                <w:snapToGrid w:val="0"/>
                <w:sz w:val="24"/>
                <w:highlight w:val="none"/>
              </w:rPr>
            </w:pPr>
          </w:p>
        </w:tc>
        <w:tc>
          <w:tcPr>
            <w:tcW w:w="1761" w:type="dxa"/>
            <w:vMerge w:val="continue"/>
            <w:vAlign w:val="center"/>
          </w:tcPr>
          <w:p w14:paraId="44573180">
            <w:pPr>
              <w:autoSpaceDE w:val="0"/>
              <w:autoSpaceDN w:val="0"/>
              <w:rPr>
                <w:rFonts w:ascii="宋体" w:hAnsi="宋体" w:cs="仿宋"/>
                <w:snapToGrid w:val="0"/>
                <w:sz w:val="24"/>
                <w:highlight w:val="none"/>
              </w:rPr>
            </w:pPr>
          </w:p>
        </w:tc>
        <w:tc>
          <w:tcPr>
            <w:tcW w:w="3460" w:type="dxa"/>
            <w:vAlign w:val="center"/>
          </w:tcPr>
          <w:p w14:paraId="6332C5C1">
            <w:pPr>
              <w:autoSpaceDE w:val="0"/>
              <w:autoSpaceDN w:val="0"/>
              <w:rPr>
                <w:rFonts w:ascii="宋体" w:hAnsi="宋体" w:cs="仿宋"/>
                <w:snapToGrid w:val="0"/>
                <w:sz w:val="24"/>
                <w:highlight w:val="none"/>
              </w:rPr>
            </w:pPr>
            <w:r>
              <w:rPr>
                <w:rFonts w:hint="eastAsia" w:ascii="宋体" w:hAnsi="宋体" w:cs="宋体"/>
                <w:kern w:val="0"/>
                <w:sz w:val="24"/>
                <w:highlight w:val="none"/>
              </w:rPr>
              <w:t>亡人事故地图服务</w:t>
            </w:r>
          </w:p>
        </w:tc>
        <w:tc>
          <w:tcPr>
            <w:tcW w:w="1579" w:type="dxa"/>
            <w:vAlign w:val="center"/>
          </w:tcPr>
          <w:p w14:paraId="1A5E6639">
            <w:pPr>
              <w:autoSpaceDE w:val="0"/>
              <w:autoSpaceDN w:val="0"/>
              <w:rPr>
                <w:rFonts w:ascii="宋体" w:hAnsi="宋体" w:cs="仿宋"/>
                <w:snapToGrid w:val="0"/>
                <w:sz w:val="24"/>
                <w:highlight w:val="none"/>
              </w:rPr>
            </w:pPr>
          </w:p>
        </w:tc>
        <w:tc>
          <w:tcPr>
            <w:tcW w:w="1579" w:type="dxa"/>
            <w:vMerge w:val="continue"/>
            <w:vAlign w:val="center"/>
          </w:tcPr>
          <w:p w14:paraId="12CEB100">
            <w:pPr>
              <w:autoSpaceDE w:val="0"/>
              <w:autoSpaceDN w:val="0"/>
              <w:rPr>
                <w:rFonts w:ascii="宋体" w:hAnsi="宋体" w:cs="仿宋"/>
                <w:snapToGrid w:val="0"/>
                <w:sz w:val="24"/>
                <w:highlight w:val="none"/>
              </w:rPr>
            </w:pPr>
          </w:p>
        </w:tc>
        <w:tc>
          <w:tcPr>
            <w:tcW w:w="1733" w:type="dxa"/>
            <w:vMerge w:val="continue"/>
            <w:vAlign w:val="center"/>
          </w:tcPr>
          <w:p w14:paraId="506EC25A">
            <w:pPr>
              <w:autoSpaceDE w:val="0"/>
              <w:autoSpaceDN w:val="0"/>
              <w:rPr>
                <w:rFonts w:ascii="宋体" w:hAnsi="宋体" w:cs="仿宋"/>
                <w:snapToGrid w:val="0"/>
                <w:sz w:val="24"/>
                <w:highlight w:val="none"/>
              </w:rPr>
            </w:pPr>
          </w:p>
        </w:tc>
        <w:tc>
          <w:tcPr>
            <w:tcW w:w="1180" w:type="dxa"/>
            <w:vMerge w:val="continue"/>
            <w:vAlign w:val="center"/>
          </w:tcPr>
          <w:p w14:paraId="0176A5D8">
            <w:pPr>
              <w:autoSpaceDE w:val="0"/>
              <w:autoSpaceDN w:val="0"/>
              <w:rPr>
                <w:rFonts w:ascii="宋体" w:hAnsi="宋体" w:cs="仿宋"/>
                <w:snapToGrid w:val="0"/>
                <w:sz w:val="24"/>
                <w:highlight w:val="none"/>
              </w:rPr>
            </w:pPr>
          </w:p>
        </w:tc>
        <w:tc>
          <w:tcPr>
            <w:tcW w:w="1248" w:type="dxa"/>
            <w:vMerge w:val="continue"/>
            <w:vAlign w:val="center"/>
          </w:tcPr>
          <w:p w14:paraId="00818FC6">
            <w:pPr>
              <w:autoSpaceDE w:val="0"/>
              <w:autoSpaceDN w:val="0"/>
              <w:rPr>
                <w:rFonts w:ascii="宋体" w:hAnsi="宋体" w:cs="仿宋"/>
                <w:snapToGrid w:val="0"/>
                <w:sz w:val="24"/>
                <w:highlight w:val="none"/>
              </w:rPr>
            </w:pPr>
          </w:p>
        </w:tc>
        <w:tc>
          <w:tcPr>
            <w:tcW w:w="1248" w:type="dxa"/>
            <w:vAlign w:val="center"/>
          </w:tcPr>
          <w:p w14:paraId="16D5C086">
            <w:pPr>
              <w:autoSpaceDE w:val="0"/>
              <w:autoSpaceDN w:val="0"/>
              <w:rPr>
                <w:rFonts w:ascii="宋体" w:hAnsi="宋体" w:cs="仿宋"/>
                <w:snapToGrid w:val="0"/>
                <w:sz w:val="24"/>
                <w:highlight w:val="none"/>
              </w:rPr>
            </w:pPr>
          </w:p>
        </w:tc>
      </w:tr>
      <w:tr w14:paraId="7A5D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626" w:type="dxa"/>
            <w:vMerge w:val="continue"/>
            <w:vAlign w:val="center"/>
          </w:tcPr>
          <w:p w14:paraId="41911CE9">
            <w:pPr>
              <w:autoSpaceDE w:val="0"/>
              <w:autoSpaceDN w:val="0"/>
              <w:rPr>
                <w:rFonts w:ascii="宋体" w:hAnsi="宋体" w:cs="仿宋"/>
                <w:snapToGrid w:val="0"/>
                <w:sz w:val="24"/>
                <w:highlight w:val="none"/>
              </w:rPr>
            </w:pPr>
          </w:p>
        </w:tc>
        <w:tc>
          <w:tcPr>
            <w:tcW w:w="1761" w:type="dxa"/>
            <w:vMerge w:val="continue"/>
            <w:vAlign w:val="center"/>
          </w:tcPr>
          <w:p w14:paraId="3312F40F">
            <w:pPr>
              <w:autoSpaceDE w:val="0"/>
              <w:autoSpaceDN w:val="0"/>
              <w:rPr>
                <w:rFonts w:ascii="宋体" w:hAnsi="宋体" w:cs="仿宋"/>
                <w:snapToGrid w:val="0"/>
                <w:sz w:val="24"/>
                <w:highlight w:val="none"/>
              </w:rPr>
            </w:pPr>
          </w:p>
        </w:tc>
        <w:tc>
          <w:tcPr>
            <w:tcW w:w="3460" w:type="dxa"/>
            <w:vAlign w:val="center"/>
          </w:tcPr>
          <w:p w14:paraId="30486E53">
            <w:pPr>
              <w:autoSpaceDE w:val="0"/>
              <w:autoSpaceDN w:val="0"/>
              <w:rPr>
                <w:rFonts w:ascii="宋体" w:hAnsi="宋体" w:cs="仿宋"/>
                <w:snapToGrid w:val="0"/>
                <w:sz w:val="24"/>
                <w:highlight w:val="none"/>
              </w:rPr>
            </w:pPr>
            <w:r>
              <w:rPr>
                <w:rFonts w:hint="eastAsia" w:ascii="宋体" w:hAnsi="宋体" w:cs="宋体"/>
                <w:kern w:val="0"/>
                <w:sz w:val="24"/>
                <w:highlight w:val="none"/>
              </w:rPr>
              <w:t>违法查处数据模型服务</w:t>
            </w:r>
          </w:p>
        </w:tc>
        <w:tc>
          <w:tcPr>
            <w:tcW w:w="1579" w:type="dxa"/>
            <w:vAlign w:val="center"/>
          </w:tcPr>
          <w:p w14:paraId="28E3CEA9">
            <w:pPr>
              <w:autoSpaceDE w:val="0"/>
              <w:autoSpaceDN w:val="0"/>
              <w:rPr>
                <w:rFonts w:ascii="宋体" w:hAnsi="宋体" w:cs="仿宋"/>
                <w:snapToGrid w:val="0"/>
                <w:sz w:val="24"/>
                <w:highlight w:val="none"/>
              </w:rPr>
            </w:pPr>
          </w:p>
        </w:tc>
        <w:tc>
          <w:tcPr>
            <w:tcW w:w="1579" w:type="dxa"/>
            <w:vMerge w:val="continue"/>
            <w:vAlign w:val="center"/>
          </w:tcPr>
          <w:p w14:paraId="46934CEB">
            <w:pPr>
              <w:autoSpaceDE w:val="0"/>
              <w:autoSpaceDN w:val="0"/>
              <w:rPr>
                <w:rFonts w:ascii="宋体" w:hAnsi="宋体" w:cs="仿宋"/>
                <w:snapToGrid w:val="0"/>
                <w:sz w:val="24"/>
                <w:highlight w:val="none"/>
              </w:rPr>
            </w:pPr>
          </w:p>
        </w:tc>
        <w:tc>
          <w:tcPr>
            <w:tcW w:w="1733" w:type="dxa"/>
            <w:vMerge w:val="continue"/>
            <w:vAlign w:val="center"/>
          </w:tcPr>
          <w:p w14:paraId="40391515">
            <w:pPr>
              <w:autoSpaceDE w:val="0"/>
              <w:autoSpaceDN w:val="0"/>
              <w:rPr>
                <w:rFonts w:ascii="宋体" w:hAnsi="宋体" w:cs="仿宋"/>
                <w:snapToGrid w:val="0"/>
                <w:sz w:val="24"/>
                <w:highlight w:val="none"/>
              </w:rPr>
            </w:pPr>
          </w:p>
        </w:tc>
        <w:tc>
          <w:tcPr>
            <w:tcW w:w="1180" w:type="dxa"/>
            <w:vMerge w:val="continue"/>
            <w:vAlign w:val="center"/>
          </w:tcPr>
          <w:p w14:paraId="285DD572">
            <w:pPr>
              <w:autoSpaceDE w:val="0"/>
              <w:autoSpaceDN w:val="0"/>
              <w:rPr>
                <w:rFonts w:ascii="宋体" w:hAnsi="宋体" w:cs="仿宋"/>
                <w:snapToGrid w:val="0"/>
                <w:sz w:val="24"/>
                <w:highlight w:val="none"/>
              </w:rPr>
            </w:pPr>
          </w:p>
        </w:tc>
        <w:tc>
          <w:tcPr>
            <w:tcW w:w="1248" w:type="dxa"/>
            <w:vMerge w:val="continue"/>
            <w:vAlign w:val="center"/>
          </w:tcPr>
          <w:p w14:paraId="122B1821">
            <w:pPr>
              <w:autoSpaceDE w:val="0"/>
              <w:autoSpaceDN w:val="0"/>
              <w:rPr>
                <w:rFonts w:ascii="宋体" w:hAnsi="宋体" w:cs="仿宋"/>
                <w:snapToGrid w:val="0"/>
                <w:sz w:val="24"/>
                <w:highlight w:val="none"/>
              </w:rPr>
            </w:pPr>
          </w:p>
        </w:tc>
        <w:tc>
          <w:tcPr>
            <w:tcW w:w="1248" w:type="dxa"/>
            <w:vAlign w:val="center"/>
          </w:tcPr>
          <w:p w14:paraId="62AAF5DA">
            <w:pPr>
              <w:autoSpaceDE w:val="0"/>
              <w:autoSpaceDN w:val="0"/>
              <w:rPr>
                <w:rFonts w:ascii="宋体" w:hAnsi="宋体" w:cs="仿宋"/>
                <w:snapToGrid w:val="0"/>
                <w:sz w:val="24"/>
                <w:highlight w:val="none"/>
              </w:rPr>
            </w:pPr>
          </w:p>
        </w:tc>
      </w:tr>
      <w:tr w14:paraId="4D017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626" w:type="dxa"/>
            <w:vAlign w:val="center"/>
          </w:tcPr>
          <w:p w14:paraId="2100CF9D">
            <w:pPr>
              <w:autoSpaceDE w:val="0"/>
              <w:autoSpaceDN w:val="0"/>
              <w:ind w:firstLine="480" w:firstLineChars="200"/>
              <w:jc w:val="left"/>
              <w:rPr>
                <w:rFonts w:ascii="宋体" w:hAnsi="宋体" w:cs="仿宋"/>
                <w:snapToGrid w:val="0"/>
                <w:sz w:val="24"/>
                <w:highlight w:val="none"/>
              </w:rPr>
            </w:pPr>
          </w:p>
        </w:tc>
        <w:tc>
          <w:tcPr>
            <w:tcW w:w="12540" w:type="dxa"/>
            <w:gridSpan w:val="7"/>
            <w:vAlign w:val="center"/>
          </w:tcPr>
          <w:p w14:paraId="6398C26C">
            <w:pPr>
              <w:autoSpaceDE w:val="0"/>
              <w:autoSpaceDN w:val="0"/>
              <w:rPr>
                <w:rFonts w:ascii="宋体" w:hAnsi="宋体" w:cs="仿宋"/>
                <w:snapToGrid w:val="0"/>
                <w:sz w:val="24"/>
                <w:highlight w:val="none"/>
              </w:rPr>
            </w:pPr>
            <w:r>
              <w:rPr>
                <w:rFonts w:hint="eastAsia" w:ascii="宋体" w:hAnsi="宋体" w:cs="仿宋"/>
                <w:snapToGrid w:val="0"/>
                <w:sz w:val="24"/>
                <w:highlight w:val="none"/>
              </w:rPr>
              <w:t>服务期：</w:t>
            </w:r>
            <w:r>
              <w:rPr>
                <w:rFonts w:ascii="宋体" w:hAnsi="宋体" w:cs="仿宋"/>
                <w:snapToGrid w:val="0"/>
                <w:sz w:val="24"/>
                <w:highlight w:val="none"/>
              </w:rPr>
              <w:t>202</w:t>
            </w:r>
            <w:r>
              <w:rPr>
                <w:rFonts w:hint="eastAsia" w:ascii="宋体" w:hAnsi="宋体" w:cs="仿宋"/>
                <w:snapToGrid w:val="0"/>
                <w:sz w:val="24"/>
                <w:highlight w:val="none"/>
              </w:rPr>
              <w:t>4</w:t>
            </w:r>
            <w:r>
              <w:rPr>
                <w:rFonts w:ascii="宋体" w:hAnsi="宋体" w:cs="仿宋"/>
                <w:snapToGrid w:val="0"/>
                <w:sz w:val="24"/>
                <w:highlight w:val="none"/>
              </w:rPr>
              <w:t>年</w:t>
            </w:r>
            <w:r>
              <w:rPr>
                <w:rFonts w:hint="eastAsia" w:ascii="宋体" w:hAnsi="宋体" w:cs="仿宋"/>
                <w:snapToGrid w:val="0"/>
                <w:sz w:val="24"/>
                <w:highlight w:val="none"/>
              </w:rPr>
              <w:t>8月</w:t>
            </w:r>
            <w:r>
              <w:rPr>
                <w:rFonts w:ascii="宋体" w:hAnsi="宋体" w:cs="仿宋"/>
                <w:snapToGrid w:val="0"/>
                <w:sz w:val="24"/>
                <w:highlight w:val="none"/>
              </w:rPr>
              <w:t>1日至202</w:t>
            </w:r>
            <w:r>
              <w:rPr>
                <w:rFonts w:hint="eastAsia" w:ascii="宋体" w:hAnsi="宋体" w:cs="仿宋"/>
                <w:snapToGrid w:val="0"/>
                <w:sz w:val="24"/>
                <w:highlight w:val="none"/>
              </w:rPr>
              <w:t>5</w:t>
            </w:r>
            <w:r>
              <w:rPr>
                <w:rFonts w:ascii="宋体" w:hAnsi="宋体" w:cs="仿宋"/>
                <w:snapToGrid w:val="0"/>
                <w:sz w:val="24"/>
                <w:highlight w:val="none"/>
              </w:rPr>
              <w:t>年7</w:t>
            </w:r>
            <w:r>
              <w:rPr>
                <w:rFonts w:hint="eastAsia" w:ascii="宋体" w:hAnsi="宋体" w:cs="仿宋"/>
                <w:snapToGrid w:val="0"/>
                <w:sz w:val="24"/>
                <w:highlight w:val="none"/>
              </w:rPr>
              <w:t>月</w:t>
            </w:r>
            <w:r>
              <w:rPr>
                <w:rFonts w:ascii="宋体" w:hAnsi="宋体" w:cs="仿宋"/>
                <w:snapToGrid w:val="0"/>
                <w:sz w:val="24"/>
                <w:highlight w:val="none"/>
              </w:rPr>
              <w:t>31日。</w:t>
            </w:r>
          </w:p>
          <w:p w14:paraId="42E2D887">
            <w:pPr>
              <w:autoSpaceDE w:val="0"/>
              <w:autoSpaceDN w:val="0"/>
              <w:ind w:firstLine="480" w:firstLineChars="200"/>
              <w:rPr>
                <w:rFonts w:ascii="宋体" w:hAnsi="宋体" w:cs="仿宋"/>
                <w:snapToGrid w:val="0"/>
                <w:sz w:val="24"/>
                <w:highlight w:val="none"/>
              </w:rPr>
            </w:pPr>
            <w:r>
              <w:rPr>
                <w:rFonts w:hint="eastAsia" w:ascii="宋体" w:hAnsi="宋体" w:cs="仿宋"/>
                <w:snapToGrid w:val="0"/>
                <w:sz w:val="24"/>
                <w:highlight w:val="none"/>
              </w:rPr>
              <w:t>合同总价（小写）人民币万元</w:t>
            </w:r>
          </w:p>
          <w:p w14:paraId="203E883D">
            <w:pPr>
              <w:autoSpaceDE w:val="0"/>
              <w:autoSpaceDN w:val="0"/>
              <w:ind w:firstLine="480" w:firstLineChars="200"/>
              <w:jc w:val="left"/>
              <w:rPr>
                <w:rFonts w:ascii="宋体" w:hAnsi="宋体" w:cs="仿宋"/>
                <w:snapToGrid w:val="0"/>
                <w:sz w:val="24"/>
                <w:highlight w:val="none"/>
              </w:rPr>
            </w:pPr>
            <w:r>
              <w:rPr>
                <w:rFonts w:hint="eastAsia" w:ascii="宋体" w:hAnsi="宋体" w:cs="仿宋"/>
                <w:snapToGrid w:val="0"/>
                <w:sz w:val="24"/>
                <w:highlight w:val="none"/>
              </w:rPr>
              <w:t>合同总价（大写）人民币万元</w:t>
            </w:r>
          </w:p>
        </w:tc>
        <w:tc>
          <w:tcPr>
            <w:tcW w:w="1248" w:type="dxa"/>
            <w:vAlign w:val="center"/>
          </w:tcPr>
          <w:p w14:paraId="38224FBC">
            <w:pPr>
              <w:autoSpaceDE w:val="0"/>
              <w:autoSpaceDN w:val="0"/>
              <w:ind w:firstLine="480" w:firstLineChars="200"/>
              <w:jc w:val="left"/>
              <w:rPr>
                <w:rFonts w:ascii="宋体" w:hAnsi="宋体" w:cs="仿宋"/>
                <w:snapToGrid w:val="0"/>
                <w:sz w:val="24"/>
                <w:highlight w:val="none"/>
              </w:rPr>
            </w:pPr>
          </w:p>
        </w:tc>
      </w:tr>
    </w:tbl>
    <w:p w14:paraId="4404F8CE">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495DD16B">
      <w:pPr>
        <w:spacing w:line="360" w:lineRule="auto"/>
        <w:ind w:left="-2"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w:t>
      </w:r>
      <w:r>
        <w:rPr>
          <w:rFonts w:hint="eastAsia" w:ascii="宋体" w:hAnsi="宋体" w:cs="宋体"/>
          <w:kern w:val="0"/>
          <w:sz w:val="24"/>
          <w:highlight w:val="none"/>
          <w:lang w:val="zh-CN"/>
        </w:rPr>
        <w:t>。</w:t>
      </w:r>
    </w:p>
    <w:p w14:paraId="6BABB6A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08059653">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11417ACF">
      <w:pPr>
        <w:snapToGrid w:val="0"/>
        <w:spacing w:line="360" w:lineRule="auto"/>
        <w:ind w:firstLine="480" w:firstLineChars="200"/>
        <w:jc w:val="left"/>
        <w:rPr>
          <w:rFonts w:ascii="宋体" w:hAnsi="宋体" w:cs="宋体"/>
          <w:kern w:val="0"/>
          <w:sz w:val="24"/>
          <w:highlight w:val="none"/>
          <w:lang w:val="zh-CN"/>
        </w:rPr>
      </w:pPr>
      <w:r>
        <w:rPr>
          <w:rFonts w:ascii="宋体" w:hAnsi="宋体" w:cs="宋体"/>
          <w:kern w:val="0"/>
          <w:sz w:val="24"/>
          <w:szCs w:val="22"/>
          <w:highlight w:val="none"/>
          <w:lang w:val="zh-CN"/>
        </w:rPr>
        <w:t>4</w:t>
      </w:r>
      <w:r>
        <w:rPr>
          <w:rFonts w:hint="eastAsia" w:ascii="宋体" w:hAnsi="宋体" w:cs="宋体"/>
          <w:kern w:val="0"/>
          <w:sz w:val="24"/>
          <w:szCs w:val="22"/>
          <w:highlight w:val="none"/>
          <w:lang w:val="zh-CN"/>
        </w:rPr>
        <w:t>、</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EFBFBC0">
      <w:pPr>
        <w:pStyle w:val="377"/>
        <w:tabs>
          <w:tab w:val="clear" w:pos="720"/>
        </w:tabs>
        <w:snapToGrid w:val="0"/>
        <w:spacing w:before="120" w:after="120"/>
        <w:ind w:firstLine="643"/>
        <w:outlineLvl w:val="9"/>
        <w:rPr>
          <w:rFonts w:ascii="宋体" w:hAnsi="宋体" w:eastAsia="宋体" w:cs="宋体"/>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C84D79B">
      <w:pPr>
        <w:pStyle w:val="377"/>
        <w:numPr>
          <w:ilvl w:val="0"/>
          <w:numId w:val="12"/>
        </w:numPr>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报价情况说明（如果有）</w:t>
      </w:r>
    </w:p>
    <w:p w14:paraId="6049EF2F">
      <w:pPr>
        <w:pStyle w:val="3"/>
        <w:snapToGrid w:val="0"/>
        <w:spacing w:before="120" w:after="120"/>
        <w:ind w:left="0" w:firstLine="0"/>
        <w:rPr>
          <w:rFonts w:ascii="宋体" w:hAnsi="宋体" w:eastAsia="宋体" w:cs="宋体"/>
          <w:highlight w:val="none"/>
        </w:rPr>
      </w:pPr>
      <w:r>
        <w:rPr>
          <w:rFonts w:hint="eastAsia" w:ascii="宋体" w:hAnsi="宋体" w:eastAsia="宋体" w:cs="宋体"/>
          <w:b w:val="0"/>
          <w:bCs w:val="0"/>
          <w:sz w:val="24"/>
          <w:szCs w:val="24"/>
          <w:highlight w:val="none"/>
          <w:lang w:val="en-US"/>
        </w:rPr>
        <w:t>（如供应商报价低于项目预算50%的，应当提交本文档，详细阐述不影响产品质量或者诚信履约的具体原因。）</w:t>
      </w:r>
    </w:p>
    <w:p w14:paraId="4FC3957F">
      <w:pPr>
        <w:pStyle w:val="377"/>
        <w:tabs>
          <w:tab w:val="clear" w:pos="720"/>
        </w:tabs>
        <w:snapToGrid w:val="0"/>
        <w:spacing w:before="120" w:after="120"/>
        <w:ind w:firstLine="643"/>
        <w:outlineLvl w:val="9"/>
        <w:rPr>
          <w:rFonts w:ascii="宋体" w:hAnsi="宋体" w:eastAsia="宋体" w:cs="宋体"/>
          <w:sz w:val="32"/>
          <w:szCs w:val="32"/>
          <w:highlight w:val="none"/>
        </w:rPr>
      </w:pPr>
      <w:r>
        <w:rPr>
          <w:rFonts w:hint="eastAsia" w:ascii="宋体" w:hAnsi="宋体" w:eastAsia="宋体" w:cs="宋体"/>
          <w:kern w:val="2"/>
          <w:sz w:val="32"/>
          <w:szCs w:val="32"/>
          <w:highlight w:val="none"/>
        </w:rPr>
        <w:t>三、</w:t>
      </w:r>
      <w:r>
        <w:rPr>
          <w:rFonts w:hint="eastAsia" w:ascii="宋体" w:hAnsi="宋体" w:eastAsia="宋体" w:cs="宋体"/>
          <w:sz w:val="32"/>
          <w:szCs w:val="32"/>
          <w:highlight w:val="none"/>
        </w:rPr>
        <w:t>中小企业声明函（如果有）</w:t>
      </w:r>
    </w:p>
    <w:p w14:paraId="3F121BCA">
      <w:pPr>
        <w:widowControl/>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highlight w:val="none"/>
        </w:rPr>
        <w:t>7</w:t>
      </w:r>
      <w:r>
        <w:rPr>
          <w:rFonts w:hint="eastAsia" w:ascii="宋体" w:hAnsi="宋体" w:cs="宋体"/>
          <w:b/>
          <w:sz w:val="24"/>
          <w:highlight w:val="none"/>
        </w:rPr>
        <w:t>）。]</w:t>
      </w:r>
    </w:p>
    <w:p w14:paraId="55D097FC">
      <w:pPr>
        <w:pStyle w:val="79"/>
        <w:ind w:firstLine="482"/>
        <w:rPr>
          <w:rFonts w:ascii="宋体" w:hAnsi="宋体" w:cs="宋体"/>
          <w:b/>
          <w:sz w:val="24"/>
          <w:highlight w:val="none"/>
        </w:rPr>
      </w:pPr>
    </w:p>
    <w:p w14:paraId="76C45E53">
      <w:pPr>
        <w:pStyle w:val="79"/>
        <w:ind w:firstLine="482"/>
        <w:rPr>
          <w:rFonts w:ascii="宋体" w:hAnsi="宋体" w:cs="宋体"/>
          <w:b/>
          <w:sz w:val="24"/>
          <w:highlight w:val="none"/>
        </w:rPr>
      </w:pPr>
    </w:p>
    <w:p w14:paraId="18471BCD">
      <w:pPr>
        <w:spacing w:line="360" w:lineRule="auto"/>
        <w:ind w:right="420" w:firstLine="3614" w:firstLineChars="1000"/>
        <w:rPr>
          <w:rFonts w:ascii="宋体" w:hAnsi="宋体" w:cs="宋体"/>
          <w:b/>
          <w:kern w:val="0"/>
          <w:sz w:val="36"/>
          <w:szCs w:val="36"/>
          <w:highlight w:val="none"/>
        </w:rPr>
      </w:pPr>
    </w:p>
    <w:p w14:paraId="277D9441">
      <w:pPr>
        <w:spacing w:line="360" w:lineRule="auto"/>
        <w:ind w:right="420" w:firstLine="3614" w:firstLineChars="1000"/>
        <w:rPr>
          <w:rFonts w:ascii="宋体" w:hAnsi="宋体" w:cs="宋体"/>
          <w:b/>
          <w:kern w:val="0"/>
          <w:sz w:val="36"/>
          <w:szCs w:val="36"/>
          <w:highlight w:val="none"/>
        </w:rPr>
      </w:pPr>
    </w:p>
    <w:p w14:paraId="159C3CC2">
      <w:pPr>
        <w:spacing w:line="360" w:lineRule="auto"/>
        <w:ind w:right="420" w:firstLine="3614" w:firstLineChars="1000"/>
        <w:rPr>
          <w:rFonts w:ascii="宋体" w:hAnsi="宋体" w:cs="宋体"/>
          <w:b/>
          <w:kern w:val="0"/>
          <w:sz w:val="36"/>
          <w:szCs w:val="36"/>
          <w:highlight w:val="none"/>
        </w:rPr>
      </w:pPr>
    </w:p>
    <w:p w14:paraId="71581D53">
      <w:pPr>
        <w:spacing w:line="360" w:lineRule="auto"/>
        <w:ind w:right="420" w:firstLine="3614" w:firstLineChars="1000"/>
        <w:rPr>
          <w:rFonts w:ascii="宋体" w:hAnsi="宋体" w:cs="宋体"/>
          <w:b/>
          <w:kern w:val="0"/>
          <w:sz w:val="36"/>
          <w:szCs w:val="36"/>
          <w:highlight w:val="none"/>
        </w:rPr>
      </w:pPr>
    </w:p>
    <w:p w14:paraId="1C76D110">
      <w:pPr>
        <w:spacing w:line="360" w:lineRule="auto"/>
        <w:ind w:right="420" w:firstLine="3614" w:firstLineChars="1000"/>
        <w:rPr>
          <w:rFonts w:ascii="宋体" w:hAnsi="宋体" w:cs="宋体"/>
          <w:b/>
          <w:kern w:val="0"/>
          <w:sz w:val="36"/>
          <w:szCs w:val="36"/>
          <w:highlight w:val="none"/>
        </w:rPr>
      </w:pPr>
    </w:p>
    <w:p w14:paraId="0CC64EE0">
      <w:pPr>
        <w:spacing w:line="360" w:lineRule="auto"/>
        <w:ind w:right="420" w:firstLine="3614" w:firstLineChars="1000"/>
        <w:rPr>
          <w:rFonts w:ascii="宋体" w:hAnsi="宋体" w:cs="宋体"/>
          <w:b/>
          <w:kern w:val="0"/>
          <w:sz w:val="36"/>
          <w:szCs w:val="36"/>
          <w:highlight w:val="none"/>
        </w:rPr>
      </w:pPr>
    </w:p>
    <w:p w14:paraId="2DE717B3">
      <w:pPr>
        <w:spacing w:line="360" w:lineRule="auto"/>
        <w:ind w:right="420" w:firstLine="3614" w:firstLineChars="1000"/>
        <w:rPr>
          <w:rFonts w:ascii="宋体" w:hAnsi="宋体" w:cs="宋体"/>
          <w:b/>
          <w:kern w:val="0"/>
          <w:sz w:val="36"/>
          <w:szCs w:val="36"/>
          <w:highlight w:val="none"/>
        </w:rPr>
      </w:pPr>
    </w:p>
    <w:p w14:paraId="22F93802">
      <w:pPr>
        <w:spacing w:line="360" w:lineRule="auto"/>
        <w:ind w:right="420" w:firstLine="3614" w:firstLineChars="1000"/>
        <w:rPr>
          <w:rFonts w:ascii="宋体" w:hAnsi="宋体" w:cs="宋体"/>
          <w:b/>
          <w:kern w:val="0"/>
          <w:sz w:val="36"/>
          <w:szCs w:val="36"/>
          <w:highlight w:val="none"/>
        </w:rPr>
      </w:pPr>
    </w:p>
    <w:p w14:paraId="109E02A5">
      <w:pPr>
        <w:spacing w:line="360" w:lineRule="auto"/>
        <w:ind w:right="420" w:firstLine="3614" w:firstLineChars="1000"/>
        <w:rPr>
          <w:rFonts w:ascii="宋体" w:hAnsi="宋体" w:cs="宋体"/>
          <w:b/>
          <w:kern w:val="0"/>
          <w:sz w:val="36"/>
          <w:szCs w:val="36"/>
          <w:highlight w:val="none"/>
        </w:rPr>
      </w:pPr>
    </w:p>
    <w:p w14:paraId="5CF0ED77">
      <w:pPr>
        <w:spacing w:line="360" w:lineRule="auto"/>
        <w:ind w:right="420" w:firstLine="3614" w:firstLineChars="1000"/>
        <w:rPr>
          <w:rFonts w:ascii="宋体" w:hAnsi="宋体" w:cs="宋体"/>
          <w:b/>
          <w:kern w:val="0"/>
          <w:sz w:val="36"/>
          <w:szCs w:val="36"/>
          <w:highlight w:val="none"/>
        </w:rPr>
      </w:pPr>
    </w:p>
    <w:p w14:paraId="2175941A">
      <w:pPr>
        <w:spacing w:line="360" w:lineRule="auto"/>
        <w:ind w:right="420" w:firstLine="3614" w:firstLineChars="1000"/>
        <w:rPr>
          <w:rFonts w:ascii="宋体" w:hAnsi="宋体" w:cs="宋体"/>
          <w:b/>
          <w:kern w:val="0"/>
          <w:sz w:val="36"/>
          <w:szCs w:val="36"/>
          <w:highlight w:val="none"/>
        </w:rPr>
      </w:pPr>
    </w:p>
    <w:p w14:paraId="00CEB63A">
      <w:pPr>
        <w:pStyle w:val="2"/>
        <w:pageBreakBefore/>
        <w:widowControl/>
        <w:spacing w:before="100" w:beforeAutospacing="1" w:after="100" w:afterAutospacing="1" w:line="360" w:lineRule="auto"/>
        <w:ind w:left="1290" w:firstLine="3092" w:firstLineChars="700"/>
        <w:rPr>
          <w:rFonts w:ascii="宋体" w:hAnsi="宋体" w:cs="宋体"/>
          <w:highlight w:val="none"/>
        </w:rPr>
      </w:pPr>
      <w:r>
        <w:rPr>
          <w:rFonts w:hint="eastAsia" w:ascii="宋体" w:hAnsi="宋体" w:cs="宋体"/>
          <w:highlight w:val="none"/>
        </w:rPr>
        <w:t>附件</w:t>
      </w:r>
    </w:p>
    <w:p w14:paraId="222834EB">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370C16E4">
      <w:pPr>
        <w:spacing w:line="360" w:lineRule="auto"/>
        <w:jc w:val="center"/>
        <w:rPr>
          <w:rFonts w:ascii="宋体" w:hAnsi="宋体" w:cs="宋体"/>
          <w:b/>
          <w:spacing w:val="6"/>
          <w:sz w:val="32"/>
          <w:szCs w:val="32"/>
          <w:highlight w:val="none"/>
        </w:rPr>
      </w:pPr>
      <w:bookmarkStart w:id="531" w:name="OLE_LINK13"/>
      <w:bookmarkStart w:id="532" w:name="OLE_LINK14"/>
      <w:r>
        <w:rPr>
          <w:rFonts w:hint="eastAsia" w:ascii="宋体" w:hAnsi="宋体" w:cs="宋体"/>
          <w:b/>
          <w:spacing w:val="6"/>
          <w:sz w:val="32"/>
          <w:szCs w:val="32"/>
          <w:highlight w:val="none"/>
        </w:rPr>
        <w:t>残疾人福利性单位声明函</w:t>
      </w:r>
    </w:p>
    <w:bookmarkEnd w:id="531"/>
    <w:bookmarkEnd w:id="532"/>
    <w:p w14:paraId="63367A55">
      <w:pPr>
        <w:spacing w:line="360" w:lineRule="auto"/>
        <w:rPr>
          <w:rFonts w:ascii="宋体" w:hAnsi="宋体" w:cs="宋体"/>
          <w:b/>
          <w:spacing w:val="6"/>
          <w:sz w:val="30"/>
          <w:szCs w:val="30"/>
          <w:highlight w:val="none"/>
        </w:rPr>
      </w:pPr>
    </w:p>
    <w:p w14:paraId="71F2B3DD">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u w:val="single"/>
        </w:rPr>
        <w:t>杭州市公安局交通警察支队</w:t>
      </w:r>
      <w:r>
        <w:rPr>
          <w:rFonts w:hint="eastAsia" w:ascii="宋体" w:hAnsi="宋体" w:cs="宋体"/>
          <w:sz w:val="24"/>
          <w:highlight w:val="none"/>
        </w:rPr>
        <w:t>_单位的_</w:t>
      </w:r>
      <w:r>
        <w:rPr>
          <w:rFonts w:hint="eastAsia" w:ascii="宋体" w:hAnsi="宋体" w:cs="宋体"/>
          <w:sz w:val="24"/>
          <w:highlight w:val="none"/>
          <w:u w:val="single"/>
        </w:rPr>
        <w:t>2024年杭州交警业务系统使用服务-2024年杭州交警网络及数据安全运维服务</w:t>
      </w:r>
      <w:r>
        <w:rPr>
          <w:rFonts w:hint="eastAsia" w:ascii="宋体" w:hAnsi="宋体" w:cs="宋体"/>
          <w:sz w:val="24"/>
          <w:highlight w:val="none"/>
        </w:rPr>
        <w:t>_项目采购活动提供本单位制造的货物（由本单位承担工程/提供服务），或者提供其他残疾人福利性单位制造的货物（不包括使用非残疾人福利性单位注册商标的货物）。</w:t>
      </w:r>
    </w:p>
    <w:p w14:paraId="2A4EFD4C">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2595B367">
      <w:pPr>
        <w:spacing w:line="360" w:lineRule="auto"/>
        <w:ind w:firstLine="480" w:firstLineChars="200"/>
        <w:rPr>
          <w:rFonts w:ascii="宋体" w:hAnsi="宋体" w:cs="宋体"/>
          <w:sz w:val="24"/>
          <w:highlight w:val="none"/>
        </w:rPr>
      </w:pPr>
    </w:p>
    <w:p w14:paraId="39A0164F">
      <w:pPr>
        <w:spacing w:line="360" w:lineRule="auto"/>
        <w:ind w:firstLine="480" w:firstLineChars="200"/>
        <w:rPr>
          <w:rFonts w:ascii="宋体" w:hAnsi="宋体" w:cs="宋体"/>
          <w:sz w:val="24"/>
          <w:highlight w:val="none"/>
        </w:rPr>
      </w:pPr>
    </w:p>
    <w:p w14:paraId="22E045CC">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6E302D0B">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2CCF68A8">
      <w:pPr>
        <w:spacing w:line="360" w:lineRule="auto"/>
        <w:ind w:firstLine="480" w:firstLineChars="200"/>
        <w:rPr>
          <w:rFonts w:ascii="宋体" w:hAnsi="宋体" w:cs="宋体"/>
          <w:sz w:val="24"/>
          <w:highlight w:val="none"/>
        </w:rPr>
      </w:pPr>
    </w:p>
    <w:p w14:paraId="1E4C16F2">
      <w:pPr>
        <w:spacing w:line="360" w:lineRule="auto"/>
        <w:ind w:firstLine="420" w:firstLineChars="200"/>
        <w:rPr>
          <w:rFonts w:ascii="宋体" w:hAnsi="宋体" w:cs="宋体"/>
          <w:highlight w:val="none"/>
        </w:rPr>
      </w:pPr>
    </w:p>
    <w:p w14:paraId="14E5E6E7">
      <w:pPr>
        <w:spacing w:line="360" w:lineRule="auto"/>
        <w:ind w:firstLine="420" w:firstLineChars="200"/>
        <w:rPr>
          <w:rFonts w:ascii="宋体" w:hAnsi="宋体" w:cs="宋体"/>
          <w:highlight w:val="none"/>
        </w:rPr>
      </w:pPr>
    </w:p>
    <w:p w14:paraId="5F3C3443">
      <w:pPr>
        <w:spacing w:line="360" w:lineRule="auto"/>
        <w:ind w:firstLine="420" w:firstLineChars="200"/>
        <w:rPr>
          <w:rFonts w:ascii="宋体" w:hAnsi="宋体" w:cs="宋体"/>
          <w:highlight w:val="none"/>
        </w:rPr>
      </w:pPr>
    </w:p>
    <w:p w14:paraId="1612F6D4">
      <w:pPr>
        <w:spacing w:line="360" w:lineRule="auto"/>
        <w:ind w:firstLine="420" w:firstLineChars="200"/>
        <w:rPr>
          <w:rFonts w:ascii="宋体" w:hAnsi="宋体" w:cs="宋体"/>
          <w:highlight w:val="none"/>
        </w:rPr>
      </w:pPr>
    </w:p>
    <w:p w14:paraId="1C878AFC">
      <w:pPr>
        <w:spacing w:line="360" w:lineRule="auto"/>
        <w:rPr>
          <w:rFonts w:ascii="宋体" w:hAnsi="宋体" w:cs="宋体"/>
          <w:b/>
          <w:sz w:val="24"/>
          <w:highlight w:val="none"/>
        </w:rPr>
      </w:pPr>
    </w:p>
    <w:p w14:paraId="12747AB0">
      <w:pPr>
        <w:spacing w:line="360" w:lineRule="auto"/>
        <w:rPr>
          <w:rFonts w:ascii="宋体" w:hAnsi="宋体" w:cs="宋体"/>
          <w:b/>
          <w:sz w:val="24"/>
          <w:highlight w:val="none"/>
        </w:rPr>
      </w:pPr>
    </w:p>
    <w:p w14:paraId="1474F57A">
      <w:pPr>
        <w:spacing w:line="360" w:lineRule="auto"/>
        <w:rPr>
          <w:rFonts w:ascii="宋体" w:hAnsi="宋体" w:cs="宋体"/>
          <w:b/>
          <w:sz w:val="24"/>
          <w:highlight w:val="none"/>
        </w:rPr>
      </w:pPr>
    </w:p>
    <w:p w14:paraId="43D82195">
      <w:pPr>
        <w:spacing w:line="360" w:lineRule="auto"/>
        <w:rPr>
          <w:rFonts w:ascii="宋体" w:hAnsi="宋体" w:cs="宋体"/>
          <w:b/>
          <w:sz w:val="24"/>
          <w:highlight w:val="none"/>
        </w:rPr>
      </w:pPr>
    </w:p>
    <w:p w14:paraId="270A6FAE">
      <w:pPr>
        <w:spacing w:line="360" w:lineRule="auto"/>
        <w:rPr>
          <w:rFonts w:ascii="宋体" w:hAnsi="宋体" w:cs="宋体"/>
          <w:b/>
          <w:sz w:val="24"/>
          <w:highlight w:val="none"/>
        </w:rPr>
      </w:pPr>
    </w:p>
    <w:p w14:paraId="0FA2330E">
      <w:pPr>
        <w:spacing w:line="360" w:lineRule="auto"/>
        <w:rPr>
          <w:rFonts w:ascii="宋体" w:hAnsi="宋体" w:cs="宋体"/>
          <w:b/>
          <w:sz w:val="24"/>
          <w:highlight w:val="none"/>
        </w:rPr>
      </w:pPr>
    </w:p>
    <w:p w14:paraId="325ADED8">
      <w:pPr>
        <w:spacing w:line="360" w:lineRule="auto"/>
        <w:rPr>
          <w:rFonts w:ascii="宋体" w:hAnsi="宋体" w:cs="宋体"/>
          <w:b/>
          <w:sz w:val="24"/>
          <w:highlight w:val="none"/>
        </w:rPr>
      </w:pPr>
    </w:p>
    <w:p w14:paraId="1807EEED">
      <w:pPr>
        <w:spacing w:line="360" w:lineRule="auto"/>
        <w:rPr>
          <w:rFonts w:ascii="宋体" w:hAnsi="宋体" w:cs="宋体"/>
          <w:b/>
          <w:sz w:val="24"/>
          <w:highlight w:val="none"/>
        </w:rPr>
      </w:pPr>
    </w:p>
    <w:p w14:paraId="4B6DC5CA">
      <w:pPr>
        <w:spacing w:line="360" w:lineRule="auto"/>
        <w:rPr>
          <w:rFonts w:ascii="宋体" w:hAnsi="宋体" w:cs="宋体"/>
          <w:b/>
          <w:sz w:val="24"/>
          <w:highlight w:val="none"/>
        </w:rPr>
      </w:pPr>
    </w:p>
    <w:p w14:paraId="380C525A">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2B7EE361">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026A9E71">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1C627322">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p>
    <w:p w14:paraId="3E12BEAD">
      <w:pPr>
        <w:snapToGrid w:val="0"/>
        <w:spacing w:line="360" w:lineRule="auto"/>
        <w:rPr>
          <w:rFonts w:ascii="宋体" w:hAnsi="宋体" w:cs="宋体"/>
          <w:sz w:val="24"/>
          <w:highlight w:val="none"/>
        </w:rPr>
      </w:pPr>
      <w:r>
        <w:rPr>
          <w:rFonts w:hint="eastAsia" w:ascii="宋体" w:hAnsi="宋体" w:cs="宋体"/>
          <w:sz w:val="24"/>
          <w:highlight w:val="none"/>
        </w:rPr>
        <w:t>地址：邮编：</w:t>
      </w:r>
    </w:p>
    <w:p w14:paraId="24ECE35D">
      <w:pPr>
        <w:snapToGrid w:val="0"/>
        <w:spacing w:line="360" w:lineRule="auto"/>
        <w:rPr>
          <w:rFonts w:ascii="宋体" w:hAnsi="宋体" w:cs="宋体"/>
          <w:sz w:val="24"/>
          <w:highlight w:val="none"/>
        </w:rPr>
      </w:pPr>
      <w:r>
        <w:rPr>
          <w:rFonts w:hint="eastAsia" w:ascii="宋体" w:hAnsi="宋体" w:cs="宋体"/>
          <w:sz w:val="24"/>
          <w:highlight w:val="none"/>
        </w:rPr>
        <w:t>联系人：联系电话：</w:t>
      </w:r>
    </w:p>
    <w:p w14:paraId="61D9C80F">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p>
    <w:p w14:paraId="0EEABA9E">
      <w:pPr>
        <w:snapToGrid w:val="0"/>
        <w:spacing w:line="360" w:lineRule="auto"/>
        <w:rPr>
          <w:rFonts w:ascii="宋体" w:hAnsi="宋体" w:cs="宋体"/>
          <w:sz w:val="24"/>
          <w:highlight w:val="none"/>
        </w:rPr>
      </w:pPr>
      <w:r>
        <w:rPr>
          <w:rFonts w:hint="eastAsia" w:ascii="宋体" w:hAnsi="宋体" w:cs="宋体"/>
          <w:sz w:val="24"/>
          <w:highlight w:val="none"/>
        </w:rPr>
        <w:t>联系电话：</w:t>
      </w:r>
    </w:p>
    <w:p w14:paraId="36940EB0">
      <w:pPr>
        <w:snapToGrid w:val="0"/>
        <w:spacing w:line="360" w:lineRule="auto"/>
        <w:rPr>
          <w:rFonts w:ascii="宋体" w:hAnsi="宋体" w:cs="宋体"/>
          <w:sz w:val="24"/>
          <w:highlight w:val="none"/>
        </w:rPr>
      </w:pPr>
      <w:r>
        <w:rPr>
          <w:rFonts w:hint="eastAsia" w:ascii="宋体" w:hAnsi="宋体" w:cs="宋体"/>
          <w:sz w:val="24"/>
          <w:highlight w:val="none"/>
        </w:rPr>
        <w:t>地址： 邮编：</w:t>
      </w:r>
    </w:p>
    <w:p w14:paraId="1A334C29">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7A22F10B">
      <w:pPr>
        <w:snapToGrid w:val="0"/>
        <w:spacing w:line="360" w:lineRule="auto"/>
        <w:rPr>
          <w:rFonts w:ascii="宋体" w:hAnsi="宋体" w:cs="宋体"/>
          <w:sz w:val="24"/>
          <w:highlight w:val="none"/>
        </w:rPr>
      </w:pPr>
      <w:r>
        <w:rPr>
          <w:rFonts w:hint="eastAsia" w:ascii="宋体" w:hAnsi="宋体" w:cs="宋体"/>
          <w:sz w:val="24"/>
          <w:highlight w:val="none"/>
        </w:rPr>
        <w:t>质疑项目的名称：</w:t>
      </w:r>
    </w:p>
    <w:p w14:paraId="779463CE">
      <w:pPr>
        <w:snapToGrid w:val="0"/>
        <w:spacing w:line="360" w:lineRule="auto"/>
        <w:rPr>
          <w:rFonts w:ascii="宋体" w:hAnsi="宋体" w:cs="宋体"/>
          <w:sz w:val="24"/>
          <w:highlight w:val="none"/>
        </w:rPr>
      </w:pPr>
      <w:r>
        <w:rPr>
          <w:rFonts w:hint="eastAsia" w:ascii="宋体" w:hAnsi="宋体" w:cs="宋体"/>
          <w:sz w:val="24"/>
          <w:highlight w:val="none"/>
        </w:rPr>
        <w:t>质疑项目的编号：包号：</w:t>
      </w:r>
    </w:p>
    <w:p w14:paraId="4C36C977">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p>
    <w:p w14:paraId="03B260DD">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p>
    <w:p w14:paraId="12685FE7">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444FC4FB">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p>
    <w:p w14:paraId="0D772A26">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p>
    <w:p w14:paraId="5226D0F7">
      <w:pPr>
        <w:snapToGrid w:val="0"/>
        <w:spacing w:line="360" w:lineRule="auto"/>
        <w:rPr>
          <w:rFonts w:ascii="宋体" w:hAnsi="宋体" w:cs="宋体"/>
          <w:sz w:val="24"/>
          <w:highlight w:val="none"/>
        </w:rPr>
      </w:pPr>
    </w:p>
    <w:p w14:paraId="58A2F973">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p>
    <w:p w14:paraId="2F95C388">
      <w:pPr>
        <w:snapToGrid w:val="0"/>
        <w:spacing w:line="360" w:lineRule="auto"/>
        <w:rPr>
          <w:rFonts w:ascii="宋体" w:hAnsi="宋体" w:cs="宋体"/>
          <w:sz w:val="24"/>
          <w:highlight w:val="none"/>
          <w:u w:val="dotted"/>
        </w:rPr>
      </w:pPr>
    </w:p>
    <w:p w14:paraId="117B9B7E">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294FF014">
      <w:pPr>
        <w:snapToGrid w:val="0"/>
        <w:spacing w:line="360" w:lineRule="auto"/>
        <w:rPr>
          <w:rFonts w:ascii="宋体" w:hAnsi="宋体" w:cs="宋体"/>
          <w:sz w:val="24"/>
          <w:highlight w:val="none"/>
        </w:rPr>
      </w:pPr>
      <w:r>
        <w:rPr>
          <w:rFonts w:hint="eastAsia" w:ascii="宋体" w:hAnsi="宋体" w:cs="宋体"/>
          <w:sz w:val="24"/>
          <w:highlight w:val="none"/>
        </w:rPr>
        <w:t>……</w:t>
      </w:r>
    </w:p>
    <w:p w14:paraId="56309677">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15FDFF63">
      <w:pPr>
        <w:snapToGrid w:val="0"/>
        <w:spacing w:line="360" w:lineRule="auto"/>
        <w:rPr>
          <w:rFonts w:ascii="宋体" w:hAnsi="宋体" w:cs="宋体"/>
          <w:sz w:val="24"/>
          <w:highlight w:val="none"/>
          <w:u w:val="dotted"/>
        </w:rPr>
      </w:pPr>
      <w:r>
        <w:rPr>
          <w:rFonts w:hint="eastAsia" w:ascii="宋体" w:hAnsi="宋体" w:cs="宋体"/>
          <w:sz w:val="24"/>
          <w:highlight w:val="none"/>
        </w:rPr>
        <w:t>请求：</w:t>
      </w:r>
    </w:p>
    <w:p w14:paraId="1FE4817F">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1E7F52B3">
      <w:pPr>
        <w:spacing w:line="360" w:lineRule="auto"/>
        <w:rPr>
          <w:rFonts w:ascii="宋体" w:hAnsi="宋体" w:cs="宋体"/>
          <w:sz w:val="24"/>
          <w:highlight w:val="none"/>
        </w:rPr>
      </w:pPr>
      <w:r>
        <w:rPr>
          <w:rFonts w:hint="eastAsia" w:ascii="宋体" w:hAnsi="宋体" w:cs="宋体"/>
          <w:sz w:val="24"/>
          <w:highlight w:val="none"/>
        </w:rPr>
        <w:t xml:space="preserve">日期：    </w:t>
      </w:r>
    </w:p>
    <w:p w14:paraId="21D96553">
      <w:pPr>
        <w:spacing w:line="360" w:lineRule="auto"/>
        <w:jc w:val="center"/>
        <w:rPr>
          <w:rFonts w:ascii="宋体" w:hAnsi="宋体" w:cs="宋体"/>
          <w:b/>
          <w:bCs/>
          <w:sz w:val="24"/>
          <w:highlight w:val="none"/>
        </w:rPr>
      </w:pPr>
    </w:p>
    <w:p w14:paraId="3A2DF04F">
      <w:pPr>
        <w:spacing w:line="360" w:lineRule="auto"/>
        <w:rPr>
          <w:rFonts w:ascii="宋体" w:hAnsi="宋体" w:cs="宋体"/>
          <w:b/>
          <w:sz w:val="24"/>
          <w:highlight w:val="none"/>
        </w:rPr>
      </w:pPr>
    </w:p>
    <w:p w14:paraId="5E4E73B3">
      <w:pPr>
        <w:spacing w:line="360" w:lineRule="auto"/>
        <w:rPr>
          <w:rFonts w:ascii="宋体" w:hAnsi="宋体" w:cs="宋体"/>
          <w:b/>
          <w:sz w:val="24"/>
          <w:highlight w:val="none"/>
        </w:rPr>
      </w:pPr>
    </w:p>
    <w:p w14:paraId="697F310B">
      <w:pPr>
        <w:spacing w:line="360" w:lineRule="auto"/>
        <w:rPr>
          <w:rFonts w:ascii="宋体" w:hAnsi="宋体" w:cs="宋体"/>
          <w:b/>
          <w:sz w:val="24"/>
          <w:highlight w:val="none"/>
        </w:rPr>
      </w:pPr>
    </w:p>
    <w:p w14:paraId="58419ABF">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235F3A6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4C435C6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0AD8CFD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66BD7BD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31C4708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6BB965E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323F2420">
      <w:pPr>
        <w:widowControl/>
        <w:spacing w:line="360" w:lineRule="auto"/>
        <w:ind w:firstLine="600" w:firstLineChars="200"/>
        <w:jc w:val="left"/>
        <w:rPr>
          <w:rFonts w:ascii="宋体" w:hAnsi="宋体" w:cs="宋体"/>
          <w:sz w:val="30"/>
          <w:szCs w:val="30"/>
          <w:highlight w:val="none"/>
        </w:rPr>
      </w:pPr>
    </w:p>
    <w:p w14:paraId="58CB50F2">
      <w:pPr>
        <w:spacing w:line="360" w:lineRule="auto"/>
        <w:jc w:val="center"/>
        <w:rPr>
          <w:rFonts w:ascii="宋体" w:hAnsi="宋体" w:cs="宋体"/>
          <w:b/>
          <w:spacing w:val="6"/>
          <w:sz w:val="32"/>
          <w:szCs w:val="32"/>
          <w:highlight w:val="none"/>
        </w:rPr>
      </w:pPr>
    </w:p>
    <w:p w14:paraId="4D1D2774">
      <w:pPr>
        <w:spacing w:line="360" w:lineRule="auto"/>
        <w:jc w:val="center"/>
        <w:rPr>
          <w:rFonts w:ascii="宋体" w:hAnsi="宋体" w:cs="宋体"/>
          <w:b/>
          <w:spacing w:val="6"/>
          <w:sz w:val="32"/>
          <w:szCs w:val="32"/>
          <w:highlight w:val="none"/>
        </w:rPr>
      </w:pPr>
    </w:p>
    <w:p w14:paraId="358BA442">
      <w:pPr>
        <w:spacing w:line="360" w:lineRule="auto"/>
        <w:jc w:val="center"/>
        <w:rPr>
          <w:rFonts w:ascii="宋体" w:hAnsi="宋体" w:cs="宋体"/>
          <w:b/>
          <w:spacing w:val="6"/>
          <w:sz w:val="32"/>
          <w:szCs w:val="32"/>
          <w:highlight w:val="none"/>
        </w:rPr>
      </w:pPr>
    </w:p>
    <w:p w14:paraId="294B7302">
      <w:pPr>
        <w:spacing w:line="360" w:lineRule="auto"/>
        <w:jc w:val="center"/>
        <w:rPr>
          <w:rFonts w:ascii="宋体" w:hAnsi="宋体" w:cs="宋体"/>
          <w:b/>
          <w:spacing w:val="6"/>
          <w:sz w:val="32"/>
          <w:szCs w:val="32"/>
          <w:highlight w:val="none"/>
        </w:rPr>
      </w:pPr>
    </w:p>
    <w:p w14:paraId="0C20C5DC">
      <w:pPr>
        <w:spacing w:line="360" w:lineRule="auto"/>
        <w:jc w:val="center"/>
        <w:rPr>
          <w:rFonts w:ascii="宋体" w:hAnsi="宋体" w:cs="宋体"/>
          <w:b/>
          <w:spacing w:val="6"/>
          <w:sz w:val="32"/>
          <w:szCs w:val="32"/>
          <w:highlight w:val="none"/>
        </w:rPr>
      </w:pPr>
    </w:p>
    <w:p w14:paraId="71D2C340">
      <w:pPr>
        <w:spacing w:line="360" w:lineRule="auto"/>
        <w:jc w:val="center"/>
        <w:rPr>
          <w:rFonts w:ascii="宋体" w:hAnsi="宋体" w:cs="宋体"/>
          <w:b/>
          <w:spacing w:val="6"/>
          <w:sz w:val="32"/>
          <w:szCs w:val="32"/>
          <w:highlight w:val="none"/>
        </w:rPr>
      </w:pPr>
    </w:p>
    <w:p w14:paraId="6D09DAD7">
      <w:pPr>
        <w:spacing w:line="360" w:lineRule="auto"/>
        <w:jc w:val="center"/>
        <w:rPr>
          <w:rFonts w:ascii="宋体" w:hAnsi="宋体" w:cs="宋体"/>
          <w:b/>
          <w:spacing w:val="6"/>
          <w:sz w:val="32"/>
          <w:szCs w:val="32"/>
          <w:highlight w:val="none"/>
        </w:rPr>
      </w:pPr>
    </w:p>
    <w:p w14:paraId="191A2DDE">
      <w:pPr>
        <w:spacing w:line="360" w:lineRule="auto"/>
        <w:jc w:val="center"/>
        <w:rPr>
          <w:rFonts w:ascii="宋体" w:hAnsi="宋体" w:cs="宋体"/>
          <w:b/>
          <w:spacing w:val="6"/>
          <w:sz w:val="32"/>
          <w:szCs w:val="32"/>
          <w:highlight w:val="none"/>
        </w:rPr>
      </w:pPr>
    </w:p>
    <w:p w14:paraId="4C8A689D">
      <w:pPr>
        <w:spacing w:line="360" w:lineRule="auto"/>
        <w:jc w:val="center"/>
        <w:rPr>
          <w:rFonts w:ascii="宋体" w:hAnsi="宋体" w:cs="宋体"/>
          <w:b/>
          <w:spacing w:val="6"/>
          <w:sz w:val="32"/>
          <w:szCs w:val="32"/>
          <w:highlight w:val="none"/>
        </w:rPr>
      </w:pPr>
    </w:p>
    <w:p w14:paraId="0AC47416">
      <w:pPr>
        <w:spacing w:line="360" w:lineRule="auto"/>
        <w:jc w:val="center"/>
        <w:rPr>
          <w:rFonts w:ascii="宋体" w:hAnsi="宋体" w:cs="宋体"/>
          <w:b/>
          <w:spacing w:val="6"/>
          <w:sz w:val="32"/>
          <w:szCs w:val="32"/>
          <w:highlight w:val="none"/>
        </w:rPr>
      </w:pPr>
    </w:p>
    <w:p w14:paraId="020EBD88">
      <w:pPr>
        <w:spacing w:line="360" w:lineRule="auto"/>
        <w:jc w:val="center"/>
        <w:rPr>
          <w:rFonts w:ascii="宋体" w:hAnsi="宋体" w:cs="宋体"/>
          <w:b/>
          <w:spacing w:val="6"/>
          <w:sz w:val="32"/>
          <w:szCs w:val="32"/>
          <w:highlight w:val="none"/>
        </w:rPr>
      </w:pPr>
    </w:p>
    <w:p w14:paraId="0FFE8F4D">
      <w:pPr>
        <w:spacing w:line="360" w:lineRule="auto"/>
        <w:jc w:val="center"/>
        <w:rPr>
          <w:rFonts w:ascii="宋体" w:hAnsi="宋体" w:cs="宋体"/>
          <w:b/>
          <w:spacing w:val="6"/>
          <w:sz w:val="32"/>
          <w:szCs w:val="32"/>
          <w:highlight w:val="none"/>
        </w:rPr>
      </w:pPr>
    </w:p>
    <w:p w14:paraId="1547E2C9">
      <w:pPr>
        <w:spacing w:line="360" w:lineRule="auto"/>
        <w:jc w:val="left"/>
        <w:rPr>
          <w:rFonts w:ascii="宋体" w:hAnsi="宋体" w:cs="宋体"/>
          <w:b/>
          <w:spacing w:val="6"/>
          <w:sz w:val="32"/>
          <w:szCs w:val="32"/>
          <w:highlight w:val="none"/>
        </w:rPr>
      </w:pPr>
    </w:p>
    <w:p w14:paraId="1ED46927">
      <w:pPr>
        <w:spacing w:line="360" w:lineRule="auto"/>
        <w:jc w:val="left"/>
        <w:rPr>
          <w:rFonts w:ascii="宋体" w:hAnsi="宋体" w:cs="宋体"/>
          <w:b/>
          <w:spacing w:val="6"/>
          <w:sz w:val="32"/>
          <w:szCs w:val="32"/>
          <w:highlight w:val="none"/>
        </w:rPr>
      </w:pPr>
    </w:p>
    <w:p w14:paraId="71FAE364">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2ED2EF33">
      <w:pPr>
        <w:spacing w:line="360" w:lineRule="auto"/>
        <w:jc w:val="center"/>
        <w:rPr>
          <w:rFonts w:ascii="宋体" w:hAnsi="宋体" w:cs="宋体"/>
          <w:b/>
          <w:sz w:val="24"/>
          <w:highlight w:val="none"/>
        </w:rPr>
      </w:pPr>
    </w:p>
    <w:p w14:paraId="1532F37B">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7354F459">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3740358F">
      <w:pPr>
        <w:spacing w:line="360" w:lineRule="auto"/>
        <w:rPr>
          <w:rFonts w:ascii="宋体" w:hAnsi="宋体" w:cs="宋体"/>
          <w:sz w:val="24"/>
          <w:highlight w:val="none"/>
          <w:u w:val="dotted"/>
        </w:rPr>
      </w:pPr>
      <w:r>
        <w:rPr>
          <w:rFonts w:hint="eastAsia" w:ascii="宋体" w:hAnsi="宋体" w:cs="宋体"/>
          <w:sz w:val="24"/>
          <w:highlight w:val="none"/>
        </w:rPr>
        <w:t>投诉人：</w:t>
      </w:r>
    </w:p>
    <w:p w14:paraId="0264C541">
      <w:pPr>
        <w:spacing w:line="360" w:lineRule="auto"/>
        <w:rPr>
          <w:rFonts w:ascii="宋体" w:hAnsi="宋体" w:cs="宋体"/>
          <w:sz w:val="24"/>
          <w:highlight w:val="none"/>
          <w:u w:val="single"/>
        </w:rPr>
      </w:pPr>
      <w:r>
        <w:rPr>
          <w:rFonts w:hint="eastAsia" w:ascii="宋体" w:hAnsi="宋体" w:cs="宋体"/>
          <w:sz w:val="24"/>
          <w:highlight w:val="none"/>
        </w:rPr>
        <w:t>地     址：邮编：</w:t>
      </w:r>
    </w:p>
    <w:p w14:paraId="41B0743F">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p>
    <w:p w14:paraId="0E5CA85E">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p>
    <w:p w14:paraId="7E1D8E59">
      <w:pPr>
        <w:spacing w:line="360" w:lineRule="auto"/>
        <w:rPr>
          <w:rFonts w:ascii="宋体" w:hAnsi="宋体" w:cs="宋体"/>
          <w:sz w:val="24"/>
          <w:highlight w:val="none"/>
          <w:u w:val="dotted"/>
        </w:rPr>
      </w:pPr>
      <w:r>
        <w:rPr>
          <w:rFonts w:hint="eastAsia" w:ascii="宋体" w:hAnsi="宋体" w:cs="宋体"/>
          <w:sz w:val="24"/>
          <w:highlight w:val="none"/>
        </w:rPr>
        <w:t>授权代表：联系电话</w:t>
      </w:r>
      <w:r>
        <w:rPr>
          <w:rFonts w:hint="eastAsia" w:ascii="宋体" w:hAnsi="宋体" w:cs="宋体"/>
          <w:sz w:val="24"/>
          <w:highlight w:val="none"/>
          <w:u w:val="dotted"/>
        </w:rPr>
        <w:t xml:space="preserve">：                  </w:t>
      </w:r>
    </w:p>
    <w:p w14:paraId="6BBC7969">
      <w:pPr>
        <w:spacing w:line="360" w:lineRule="auto"/>
        <w:rPr>
          <w:rFonts w:ascii="宋体" w:hAnsi="宋体" w:cs="宋体"/>
          <w:sz w:val="24"/>
          <w:highlight w:val="none"/>
          <w:u w:val="dotted"/>
        </w:rPr>
      </w:pPr>
      <w:r>
        <w:rPr>
          <w:rFonts w:hint="eastAsia" w:ascii="宋体" w:hAnsi="宋体" w:cs="宋体"/>
          <w:sz w:val="24"/>
          <w:highlight w:val="none"/>
        </w:rPr>
        <w:t>地     址：邮编：</w:t>
      </w:r>
    </w:p>
    <w:p w14:paraId="40589E19">
      <w:pPr>
        <w:spacing w:line="360" w:lineRule="auto"/>
        <w:rPr>
          <w:rFonts w:ascii="宋体" w:hAnsi="宋体" w:cs="宋体"/>
          <w:sz w:val="24"/>
          <w:highlight w:val="none"/>
          <w:u w:val="single"/>
        </w:rPr>
      </w:pPr>
      <w:r>
        <w:rPr>
          <w:rFonts w:hint="eastAsia" w:ascii="宋体" w:hAnsi="宋体" w:cs="宋体"/>
          <w:sz w:val="24"/>
          <w:highlight w:val="none"/>
        </w:rPr>
        <w:t>被投诉人1：</w:t>
      </w:r>
    </w:p>
    <w:p w14:paraId="59051862">
      <w:pPr>
        <w:spacing w:line="360" w:lineRule="auto"/>
        <w:rPr>
          <w:rFonts w:ascii="宋体" w:hAnsi="宋体" w:cs="宋体"/>
          <w:sz w:val="24"/>
          <w:highlight w:val="none"/>
          <w:u w:val="single"/>
        </w:rPr>
      </w:pPr>
      <w:r>
        <w:rPr>
          <w:rFonts w:hint="eastAsia" w:ascii="宋体" w:hAnsi="宋体" w:cs="宋体"/>
          <w:sz w:val="24"/>
          <w:highlight w:val="none"/>
        </w:rPr>
        <w:t>地     址：邮编：</w:t>
      </w:r>
    </w:p>
    <w:p w14:paraId="3B01328C">
      <w:pPr>
        <w:spacing w:line="360" w:lineRule="auto"/>
        <w:rPr>
          <w:rFonts w:ascii="宋体" w:hAnsi="宋体" w:cs="宋体"/>
          <w:sz w:val="24"/>
          <w:highlight w:val="none"/>
          <w:u w:val="single"/>
        </w:rPr>
      </w:pPr>
      <w:r>
        <w:rPr>
          <w:rFonts w:hint="eastAsia" w:ascii="宋体" w:hAnsi="宋体" w:cs="宋体"/>
          <w:sz w:val="24"/>
          <w:highlight w:val="none"/>
        </w:rPr>
        <w:t>联系人：联系电话：</w:t>
      </w:r>
    </w:p>
    <w:p w14:paraId="684AC250">
      <w:pPr>
        <w:spacing w:line="360" w:lineRule="auto"/>
        <w:rPr>
          <w:rFonts w:ascii="宋体" w:hAnsi="宋体" w:cs="宋体"/>
          <w:sz w:val="24"/>
          <w:highlight w:val="none"/>
        </w:rPr>
      </w:pPr>
      <w:r>
        <w:rPr>
          <w:rFonts w:hint="eastAsia" w:ascii="宋体" w:hAnsi="宋体" w:cs="宋体"/>
          <w:sz w:val="24"/>
          <w:highlight w:val="none"/>
        </w:rPr>
        <w:t>被投诉人2</w:t>
      </w:r>
    </w:p>
    <w:p w14:paraId="03264AD6">
      <w:pPr>
        <w:spacing w:line="360" w:lineRule="auto"/>
        <w:rPr>
          <w:rFonts w:ascii="宋体" w:hAnsi="宋体" w:cs="宋体"/>
          <w:sz w:val="24"/>
          <w:highlight w:val="none"/>
          <w:u w:val="dotted"/>
        </w:rPr>
      </w:pPr>
      <w:r>
        <w:rPr>
          <w:rFonts w:hint="eastAsia" w:ascii="宋体" w:hAnsi="宋体" w:cs="宋体"/>
          <w:sz w:val="24"/>
          <w:highlight w:val="none"/>
        </w:rPr>
        <w:t>……</w:t>
      </w:r>
    </w:p>
    <w:p w14:paraId="3F2F8DA4">
      <w:pPr>
        <w:spacing w:line="360" w:lineRule="auto"/>
        <w:rPr>
          <w:rFonts w:ascii="宋体" w:hAnsi="宋体" w:cs="宋体"/>
          <w:sz w:val="24"/>
          <w:highlight w:val="none"/>
          <w:u w:val="single"/>
        </w:rPr>
      </w:pPr>
      <w:r>
        <w:rPr>
          <w:rFonts w:hint="eastAsia" w:ascii="宋体" w:hAnsi="宋体" w:cs="宋体"/>
          <w:sz w:val="24"/>
          <w:highlight w:val="none"/>
        </w:rPr>
        <w:t>相关供应商：</w:t>
      </w:r>
    </w:p>
    <w:p w14:paraId="44DBFF86">
      <w:pPr>
        <w:spacing w:line="360" w:lineRule="auto"/>
        <w:rPr>
          <w:rFonts w:ascii="宋体" w:hAnsi="宋体" w:cs="宋体"/>
          <w:sz w:val="24"/>
          <w:highlight w:val="none"/>
          <w:u w:val="single"/>
        </w:rPr>
      </w:pPr>
      <w:r>
        <w:rPr>
          <w:rFonts w:hint="eastAsia" w:ascii="宋体" w:hAnsi="宋体" w:cs="宋体"/>
          <w:sz w:val="24"/>
          <w:highlight w:val="none"/>
        </w:rPr>
        <w:t>地     址：邮编：</w:t>
      </w:r>
    </w:p>
    <w:p w14:paraId="0B502118">
      <w:pPr>
        <w:spacing w:line="360" w:lineRule="auto"/>
        <w:rPr>
          <w:rFonts w:ascii="宋体" w:hAnsi="宋体" w:cs="宋体"/>
          <w:sz w:val="24"/>
          <w:highlight w:val="none"/>
          <w:u w:val="single"/>
        </w:rPr>
      </w:pPr>
      <w:r>
        <w:rPr>
          <w:rFonts w:hint="eastAsia" w:ascii="宋体" w:hAnsi="宋体" w:cs="宋体"/>
          <w:sz w:val="24"/>
          <w:highlight w:val="none"/>
        </w:rPr>
        <w:t>联系人：联系电话：</w:t>
      </w:r>
    </w:p>
    <w:p w14:paraId="2A29585A">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45017FA0">
      <w:pPr>
        <w:spacing w:line="360" w:lineRule="auto"/>
        <w:rPr>
          <w:rFonts w:ascii="宋体" w:hAnsi="宋体" w:cs="宋体"/>
          <w:sz w:val="24"/>
          <w:highlight w:val="none"/>
          <w:u w:val="dotted"/>
        </w:rPr>
      </w:pPr>
      <w:r>
        <w:rPr>
          <w:rFonts w:hint="eastAsia" w:ascii="宋体" w:hAnsi="宋体" w:cs="宋体"/>
          <w:sz w:val="24"/>
          <w:highlight w:val="none"/>
        </w:rPr>
        <w:t>采购项目名称：</w:t>
      </w:r>
    </w:p>
    <w:p w14:paraId="351CD824">
      <w:pPr>
        <w:spacing w:line="360" w:lineRule="auto"/>
        <w:rPr>
          <w:rFonts w:ascii="宋体" w:hAnsi="宋体" w:cs="宋体"/>
          <w:sz w:val="24"/>
          <w:highlight w:val="none"/>
          <w:u w:val="single"/>
        </w:rPr>
      </w:pPr>
      <w:r>
        <w:rPr>
          <w:rFonts w:hint="eastAsia" w:ascii="宋体" w:hAnsi="宋体" w:cs="宋体"/>
          <w:sz w:val="24"/>
          <w:highlight w:val="none"/>
        </w:rPr>
        <w:t>采购项目编号：包号：</w:t>
      </w:r>
    </w:p>
    <w:p w14:paraId="5C578E29">
      <w:pPr>
        <w:spacing w:line="360" w:lineRule="auto"/>
        <w:rPr>
          <w:rFonts w:ascii="宋体" w:hAnsi="宋体" w:cs="宋体"/>
          <w:sz w:val="24"/>
          <w:highlight w:val="none"/>
        </w:rPr>
      </w:pPr>
      <w:r>
        <w:rPr>
          <w:rFonts w:hint="eastAsia" w:ascii="宋体" w:hAnsi="宋体" w:cs="宋体"/>
          <w:sz w:val="24"/>
          <w:highlight w:val="none"/>
        </w:rPr>
        <w:t>采购人名称：</w:t>
      </w:r>
    </w:p>
    <w:p w14:paraId="549CE574">
      <w:pPr>
        <w:spacing w:line="360" w:lineRule="auto"/>
        <w:rPr>
          <w:rFonts w:ascii="宋体" w:hAnsi="宋体" w:cs="宋体"/>
          <w:sz w:val="24"/>
          <w:highlight w:val="none"/>
          <w:u w:val="single"/>
        </w:rPr>
      </w:pPr>
      <w:r>
        <w:rPr>
          <w:rFonts w:hint="eastAsia" w:ascii="宋体" w:hAnsi="宋体" w:cs="宋体"/>
          <w:sz w:val="24"/>
          <w:highlight w:val="none"/>
        </w:rPr>
        <w:t>代理机构名称：</w:t>
      </w:r>
    </w:p>
    <w:p w14:paraId="6184CC04">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p>
    <w:p w14:paraId="56CC100E">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p>
    <w:p w14:paraId="7E35CA83">
      <w:pPr>
        <w:spacing w:line="360" w:lineRule="auto"/>
        <w:rPr>
          <w:rFonts w:ascii="宋体" w:hAnsi="宋体" w:cs="宋体"/>
          <w:sz w:val="24"/>
          <w:highlight w:val="none"/>
        </w:rPr>
      </w:pPr>
      <w:r>
        <w:rPr>
          <w:rFonts w:hint="eastAsia" w:ascii="宋体" w:hAnsi="宋体" w:cs="宋体"/>
          <w:sz w:val="24"/>
          <w:highlight w:val="none"/>
        </w:rPr>
        <w:t>三、质疑基本情况</w:t>
      </w:r>
    </w:p>
    <w:p w14:paraId="0D296897">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投诉人于年月日,向提出质疑，质疑事项为：</w:t>
      </w:r>
    </w:p>
    <w:p w14:paraId="780C70DB">
      <w:pPr>
        <w:spacing w:line="360" w:lineRule="auto"/>
        <w:rPr>
          <w:rFonts w:ascii="宋体" w:hAnsi="宋体" w:cs="宋体"/>
          <w:sz w:val="24"/>
          <w:highlight w:val="none"/>
          <w:u w:val="dotted"/>
        </w:rPr>
      </w:pPr>
    </w:p>
    <w:p w14:paraId="25F9ECEE">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于年月日,就质疑事项作出了答复/没有在法定期限内作出答复。</w:t>
      </w:r>
    </w:p>
    <w:p w14:paraId="4D4D7579">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663C439B">
      <w:pPr>
        <w:spacing w:line="360" w:lineRule="auto"/>
        <w:rPr>
          <w:rFonts w:ascii="宋体" w:hAnsi="宋体" w:cs="宋体"/>
          <w:sz w:val="24"/>
          <w:highlight w:val="none"/>
          <w:u w:val="single"/>
        </w:rPr>
      </w:pPr>
      <w:r>
        <w:rPr>
          <w:rFonts w:hint="eastAsia" w:ascii="宋体" w:hAnsi="宋体" w:cs="宋体"/>
          <w:sz w:val="24"/>
          <w:highlight w:val="none"/>
        </w:rPr>
        <w:t>投诉事项 1：</w:t>
      </w:r>
    </w:p>
    <w:p w14:paraId="18BB5C2F">
      <w:pPr>
        <w:spacing w:line="360" w:lineRule="auto"/>
        <w:rPr>
          <w:rFonts w:ascii="宋体" w:hAnsi="宋体" w:cs="宋体"/>
          <w:sz w:val="24"/>
          <w:highlight w:val="none"/>
        </w:rPr>
      </w:pPr>
      <w:r>
        <w:rPr>
          <w:rFonts w:hint="eastAsia" w:ascii="宋体" w:hAnsi="宋体" w:cs="宋体"/>
          <w:sz w:val="24"/>
          <w:highlight w:val="none"/>
        </w:rPr>
        <w:t>事实依据：</w:t>
      </w:r>
    </w:p>
    <w:p w14:paraId="75C265D7">
      <w:pPr>
        <w:spacing w:line="360" w:lineRule="auto"/>
        <w:rPr>
          <w:rFonts w:ascii="宋体" w:hAnsi="宋体" w:cs="宋体"/>
          <w:sz w:val="24"/>
          <w:highlight w:val="none"/>
          <w:u w:val="dotted"/>
        </w:rPr>
      </w:pPr>
    </w:p>
    <w:p w14:paraId="4C694B6C">
      <w:pPr>
        <w:spacing w:line="360" w:lineRule="auto"/>
        <w:rPr>
          <w:rFonts w:ascii="宋体" w:hAnsi="宋体" w:cs="宋体"/>
          <w:sz w:val="24"/>
          <w:highlight w:val="none"/>
          <w:u w:val="single"/>
        </w:rPr>
      </w:pPr>
      <w:r>
        <w:rPr>
          <w:rFonts w:hint="eastAsia" w:ascii="宋体" w:hAnsi="宋体" w:cs="宋体"/>
          <w:sz w:val="24"/>
          <w:highlight w:val="none"/>
        </w:rPr>
        <w:t>法律依据：</w:t>
      </w:r>
    </w:p>
    <w:p w14:paraId="0F4ED5B7">
      <w:pPr>
        <w:spacing w:line="360" w:lineRule="auto"/>
        <w:rPr>
          <w:rFonts w:ascii="宋体" w:hAnsi="宋体" w:cs="宋体"/>
          <w:sz w:val="24"/>
          <w:highlight w:val="none"/>
          <w:u w:val="dotted"/>
        </w:rPr>
      </w:pPr>
    </w:p>
    <w:p w14:paraId="7575F584">
      <w:pPr>
        <w:spacing w:line="360" w:lineRule="auto"/>
        <w:rPr>
          <w:rFonts w:ascii="宋体" w:hAnsi="宋体" w:cs="宋体"/>
          <w:sz w:val="24"/>
          <w:highlight w:val="none"/>
        </w:rPr>
      </w:pPr>
      <w:r>
        <w:rPr>
          <w:rFonts w:hint="eastAsia" w:ascii="宋体" w:hAnsi="宋体" w:cs="宋体"/>
          <w:sz w:val="24"/>
          <w:highlight w:val="none"/>
        </w:rPr>
        <w:t>投诉事项2</w:t>
      </w:r>
    </w:p>
    <w:p w14:paraId="66B16A0A">
      <w:pPr>
        <w:spacing w:line="360" w:lineRule="auto"/>
        <w:rPr>
          <w:rFonts w:ascii="宋体" w:hAnsi="宋体" w:cs="宋体"/>
          <w:sz w:val="24"/>
          <w:highlight w:val="none"/>
          <w:u w:val="dotted"/>
        </w:rPr>
      </w:pPr>
      <w:r>
        <w:rPr>
          <w:rFonts w:hint="eastAsia" w:ascii="宋体" w:hAnsi="宋体" w:cs="宋体"/>
          <w:sz w:val="24"/>
          <w:highlight w:val="none"/>
        </w:rPr>
        <w:t>……</w:t>
      </w:r>
    </w:p>
    <w:p w14:paraId="094A0E9D">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3A6C9BAF">
      <w:pPr>
        <w:spacing w:line="360" w:lineRule="auto"/>
        <w:rPr>
          <w:rFonts w:ascii="宋体" w:hAnsi="宋体" w:cs="宋体"/>
          <w:sz w:val="24"/>
          <w:highlight w:val="none"/>
        </w:rPr>
      </w:pPr>
      <w:r>
        <w:rPr>
          <w:rFonts w:hint="eastAsia" w:ascii="宋体" w:hAnsi="宋体" w:cs="宋体"/>
          <w:sz w:val="24"/>
          <w:highlight w:val="none"/>
        </w:rPr>
        <w:t>请求：</w:t>
      </w:r>
    </w:p>
    <w:p w14:paraId="0A01AC55">
      <w:pPr>
        <w:spacing w:line="360" w:lineRule="auto"/>
        <w:rPr>
          <w:rFonts w:ascii="宋体" w:hAnsi="宋体" w:cs="宋体"/>
          <w:sz w:val="24"/>
          <w:highlight w:val="none"/>
          <w:u w:val="single"/>
        </w:rPr>
      </w:pPr>
    </w:p>
    <w:p w14:paraId="73333A75">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4EEB985F">
      <w:pPr>
        <w:spacing w:line="360" w:lineRule="auto"/>
        <w:rPr>
          <w:rFonts w:ascii="宋体" w:hAnsi="宋体" w:cs="宋体"/>
          <w:sz w:val="24"/>
          <w:highlight w:val="none"/>
        </w:rPr>
      </w:pPr>
      <w:r>
        <w:rPr>
          <w:rFonts w:hint="eastAsia" w:ascii="宋体" w:hAnsi="宋体" w:cs="宋体"/>
          <w:sz w:val="24"/>
          <w:highlight w:val="none"/>
        </w:rPr>
        <w:t xml:space="preserve">日期：    </w:t>
      </w:r>
    </w:p>
    <w:p w14:paraId="392A7143">
      <w:pPr>
        <w:spacing w:line="360" w:lineRule="auto"/>
        <w:rPr>
          <w:rFonts w:ascii="宋体" w:hAnsi="宋体" w:cs="宋体"/>
          <w:b/>
          <w:sz w:val="24"/>
          <w:highlight w:val="none"/>
        </w:rPr>
      </w:pPr>
    </w:p>
    <w:p w14:paraId="67F20607">
      <w:pPr>
        <w:spacing w:line="360" w:lineRule="auto"/>
        <w:rPr>
          <w:rFonts w:ascii="宋体" w:hAnsi="宋体" w:cs="宋体"/>
          <w:b/>
          <w:sz w:val="24"/>
          <w:highlight w:val="none"/>
        </w:rPr>
      </w:pPr>
    </w:p>
    <w:p w14:paraId="2FDF1E79">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0327BB9B">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31C99918">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1147FB2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133823D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6C01189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2335D61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5DA815FC">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3BF8A888">
      <w:pPr>
        <w:spacing w:line="360" w:lineRule="auto"/>
        <w:rPr>
          <w:rFonts w:ascii="宋体" w:hAnsi="宋体" w:cs="宋体"/>
          <w:b/>
          <w:sz w:val="24"/>
          <w:highlight w:val="none"/>
        </w:rPr>
      </w:pPr>
    </w:p>
    <w:p w14:paraId="30292089">
      <w:pPr>
        <w:autoSpaceDE w:val="0"/>
        <w:autoSpaceDN w:val="0"/>
        <w:jc w:val="center"/>
        <w:rPr>
          <w:rFonts w:ascii="宋体" w:hAnsi="宋体" w:cs="宋体"/>
          <w:b/>
          <w:spacing w:val="6"/>
          <w:sz w:val="32"/>
          <w:szCs w:val="32"/>
          <w:highlight w:val="none"/>
        </w:rPr>
      </w:pPr>
    </w:p>
    <w:p w14:paraId="3DAE0928">
      <w:pPr>
        <w:autoSpaceDE w:val="0"/>
        <w:autoSpaceDN w:val="0"/>
        <w:jc w:val="center"/>
        <w:rPr>
          <w:rFonts w:ascii="宋体" w:hAnsi="宋体" w:cs="宋体"/>
          <w:b/>
          <w:spacing w:val="6"/>
          <w:sz w:val="32"/>
          <w:szCs w:val="32"/>
          <w:highlight w:val="none"/>
        </w:rPr>
      </w:pPr>
    </w:p>
    <w:p w14:paraId="7D823EDE">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7ABDF11A">
      <w:pPr>
        <w:spacing w:line="360" w:lineRule="auto"/>
        <w:rPr>
          <w:rFonts w:ascii="宋体" w:hAnsi="宋体" w:cs="宋体"/>
          <w:sz w:val="24"/>
          <w:highlight w:val="none"/>
          <w:u w:val="single"/>
        </w:rPr>
      </w:pPr>
    </w:p>
    <w:p w14:paraId="314A5A67">
      <w:pPr>
        <w:spacing w:line="360" w:lineRule="auto"/>
        <w:rPr>
          <w:rFonts w:ascii="宋体" w:hAnsi="宋体" w:cs="宋体"/>
          <w:sz w:val="24"/>
          <w:highlight w:val="none"/>
        </w:rPr>
      </w:pPr>
      <w:r>
        <w:rPr>
          <w:rFonts w:hint="eastAsia" w:ascii="宋体" w:hAnsi="宋体" w:cs="宋体"/>
          <w:sz w:val="24"/>
          <w:highlight w:val="none"/>
          <w:u w:val="single"/>
        </w:rPr>
        <w:t>杭州市公安局交通警察支队、浙江信达咨询监理有限公司：</w:t>
      </w:r>
    </w:p>
    <w:p w14:paraId="4F3C95A6">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你方组织的2024年杭州交警业务系统使用服务-2024年杭州交警网络及数据安全运维服务【招标编号：HZSGAJ-2024-17（代)】</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3C6FBE24">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157948B2">
      <w:pPr>
        <w:spacing w:line="360" w:lineRule="auto"/>
        <w:ind w:firstLine="494"/>
        <w:rPr>
          <w:rFonts w:ascii="宋体" w:hAnsi="宋体" w:cs="宋体"/>
          <w:sz w:val="24"/>
          <w:highlight w:val="none"/>
        </w:rPr>
      </w:pPr>
    </w:p>
    <w:p w14:paraId="59F44C38">
      <w:pPr>
        <w:spacing w:line="360" w:lineRule="auto"/>
        <w:ind w:firstLine="494"/>
        <w:rPr>
          <w:rFonts w:ascii="宋体" w:hAnsi="宋体" w:cs="宋体"/>
          <w:sz w:val="24"/>
          <w:highlight w:val="none"/>
        </w:rPr>
      </w:pPr>
    </w:p>
    <w:p w14:paraId="157D8B99">
      <w:pPr>
        <w:spacing w:line="360" w:lineRule="auto"/>
        <w:ind w:firstLine="494"/>
        <w:rPr>
          <w:rFonts w:ascii="宋体" w:hAnsi="宋体" w:cs="宋体"/>
          <w:sz w:val="24"/>
          <w:highlight w:val="none"/>
        </w:rPr>
      </w:pPr>
    </w:p>
    <w:p w14:paraId="0F97A811">
      <w:pPr>
        <w:spacing w:line="360" w:lineRule="auto"/>
        <w:ind w:firstLine="494"/>
        <w:rPr>
          <w:rFonts w:ascii="宋体" w:hAnsi="宋体" w:cs="宋体"/>
          <w:sz w:val="24"/>
          <w:highlight w:val="none"/>
        </w:rPr>
      </w:pPr>
    </w:p>
    <w:p w14:paraId="29E26F28">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00F3DB50">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7EA0AA77">
      <w:pPr>
        <w:rPr>
          <w:rFonts w:ascii="宋体" w:hAnsi="宋体" w:cs="宋体"/>
          <w:sz w:val="24"/>
          <w:highlight w:val="none"/>
        </w:rPr>
      </w:pPr>
      <w:r>
        <w:rPr>
          <w:rFonts w:hint="eastAsia" w:ascii="宋体" w:hAnsi="宋体" w:cs="宋体"/>
          <w:b/>
          <w:bCs/>
          <w:sz w:val="24"/>
          <w:highlight w:val="none"/>
        </w:rPr>
        <w:t>附：</w:t>
      </w:r>
    </w:p>
    <w:p w14:paraId="53157FB6">
      <w:pPr>
        <w:spacing w:line="360" w:lineRule="auto"/>
        <w:rPr>
          <w:rFonts w:ascii="宋体" w:hAnsi="宋体" w:cs="宋体"/>
          <w:bCs/>
          <w:sz w:val="24"/>
          <w:highlight w:val="none"/>
        </w:rPr>
      </w:pPr>
      <w:r>
        <w:rPr>
          <w:rFonts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14:paraId="4D3C7CA3">
      <w:pPr>
        <w:autoSpaceDE w:val="0"/>
        <w:autoSpaceDN w:val="0"/>
        <w:jc w:val="center"/>
        <w:rPr>
          <w:rFonts w:ascii="宋体" w:hAnsi="宋体" w:cs="宋体"/>
          <w:b/>
          <w:spacing w:val="6"/>
          <w:sz w:val="32"/>
          <w:szCs w:val="32"/>
          <w:highlight w:val="none"/>
        </w:rPr>
      </w:pPr>
    </w:p>
    <w:p w14:paraId="52D5B4B3">
      <w:pPr>
        <w:autoSpaceDE w:val="0"/>
        <w:autoSpaceDN w:val="0"/>
        <w:jc w:val="center"/>
        <w:rPr>
          <w:rFonts w:ascii="宋体" w:hAnsi="宋体" w:cs="宋体"/>
          <w:b/>
          <w:spacing w:val="6"/>
          <w:sz w:val="32"/>
          <w:szCs w:val="32"/>
          <w:highlight w:val="none"/>
        </w:rPr>
      </w:pPr>
    </w:p>
    <w:p w14:paraId="58DCF317">
      <w:pPr>
        <w:autoSpaceDE w:val="0"/>
        <w:autoSpaceDN w:val="0"/>
        <w:jc w:val="center"/>
        <w:rPr>
          <w:rFonts w:ascii="宋体" w:hAnsi="宋体" w:cs="宋体"/>
          <w:b/>
          <w:spacing w:val="6"/>
          <w:sz w:val="32"/>
          <w:szCs w:val="32"/>
          <w:highlight w:val="none"/>
        </w:rPr>
      </w:pPr>
    </w:p>
    <w:p w14:paraId="103D24F3">
      <w:pPr>
        <w:autoSpaceDE w:val="0"/>
        <w:autoSpaceDN w:val="0"/>
        <w:jc w:val="center"/>
        <w:rPr>
          <w:rFonts w:ascii="宋体" w:hAnsi="宋体" w:cs="宋体"/>
          <w:b/>
          <w:spacing w:val="6"/>
          <w:sz w:val="32"/>
          <w:szCs w:val="32"/>
          <w:highlight w:val="none"/>
        </w:rPr>
      </w:pPr>
    </w:p>
    <w:p w14:paraId="3D1F3C87">
      <w:pPr>
        <w:autoSpaceDE w:val="0"/>
        <w:autoSpaceDN w:val="0"/>
        <w:jc w:val="center"/>
        <w:rPr>
          <w:rFonts w:ascii="宋体" w:hAnsi="宋体" w:cs="宋体"/>
          <w:b/>
          <w:spacing w:val="6"/>
          <w:sz w:val="32"/>
          <w:szCs w:val="32"/>
          <w:highlight w:val="none"/>
        </w:rPr>
      </w:pPr>
    </w:p>
    <w:p w14:paraId="49F79804">
      <w:pPr>
        <w:autoSpaceDE w:val="0"/>
        <w:autoSpaceDN w:val="0"/>
        <w:jc w:val="center"/>
        <w:rPr>
          <w:rFonts w:ascii="宋体" w:hAnsi="宋体" w:cs="宋体"/>
          <w:b/>
          <w:spacing w:val="6"/>
          <w:sz w:val="32"/>
          <w:szCs w:val="32"/>
          <w:highlight w:val="none"/>
        </w:rPr>
      </w:pPr>
    </w:p>
    <w:p w14:paraId="08D92CBC">
      <w:pPr>
        <w:autoSpaceDE w:val="0"/>
        <w:autoSpaceDN w:val="0"/>
        <w:jc w:val="center"/>
        <w:rPr>
          <w:rFonts w:ascii="宋体" w:hAnsi="宋体" w:cs="宋体"/>
          <w:b/>
          <w:spacing w:val="6"/>
          <w:sz w:val="32"/>
          <w:szCs w:val="32"/>
          <w:highlight w:val="none"/>
        </w:rPr>
      </w:pPr>
    </w:p>
    <w:p w14:paraId="302233F3">
      <w:pPr>
        <w:autoSpaceDE w:val="0"/>
        <w:autoSpaceDN w:val="0"/>
        <w:jc w:val="center"/>
        <w:rPr>
          <w:rFonts w:ascii="宋体" w:hAnsi="宋体" w:cs="宋体"/>
          <w:b/>
          <w:spacing w:val="6"/>
          <w:sz w:val="32"/>
          <w:szCs w:val="32"/>
          <w:highlight w:val="none"/>
        </w:rPr>
      </w:pPr>
    </w:p>
    <w:p w14:paraId="175DB290">
      <w:pPr>
        <w:autoSpaceDE w:val="0"/>
        <w:autoSpaceDN w:val="0"/>
        <w:jc w:val="center"/>
        <w:rPr>
          <w:rFonts w:ascii="宋体" w:hAnsi="宋体" w:cs="宋体"/>
          <w:b/>
          <w:spacing w:val="6"/>
          <w:sz w:val="32"/>
          <w:szCs w:val="32"/>
          <w:highlight w:val="none"/>
        </w:rPr>
      </w:pPr>
    </w:p>
    <w:p w14:paraId="39D6D81A">
      <w:pPr>
        <w:autoSpaceDE w:val="0"/>
        <w:autoSpaceDN w:val="0"/>
        <w:jc w:val="center"/>
        <w:rPr>
          <w:rFonts w:ascii="宋体" w:hAnsi="宋体" w:cs="宋体"/>
          <w:b/>
          <w:spacing w:val="6"/>
          <w:sz w:val="32"/>
          <w:szCs w:val="32"/>
          <w:highlight w:val="none"/>
        </w:rPr>
      </w:pPr>
    </w:p>
    <w:p w14:paraId="258A6EEC">
      <w:pPr>
        <w:autoSpaceDE w:val="0"/>
        <w:autoSpaceDN w:val="0"/>
        <w:jc w:val="center"/>
        <w:rPr>
          <w:rFonts w:ascii="宋体" w:hAnsi="宋体" w:cs="宋体"/>
          <w:b/>
          <w:spacing w:val="6"/>
          <w:sz w:val="32"/>
          <w:szCs w:val="32"/>
          <w:highlight w:val="none"/>
        </w:rPr>
      </w:pPr>
    </w:p>
    <w:p w14:paraId="7548E829">
      <w:pPr>
        <w:autoSpaceDE w:val="0"/>
        <w:autoSpaceDN w:val="0"/>
        <w:jc w:val="center"/>
        <w:rPr>
          <w:rFonts w:ascii="宋体" w:hAnsi="宋体" w:cs="宋体"/>
          <w:b/>
          <w:spacing w:val="6"/>
          <w:sz w:val="32"/>
          <w:szCs w:val="32"/>
          <w:highlight w:val="none"/>
        </w:rPr>
      </w:pPr>
    </w:p>
    <w:p w14:paraId="4EA9FBB6">
      <w:pPr>
        <w:autoSpaceDE w:val="0"/>
        <w:autoSpaceDN w:val="0"/>
        <w:jc w:val="center"/>
        <w:rPr>
          <w:rFonts w:ascii="宋体" w:hAnsi="宋体" w:cs="宋体"/>
          <w:b/>
          <w:spacing w:val="6"/>
          <w:sz w:val="32"/>
          <w:szCs w:val="32"/>
          <w:highlight w:val="none"/>
        </w:rPr>
      </w:pPr>
    </w:p>
    <w:p w14:paraId="23DDF6D8">
      <w:pPr>
        <w:autoSpaceDE w:val="0"/>
        <w:autoSpaceDN w:val="0"/>
        <w:jc w:val="center"/>
        <w:rPr>
          <w:rFonts w:ascii="宋体" w:hAnsi="宋体" w:cs="宋体"/>
          <w:b/>
          <w:spacing w:val="6"/>
          <w:sz w:val="32"/>
          <w:szCs w:val="32"/>
          <w:highlight w:val="none"/>
        </w:rPr>
      </w:pPr>
    </w:p>
    <w:p w14:paraId="6F33D0C8">
      <w:pPr>
        <w:autoSpaceDE w:val="0"/>
        <w:autoSpaceDN w:val="0"/>
        <w:jc w:val="center"/>
        <w:rPr>
          <w:rFonts w:ascii="宋体" w:hAnsi="宋体" w:cs="宋体"/>
          <w:b/>
          <w:spacing w:val="6"/>
          <w:sz w:val="32"/>
          <w:szCs w:val="32"/>
          <w:highlight w:val="none"/>
        </w:rPr>
      </w:pPr>
    </w:p>
    <w:p w14:paraId="6BD08B48">
      <w:pPr>
        <w:autoSpaceDE w:val="0"/>
        <w:autoSpaceDN w:val="0"/>
        <w:jc w:val="center"/>
        <w:rPr>
          <w:rFonts w:ascii="宋体" w:hAnsi="宋体" w:cs="宋体"/>
          <w:b/>
          <w:spacing w:val="6"/>
          <w:sz w:val="32"/>
          <w:szCs w:val="32"/>
          <w:highlight w:val="none"/>
        </w:rPr>
      </w:pPr>
    </w:p>
    <w:p w14:paraId="07843B9C">
      <w:pPr>
        <w:autoSpaceDE w:val="0"/>
        <w:autoSpaceDN w:val="0"/>
        <w:jc w:val="center"/>
        <w:rPr>
          <w:rFonts w:ascii="宋体" w:hAnsi="宋体" w:cs="宋体"/>
          <w:b/>
          <w:spacing w:val="6"/>
          <w:sz w:val="32"/>
          <w:szCs w:val="32"/>
          <w:highlight w:val="none"/>
        </w:rPr>
      </w:pPr>
    </w:p>
    <w:p w14:paraId="1A327D03">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14:paraId="05ABC040">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1D9ADA5B">
      <w:pPr>
        <w:snapToGrid w:val="0"/>
        <w:spacing w:line="360" w:lineRule="auto"/>
        <w:ind w:firstLine="576"/>
        <w:rPr>
          <w:rFonts w:ascii="宋体" w:hAnsi="宋体" w:cs="宋体"/>
          <w:sz w:val="24"/>
          <w:highlight w:val="none"/>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p>
    <w:p w14:paraId="260CBBBC">
      <w:pPr>
        <w:snapToGrid w:val="0"/>
        <w:spacing w:line="360" w:lineRule="auto"/>
        <w:ind w:firstLine="576"/>
        <w:rPr>
          <w:rFonts w:ascii="宋体" w:hAnsi="宋体" w:cs="宋体"/>
          <w:kern w:val="0"/>
          <w:sz w:val="24"/>
          <w:highlight w:val="none"/>
          <w:lang w:val="zh-CN"/>
        </w:rPr>
      </w:pPr>
      <w:r>
        <w:rPr>
          <w:rFonts w:hint="eastAsia" w:ascii="宋体" w:hAnsi="宋体" w:cs="宋体"/>
          <w:sz w:val="24"/>
          <w:highlight w:val="none"/>
        </w:rPr>
        <w:t>2024年杭州交警业务系统使用服务-2024年杭州交警网络及数据安全运维服务【招标编号：HZSGAJ-2024-17（代)】</w:t>
      </w:r>
      <w:r>
        <w:rPr>
          <w:rFonts w:hint="eastAsia" w:ascii="宋体" w:hAnsi="宋体" w:cs="宋体"/>
          <w:kern w:val="0"/>
          <w:sz w:val="24"/>
          <w:highlight w:val="none"/>
          <w:lang w:val="zh-CN"/>
        </w:rPr>
        <w:t xml:space="preserve">投标。 </w:t>
      </w:r>
    </w:p>
    <w:p w14:paraId="2FBFEB0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17C6981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授权代表根据招标文件规定及投标内容而对采购人、采购代理机构所作的任何合法承诺，包括书面澄清及相应等均对联合投标各方产生约束力。</w:t>
      </w:r>
    </w:p>
    <w:p w14:paraId="17399FC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1D668E1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p>
    <w:p w14:paraId="12BE76A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p>
    <w:p w14:paraId="799B6D3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37392B7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39EBCBF3">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533"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533"/>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534" w:name="_Hlk101133598"/>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534"/>
      <w:r>
        <w:rPr>
          <w:rFonts w:hint="eastAsia" w:ascii="宋体" w:hAnsi="宋体" w:cs="宋体"/>
          <w:b/>
          <w:kern w:val="0"/>
          <w:sz w:val="24"/>
          <w:highlight w:val="none"/>
          <w:lang w:val="zh-CN"/>
        </w:rPr>
        <w:t>）</w:t>
      </w:r>
    </w:p>
    <w:p w14:paraId="0C0C5D86">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535" w:name="_Hlk101133173"/>
      <w:r>
        <w:rPr>
          <w:rFonts w:hint="eastAsia" w:ascii="宋体" w:hAnsi="宋体" w:cs="宋体"/>
          <w:sz w:val="24"/>
          <w:highlight w:val="none"/>
        </w:rPr>
        <w:t>中小企业合同金额达到%，小微企业合同金额达到%</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535"/>
    </w:p>
    <w:p w14:paraId="3227BA9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604605D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5F9B177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3C791B5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34A6FD5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0275736B">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004F1E7B">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659B720C">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3C68DDB8">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777B15D4">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D3CD3A4">
      <w:pPr>
        <w:autoSpaceDE w:val="0"/>
        <w:autoSpaceDN w:val="0"/>
        <w:jc w:val="center"/>
        <w:rPr>
          <w:rFonts w:ascii="宋体" w:hAnsi="宋体" w:cs="宋体"/>
          <w:b/>
          <w:spacing w:val="6"/>
          <w:sz w:val="32"/>
          <w:szCs w:val="32"/>
          <w:highlight w:val="none"/>
        </w:rPr>
      </w:pPr>
    </w:p>
    <w:p w14:paraId="2A1B77E7">
      <w:pPr>
        <w:autoSpaceDE w:val="0"/>
        <w:autoSpaceDN w:val="0"/>
        <w:jc w:val="center"/>
        <w:rPr>
          <w:rFonts w:ascii="宋体" w:hAnsi="宋体" w:cs="宋体"/>
          <w:b/>
          <w:spacing w:val="6"/>
          <w:sz w:val="32"/>
          <w:szCs w:val="32"/>
          <w:highlight w:val="none"/>
        </w:rPr>
      </w:pPr>
    </w:p>
    <w:p w14:paraId="73343708">
      <w:pPr>
        <w:autoSpaceDE w:val="0"/>
        <w:autoSpaceDN w:val="0"/>
        <w:jc w:val="center"/>
        <w:rPr>
          <w:rFonts w:ascii="宋体" w:hAnsi="宋体" w:cs="宋体"/>
          <w:b/>
          <w:spacing w:val="6"/>
          <w:sz w:val="32"/>
          <w:szCs w:val="32"/>
          <w:highlight w:val="none"/>
        </w:rPr>
      </w:pPr>
    </w:p>
    <w:p w14:paraId="33A7CFBD">
      <w:pPr>
        <w:autoSpaceDE w:val="0"/>
        <w:autoSpaceDN w:val="0"/>
        <w:jc w:val="center"/>
        <w:rPr>
          <w:rFonts w:ascii="宋体" w:hAnsi="宋体" w:cs="宋体"/>
          <w:b/>
          <w:spacing w:val="6"/>
          <w:sz w:val="32"/>
          <w:szCs w:val="32"/>
          <w:highlight w:val="none"/>
        </w:rPr>
      </w:pPr>
    </w:p>
    <w:p w14:paraId="24A2A876">
      <w:pPr>
        <w:autoSpaceDE w:val="0"/>
        <w:autoSpaceDN w:val="0"/>
        <w:jc w:val="center"/>
        <w:rPr>
          <w:rFonts w:ascii="宋体" w:hAnsi="宋体" w:cs="宋体"/>
          <w:b/>
          <w:spacing w:val="6"/>
          <w:sz w:val="32"/>
          <w:szCs w:val="32"/>
          <w:highlight w:val="none"/>
        </w:rPr>
      </w:pPr>
    </w:p>
    <w:p w14:paraId="79340987">
      <w:pPr>
        <w:autoSpaceDE w:val="0"/>
        <w:autoSpaceDN w:val="0"/>
        <w:jc w:val="center"/>
        <w:rPr>
          <w:rFonts w:ascii="宋体" w:hAnsi="宋体" w:cs="宋体"/>
          <w:b/>
          <w:spacing w:val="6"/>
          <w:sz w:val="32"/>
          <w:szCs w:val="32"/>
          <w:highlight w:val="none"/>
        </w:rPr>
      </w:pPr>
    </w:p>
    <w:p w14:paraId="63DDF296">
      <w:pPr>
        <w:autoSpaceDE w:val="0"/>
        <w:autoSpaceDN w:val="0"/>
        <w:jc w:val="center"/>
        <w:rPr>
          <w:rFonts w:ascii="宋体" w:hAnsi="宋体" w:cs="宋体"/>
          <w:b/>
          <w:spacing w:val="6"/>
          <w:sz w:val="32"/>
          <w:szCs w:val="32"/>
          <w:highlight w:val="none"/>
        </w:rPr>
      </w:pPr>
    </w:p>
    <w:p w14:paraId="415B3817">
      <w:pPr>
        <w:autoSpaceDE w:val="0"/>
        <w:autoSpaceDN w:val="0"/>
        <w:jc w:val="center"/>
        <w:rPr>
          <w:rFonts w:ascii="宋体" w:hAnsi="宋体" w:cs="宋体"/>
          <w:b/>
          <w:spacing w:val="6"/>
          <w:sz w:val="32"/>
          <w:szCs w:val="32"/>
          <w:highlight w:val="none"/>
        </w:rPr>
      </w:pPr>
    </w:p>
    <w:p w14:paraId="131D1E2B">
      <w:pPr>
        <w:autoSpaceDE w:val="0"/>
        <w:autoSpaceDN w:val="0"/>
        <w:jc w:val="center"/>
        <w:rPr>
          <w:rFonts w:ascii="宋体" w:hAnsi="宋体" w:cs="宋体"/>
          <w:b/>
          <w:spacing w:val="6"/>
          <w:sz w:val="32"/>
          <w:szCs w:val="32"/>
          <w:highlight w:val="none"/>
        </w:rPr>
      </w:pPr>
    </w:p>
    <w:p w14:paraId="7C479FFB">
      <w:pPr>
        <w:autoSpaceDE w:val="0"/>
        <w:autoSpaceDN w:val="0"/>
        <w:jc w:val="center"/>
        <w:rPr>
          <w:rFonts w:ascii="宋体" w:hAnsi="宋体" w:cs="宋体"/>
          <w:b/>
          <w:spacing w:val="6"/>
          <w:sz w:val="32"/>
          <w:szCs w:val="32"/>
          <w:highlight w:val="none"/>
        </w:rPr>
      </w:pPr>
    </w:p>
    <w:p w14:paraId="1562EB75">
      <w:pPr>
        <w:autoSpaceDE w:val="0"/>
        <w:autoSpaceDN w:val="0"/>
        <w:jc w:val="center"/>
        <w:rPr>
          <w:rFonts w:ascii="宋体" w:hAnsi="宋体" w:cs="宋体"/>
          <w:b/>
          <w:spacing w:val="6"/>
          <w:sz w:val="32"/>
          <w:szCs w:val="32"/>
          <w:highlight w:val="none"/>
        </w:rPr>
      </w:pPr>
    </w:p>
    <w:p w14:paraId="77C99C0E">
      <w:pPr>
        <w:autoSpaceDE w:val="0"/>
        <w:autoSpaceDN w:val="0"/>
        <w:jc w:val="center"/>
        <w:rPr>
          <w:rFonts w:ascii="宋体" w:hAnsi="宋体" w:cs="宋体"/>
          <w:b/>
          <w:spacing w:val="6"/>
          <w:sz w:val="32"/>
          <w:szCs w:val="32"/>
          <w:highlight w:val="none"/>
        </w:rPr>
      </w:pPr>
    </w:p>
    <w:p w14:paraId="22C6942D">
      <w:pPr>
        <w:autoSpaceDE w:val="0"/>
        <w:autoSpaceDN w:val="0"/>
        <w:jc w:val="center"/>
        <w:rPr>
          <w:rFonts w:ascii="宋体" w:hAnsi="宋体" w:cs="宋体"/>
          <w:b/>
          <w:spacing w:val="6"/>
          <w:sz w:val="32"/>
          <w:szCs w:val="32"/>
          <w:highlight w:val="none"/>
        </w:rPr>
      </w:pPr>
    </w:p>
    <w:p w14:paraId="3D37487D">
      <w:pPr>
        <w:autoSpaceDE w:val="0"/>
        <w:autoSpaceDN w:val="0"/>
        <w:jc w:val="center"/>
        <w:rPr>
          <w:rFonts w:ascii="宋体" w:hAnsi="宋体" w:cs="宋体"/>
          <w:b/>
          <w:spacing w:val="6"/>
          <w:sz w:val="32"/>
          <w:szCs w:val="32"/>
          <w:highlight w:val="none"/>
        </w:rPr>
      </w:pPr>
    </w:p>
    <w:p w14:paraId="06608940">
      <w:pPr>
        <w:autoSpaceDE w:val="0"/>
        <w:autoSpaceDN w:val="0"/>
        <w:jc w:val="center"/>
        <w:rPr>
          <w:rFonts w:ascii="宋体" w:hAnsi="宋体" w:cs="宋体"/>
          <w:b/>
          <w:spacing w:val="6"/>
          <w:sz w:val="32"/>
          <w:szCs w:val="32"/>
          <w:highlight w:val="none"/>
        </w:rPr>
      </w:pPr>
    </w:p>
    <w:p w14:paraId="1917BFEE">
      <w:pPr>
        <w:autoSpaceDE w:val="0"/>
        <w:autoSpaceDN w:val="0"/>
        <w:jc w:val="center"/>
        <w:rPr>
          <w:rFonts w:ascii="宋体" w:hAnsi="宋体" w:cs="宋体"/>
          <w:b/>
          <w:spacing w:val="6"/>
          <w:sz w:val="32"/>
          <w:szCs w:val="32"/>
          <w:highlight w:val="none"/>
        </w:rPr>
      </w:pPr>
    </w:p>
    <w:p w14:paraId="297DCC5A">
      <w:pPr>
        <w:autoSpaceDE w:val="0"/>
        <w:autoSpaceDN w:val="0"/>
        <w:jc w:val="center"/>
        <w:rPr>
          <w:rFonts w:ascii="宋体" w:hAnsi="宋体" w:cs="宋体"/>
          <w:b/>
          <w:spacing w:val="6"/>
          <w:sz w:val="32"/>
          <w:szCs w:val="32"/>
          <w:highlight w:val="none"/>
        </w:rPr>
      </w:pPr>
    </w:p>
    <w:p w14:paraId="6817A301">
      <w:pPr>
        <w:autoSpaceDE w:val="0"/>
        <w:autoSpaceDN w:val="0"/>
        <w:jc w:val="center"/>
        <w:rPr>
          <w:rFonts w:ascii="宋体" w:hAnsi="宋体" w:cs="宋体"/>
          <w:b/>
          <w:spacing w:val="6"/>
          <w:sz w:val="32"/>
          <w:szCs w:val="32"/>
          <w:highlight w:val="none"/>
        </w:rPr>
      </w:pPr>
    </w:p>
    <w:p w14:paraId="7078D3A9">
      <w:pPr>
        <w:autoSpaceDE w:val="0"/>
        <w:autoSpaceDN w:val="0"/>
        <w:jc w:val="center"/>
        <w:rPr>
          <w:rFonts w:ascii="宋体" w:hAnsi="宋体" w:cs="宋体"/>
          <w:b/>
          <w:spacing w:val="6"/>
          <w:sz w:val="32"/>
          <w:szCs w:val="32"/>
          <w:highlight w:val="none"/>
        </w:rPr>
      </w:pPr>
    </w:p>
    <w:p w14:paraId="6469215C">
      <w:pPr>
        <w:autoSpaceDE w:val="0"/>
        <w:autoSpaceDN w:val="0"/>
        <w:jc w:val="center"/>
        <w:rPr>
          <w:rFonts w:ascii="宋体" w:hAnsi="宋体" w:cs="宋体"/>
          <w:b/>
          <w:spacing w:val="6"/>
          <w:sz w:val="32"/>
          <w:szCs w:val="32"/>
          <w:highlight w:val="none"/>
        </w:rPr>
      </w:pPr>
    </w:p>
    <w:p w14:paraId="126DD3ED">
      <w:pPr>
        <w:autoSpaceDE w:val="0"/>
        <w:autoSpaceDN w:val="0"/>
        <w:jc w:val="center"/>
        <w:rPr>
          <w:rFonts w:ascii="宋体" w:hAnsi="宋体" w:cs="宋体"/>
          <w:b/>
          <w:spacing w:val="6"/>
          <w:sz w:val="32"/>
          <w:szCs w:val="32"/>
          <w:highlight w:val="none"/>
        </w:rPr>
      </w:pPr>
    </w:p>
    <w:p w14:paraId="3E71A0F3">
      <w:pPr>
        <w:snapToGrid w:val="0"/>
        <w:spacing w:line="360" w:lineRule="auto"/>
        <w:ind w:firstLine="3666" w:firstLineChars="1100"/>
        <w:rPr>
          <w:rFonts w:ascii="宋体" w:hAnsi="宋体" w:cs="宋体"/>
          <w:b/>
          <w:spacing w:val="6"/>
          <w:sz w:val="32"/>
          <w:szCs w:val="32"/>
          <w:highlight w:val="none"/>
        </w:rPr>
      </w:pPr>
    </w:p>
    <w:p w14:paraId="151D6AAB">
      <w:pPr>
        <w:widowControl/>
        <w:adjustRightInd/>
        <w:jc w:val="left"/>
        <w:rPr>
          <w:rFonts w:ascii="宋体" w:hAnsi="宋体" w:cs="宋体"/>
          <w:b/>
          <w:spacing w:val="6"/>
          <w:sz w:val="32"/>
          <w:szCs w:val="32"/>
          <w:highlight w:val="none"/>
        </w:rPr>
      </w:pPr>
      <w:r>
        <w:rPr>
          <w:rFonts w:ascii="宋体" w:hAnsi="宋体" w:cs="宋体"/>
          <w:b/>
          <w:spacing w:val="6"/>
          <w:sz w:val="32"/>
          <w:szCs w:val="32"/>
          <w:highlight w:val="none"/>
        </w:rPr>
        <w:br w:type="page"/>
      </w:r>
    </w:p>
    <w:p w14:paraId="1997196C">
      <w:pPr>
        <w:snapToGrid w:val="0"/>
        <w:spacing w:line="360" w:lineRule="auto"/>
        <w:ind w:firstLine="3666" w:firstLineChars="1100"/>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14:paraId="4359D1D3">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4933D7D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rPr>
        <w:t>2024年杭州交警业务系统使用服务-2024年杭州交警网络及数据安全运维服务【招标编号：HZSGAJ-2024-17（代)】</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0825C27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7A6785D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（分包供应商2名称），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1460CD09">
      <w:pPr>
        <w:pStyle w:val="3"/>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313A54B3">
      <w:pPr>
        <w:rPr>
          <w:highlight w:val="none"/>
        </w:rPr>
      </w:pPr>
    </w:p>
    <w:p w14:paraId="12CA179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202B6772">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1331992B">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2、中小企业合同金额达到%，小微企业合同金额达到%</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14:paraId="4AD26B1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30CA6916">
      <w:pPr>
        <w:snapToGrid w:val="0"/>
        <w:spacing w:line="360" w:lineRule="auto"/>
        <w:ind w:firstLine="576"/>
        <w:rPr>
          <w:rFonts w:ascii="宋体" w:hAnsi="宋体" w:cs="宋体"/>
          <w:highlight w:val="none"/>
          <w:u w:val="single"/>
        </w:rPr>
      </w:pPr>
    </w:p>
    <w:p w14:paraId="3DA17E6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2EFE4338">
      <w:pPr>
        <w:snapToGrid w:val="0"/>
        <w:spacing w:line="360" w:lineRule="auto"/>
        <w:ind w:firstLine="576"/>
        <w:rPr>
          <w:rFonts w:ascii="宋体" w:hAnsi="宋体" w:cs="宋体"/>
          <w:kern w:val="0"/>
          <w:sz w:val="24"/>
          <w:highlight w:val="none"/>
          <w:lang w:val="zh-CN"/>
        </w:rPr>
      </w:pPr>
    </w:p>
    <w:p w14:paraId="61C1DB3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761B639C">
      <w:pPr>
        <w:snapToGrid w:val="0"/>
        <w:spacing w:line="360" w:lineRule="auto"/>
        <w:ind w:left="573" w:leftChars="273"/>
        <w:rPr>
          <w:rFonts w:ascii="宋体" w:hAnsi="宋体" w:cs="宋体"/>
          <w:kern w:val="0"/>
          <w:sz w:val="24"/>
          <w:highlight w:val="none"/>
          <w:lang w:val="zh-CN"/>
        </w:rPr>
      </w:pPr>
    </w:p>
    <w:p w14:paraId="7F4D74DE">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68DCF4A8">
      <w:pPr>
        <w:snapToGrid w:val="0"/>
        <w:spacing w:line="360" w:lineRule="auto"/>
        <w:ind w:firstLine="576"/>
        <w:rPr>
          <w:rFonts w:ascii="宋体" w:hAnsi="宋体" w:cs="宋体"/>
          <w:kern w:val="0"/>
          <w:sz w:val="24"/>
          <w:highlight w:val="none"/>
          <w:lang w:val="zh-CN"/>
        </w:rPr>
      </w:pPr>
    </w:p>
    <w:p w14:paraId="4C9A1AB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6AEA15CC">
      <w:pPr>
        <w:snapToGrid w:val="0"/>
        <w:spacing w:line="360" w:lineRule="auto"/>
        <w:ind w:firstLine="576"/>
        <w:rPr>
          <w:rFonts w:ascii="宋体" w:hAnsi="宋体" w:cs="宋体"/>
          <w:kern w:val="0"/>
          <w:sz w:val="24"/>
          <w:highlight w:val="none"/>
          <w:lang w:val="zh-CN"/>
        </w:rPr>
      </w:pPr>
    </w:p>
    <w:p w14:paraId="345392B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14:paraId="7C46891E">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中小企业合同金额达到%，小微企业合同金额达到%</w:t>
      </w:r>
      <w:r>
        <w:rPr>
          <w:rFonts w:hint="eastAsia" w:ascii="宋体" w:hAnsi="宋体" w:cs="宋体"/>
          <w:kern w:val="0"/>
          <w:sz w:val="24"/>
          <w:highlight w:val="none"/>
          <w:lang w:val="zh-CN"/>
        </w:rPr>
        <w:t xml:space="preserve">  。                                           投标人名称(电子签名)：</w:t>
      </w:r>
    </w:p>
    <w:p w14:paraId="227CCE7E">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3C1ED232">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3B8FF320">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0BDDFD8C">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A927CBC">
      <w:pPr>
        <w:autoSpaceDE w:val="0"/>
        <w:autoSpaceDN w:val="0"/>
        <w:jc w:val="center"/>
        <w:rPr>
          <w:rFonts w:ascii="宋体" w:hAnsi="宋体" w:cs="宋体"/>
          <w:b/>
          <w:spacing w:val="6"/>
          <w:sz w:val="32"/>
          <w:szCs w:val="32"/>
          <w:highlight w:val="none"/>
        </w:rPr>
      </w:pPr>
    </w:p>
    <w:p w14:paraId="42481E96">
      <w:pPr>
        <w:autoSpaceDE w:val="0"/>
        <w:autoSpaceDN w:val="0"/>
        <w:jc w:val="center"/>
        <w:rPr>
          <w:rFonts w:ascii="宋体" w:hAnsi="宋体" w:cs="宋体"/>
          <w:b/>
          <w:spacing w:val="6"/>
          <w:sz w:val="32"/>
          <w:szCs w:val="32"/>
          <w:highlight w:val="none"/>
        </w:rPr>
      </w:pPr>
    </w:p>
    <w:p w14:paraId="22DDE50F">
      <w:pPr>
        <w:autoSpaceDE w:val="0"/>
        <w:autoSpaceDN w:val="0"/>
        <w:jc w:val="center"/>
        <w:rPr>
          <w:rFonts w:ascii="宋体" w:hAnsi="宋体" w:cs="宋体"/>
          <w:b/>
          <w:spacing w:val="6"/>
          <w:sz w:val="32"/>
          <w:szCs w:val="32"/>
          <w:highlight w:val="none"/>
        </w:rPr>
      </w:pPr>
    </w:p>
    <w:p w14:paraId="45F60A08">
      <w:pPr>
        <w:autoSpaceDE w:val="0"/>
        <w:autoSpaceDN w:val="0"/>
        <w:jc w:val="center"/>
        <w:rPr>
          <w:rFonts w:ascii="宋体" w:hAnsi="宋体" w:cs="宋体"/>
          <w:b/>
          <w:spacing w:val="6"/>
          <w:sz w:val="32"/>
          <w:szCs w:val="32"/>
          <w:highlight w:val="none"/>
        </w:rPr>
      </w:pPr>
    </w:p>
    <w:p w14:paraId="3F451F4F">
      <w:pPr>
        <w:autoSpaceDE w:val="0"/>
        <w:autoSpaceDN w:val="0"/>
        <w:jc w:val="center"/>
        <w:rPr>
          <w:rFonts w:ascii="宋体" w:hAnsi="宋体" w:cs="宋体"/>
          <w:b/>
          <w:spacing w:val="6"/>
          <w:sz w:val="32"/>
          <w:szCs w:val="32"/>
          <w:highlight w:val="none"/>
        </w:rPr>
      </w:pPr>
    </w:p>
    <w:p w14:paraId="3E6A213B">
      <w:pPr>
        <w:autoSpaceDE w:val="0"/>
        <w:autoSpaceDN w:val="0"/>
        <w:jc w:val="center"/>
        <w:rPr>
          <w:rFonts w:ascii="宋体" w:hAnsi="宋体" w:cs="宋体"/>
          <w:b/>
          <w:spacing w:val="6"/>
          <w:sz w:val="32"/>
          <w:szCs w:val="32"/>
          <w:highlight w:val="none"/>
        </w:rPr>
      </w:pPr>
    </w:p>
    <w:p w14:paraId="718E7005">
      <w:pPr>
        <w:autoSpaceDE w:val="0"/>
        <w:autoSpaceDN w:val="0"/>
        <w:jc w:val="center"/>
        <w:rPr>
          <w:rFonts w:ascii="宋体" w:hAnsi="宋体" w:cs="宋体"/>
          <w:b/>
          <w:spacing w:val="6"/>
          <w:sz w:val="32"/>
          <w:szCs w:val="32"/>
          <w:highlight w:val="none"/>
        </w:rPr>
      </w:pPr>
    </w:p>
    <w:p w14:paraId="636ED156">
      <w:pPr>
        <w:autoSpaceDE w:val="0"/>
        <w:autoSpaceDN w:val="0"/>
        <w:jc w:val="center"/>
        <w:rPr>
          <w:rFonts w:ascii="宋体" w:hAnsi="宋体" w:cs="宋体"/>
          <w:b/>
          <w:spacing w:val="6"/>
          <w:sz w:val="32"/>
          <w:szCs w:val="32"/>
          <w:highlight w:val="none"/>
        </w:rPr>
      </w:pPr>
    </w:p>
    <w:p w14:paraId="418FC035">
      <w:pPr>
        <w:autoSpaceDE w:val="0"/>
        <w:autoSpaceDN w:val="0"/>
        <w:jc w:val="center"/>
        <w:rPr>
          <w:rFonts w:ascii="宋体" w:hAnsi="宋体" w:cs="宋体"/>
          <w:b/>
          <w:spacing w:val="6"/>
          <w:sz w:val="32"/>
          <w:szCs w:val="32"/>
          <w:highlight w:val="none"/>
        </w:rPr>
      </w:pPr>
    </w:p>
    <w:p w14:paraId="0F4021E9">
      <w:pPr>
        <w:autoSpaceDE w:val="0"/>
        <w:autoSpaceDN w:val="0"/>
        <w:jc w:val="center"/>
        <w:rPr>
          <w:rFonts w:ascii="宋体" w:hAnsi="宋体" w:cs="宋体"/>
          <w:b/>
          <w:spacing w:val="6"/>
          <w:sz w:val="32"/>
          <w:szCs w:val="32"/>
          <w:highlight w:val="none"/>
        </w:rPr>
      </w:pPr>
    </w:p>
    <w:p w14:paraId="5BC28D63">
      <w:pPr>
        <w:autoSpaceDE w:val="0"/>
        <w:autoSpaceDN w:val="0"/>
        <w:jc w:val="center"/>
        <w:rPr>
          <w:rFonts w:ascii="宋体" w:hAnsi="宋体" w:cs="宋体"/>
          <w:b/>
          <w:spacing w:val="6"/>
          <w:sz w:val="32"/>
          <w:szCs w:val="32"/>
          <w:highlight w:val="none"/>
        </w:rPr>
      </w:pPr>
    </w:p>
    <w:p w14:paraId="371B15C6">
      <w:pPr>
        <w:autoSpaceDE w:val="0"/>
        <w:autoSpaceDN w:val="0"/>
        <w:jc w:val="center"/>
        <w:rPr>
          <w:rFonts w:ascii="宋体" w:hAnsi="宋体" w:cs="宋体"/>
          <w:b/>
          <w:spacing w:val="6"/>
          <w:sz w:val="32"/>
          <w:szCs w:val="32"/>
          <w:highlight w:val="none"/>
        </w:rPr>
      </w:pPr>
    </w:p>
    <w:p w14:paraId="383DDCC5">
      <w:pPr>
        <w:autoSpaceDE w:val="0"/>
        <w:autoSpaceDN w:val="0"/>
        <w:jc w:val="center"/>
        <w:rPr>
          <w:rFonts w:ascii="宋体" w:hAnsi="宋体" w:cs="宋体"/>
          <w:b/>
          <w:spacing w:val="6"/>
          <w:sz w:val="32"/>
          <w:szCs w:val="32"/>
          <w:highlight w:val="none"/>
        </w:rPr>
      </w:pPr>
    </w:p>
    <w:p w14:paraId="3F5FF876">
      <w:pPr>
        <w:autoSpaceDE w:val="0"/>
        <w:autoSpaceDN w:val="0"/>
        <w:jc w:val="center"/>
        <w:rPr>
          <w:rFonts w:ascii="宋体" w:hAnsi="宋体" w:cs="宋体"/>
          <w:b/>
          <w:spacing w:val="6"/>
          <w:sz w:val="32"/>
          <w:szCs w:val="32"/>
          <w:highlight w:val="none"/>
        </w:rPr>
      </w:pPr>
    </w:p>
    <w:p w14:paraId="43426D6A">
      <w:pPr>
        <w:autoSpaceDE w:val="0"/>
        <w:autoSpaceDN w:val="0"/>
        <w:jc w:val="center"/>
        <w:rPr>
          <w:rFonts w:ascii="宋体" w:hAnsi="宋体" w:cs="宋体"/>
          <w:b/>
          <w:spacing w:val="6"/>
          <w:sz w:val="32"/>
          <w:szCs w:val="32"/>
          <w:highlight w:val="none"/>
        </w:rPr>
      </w:pPr>
    </w:p>
    <w:p w14:paraId="3C81611D">
      <w:pPr>
        <w:autoSpaceDE w:val="0"/>
        <w:autoSpaceDN w:val="0"/>
        <w:jc w:val="center"/>
        <w:rPr>
          <w:rFonts w:ascii="宋体" w:hAnsi="宋体" w:cs="宋体"/>
          <w:b/>
          <w:spacing w:val="6"/>
          <w:sz w:val="32"/>
          <w:szCs w:val="32"/>
          <w:highlight w:val="none"/>
        </w:rPr>
      </w:pPr>
    </w:p>
    <w:p w14:paraId="6C38BCE9">
      <w:pPr>
        <w:autoSpaceDE w:val="0"/>
        <w:autoSpaceDN w:val="0"/>
        <w:jc w:val="center"/>
        <w:rPr>
          <w:rFonts w:ascii="宋体" w:hAnsi="宋体" w:cs="宋体"/>
          <w:b/>
          <w:spacing w:val="6"/>
          <w:sz w:val="32"/>
          <w:szCs w:val="32"/>
          <w:highlight w:val="none"/>
        </w:rPr>
      </w:pPr>
    </w:p>
    <w:p w14:paraId="36C08F72">
      <w:pPr>
        <w:autoSpaceDE w:val="0"/>
        <w:autoSpaceDN w:val="0"/>
        <w:jc w:val="center"/>
        <w:rPr>
          <w:rFonts w:ascii="宋体" w:hAnsi="宋体" w:cs="宋体"/>
          <w:b/>
          <w:spacing w:val="6"/>
          <w:sz w:val="32"/>
          <w:szCs w:val="32"/>
          <w:highlight w:val="none"/>
        </w:rPr>
      </w:pPr>
    </w:p>
    <w:p w14:paraId="674FA9E5">
      <w:pPr>
        <w:autoSpaceDE w:val="0"/>
        <w:autoSpaceDN w:val="0"/>
        <w:jc w:val="center"/>
        <w:rPr>
          <w:rFonts w:ascii="宋体" w:hAnsi="宋体" w:cs="宋体"/>
          <w:b/>
          <w:spacing w:val="6"/>
          <w:sz w:val="32"/>
          <w:szCs w:val="32"/>
          <w:highlight w:val="none"/>
        </w:rPr>
      </w:pPr>
    </w:p>
    <w:p w14:paraId="3F6425AB">
      <w:pPr>
        <w:autoSpaceDE w:val="0"/>
        <w:autoSpaceDN w:val="0"/>
        <w:jc w:val="center"/>
        <w:rPr>
          <w:rFonts w:ascii="宋体" w:hAnsi="宋体" w:cs="宋体"/>
          <w:b/>
          <w:spacing w:val="6"/>
          <w:sz w:val="32"/>
          <w:szCs w:val="32"/>
          <w:highlight w:val="none"/>
        </w:rPr>
      </w:pPr>
    </w:p>
    <w:p w14:paraId="53F8241F">
      <w:pPr>
        <w:autoSpaceDE w:val="0"/>
        <w:autoSpaceDN w:val="0"/>
        <w:jc w:val="center"/>
        <w:rPr>
          <w:rFonts w:ascii="宋体" w:hAnsi="宋体" w:cs="宋体"/>
          <w:b/>
          <w:spacing w:val="6"/>
          <w:sz w:val="32"/>
          <w:szCs w:val="32"/>
          <w:highlight w:val="none"/>
        </w:rPr>
      </w:pPr>
    </w:p>
    <w:p w14:paraId="664346A6">
      <w:pPr>
        <w:autoSpaceDE w:val="0"/>
        <w:autoSpaceDN w:val="0"/>
        <w:jc w:val="center"/>
        <w:rPr>
          <w:rFonts w:ascii="宋体" w:hAnsi="宋体" w:cs="宋体"/>
          <w:b/>
          <w:spacing w:val="6"/>
          <w:sz w:val="32"/>
          <w:szCs w:val="32"/>
          <w:highlight w:val="none"/>
        </w:rPr>
      </w:pPr>
    </w:p>
    <w:p w14:paraId="3B5194B9">
      <w:pPr>
        <w:autoSpaceDE w:val="0"/>
        <w:autoSpaceDN w:val="0"/>
        <w:jc w:val="center"/>
        <w:rPr>
          <w:rFonts w:ascii="宋体" w:hAnsi="宋体" w:cs="宋体"/>
          <w:b/>
          <w:spacing w:val="6"/>
          <w:sz w:val="32"/>
          <w:szCs w:val="32"/>
          <w:highlight w:val="none"/>
        </w:rPr>
      </w:pPr>
    </w:p>
    <w:p w14:paraId="3FD65AEF">
      <w:pPr>
        <w:autoSpaceDE w:val="0"/>
        <w:autoSpaceDN w:val="0"/>
        <w:jc w:val="center"/>
        <w:rPr>
          <w:rFonts w:ascii="宋体" w:hAnsi="宋体" w:cs="宋体"/>
          <w:b/>
          <w:spacing w:val="6"/>
          <w:sz w:val="32"/>
          <w:szCs w:val="32"/>
          <w:highlight w:val="none"/>
        </w:rPr>
      </w:pPr>
    </w:p>
    <w:p w14:paraId="014197F4">
      <w:pPr>
        <w:autoSpaceDE w:val="0"/>
        <w:autoSpaceDN w:val="0"/>
        <w:jc w:val="center"/>
        <w:rPr>
          <w:rFonts w:ascii="宋体" w:hAnsi="宋体" w:cs="宋体"/>
          <w:b/>
          <w:spacing w:val="6"/>
          <w:sz w:val="32"/>
          <w:szCs w:val="32"/>
          <w:highlight w:val="none"/>
        </w:rPr>
      </w:pPr>
    </w:p>
    <w:p w14:paraId="4C27F9FE">
      <w:pPr>
        <w:autoSpaceDE w:val="0"/>
        <w:autoSpaceDN w:val="0"/>
        <w:jc w:val="center"/>
        <w:rPr>
          <w:rFonts w:ascii="宋体" w:hAnsi="宋体" w:cs="宋体"/>
          <w:b/>
          <w:spacing w:val="6"/>
          <w:sz w:val="32"/>
          <w:szCs w:val="32"/>
          <w:highlight w:val="none"/>
        </w:rPr>
      </w:pPr>
    </w:p>
    <w:p w14:paraId="0E1A1640">
      <w:pPr>
        <w:autoSpaceDE w:val="0"/>
        <w:autoSpaceDN w:val="0"/>
        <w:jc w:val="center"/>
        <w:rPr>
          <w:rFonts w:ascii="宋体" w:hAnsi="宋体" w:cs="宋体"/>
          <w:b/>
          <w:spacing w:val="6"/>
          <w:sz w:val="32"/>
          <w:szCs w:val="32"/>
          <w:highlight w:val="none"/>
        </w:rPr>
      </w:pPr>
    </w:p>
    <w:p w14:paraId="60D8A431">
      <w:pPr>
        <w:spacing w:line="360" w:lineRule="auto"/>
        <w:jc w:val="left"/>
        <w:outlineLvl w:val="0"/>
        <w:rPr>
          <w:rFonts w:ascii="宋体" w:hAnsi="宋体" w:cs="宋体"/>
          <w:b/>
          <w:sz w:val="36"/>
          <w:szCs w:val="20"/>
          <w:highlight w:val="none"/>
        </w:rPr>
      </w:pPr>
      <w:r>
        <w:rPr>
          <w:rFonts w:hint="eastAsia" w:ascii="宋体" w:hAnsi="宋体" w:cs="宋体"/>
          <w:b/>
          <w:sz w:val="36"/>
          <w:szCs w:val="20"/>
          <w:highlight w:val="none"/>
        </w:rPr>
        <w:t>附件</w:t>
      </w:r>
      <w:r>
        <w:rPr>
          <w:rFonts w:ascii="宋体" w:hAnsi="宋体" w:cs="宋体"/>
          <w:b/>
          <w:sz w:val="36"/>
          <w:szCs w:val="20"/>
          <w:highlight w:val="none"/>
        </w:rPr>
        <w:t>7</w:t>
      </w:r>
      <w:r>
        <w:rPr>
          <w:rFonts w:hint="eastAsia" w:ascii="宋体" w:hAnsi="宋体" w:cs="宋体"/>
          <w:b/>
          <w:sz w:val="36"/>
          <w:szCs w:val="20"/>
          <w:highlight w:val="none"/>
        </w:rPr>
        <w:t>：中小企业声明函</w:t>
      </w:r>
    </w:p>
    <w:p w14:paraId="4380CA66">
      <w:pPr>
        <w:spacing w:line="360" w:lineRule="auto"/>
        <w:jc w:val="center"/>
        <w:rPr>
          <w:rFonts w:ascii="宋体" w:hAnsi="宋体" w:cs="宋体"/>
          <w:sz w:val="24"/>
          <w:highlight w:val="none"/>
          <w:u w:val="single"/>
        </w:rPr>
      </w:pPr>
    </w:p>
    <w:p w14:paraId="6DDEED7C">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中小企业声明函（服务）</w:t>
      </w:r>
    </w:p>
    <w:p w14:paraId="5A30A865">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杭州市公安局交通警察支队</w:t>
      </w:r>
      <w:r>
        <w:rPr>
          <w:rFonts w:hint="eastAsia" w:ascii="宋体" w:hAnsi="宋体" w:cs="宋体"/>
          <w:sz w:val="24"/>
          <w:highlight w:val="none"/>
        </w:rPr>
        <w:t>的</w:t>
      </w:r>
      <w:r>
        <w:rPr>
          <w:rFonts w:hint="eastAsia" w:ascii="宋体" w:hAnsi="宋体" w:cs="宋体"/>
          <w:sz w:val="24"/>
          <w:highlight w:val="none"/>
          <w:u w:val="single"/>
        </w:rPr>
        <w:t xml:space="preserve"> 2024年杭州交警业务系统使用服务-2024年杭州交警网络及数据安全运维服务</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0A2AC3A">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1.</w:t>
      </w:r>
      <w:r>
        <w:rPr>
          <w:rFonts w:hint="eastAsia" w:ascii="宋体" w:hAnsi="宋体" w:cs="宋体"/>
          <w:sz w:val="24"/>
          <w:highlight w:val="none"/>
          <w:u w:val="single"/>
        </w:rPr>
        <w:t>2024年杭州交警业务系统使用服务-2024年杭州交警网络及数据安全运维服务</w:t>
      </w:r>
      <w:r>
        <w:rPr>
          <w:rFonts w:hint="eastAsia" w:ascii="宋体" w:hAnsi="宋体" w:cs="宋体"/>
          <w:sz w:val="24"/>
          <w:highlight w:val="none"/>
        </w:rPr>
        <w:t>，属于</w:t>
      </w:r>
      <w:r>
        <w:rPr>
          <w:rFonts w:hint="eastAsia" w:ascii="宋体" w:hAnsi="宋体" w:cs="宋体"/>
          <w:sz w:val="24"/>
          <w:highlight w:val="none"/>
          <w:u w:val="single"/>
        </w:rPr>
        <w:t xml:space="preserve"> 软件和信息技术服务</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，从业人员人，营业收入为万元，资产总额为万元属于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5E7BC85F">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（标的名称），</w:t>
      </w:r>
      <w:r>
        <w:rPr>
          <w:rFonts w:hint="eastAsia" w:ascii="宋体" w:hAnsi="宋体" w:cs="宋体"/>
          <w:sz w:val="24"/>
          <w:highlight w:val="none"/>
        </w:rPr>
        <w:t xml:space="preserve">属于 </w:t>
      </w:r>
      <w:r>
        <w:rPr>
          <w:rFonts w:hint="eastAsia" w:ascii="宋体" w:hAnsi="宋体" w:cs="宋体"/>
          <w:sz w:val="24"/>
          <w:highlight w:val="none"/>
          <w:u w:val="single"/>
        </w:rPr>
        <w:t xml:space="preserve">（采购文件中明确的所属行业） </w:t>
      </w:r>
      <w:r>
        <w:rPr>
          <w:rFonts w:hint="eastAsia" w:ascii="宋体" w:hAnsi="宋体" w:cs="宋体"/>
          <w:sz w:val="24"/>
          <w:highlight w:val="none"/>
        </w:rPr>
        <w:t xml:space="preserve">；承建（承接）企业为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，从业人员人，营业收入为万元，资产总额为万元属于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603A67C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6C29BEA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570A482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1A518E86">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3C224582">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14:paraId="17241F9D">
      <w:pPr>
        <w:spacing w:line="360" w:lineRule="auto"/>
        <w:ind w:firstLine="310" w:firstLineChars="147"/>
        <w:jc w:val="left"/>
        <w:rPr>
          <w:rFonts w:ascii="宋体" w:hAnsi="宋体" w:cs="宋体"/>
          <w:b/>
          <w:szCs w:val="21"/>
          <w:highlight w:val="none"/>
        </w:rPr>
      </w:pPr>
      <w:r>
        <w:rPr>
          <w:rFonts w:hint="eastAsia" w:ascii="宋体" w:hAnsi="宋体" w:cs="宋体"/>
          <w:b/>
          <w:szCs w:val="21"/>
          <w:highlight w:val="none"/>
        </w:rPr>
        <w:t>从业人员、营业收入、资产总额填报上一年度数据，无上一年度数据的新成立企业可不填报。</w:t>
      </w:r>
    </w:p>
    <w:p w14:paraId="600DD9AC">
      <w:pPr>
        <w:spacing w:line="360" w:lineRule="auto"/>
        <w:ind w:right="420"/>
        <w:rPr>
          <w:rFonts w:ascii="宋体" w:hAnsi="宋体" w:cs="宋体"/>
          <w:sz w:val="24"/>
          <w:highlight w:val="none"/>
        </w:rPr>
      </w:pPr>
    </w:p>
    <w:p w14:paraId="7F803E3E">
      <w:pPr>
        <w:spacing w:line="360" w:lineRule="auto"/>
        <w:ind w:right="420"/>
        <w:rPr>
          <w:rFonts w:ascii="宋体" w:hAnsi="宋体" w:cs="宋体"/>
          <w:sz w:val="24"/>
          <w:highlight w:val="none"/>
        </w:rPr>
      </w:pPr>
      <w:r>
        <w:rPr>
          <w:rFonts w:hint="eastAsia" w:ascii="宋体" w:hAnsi="宋体" w:cs="宋体"/>
          <w:sz w:val="24"/>
          <w:highlight w:val="none"/>
        </w:rPr>
        <w:t xml:space="preserve">   注：</w:t>
      </w:r>
    </w:p>
    <w:p w14:paraId="7D0E022C">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676FC72">
      <w:pPr>
        <w:spacing w:line="360" w:lineRule="auto"/>
        <w:ind w:right="420" w:firstLine="720" w:firstLineChars="3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F685E95">
      <w:pPr>
        <w:pStyle w:val="3"/>
        <w:rPr>
          <w:rFonts w:ascii="宋体" w:hAnsi="宋体" w:eastAsia="宋体" w:cs="宋体"/>
          <w:highlight w:val="none"/>
          <w:lang w:val="en-US"/>
        </w:rPr>
      </w:pPr>
    </w:p>
    <w:p w14:paraId="10A7EEC6">
      <w:pPr>
        <w:spacing w:line="360" w:lineRule="auto"/>
        <w:ind w:right="420"/>
        <w:rPr>
          <w:rFonts w:ascii="宋体" w:hAnsi="宋体" w:cs="宋体"/>
          <w:highlight w:val="none"/>
        </w:rPr>
      </w:pPr>
    </w:p>
    <w:p w14:paraId="3542B792">
      <w:pPr>
        <w:spacing w:line="360" w:lineRule="auto"/>
        <w:rPr>
          <w:rFonts w:ascii="宋体" w:hAnsi="宋体" w:cs="宋体"/>
          <w:bCs/>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1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E9E3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178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321D4">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251F1">
    <w:pPr>
      <w:pStyle w:val="39"/>
      <w:framePr w:wrap="around" w:vAnchor="text" w:hAnchor="margin" w:xAlign="right" w:y="1"/>
      <w:rPr>
        <w:rStyle w:val="72"/>
      </w:rPr>
    </w:pPr>
    <w:r>
      <w:fldChar w:fldCharType="begin"/>
    </w:r>
    <w:r>
      <w:rPr>
        <w:rStyle w:val="72"/>
      </w:rPr>
      <w:instrText xml:space="preserve">PAGE  </w:instrText>
    </w:r>
    <w:r>
      <w:fldChar w:fldCharType="end"/>
    </w:r>
  </w:p>
  <w:p w14:paraId="3580BD51">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64C06">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179</w:t>
    </w:r>
    <w:r>
      <w:rPr>
        <w:rFonts w:hint="eastAsia" w:ascii="仿宋_GB2312" w:eastAsia="仿宋_GB2312"/>
        <w:kern w:val="0"/>
        <w:szCs w:val="21"/>
      </w:rPr>
      <w:fldChar w:fldCharType="end"/>
    </w:r>
    <w:bookmarkStart w:id="536" w:name="_Toc91899912"/>
    <w:bookmarkStart w:id="537" w:name="_Toc131845147"/>
    <w:bookmarkStart w:id="538" w:name="_Toc164085800"/>
    <w:bookmarkStart w:id="539" w:name="_Toc36110187"/>
    <w:r>
      <w:rPr>
        <w:rFonts w:hint="eastAsia" w:ascii="仿宋_GB2312" w:eastAsia="仿宋_GB2312"/>
        <w:kern w:val="0"/>
        <w:szCs w:val="21"/>
      </w:rPr>
      <w:t xml:space="preserve"> 页</w:t>
    </w:r>
    <w:bookmarkEnd w:id="536"/>
    <w:bookmarkEnd w:id="537"/>
    <w:bookmarkEnd w:id="538"/>
    <w:bookmarkEnd w:id="53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383BF">
    <w:pPr>
      <w:pStyle w:val="39"/>
      <w:framePr w:wrap="around" w:vAnchor="text" w:hAnchor="margin" w:xAlign="right" w:y="1"/>
      <w:rPr>
        <w:rStyle w:val="72"/>
      </w:rPr>
    </w:pPr>
    <w:r>
      <w:fldChar w:fldCharType="begin"/>
    </w:r>
    <w:r>
      <w:rPr>
        <w:rStyle w:val="72"/>
      </w:rPr>
      <w:instrText xml:space="preserve">PAGE  </w:instrText>
    </w:r>
    <w:r>
      <w:fldChar w:fldCharType="end"/>
    </w:r>
  </w:p>
  <w:p w14:paraId="549EF00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6A97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5FAE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178</w:t>
    </w:r>
    <w:r>
      <w:rPr>
        <w:rFonts w:hint="eastAsia" w:ascii="仿宋_GB2312" w:eastAsia="仿宋_GB2312"/>
        <w:kern w:val="0"/>
      </w:rPr>
      <w:fldChar w:fldCharType="end"/>
    </w:r>
    <w:r>
      <w:rPr>
        <w:rFonts w:hint="eastAsia" w:ascii="仿宋_GB2312" w:eastAsia="仿宋_GB2312"/>
        <w:kern w:val="0"/>
      </w:rPr>
      <w:t xml:space="preserve"> 页</w:t>
    </w:r>
  </w:p>
  <w:p w14:paraId="3D7288F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A486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178</w:t>
    </w:r>
    <w:r>
      <w:rPr>
        <w:rFonts w:hint="eastAsia" w:ascii="仿宋_GB2312" w:eastAsia="仿宋_GB2312"/>
        <w:kern w:val="0"/>
      </w:rPr>
      <w:fldChar w:fldCharType="end"/>
    </w:r>
    <w:r>
      <w:rPr>
        <w:rFonts w:hint="eastAsia" w:ascii="仿宋_GB2312" w:eastAsia="仿宋_GB2312"/>
        <w:kern w:val="0"/>
      </w:rPr>
      <w:t xml:space="preserve"> 页</w:t>
    </w:r>
  </w:p>
  <w:p w14:paraId="41A6E6A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7CE4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179</w:t>
    </w:r>
    <w:r>
      <w:rPr>
        <w:rFonts w:hint="eastAsia" w:ascii="仿宋_GB2312" w:eastAsia="仿宋_GB2312"/>
        <w:kern w:val="0"/>
      </w:rPr>
      <w:fldChar w:fldCharType="end"/>
    </w:r>
    <w:r>
      <w:rPr>
        <w:rFonts w:hint="eastAsia" w:ascii="仿宋_GB2312" w:eastAsia="仿宋_GB2312"/>
        <w:kern w:val="0"/>
      </w:rPr>
      <w:t xml:space="preserve"> 页</w:t>
    </w:r>
  </w:p>
  <w:p w14:paraId="6A8094C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C2B1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179</w:t>
    </w:r>
    <w:r>
      <w:rPr>
        <w:rFonts w:hint="eastAsia" w:ascii="仿宋_GB2312" w:eastAsia="仿宋_GB2312"/>
        <w:kern w:val="0"/>
      </w:rPr>
      <w:fldChar w:fldCharType="end"/>
    </w:r>
    <w:r>
      <w:rPr>
        <w:rFonts w:hint="eastAsia" w:ascii="仿宋_GB2312" w:eastAsia="仿宋_GB2312"/>
        <w:kern w:val="0"/>
      </w:rPr>
      <w:t xml:space="preserve"> 页</w:t>
    </w:r>
  </w:p>
  <w:p w14:paraId="5A5C53D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A84C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179</w:t>
    </w:r>
    <w:r>
      <w:rPr>
        <w:rFonts w:hint="eastAsia" w:ascii="仿宋_GB2312" w:eastAsia="仿宋_GB2312"/>
        <w:kern w:val="0"/>
      </w:rPr>
      <w:fldChar w:fldCharType="end"/>
    </w:r>
    <w:r>
      <w:rPr>
        <w:rFonts w:hint="eastAsia" w:ascii="仿宋_GB2312" w:eastAsia="仿宋_GB2312"/>
        <w:kern w:val="0"/>
      </w:rPr>
      <w:t xml:space="preserve"> 页</w:t>
    </w:r>
  </w:p>
  <w:p w14:paraId="4DA69F4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4684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179</w:t>
    </w:r>
    <w:r>
      <w:rPr>
        <w:rFonts w:hint="eastAsia" w:ascii="仿宋_GB2312" w:eastAsia="仿宋_GB2312"/>
        <w:kern w:val="0"/>
      </w:rPr>
      <w:fldChar w:fldCharType="end"/>
    </w:r>
    <w:r>
      <w:rPr>
        <w:rFonts w:hint="eastAsia" w:ascii="仿宋_GB2312" w:eastAsia="仿宋_GB2312"/>
        <w:kern w:val="0"/>
      </w:rPr>
      <w:t xml:space="preserve"> 页</w:t>
    </w:r>
  </w:p>
  <w:p w14:paraId="49D00BD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52DE5">
    <w:pPr>
      <w:pStyle w:val="40"/>
      <w:pBdr>
        <w:bottom w:val="single" w:color="auto" w:sz="6" w:space="4"/>
      </w:pBdr>
      <w:jc w:val="right"/>
    </w:pPr>
    <w:r>
      <w:t>杭州市政府采购公开招标文件</w:t>
    </w:r>
  </w:p>
  <w:p w14:paraId="7D33ED8F">
    <w:pPr>
      <w:pStyle w:val="58"/>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0AB34">
    <w:pPr>
      <w:pStyle w:val="40"/>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78260">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FE276">
    <w:pPr>
      <w:pStyle w:val="40"/>
      <w:rPr>
        <w:rFonts w:ascii="仿宋_GB2312" w:eastAsia="仿宋_GB2312"/>
        <w:b/>
        <w:i/>
        <w:u w:val="single"/>
      </w:rPr>
    </w:pPr>
    <w:r>
      <w:t>             杭州市政府采购公开招标文件</w:t>
    </w:r>
  </w:p>
  <w:p w14:paraId="5DDC1E8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6BF5F">
    <w:pPr>
      <w:pStyle w:val="40"/>
    </w:pPr>
    <w:r>
      <w:t></w:t>
    </w:r>
  </w:p>
  <w:p w14:paraId="480495AF">
    <w:pPr>
      <w:pStyle w:val="40"/>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0435D">
    <w:pPr>
      <w:pStyle w:val="40"/>
      <w:rPr>
        <w:rFonts w:ascii="仿宋_GB2312" w:eastAsia="仿宋_GB2312"/>
        <w:b/>
        <w:i/>
        <w:u w:val="single"/>
      </w:rPr>
    </w:pPr>
    <w:r>
      <w:t>杭州市政府采购公开招标文件</w:t>
    </w:r>
  </w:p>
  <w:p w14:paraId="63F5488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09AAA">
    <w:pPr>
      <w:pStyle w:val="40"/>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5EEFC">
    <w:pPr>
      <w:pStyle w:val="40"/>
      <w:jc w:val="right"/>
      <w:rPr>
        <w:rFonts w:ascii="仿宋_GB2312" w:eastAsia="仿宋_GB2312"/>
        <w:b/>
        <w:i/>
        <w:u w:val="single"/>
      </w:rPr>
    </w:pPr>
    <w:r>
      <w:t>杭州市政府采购公开招标文件</w:t>
    </w:r>
  </w:p>
  <w:p w14:paraId="210E1D9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321FB">
    <w:pPr>
      <w:pStyle w:val="40"/>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0C5D3">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D6675A"/>
    <w:multiLevelType w:val="singleLevel"/>
    <w:tmpl w:val="F2D6675A"/>
    <w:lvl w:ilvl="0" w:tentative="0">
      <w:start w:val="1"/>
      <w:numFmt w:val="lowerLetter"/>
      <w:suff w:val="space"/>
      <w:lvlText w:val="%1)"/>
      <w:lvlJc w:val="left"/>
    </w:lvl>
  </w:abstractNum>
  <w:abstractNum w:abstractNumId="1">
    <w:nsid w:val="FD828DFE"/>
    <w:multiLevelType w:val="singleLevel"/>
    <w:tmpl w:val="FD828DFE"/>
    <w:lvl w:ilvl="0" w:tentative="0">
      <w:start w:val="1"/>
      <w:numFmt w:val="decimal"/>
      <w:suff w:val="nothing"/>
      <w:lvlText w:val="%1、"/>
      <w:lvlJc w:val="left"/>
    </w:lvl>
  </w:abstractNum>
  <w:abstractNum w:abstractNumId="2">
    <w:nsid w:val="1EBBF4E0"/>
    <w:multiLevelType w:val="singleLevel"/>
    <w:tmpl w:val="1EBBF4E0"/>
    <w:lvl w:ilvl="0" w:tentative="0">
      <w:start w:val="7"/>
      <w:numFmt w:val="chineseCounting"/>
      <w:suff w:val="nothing"/>
      <w:lvlText w:val="%1）"/>
      <w:lvlJc w:val="left"/>
      <w:rPr>
        <w:rFonts w:hint="eastAsia"/>
      </w:rPr>
    </w:lvl>
  </w:abstractNum>
  <w:abstractNum w:abstractNumId="3">
    <w:nsid w:val="30B423DA"/>
    <w:multiLevelType w:val="multilevel"/>
    <w:tmpl w:val="30B423DA"/>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35D71722"/>
    <w:multiLevelType w:val="singleLevel"/>
    <w:tmpl w:val="35D71722"/>
    <w:lvl w:ilvl="0" w:tentative="0">
      <w:start w:val="2"/>
      <w:numFmt w:val="chineseCounting"/>
      <w:suff w:val="nothing"/>
      <w:lvlText w:val="%1、"/>
      <w:lvlJc w:val="left"/>
      <w:rPr>
        <w:rFonts w:hint="eastAsia"/>
      </w:rPr>
    </w:lvl>
  </w:abstractNum>
  <w:abstractNum w:abstractNumId="5">
    <w:nsid w:val="36E05DCC"/>
    <w:multiLevelType w:val="singleLevel"/>
    <w:tmpl w:val="36E05DCC"/>
    <w:lvl w:ilvl="0" w:tentative="0">
      <w:start w:val="20"/>
      <w:numFmt w:val="decimal"/>
      <w:lvlText w:val="%1)"/>
      <w:lvlJc w:val="left"/>
      <w:pPr>
        <w:tabs>
          <w:tab w:val="left" w:pos="312"/>
        </w:tabs>
      </w:pPr>
    </w:lvl>
  </w:abstractNum>
  <w:abstractNum w:abstractNumId="6">
    <w:nsid w:val="3B0D58DE"/>
    <w:multiLevelType w:val="singleLevel"/>
    <w:tmpl w:val="3B0D58DE"/>
    <w:lvl w:ilvl="0" w:tentative="0">
      <w:start w:val="1"/>
      <w:numFmt w:val="decimal"/>
      <w:lvlText w:val="%1."/>
      <w:lvlJc w:val="left"/>
      <w:pPr>
        <w:ind w:left="993" w:hanging="425"/>
      </w:pPr>
      <w:rPr>
        <w:rFonts w:hint="default"/>
      </w:rPr>
    </w:lvl>
  </w:abstractNum>
  <w:abstractNum w:abstractNumId="7">
    <w:nsid w:val="415704E9"/>
    <w:multiLevelType w:val="singleLevel"/>
    <w:tmpl w:val="415704E9"/>
    <w:lvl w:ilvl="0" w:tentative="0">
      <w:start w:val="8"/>
      <w:numFmt w:val="decimal"/>
      <w:lvlText w:val="%1)"/>
      <w:lvlJc w:val="left"/>
      <w:pPr>
        <w:tabs>
          <w:tab w:val="left" w:pos="312"/>
        </w:tabs>
      </w:pPr>
    </w:lvl>
  </w:abstractNum>
  <w:abstractNum w:abstractNumId="8">
    <w:nsid w:val="41892D21"/>
    <w:multiLevelType w:val="singleLevel"/>
    <w:tmpl w:val="41892D21"/>
    <w:lvl w:ilvl="0" w:tentative="0">
      <w:start w:val="1"/>
      <w:numFmt w:val="decimal"/>
      <w:suff w:val="nothing"/>
      <w:lvlText w:val="（%1）"/>
      <w:lvlJc w:val="left"/>
    </w:lvl>
  </w:abstractNum>
  <w:abstractNum w:abstractNumId="9">
    <w:nsid w:val="54D2CDB2"/>
    <w:multiLevelType w:val="singleLevel"/>
    <w:tmpl w:val="54D2CDB2"/>
    <w:lvl w:ilvl="0" w:tentative="0">
      <w:start w:val="1"/>
      <w:numFmt w:val="decimal"/>
      <w:suff w:val="nothing"/>
      <w:lvlText w:val="（%1）"/>
      <w:lvlJc w:val="left"/>
    </w:lvl>
  </w:abstractNum>
  <w:abstractNum w:abstractNumId="10">
    <w:nsid w:val="64193387"/>
    <w:multiLevelType w:val="singleLevel"/>
    <w:tmpl w:val="64193387"/>
    <w:lvl w:ilvl="0" w:tentative="0">
      <w:start w:val="20"/>
      <w:numFmt w:val="decimal"/>
      <w:lvlText w:val="%1)"/>
      <w:lvlJc w:val="left"/>
      <w:pPr>
        <w:tabs>
          <w:tab w:val="left" w:pos="312"/>
        </w:tabs>
      </w:pPr>
    </w:lvl>
  </w:abstractNum>
  <w:abstractNum w:abstractNumId="11">
    <w:nsid w:val="782023D0"/>
    <w:multiLevelType w:val="multilevel"/>
    <w:tmpl w:val="782023D0"/>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9"/>
  </w:num>
  <w:num w:numId="2">
    <w:abstractNumId w:val="6"/>
  </w:num>
  <w:num w:numId="3">
    <w:abstractNumId w:val="7"/>
  </w:num>
  <w:num w:numId="4">
    <w:abstractNumId w:val="5"/>
  </w:num>
  <w:num w:numId="5">
    <w:abstractNumId w:val="10"/>
  </w:num>
  <w:num w:numId="6">
    <w:abstractNumId w:val="0"/>
  </w:num>
  <w:num w:numId="7">
    <w:abstractNumId w:val="2"/>
  </w:num>
  <w:num w:numId="8">
    <w:abstractNumId w:val="11"/>
  </w:num>
  <w:num w:numId="9">
    <w:abstractNumId w:val="1"/>
  </w:num>
  <w:num w:numId="10">
    <w:abstractNumId w:val="3"/>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revisionView w:markup="0"/>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lNWI2YzBmMzY2OTgwYTQ2ODcwOWNmODA2YzJhYj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3F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6F54"/>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8FB"/>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9D1"/>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8F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092"/>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4F66"/>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9FF"/>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0ED7"/>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6A79"/>
    <w:rsid w:val="001E0F77"/>
    <w:rsid w:val="001E17E3"/>
    <w:rsid w:val="001E2052"/>
    <w:rsid w:val="001E2492"/>
    <w:rsid w:val="001E257C"/>
    <w:rsid w:val="001E286C"/>
    <w:rsid w:val="001E2F34"/>
    <w:rsid w:val="001E35EE"/>
    <w:rsid w:val="001E4B2C"/>
    <w:rsid w:val="001E507F"/>
    <w:rsid w:val="001E56C2"/>
    <w:rsid w:val="001E59FB"/>
    <w:rsid w:val="001E5D2E"/>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630"/>
    <w:rsid w:val="00222775"/>
    <w:rsid w:val="00222A31"/>
    <w:rsid w:val="00222CF6"/>
    <w:rsid w:val="00224037"/>
    <w:rsid w:val="002244E4"/>
    <w:rsid w:val="00224D2A"/>
    <w:rsid w:val="00224D8D"/>
    <w:rsid w:val="0022555A"/>
    <w:rsid w:val="00227214"/>
    <w:rsid w:val="00227DDC"/>
    <w:rsid w:val="00230652"/>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A3E"/>
    <w:rsid w:val="0026119C"/>
    <w:rsid w:val="00261AFE"/>
    <w:rsid w:val="00261E58"/>
    <w:rsid w:val="0026212A"/>
    <w:rsid w:val="002621D7"/>
    <w:rsid w:val="00262996"/>
    <w:rsid w:val="00263044"/>
    <w:rsid w:val="00263759"/>
    <w:rsid w:val="002638BD"/>
    <w:rsid w:val="002643DC"/>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A7E"/>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4FC4"/>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2A1"/>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AA5"/>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39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CD0"/>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061"/>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560"/>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388E"/>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172"/>
    <w:rsid w:val="003B5531"/>
    <w:rsid w:val="003B636A"/>
    <w:rsid w:val="003B69CE"/>
    <w:rsid w:val="003B7403"/>
    <w:rsid w:val="003B7751"/>
    <w:rsid w:val="003C011C"/>
    <w:rsid w:val="003C0E32"/>
    <w:rsid w:val="003C0EDF"/>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7E6"/>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B7"/>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26DC"/>
    <w:rsid w:val="00414909"/>
    <w:rsid w:val="00415034"/>
    <w:rsid w:val="00415AA8"/>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512"/>
    <w:rsid w:val="004406BF"/>
    <w:rsid w:val="00440814"/>
    <w:rsid w:val="004408AE"/>
    <w:rsid w:val="0044105D"/>
    <w:rsid w:val="00441424"/>
    <w:rsid w:val="00442731"/>
    <w:rsid w:val="00442C12"/>
    <w:rsid w:val="004434DF"/>
    <w:rsid w:val="0044354B"/>
    <w:rsid w:val="004435D7"/>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33E"/>
    <w:rsid w:val="00463576"/>
    <w:rsid w:val="004636D6"/>
    <w:rsid w:val="0046399D"/>
    <w:rsid w:val="00463EA4"/>
    <w:rsid w:val="004642C9"/>
    <w:rsid w:val="00465A21"/>
    <w:rsid w:val="00465DE5"/>
    <w:rsid w:val="00466151"/>
    <w:rsid w:val="00466978"/>
    <w:rsid w:val="00466ABA"/>
    <w:rsid w:val="004671C1"/>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9DA"/>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563"/>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3F5C"/>
    <w:rsid w:val="004D4523"/>
    <w:rsid w:val="004D4990"/>
    <w:rsid w:val="004D51D6"/>
    <w:rsid w:val="004D6BF2"/>
    <w:rsid w:val="004D6F29"/>
    <w:rsid w:val="004D7917"/>
    <w:rsid w:val="004D7BF5"/>
    <w:rsid w:val="004D7F9C"/>
    <w:rsid w:val="004E03F4"/>
    <w:rsid w:val="004E068F"/>
    <w:rsid w:val="004E0860"/>
    <w:rsid w:val="004E09CF"/>
    <w:rsid w:val="004E0B75"/>
    <w:rsid w:val="004E0C29"/>
    <w:rsid w:val="004E0DC4"/>
    <w:rsid w:val="004E109C"/>
    <w:rsid w:val="004E11E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2CF"/>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75"/>
    <w:rsid w:val="00522FF1"/>
    <w:rsid w:val="005235D8"/>
    <w:rsid w:val="00523946"/>
    <w:rsid w:val="0052397A"/>
    <w:rsid w:val="005256D6"/>
    <w:rsid w:val="00525AD8"/>
    <w:rsid w:val="00526429"/>
    <w:rsid w:val="005266C1"/>
    <w:rsid w:val="005267F4"/>
    <w:rsid w:val="005269D3"/>
    <w:rsid w:val="00527317"/>
    <w:rsid w:val="00527ED6"/>
    <w:rsid w:val="0053024F"/>
    <w:rsid w:val="005303E2"/>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040"/>
    <w:rsid w:val="005462ED"/>
    <w:rsid w:val="00546585"/>
    <w:rsid w:val="00546703"/>
    <w:rsid w:val="0054680A"/>
    <w:rsid w:val="00546BF8"/>
    <w:rsid w:val="00547BA2"/>
    <w:rsid w:val="00550AC5"/>
    <w:rsid w:val="00550B7E"/>
    <w:rsid w:val="00551052"/>
    <w:rsid w:val="005524ED"/>
    <w:rsid w:val="00553F91"/>
    <w:rsid w:val="00554007"/>
    <w:rsid w:val="00554888"/>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424"/>
    <w:rsid w:val="005D05FF"/>
    <w:rsid w:val="005D0FB4"/>
    <w:rsid w:val="005D1176"/>
    <w:rsid w:val="005D1747"/>
    <w:rsid w:val="005D266D"/>
    <w:rsid w:val="005D306D"/>
    <w:rsid w:val="005D3327"/>
    <w:rsid w:val="005D4854"/>
    <w:rsid w:val="005D5BCF"/>
    <w:rsid w:val="005D65BF"/>
    <w:rsid w:val="005D6A6B"/>
    <w:rsid w:val="005D6D84"/>
    <w:rsid w:val="005D70A1"/>
    <w:rsid w:val="005D79F2"/>
    <w:rsid w:val="005D7CB1"/>
    <w:rsid w:val="005D7F57"/>
    <w:rsid w:val="005E0067"/>
    <w:rsid w:val="005E0141"/>
    <w:rsid w:val="005E09CA"/>
    <w:rsid w:val="005E18C2"/>
    <w:rsid w:val="005E1AB4"/>
    <w:rsid w:val="005E255B"/>
    <w:rsid w:val="005E2CF7"/>
    <w:rsid w:val="005E2FE2"/>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00E"/>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ACF"/>
    <w:rsid w:val="00685D65"/>
    <w:rsid w:val="00685FC8"/>
    <w:rsid w:val="00686E42"/>
    <w:rsid w:val="00686E80"/>
    <w:rsid w:val="0068790B"/>
    <w:rsid w:val="00687AF2"/>
    <w:rsid w:val="006901AC"/>
    <w:rsid w:val="006905B3"/>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9D4"/>
    <w:rsid w:val="006C7E04"/>
    <w:rsid w:val="006C7F79"/>
    <w:rsid w:val="006D0004"/>
    <w:rsid w:val="006D015F"/>
    <w:rsid w:val="006D060E"/>
    <w:rsid w:val="006D0665"/>
    <w:rsid w:val="006D0681"/>
    <w:rsid w:val="006D080F"/>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4D3"/>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15"/>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4E6"/>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478C4"/>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0C8"/>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A7D3A"/>
    <w:rsid w:val="008B09F3"/>
    <w:rsid w:val="008B111A"/>
    <w:rsid w:val="008B16E6"/>
    <w:rsid w:val="008B1AB2"/>
    <w:rsid w:val="008B1D9B"/>
    <w:rsid w:val="008B2042"/>
    <w:rsid w:val="008B25F1"/>
    <w:rsid w:val="008B34AA"/>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67B"/>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1E"/>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303"/>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133"/>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07D4"/>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264"/>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908"/>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6794"/>
    <w:rsid w:val="00A772F2"/>
    <w:rsid w:val="00A77828"/>
    <w:rsid w:val="00A77BAA"/>
    <w:rsid w:val="00A77F3F"/>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7BD"/>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F1"/>
    <w:rsid w:val="00AC6D24"/>
    <w:rsid w:val="00AC6E18"/>
    <w:rsid w:val="00AC7F64"/>
    <w:rsid w:val="00AD05A8"/>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361"/>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38C"/>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01D"/>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18B"/>
    <w:rsid w:val="00B672EA"/>
    <w:rsid w:val="00B6739B"/>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3C2"/>
    <w:rsid w:val="00B804F8"/>
    <w:rsid w:val="00B8095A"/>
    <w:rsid w:val="00B81274"/>
    <w:rsid w:val="00B815D3"/>
    <w:rsid w:val="00B81742"/>
    <w:rsid w:val="00B817B5"/>
    <w:rsid w:val="00B823A6"/>
    <w:rsid w:val="00B82C16"/>
    <w:rsid w:val="00B83E76"/>
    <w:rsid w:val="00B83FA0"/>
    <w:rsid w:val="00B84156"/>
    <w:rsid w:val="00B846E6"/>
    <w:rsid w:val="00B8537B"/>
    <w:rsid w:val="00B85586"/>
    <w:rsid w:val="00B86289"/>
    <w:rsid w:val="00B863B3"/>
    <w:rsid w:val="00B869D3"/>
    <w:rsid w:val="00B86CF8"/>
    <w:rsid w:val="00B86E44"/>
    <w:rsid w:val="00B87359"/>
    <w:rsid w:val="00B87F1C"/>
    <w:rsid w:val="00B901D2"/>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1F3"/>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980"/>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6EC7"/>
    <w:rsid w:val="00BF704C"/>
    <w:rsid w:val="00BF739A"/>
    <w:rsid w:val="00BF7EF5"/>
    <w:rsid w:val="00C00BF6"/>
    <w:rsid w:val="00C01B3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721"/>
    <w:rsid w:val="00C968EF"/>
    <w:rsid w:val="00C972CE"/>
    <w:rsid w:val="00CA0492"/>
    <w:rsid w:val="00CA05B0"/>
    <w:rsid w:val="00CA0632"/>
    <w:rsid w:val="00CA0A04"/>
    <w:rsid w:val="00CA2528"/>
    <w:rsid w:val="00CA25CF"/>
    <w:rsid w:val="00CA3CAB"/>
    <w:rsid w:val="00CA3FC0"/>
    <w:rsid w:val="00CA5685"/>
    <w:rsid w:val="00CA5D07"/>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6B"/>
    <w:rsid w:val="00CB6C79"/>
    <w:rsid w:val="00CB77C3"/>
    <w:rsid w:val="00CB7E9C"/>
    <w:rsid w:val="00CC0072"/>
    <w:rsid w:val="00CC027A"/>
    <w:rsid w:val="00CC0915"/>
    <w:rsid w:val="00CC1398"/>
    <w:rsid w:val="00CC1AF5"/>
    <w:rsid w:val="00CC1B74"/>
    <w:rsid w:val="00CC291E"/>
    <w:rsid w:val="00CC2D03"/>
    <w:rsid w:val="00CC2EB0"/>
    <w:rsid w:val="00CC4399"/>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0BF"/>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43E"/>
    <w:rsid w:val="00D1079C"/>
    <w:rsid w:val="00D10BE1"/>
    <w:rsid w:val="00D11FE3"/>
    <w:rsid w:val="00D11FF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8BD"/>
    <w:rsid w:val="00D22B13"/>
    <w:rsid w:val="00D2371E"/>
    <w:rsid w:val="00D237E0"/>
    <w:rsid w:val="00D23A17"/>
    <w:rsid w:val="00D240BF"/>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687"/>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C69"/>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EE6"/>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013C"/>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1EE9"/>
    <w:rsid w:val="00DD2831"/>
    <w:rsid w:val="00DD2A6D"/>
    <w:rsid w:val="00DD2E17"/>
    <w:rsid w:val="00DD3704"/>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27C"/>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3C0C"/>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C06"/>
    <w:rsid w:val="00EA2E21"/>
    <w:rsid w:val="00EA2EAA"/>
    <w:rsid w:val="00EA380C"/>
    <w:rsid w:val="00EA40BB"/>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E96"/>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2A9"/>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097"/>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4AE"/>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2E25"/>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881"/>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42C73"/>
    <w:rsid w:val="016D6438"/>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2A220F"/>
    <w:rsid w:val="06493CA7"/>
    <w:rsid w:val="065A6178"/>
    <w:rsid w:val="066F1CF3"/>
    <w:rsid w:val="06930BB8"/>
    <w:rsid w:val="07245D42"/>
    <w:rsid w:val="07264C62"/>
    <w:rsid w:val="0779354C"/>
    <w:rsid w:val="08061376"/>
    <w:rsid w:val="08064A12"/>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9C5087"/>
    <w:rsid w:val="0AA374A5"/>
    <w:rsid w:val="0AAB7649"/>
    <w:rsid w:val="0ABC5606"/>
    <w:rsid w:val="0B30404E"/>
    <w:rsid w:val="0B4C6C14"/>
    <w:rsid w:val="0B4F7759"/>
    <w:rsid w:val="0B547599"/>
    <w:rsid w:val="0B631A88"/>
    <w:rsid w:val="0B683D45"/>
    <w:rsid w:val="0B7F3F11"/>
    <w:rsid w:val="0B884417"/>
    <w:rsid w:val="0BA53A2D"/>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69543F"/>
    <w:rsid w:val="0F7B0511"/>
    <w:rsid w:val="0F7B76D9"/>
    <w:rsid w:val="0F816ACD"/>
    <w:rsid w:val="0F9832DB"/>
    <w:rsid w:val="0FB83E26"/>
    <w:rsid w:val="0FBF3FD2"/>
    <w:rsid w:val="0FBF7FF3"/>
    <w:rsid w:val="10646583"/>
    <w:rsid w:val="107D4B15"/>
    <w:rsid w:val="108A3C80"/>
    <w:rsid w:val="10C26171"/>
    <w:rsid w:val="10F33360"/>
    <w:rsid w:val="10FC16EA"/>
    <w:rsid w:val="110F1D40"/>
    <w:rsid w:val="11266F33"/>
    <w:rsid w:val="118963A1"/>
    <w:rsid w:val="11C6522A"/>
    <w:rsid w:val="11E104CC"/>
    <w:rsid w:val="11E20309"/>
    <w:rsid w:val="11F25F01"/>
    <w:rsid w:val="120A310B"/>
    <w:rsid w:val="12255233"/>
    <w:rsid w:val="12530213"/>
    <w:rsid w:val="127723A9"/>
    <w:rsid w:val="12862074"/>
    <w:rsid w:val="12883966"/>
    <w:rsid w:val="129E45B4"/>
    <w:rsid w:val="12D81596"/>
    <w:rsid w:val="13072A44"/>
    <w:rsid w:val="13152E1A"/>
    <w:rsid w:val="135F4BE2"/>
    <w:rsid w:val="139B1A0A"/>
    <w:rsid w:val="139D25C7"/>
    <w:rsid w:val="13BF3CE4"/>
    <w:rsid w:val="141008D8"/>
    <w:rsid w:val="14125FE6"/>
    <w:rsid w:val="146D271E"/>
    <w:rsid w:val="14982588"/>
    <w:rsid w:val="149A5AD9"/>
    <w:rsid w:val="14A7619D"/>
    <w:rsid w:val="150536C3"/>
    <w:rsid w:val="150C1963"/>
    <w:rsid w:val="151447A0"/>
    <w:rsid w:val="15263D3F"/>
    <w:rsid w:val="154A6454"/>
    <w:rsid w:val="15762120"/>
    <w:rsid w:val="15F20809"/>
    <w:rsid w:val="16A8729C"/>
    <w:rsid w:val="16B33777"/>
    <w:rsid w:val="16BC70A7"/>
    <w:rsid w:val="16C6339E"/>
    <w:rsid w:val="172F2D79"/>
    <w:rsid w:val="17455DC8"/>
    <w:rsid w:val="17557BEF"/>
    <w:rsid w:val="17D349C1"/>
    <w:rsid w:val="18012B64"/>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0652B8"/>
    <w:rsid w:val="1C1B3B4A"/>
    <w:rsid w:val="1C5179E0"/>
    <w:rsid w:val="1C88086E"/>
    <w:rsid w:val="1D266CE1"/>
    <w:rsid w:val="1D3963AF"/>
    <w:rsid w:val="1D6A673C"/>
    <w:rsid w:val="1D9247AE"/>
    <w:rsid w:val="1DB567EC"/>
    <w:rsid w:val="1DCA26D8"/>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7A6893"/>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3867FC"/>
    <w:rsid w:val="258B00E2"/>
    <w:rsid w:val="25A917A6"/>
    <w:rsid w:val="25BE27CC"/>
    <w:rsid w:val="25C36865"/>
    <w:rsid w:val="25F74A5C"/>
    <w:rsid w:val="2628662C"/>
    <w:rsid w:val="262D45DE"/>
    <w:rsid w:val="26871DC8"/>
    <w:rsid w:val="26A53EF9"/>
    <w:rsid w:val="26A94201"/>
    <w:rsid w:val="26AC274F"/>
    <w:rsid w:val="26B94E31"/>
    <w:rsid w:val="26BE3230"/>
    <w:rsid w:val="27044A29"/>
    <w:rsid w:val="271D34C8"/>
    <w:rsid w:val="276142BF"/>
    <w:rsid w:val="27783712"/>
    <w:rsid w:val="27907362"/>
    <w:rsid w:val="28333E1D"/>
    <w:rsid w:val="28454BD6"/>
    <w:rsid w:val="28455253"/>
    <w:rsid w:val="28551971"/>
    <w:rsid w:val="285B1C53"/>
    <w:rsid w:val="289F7086"/>
    <w:rsid w:val="28B14715"/>
    <w:rsid w:val="28C32028"/>
    <w:rsid w:val="28CC490F"/>
    <w:rsid w:val="28DC1D3E"/>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8A551A"/>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C34C43"/>
    <w:rsid w:val="38D87D1C"/>
    <w:rsid w:val="39096031"/>
    <w:rsid w:val="39636459"/>
    <w:rsid w:val="39673CAF"/>
    <w:rsid w:val="396B7F6C"/>
    <w:rsid w:val="39B417A9"/>
    <w:rsid w:val="39FC5695"/>
    <w:rsid w:val="3A006D8E"/>
    <w:rsid w:val="3A3651E5"/>
    <w:rsid w:val="3A744481"/>
    <w:rsid w:val="3A8C7BEF"/>
    <w:rsid w:val="3A906246"/>
    <w:rsid w:val="3AA42249"/>
    <w:rsid w:val="3B1B177D"/>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B489D"/>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212EE"/>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54394D"/>
    <w:rsid w:val="4AB82D0F"/>
    <w:rsid w:val="4AEB7664"/>
    <w:rsid w:val="4AFD7C19"/>
    <w:rsid w:val="4B0567D1"/>
    <w:rsid w:val="4B236AAE"/>
    <w:rsid w:val="4B65492A"/>
    <w:rsid w:val="4B707271"/>
    <w:rsid w:val="4B9739F7"/>
    <w:rsid w:val="4BEE2503"/>
    <w:rsid w:val="4C245A30"/>
    <w:rsid w:val="4CB6685F"/>
    <w:rsid w:val="4CBA258C"/>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524EBB"/>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25D6C"/>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B421E0"/>
    <w:rsid w:val="57032A2C"/>
    <w:rsid w:val="570F5219"/>
    <w:rsid w:val="572C4A0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FC503F"/>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9418A6"/>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194FC5"/>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D668BD"/>
    <w:rsid w:val="62F40B65"/>
    <w:rsid w:val="62FC2CFE"/>
    <w:rsid w:val="63024505"/>
    <w:rsid w:val="635600A5"/>
    <w:rsid w:val="635B1DB5"/>
    <w:rsid w:val="63711FED"/>
    <w:rsid w:val="63880DDC"/>
    <w:rsid w:val="638D750D"/>
    <w:rsid w:val="63AC6CC0"/>
    <w:rsid w:val="64055776"/>
    <w:rsid w:val="64240056"/>
    <w:rsid w:val="643E143A"/>
    <w:rsid w:val="64491666"/>
    <w:rsid w:val="644E13ED"/>
    <w:rsid w:val="648B6EEF"/>
    <w:rsid w:val="64C158BF"/>
    <w:rsid w:val="64CE2EAA"/>
    <w:rsid w:val="653C3090"/>
    <w:rsid w:val="65711CFD"/>
    <w:rsid w:val="65854376"/>
    <w:rsid w:val="658767BE"/>
    <w:rsid w:val="65892531"/>
    <w:rsid w:val="66195831"/>
    <w:rsid w:val="662E75B1"/>
    <w:rsid w:val="66342C2E"/>
    <w:rsid w:val="663E784C"/>
    <w:rsid w:val="66522FDF"/>
    <w:rsid w:val="6675048B"/>
    <w:rsid w:val="668B6A45"/>
    <w:rsid w:val="67011F07"/>
    <w:rsid w:val="672F3F24"/>
    <w:rsid w:val="673E055F"/>
    <w:rsid w:val="67551CE3"/>
    <w:rsid w:val="67A22552"/>
    <w:rsid w:val="67B22DCC"/>
    <w:rsid w:val="67BE71AA"/>
    <w:rsid w:val="67D90273"/>
    <w:rsid w:val="67DE5875"/>
    <w:rsid w:val="67E55852"/>
    <w:rsid w:val="67EB1AB4"/>
    <w:rsid w:val="67FA1285"/>
    <w:rsid w:val="680B630A"/>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E325B4"/>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3A3AF6"/>
    <w:rsid w:val="6F8331F1"/>
    <w:rsid w:val="6FAE1A09"/>
    <w:rsid w:val="6FD75BF8"/>
    <w:rsid w:val="704B4683"/>
    <w:rsid w:val="707723D0"/>
    <w:rsid w:val="70F5661B"/>
    <w:rsid w:val="712F1B12"/>
    <w:rsid w:val="71360107"/>
    <w:rsid w:val="713B688E"/>
    <w:rsid w:val="71D43752"/>
    <w:rsid w:val="71F1796A"/>
    <w:rsid w:val="72154626"/>
    <w:rsid w:val="72262B5D"/>
    <w:rsid w:val="72283FF7"/>
    <w:rsid w:val="722E7212"/>
    <w:rsid w:val="723A0474"/>
    <w:rsid w:val="725923E4"/>
    <w:rsid w:val="72864BF7"/>
    <w:rsid w:val="729023FC"/>
    <w:rsid w:val="73C0646E"/>
    <w:rsid w:val="742222F5"/>
    <w:rsid w:val="74366C28"/>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076A2"/>
    <w:rsid w:val="76DB4B92"/>
    <w:rsid w:val="76FD013A"/>
    <w:rsid w:val="77052AA4"/>
    <w:rsid w:val="77136511"/>
    <w:rsid w:val="77340A39"/>
    <w:rsid w:val="77351FD0"/>
    <w:rsid w:val="77402C4B"/>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AD4D54"/>
    <w:rsid w:val="79E27E8B"/>
    <w:rsid w:val="79F850CE"/>
    <w:rsid w:val="79FD443C"/>
    <w:rsid w:val="7A1D1975"/>
    <w:rsid w:val="7A3E5150"/>
    <w:rsid w:val="7A4670D6"/>
    <w:rsid w:val="7A534B63"/>
    <w:rsid w:val="7A615382"/>
    <w:rsid w:val="7A67303B"/>
    <w:rsid w:val="7AAB1D04"/>
    <w:rsid w:val="7ABA4368"/>
    <w:rsid w:val="7AD05746"/>
    <w:rsid w:val="7ADD3A2D"/>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A61734"/>
    <w:rsid w:val="7DB57A34"/>
    <w:rsid w:val="7DBE513D"/>
    <w:rsid w:val="7DE60973"/>
    <w:rsid w:val="7DEF0916"/>
    <w:rsid w:val="7E1E5218"/>
    <w:rsid w:val="7E9A4E1F"/>
    <w:rsid w:val="7EA7723A"/>
    <w:rsid w:val="7EF026B4"/>
    <w:rsid w:val="7EF56FBB"/>
    <w:rsid w:val="7F0768EB"/>
    <w:rsid w:val="7F143BEC"/>
    <w:rsid w:val="7F715AF2"/>
    <w:rsid w:val="7F8648AD"/>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72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5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7"/>
    <w:qFormat/>
    <w:uiPriority w:val="0"/>
    <w:pPr>
      <w:shd w:val="clear" w:color="auto" w:fill="000080"/>
    </w:pPr>
  </w:style>
  <w:style w:type="paragraph" w:styleId="19">
    <w:name w:val="annotation text"/>
    <w:basedOn w:val="1"/>
    <w:link w:val="855"/>
    <w:qFormat/>
    <w:uiPriority w:val="99"/>
    <w:pPr>
      <w:jc w:val="left"/>
    </w:pPr>
  </w:style>
  <w:style w:type="paragraph" w:styleId="20">
    <w:name w:val="Salutation"/>
    <w:basedOn w:val="1"/>
    <w:next w:val="1"/>
    <w:link w:val="815"/>
    <w:qFormat/>
    <w:uiPriority w:val="0"/>
    <w:rPr>
      <w:rFonts w:ascii="仿宋_GB2312" w:eastAsia="仿宋_GB2312"/>
      <w:sz w:val="28"/>
      <w:szCs w:val="20"/>
    </w:rPr>
  </w:style>
  <w:style w:type="paragraph" w:styleId="21">
    <w:name w:val="Body Text 3"/>
    <w:basedOn w:val="1"/>
    <w:link w:val="84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32"/>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9"/>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9"/>
    <w:qFormat/>
    <w:uiPriority w:val="0"/>
    <w:pPr>
      <w:ind w:left="100" w:leftChars="2500"/>
    </w:pPr>
    <w:rPr>
      <w:rFonts w:ascii="宋体"/>
      <w:sz w:val="24"/>
      <w:szCs w:val="21"/>
      <w:lang w:val="zh-CN"/>
    </w:rPr>
  </w:style>
  <w:style w:type="paragraph" w:styleId="36">
    <w:name w:val="Body Text Indent 2"/>
    <w:basedOn w:val="1"/>
    <w:link w:val="823"/>
    <w:qFormat/>
    <w:uiPriority w:val="0"/>
    <w:pPr>
      <w:spacing w:line="360" w:lineRule="auto"/>
      <w:ind w:firstLine="601"/>
      <w:textAlignment w:val="baseline"/>
    </w:pPr>
    <w:rPr>
      <w:rFonts w:ascii="宋体"/>
      <w:kern w:val="0"/>
      <w:sz w:val="28"/>
      <w:szCs w:val="20"/>
    </w:rPr>
  </w:style>
  <w:style w:type="paragraph" w:styleId="37">
    <w:name w:val="endnote text"/>
    <w:basedOn w:val="1"/>
    <w:link w:val="940"/>
    <w:qFormat/>
    <w:uiPriority w:val="0"/>
    <w:rPr>
      <w:lang w:val="zh-CN"/>
    </w:rPr>
  </w:style>
  <w:style w:type="paragraph" w:styleId="38">
    <w:name w:val="Balloon Text"/>
    <w:basedOn w:val="1"/>
    <w:link w:val="716"/>
    <w:qFormat/>
    <w:uiPriority w:val="0"/>
    <w:rPr>
      <w:sz w:val="18"/>
      <w:szCs w:val="18"/>
    </w:rPr>
  </w:style>
  <w:style w:type="paragraph" w:styleId="39">
    <w:name w:val="footer"/>
    <w:basedOn w:val="1"/>
    <w:link w:val="891"/>
    <w:qFormat/>
    <w:uiPriority w:val="99"/>
    <w:pPr>
      <w:tabs>
        <w:tab w:val="center" w:pos="4153"/>
        <w:tab w:val="right" w:pos="8306"/>
      </w:tabs>
      <w:snapToGrid w:val="0"/>
      <w:jc w:val="left"/>
    </w:pPr>
    <w:rPr>
      <w:sz w:val="18"/>
      <w:szCs w:val="18"/>
    </w:rPr>
  </w:style>
  <w:style w:type="paragraph" w:styleId="40">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825"/>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9"/>
    <w:qFormat/>
    <w:uiPriority w:val="0"/>
    <w:pPr>
      <w:spacing w:after="120" w:line="480" w:lineRule="auto"/>
    </w:pPr>
  </w:style>
  <w:style w:type="paragraph" w:styleId="56">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3"/>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32"/>
    <w:qFormat/>
    <w:uiPriority w:val="0"/>
    <w:rPr>
      <w:b/>
      <w:bCs/>
    </w:rPr>
  </w:style>
  <w:style w:type="paragraph" w:styleId="60">
    <w:name w:val="Body Text First Indent"/>
    <w:basedOn w:val="23"/>
    <w:link w:val="834"/>
    <w:qFormat/>
    <w:uiPriority w:val="0"/>
    <w:pPr>
      <w:ind w:firstLine="420"/>
    </w:pPr>
    <w:rPr>
      <w:rFonts w:hAnsi="Calibri" w:cs="Times New Roman"/>
      <w:szCs w:val="20"/>
    </w:rPr>
  </w:style>
  <w:style w:type="paragraph" w:styleId="61">
    <w:name w:val="Body Text First Indent 2"/>
    <w:basedOn w:val="24"/>
    <w:link w:val="655"/>
    <w:qFormat/>
    <w:uiPriority w:val="0"/>
    <w:pPr>
      <w:adjustRightInd/>
      <w:spacing w:after="120" w:line="240" w:lineRule="auto"/>
      <w:ind w:left="420" w:leftChars="200" w:firstLine="210"/>
    </w:pPr>
    <w:rPr>
      <w:sz w:val="21"/>
    </w:rPr>
  </w:style>
  <w:style w:type="table" w:styleId="63">
    <w:name w:val="Table Grid"/>
    <w:basedOn w:val="6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paragraph" w:customStyle="1" w:styleId="81">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4"/>
    <w:qFormat/>
    <w:uiPriority w:val="0"/>
    <w:pPr>
      <w:spacing w:before="156" w:line="360" w:lineRule="auto"/>
      <w:ind w:firstLine="510" w:firstLineChars="200"/>
    </w:pPr>
    <w:rPr>
      <w:sz w:val="24"/>
      <w:szCs w:val="20"/>
    </w:rPr>
  </w:style>
  <w:style w:type="paragraph" w:customStyle="1" w:styleId="87">
    <w:name w:val="无间隔1"/>
    <w:link w:val="672"/>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80"/>
    <w:qFormat/>
    <w:uiPriority w:val="0"/>
    <w:rPr>
      <w:rFonts w:ascii="宋体" w:hAnsi="Courier New"/>
      <w:szCs w:val="21"/>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3"/>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5"/>
    <w:qFormat/>
    <w:uiPriority w:val="0"/>
    <w:pPr>
      <w:ind w:left="0" w:right="466" w:firstLine="288"/>
    </w:pPr>
    <w:rPr>
      <w:rFonts w:hAnsi="宋体"/>
    </w:rPr>
  </w:style>
  <w:style w:type="paragraph" w:customStyle="1" w:styleId="94">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6"/>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67"/>
    <w:qFormat/>
    <w:uiPriority w:val="0"/>
    <w:pPr>
      <w:adjustRightInd/>
      <w:spacing w:line="360" w:lineRule="auto"/>
      <w:ind w:firstLine="480" w:firstLineChars="200"/>
    </w:pPr>
    <w:rPr>
      <w:kern w:val="0"/>
      <w:sz w:val="24"/>
    </w:rPr>
  </w:style>
  <w:style w:type="paragraph" w:customStyle="1" w:styleId="99">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列表段落1"/>
    <w:basedOn w:val="1"/>
    <w:qFormat/>
    <w:uiPriority w:val="34"/>
    <w:pPr>
      <w:spacing w:line="360" w:lineRule="auto"/>
      <w:ind w:firstLine="200" w:firstLineChars="200"/>
    </w:pPr>
    <w:rPr>
      <w:rFonts w:eastAsia="楷体_GB2312" w:cs="Lucida Sans"/>
      <w:sz w:val="24"/>
    </w:rPr>
  </w:style>
  <w:style w:type="paragraph" w:customStyle="1" w:styleId="102">
    <w:name w:val="此正文"/>
    <w:basedOn w:val="1"/>
    <w:link w:val="798"/>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20"/>
    <w:qFormat/>
    <w:uiPriority w:val="0"/>
    <w:pPr>
      <w:tabs>
        <w:tab w:val="left" w:pos="2356"/>
      </w:tabs>
    </w:pPr>
  </w:style>
  <w:style w:type="paragraph" w:customStyle="1" w:styleId="104">
    <w:name w:val="样式 标题 4h4H4Fab-4T5Ref Heading 1rh1Heading sqlsect 1.2.3...."/>
    <w:basedOn w:val="6"/>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3"/>
    <w:qFormat/>
    <w:uiPriority w:val="0"/>
    <w:pPr>
      <w:adjustRightInd/>
    </w:pPr>
    <w:rPr>
      <w:rFonts w:ascii="宋体" w:hAnsi="Courier New"/>
      <w:kern w:val="0"/>
      <w:sz w:val="20"/>
      <w:szCs w:val="20"/>
    </w:rPr>
  </w:style>
  <w:style w:type="paragraph" w:customStyle="1" w:styleId="107">
    <w:name w:val="正文说明"/>
    <w:basedOn w:val="1"/>
    <w:link w:val="845"/>
    <w:qFormat/>
    <w:uiPriority w:val="0"/>
    <w:pPr>
      <w:adjustRightInd/>
      <w:spacing w:line="360" w:lineRule="auto"/>
    </w:pPr>
    <w:rPr>
      <w:kern w:val="0"/>
      <w:sz w:val="24"/>
    </w:rPr>
  </w:style>
  <w:style w:type="paragraph" w:customStyle="1" w:styleId="108">
    <w:name w:val="Table Text"/>
    <w:basedOn w:val="1"/>
    <w:link w:val="851"/>
    <w:qFormat/>
    <w:uiPriority w:val="0"/>
    <w:pPr>
      <w:widowControl/>
      <w:spacing w:before="60" w:after="60"/>
      <w:jc w:val="left"/>
    </w:pPr>
    <w:rPr>
      <w:kern w:val="0"/>
      <w:sz w:val="24"/>
    </w:rPr>
  </w:style>
  <w:style w:type="paragraph" w:customStyle="1" w:styleId="109">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3"/>
    <w:qFormat/>
    <w:uiPriority w:val="0"/>
    <w:pPr>
      <w:widowControl/>
      <w:snapToGrid w:val="0"/>
      <w:spacing w:afterLines="50"/>
      <w:ind w:firstLine="200" w:firstLineChars="200"/>
    </w:pPr>
    <w:rPr>
      <w:kern w:val="0"/>
      <w:sz w:val="24"/>
      <w:szCs w:val="20"/>
    </w:rPr>
  </w:style>
  <w:style w:type="paragraph" w:customStyle="1" w:styleId="114">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5"/>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6"/>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tabs>
        <w:tab w:val="left" w:pos="2790"/>
        <w:tab w:val="left" w:pos="4230"/>
      </w:tabs>
      <w:spacing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3"/>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qFormat/>
    <w:uiPriority w:val="0"/>
    <w:rPr>
      <w:rFonts w:ascii="仿宋_GB2312" w:eastAsia="仿宋_GB2312"/>
      <w:b/>
      <w:sz w:val="32"/>
      <w:szCs w:val="32"/>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qFormat/>
    <w:uiPriority w:val="0"/>
    <w:pPr>
      <w:keepNext/>
      <w:tabs>
        <w:tab w:val="left" w:pos="360"/>
      </w:tabs>
      <w:outlineLvl w:val="5"/>
    </w:pPr>
  </w:style>
  <w:style w:type="paragraph" w:customStyle="1" w:styleId="158">
    <w:name w:val="5级标题"/>
    <w:basedOn w:val="159"/>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9">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qFormat/>
    <w:uiPriority w:val="0"/>
    <w:pPr>
      <w:adjustRightInd/>
      <w:ind w:left="420" w:leftChars="200"/>
      <w:jc w:val="left"/>
    </w:pPr>
    <w:rPr>
      <w:sz w:val="28"/>
      <w:szCs w:val="20"/>
      <w:lang w:eastAsia="zh-TW"/>
    </w:rPr>
  </w:style>
  <w:style w:type="paragraph" w:customStyle="1" w:styleId="161">
    <w:name w:val="Char2 Char Char"/>
    <w:basedOn w:val="1"/>
    <w:qFormat/>
    <w:uiPriority w:val="0"/>
    <w:pPr>
      <w:adjustRightInd/>
    </w:pPr>
    <w:rPr>
      <w:rFonts w:ascii="Tahoma" w:hAnsi="Tahoma"/>
      <w:sz w:val="24"/>
      <w:szCs w:val="20"/>
    </w:rPr>
  </w:style>
  <w:style w:type="paragraph" w:customStyle="1" w:styleId="162">
    <w:name w:val="_Style 11"/>
    <w:basedOn w:val="1"/>
    <w:qFormat/>
    <w:uiPriority w:val="34"/>
    <w:pPr>
      <w:adjustRightInd/>
      <w:ind w:firstLine="420" w:firstLineChars="200"/>
    </w:pPr>
    <w:rPr>
      <w:rFonts w:eastAsia="仿宋_GB2312"/>
      <w:sz w:val="28"/>
    </w:rPr>
  </w:style>
  <w:style w:type="paragraph" w:customStyle="1" w:styleId="16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qFormat/>
    <w:uiPriority w:val="0"/>
    <w:rPr>
      <w:rFonts w:ascii="Tahoma" w:hAnsi="Tahoma"/>
      <w:sz w:val="24"/>
      <w:szCs w:val="20"/>
    </w:rPr>
  </w:style>
  <w:style w:type="paragraph" w:customStyle="1" w:styleId="165">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无间隔2"/>
    <w:basedOn w:val="1"/>
    <w:link w:val="941"/>
    <w:qFormat/>
    <w:uiPriority w:val="99"/>
    <w:rPr>
      <w:szCs w:val="22"/>
    </w:rPr>
  </w:style>
  <w:style w:type="paragraph" w:customStyle="1" w:styleId="1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qFormat/>
    <w:uiPriority w:val="6"/>
    <w:rPr>
      <w:rFonts w:ascii="Tahoma" w:hAnsi="Tahoma" w:cs="仿宋_GB2312"/>
      <w:sz w:val="24"/>
      <w:szCs w:val="20"/>
    </w:rPr>
  </w:style>
  <w:style w:type="paragraph" w:customStyle="1" w:styleId="17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qFormat/>
    <w:uiPriority w:val="0"/>
    <w:pPr>
      <w:adjustRightInd/>
    </w:pPr>
  </w:style>
  <w:style w:type="paragraph" w:customStyle="1" w:styleId="175">
    <w:name w:val="Char5"/>
    <w:basedOn w:val="1"/>
    <w:qFormat/>
    <w:uiPriority w:val="0"/>
    <w:rPr>
      <w:rFonts w:ascii="仿宋_GB2312" w:eastAsia="仿宋_GB2312"/>
      <w:b/>
      <w:sz w:val="32"/>
      <w:szCs w:val="32"/>
    </w:rPr>
  </w:style>
  <w:style w:type="paragraph" w:customStyle="1" w:styleId="17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qFormat/>
    <w:uiPriority w:val="0"/>
    <w:rPr>
      <w:rFonts w:ascii="仿宋_GB2312" w:eastAsia="仿宋_GB2312"/>
      <w:b/>
      <w:sz w:val="32"/>
      <w:szCs w:val="32"/>
    </w:rPr>
  </w:style>
  <w:style w:type="paragraph" w:customStyle="1" w:styleId="180">
    <w:name w:val="数字标题3"/>
    <w:basedOn w:val="4"/>
    <w:next w:val="1"/>
    <w:qFormat/>
    <w:uiPriority w:val="0"/>
    <w:pPr>
      <w:spacing w:line="240" w:lineRule="auto"/>
    </w:pPr>
    <w:rPr>
      <w:sz w:val="28"/>
      <w:szCs w:val="28"/>
    </w:rPr>
  </w:style>
  <w:style w:type="paragraph" w:customStyle="1" w:styleId="181">
    <w:name w:val="FA正文"/>
    <w:basedOn w:val="1"/>
    <w:qFormat/>
    <w:uiPriority w:val="0"/>
    <w:pPr>
      <w:spacing w:line="360" w:lineRule="auto"/>
      <w:ind w:firstLine="480" w:firstLineChars="200"/>
    </w:pPr>
    <w:rPr>
      <w:rFonts w:hAnsi="宋体"/>
      <w:sz w:val="24"/>
      <w:szCs w:val="20"/>
    </w:rPr>
  </w:style>
  <w:style w:type="paragraph" w:customStyle="1" w:styleId="182">
    <w:name w:val="MM Topic 5"/>
    <w:basedOn w:val="7"/>
    <w:qFormat/>
    <w:uiPriority w:val="0"/>
    <w:pPr>
      <w:tabs>
        <w:tab w:val="left" w:pos="2520"/>
        <w:tab w:val="clear" w:pos="1008"/>
      </w:tabs>
      <w:adjustRightInd/>
      <w:ind w:left="2520" w:hanging="420"/>
    </w:pPr>
  </w:style>
  <w:style w:type="paragraph" w:customStyle="1" w:styleId="183">
    <w:name w:val="Char Char Char Char Char Char Char Char Char Char1"/>
    <w:basedOn w:val="1"/>
    <w:qFormat/>
    <w:uiPriority w:val="0"/>
    <w:rPr>
      <w:rFonts w:ascii="仿宋_GB2312" w:eastAsia="仿宋_GB2312"/>
      <w:b/>
      <w:sz w:val="32"/>
      <w:szCs w:val="32"/>
    </w:rPr>
  </w:style>
  <w:style w:type="paragraph" w:customStyle="1" w:styleId="18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qFormat/>
    <w:uiPriority w:val="0"/>
    <w:rPr>
      <w:rFonts w:ascii="仿宋_GB2312" w:eastAsia="仿宋_GB2312"/>
      <w:b/>
      <w:sz w:val="32"/>
      <w:szCs w:val="32"/>
    </w:rPr>
  </w:style>
  <w:style w:type="paragraph" w:customStyle="1" w:styleId="187">
    <w:name w:val="Char2 Char Char Char1"/>
    <w:basedOn w:val="1"/>
    <w:qFormat/>
    <w:uiPriority w:val="6"/>
    <w:rPr>
      <w:rFonts w:ascii="仿宋_GB2312" w:eastAsia="仿宋_GB2312"/>
      <w:b/>
      <w:sz w:val="32"/>
      <w:szCs w:val="32"/>
    </w:rPr>
  </w:style>
  <w:style w:type="paragraph" w:customStyle="1" w:styleId="188">
    <w:name w:val="默认段落样式"/>
    <w:basedOn w:val="86"/>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qFormat/>
    <w:uiPriority w:val="0"/>
    <w:pPr>
      <w:snapToGrid w:val="0"/>
      <w:spacing w:line="0" w:lineRule="atLeast"/>
      <w:ind w:firstLine="200" w:firstLineChars="200"/>
      <w:jc w:val="center"/>
    </w:pPr>
    <w:rPr>
      <w:sz w:val="24"/>
      <w:szCs w:val="20"/>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4"/>
    <w:qFormat/>
    <w:uiPriority w:val="0"/>
    <w:pPr>
      <w:tabs>
        <w:tab w:val="left" w:pos="1680"/>
        <w:tab w:val="clear" w:pos="900"/>
      </w:tabs>
      <w:adjustRightInd/>
      <w:ind w:left="1680" w:hanging="420"/>
    </w:p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qFormat/>
    <w:uiPriority w:val="0"/>
    <w:pPr>
      <w:adjustRightInd/>
      <w:snapToGrid w:val="0"/>
      <w:spacing w:line="300" w:lineRule="auto"/>
    </w:pPr>
    <w:rPr>
      <w:rFonts w:eastAsia="仿宋"/>
      <w:szCs w:val="21"/>
    </w:rPr>
  </w:style>
  <w:style w:type="paragraph" w:customStyle="1" w:styleId="1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qFormat/>
    <w:uiPriority w:val="6"/>
    <w:pPr>
      <w:adjustRightInd/>
    </w:pPr>
    <w:rPr>
      <w:rFonts w:ascii="Tahoma" w:hAnsi="Tahoma"/>
      <w:sz w:val="24"/>
      <w:szCs w:val="20"/>
    </w:rPr>
  </w:style>
  <w:style w:type="paragraph" w:customStyle="1" w:styleId="197">
    <w:name w:val="列出段落5"/>
    <w:basedOn w:val="1"/>
    <w:qFormat/>
    <w:uiPriority w:val="0"/>
    <w:pPr>
      <w:spacing w:line="360" w:lineRule="auto"/>
      <w:ind w:firstLine="200" w:firstLineChars="200"/>
    </w:pPr>
    <w:rPr>
      <w:rFonts w:eastAsia="楷体_GB2312" w:cs="Lucida Sans"/>
      <w:sz w:val="24"/>
    </w:rPr>
  </w:style>
  <w:style w:type="paragraph" w:customStyle="1" w:styleId="19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6"/>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Lines="50"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7"/>
    <w:next w:val="97"/>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7"/>
    <w:next w:val="97"/>
    <w:qFormat/>
    <w:uiPriority w:val="0"/>
    <w:rPr>
      <w:rFonts w:ascii="宋体" w:eastAsia="宋体" w:cs="Times New Roman"/>
      <w:color w:val="auto"/>
    </w:rPr>
  </w:style>
  <w:style w:type="paragraph" w:customStyle="1" w:styleId="23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5"/>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2"/>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Lines="0" w:afterLines="0"/>
      <w:ind w:left="1680"/>
      <w:outlineLvl w:val="2"/>
    </w:pPr>
  </w:style>
  <w:style w:type="paragraph" w:customStyle="1" w:styleId="342">
    <w:name w:val="章标题"/>
    <w:next w:val="324"/>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6"/>
    <w:qFormat/>
    <w:uiPriority w:val="0"/>
    <w:pPr>
      <w:tabs>
        <w:tab w:val="left" w:pos="2100"/>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Lines="50"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6"/>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4"/>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3"/>
    <w:qFormat/>
    <w:uiPriority w:val="0"/>
    <w:pPr>
      <w:snapToGrid w:val="0"/>
      <w:ind w:firstLine="480" w:firstLineChars="200"/>
    </w:pPr>
    <w:rPr>
      <w:rFonts w:ascii="Times New Roman"/>
      <w:szCs w:val="24"/>
      <w:lang w:val="en-US"/>
    </w:rPr>
  </w:style>
  <w:style w:type="paragraph" w:customStyle="1" w:styleId="45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58"/>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4"/>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8"/>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18"/>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6"/>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2"/>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3"/>
    <w:qFormat/>
    <w:uiPriority w:val="0"/>
    <w:rPr>
      <w:b w:val="0"/>
      <w:sz w:val="20"/>
    </w:rPr>
  </w:style>
  <w:style w:type="paragraph" w:customStyle="1" w:styleId="578">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7"/>
    <w:next w:val="1"/>
    <w:qFormat/>
    <w:uiPriority w:val="0"/>
    <w:pPr>
      <w:tabs>
        <w:tab w:val="left" w:pos="1080"/>
        <w:tab w:val="clear" w:pos="1008"/>
      </w:tabs>
      <w:ind w:left="1080" w:hanging="1080"/>
    </w:pPr>
  </w:style>
  <w:style w:type="paragraph" w:customStyle="1" w:styleId="581">
    <w:name w:val="数字标题1"/>
    <w:basedOn w:val="2"/>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7"/>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6"/>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7">
    <w:name w:val="_Style 947"/>
    <w:basedOn w:val="1"/>
    <w:next w:val="101"/>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0">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621">
    <w:name w:val="表格非标题文字 Char"/>
    <w:link w:val="81"/>
    <w:qFormat/>
    <w:uiPriority w:val="0"/>
    <w:rPr>
      <w:rFonts w:ascii="Futura Bk" w:hAnsi="Futura Bk"/>
      <w:kern w:val="2"/>
      <w:sz w:val="18"/>
      <w:szCs w:val="21"/>
      <w:lang w:val="en-US" w:eastAsia="zh-CN" w:bidi="ar-SA"/>
    </w:rPr>
  </w:style>
  <w:style w:type="character" w:customStyle="1" w:styleId="622">
    <w:name w:val="*正文 Char"/>
    <w:link w:val="82"/>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3"/>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字符"/>
    <w:link w:val="59"/>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4"/>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5"/>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文本首行缩进 2 字符"/>
    <w:link w:val="61"/>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69"/>
    <w:qFormat/>
    <w:uiPriority w:val="0"/>
    <w:rPr>
      <w:rFonts w:ascii="Arial" w:hAnsi="Arial" w:eastAsia="黑体" w:cs="Arial"/>
      <w:snapToGrid w:val="0"/>
      <w:kern w:val="0"/>
      <w:szCs w:val="21"/>
    </w:rPr>
  </w:style>
  <w:style w:type="character" w:customStyle="1" w:styleId="659">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6"/>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字符"/>
    <w:link w:val="46"/>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87"/>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字符"/>
    <w:link w:val="8"/>
    <w:qFormat/>
    <w:uiPriority w:val="0"/>
    <w:rPr>
      <w:rFonts w:ascii="Arial" w:hAnsi="Arial" w:eastAsia="黑体"/>
      <w:b/>
      <w:bCs/>
      <w:kern w:val="2"/>
      <w:sz w:val="24"/>
      <w:szCs w:val="24"/>
    </w:rPr>
  </w:style>
  <w:style w:type="character" w:customStyle="1" w:styleId="680">
    <w:name w:val="纯文本 Char_0"/>
    <w:link w:val="88"/>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0"/>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1"/>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字符"/>
    <w:link w:val="35"/>
    <w:qFormat/>
    <w:uiPriority w:val="0"/>
    <w:rPr>
      <w:rFonts w:ascii="宋体"/>
      <w:kern w:val="2"/>
      <w:sz w:val="24"/>
      <w:szCs w:val="21"/>
      <w:lang w:val="zh-CN"/>
    </w:rPr>
  </w:style>
  <w:style w:type="character" w:customStyle="1" w:styleId="710">
    <w:name w:val="标题 9 字符"/>
    <w:link w:val="11"/>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字符1"/>
    <w:link w:val="38"/>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2"/>
    <w:qFormat/>
    <w:locked/>
    <w:uiPriority w:val="0"/>
    <w:rPr>
      <w:rFonts w:ascii="Tahoma" w:hAnsi="Tahoma"/>
      <w:sz w:val="24"/>
      <w:szCs w:val="24"/>
    </w:rPr>
  </w:style>
  <w:style w:type="character" w:customStyle="1" w:styleId="720">
    <w:name w:val="正文缩进 字符2"/>
    <w:link w:val="5"/>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3"/>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字符"/>
    <w:link w:val="18"/>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69"/>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字符"/>
    <w:link w:val="29"/>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5"/>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6"/>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字符"/>
    <w:link w:val="16"/>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97"/>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98"/>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99"/>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0"/>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字符1"/>
    <w:link w:val="24"/>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2"/>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字符1"/>
    <w:link w:val="2"/>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字符"/>
    <w:link w:val="58"/>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字符"/>
    <w:link w:val="7"/>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字符"/>
    <w:link w:val="20"/>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字符"/>
    <w:link w:val="56"/>
    <w:qFormat/>
    <w:uiPriority w:val="0"/>
    <w:rPr>
      <w:rFonts w:ascii="黑体" w:hAnsi="Courier New" w:eastAsia="黑体"/>
    </w:rPr>
  </w:style>
  <w:style w:type="character" w:customStyle="1" w:styleId="819">
    <w:name w:val="正文文本 2 字符1"/>
    <w:link w:val="55"/>
    <w:qFormat/>
    <w:uiPriority w:val="0"/>
    <w:rPr>
      <w:kern w:val="2"/>
      <w:sz w:val="21"/>
      <w:szCs w:val="24"/>
    </w:rPr>
  </w:style>
  <w:style w:type="character" w:customStyle="1" w:styleId="820">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字符"/>
    <w:link w:val="9"/>
    <w:qFormat/>
    <w:uiPriority w:val="0"/>
    <w:rPr>
      <w:b/>
      <w:bCs/>
      <w:kern w:val="2"/>
      <w:sz w:val="24"/>
      <w:szCs w:val="24"/>
    </w:rPr>
  </w:style>
  <w:style w:type="character" w:customStyle="1" w:styleId="823">
    <w:name w:val="正文文本缩进 2 字符"/>
    <w:link w:val="36"/>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字符"/>
    <w:link w:val="49"/>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5"/>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6"/>
    <w:qFormat/>
    <w:uiPriority w:val="0"/>
    <w:rPr>
      <w:rFonts w:ascii="宋体" w:hAnsi="Courier New"/>
    </w:rPr>
  </w:style>
  <w:style w:type="character" w:customStyle="1" w:styleId="834">
    <w:name w:val="正文文本首行缩进 字符"/>
    <w:link w:val="60"/>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字符1"/>
    <w:link w:val="6"/>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字符"/>
    <w:link w:val="21"/>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07"/>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08"/>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字符1"/>
    <w:link w:val="19"/>
    <w:qFormat/>
    <w:uiPriority w:val="99"/>
    <w:rPr>
      <w:kern w:val="2"/>
      <w:sz w:val="21"/>
      <w:szCs w:val="24"/>
    </w:rPr>
  </w:style>
  <w:style w:type="character" w:customStyle="1" w:styleId="856">
    <w:name w:val="签名 字符"/>
    <w:link w:val="41"/>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09"/>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0"/>
    <w:qFormat/>
    <w:uiPriority w:val="0"/>
    <w:rPr>
      <w:rFonts w:ascii="宋体"/>
    </w:rPr>
  </w:style>
  <w:style w:type="character" w:customStyle="1" w:styleId="867">
    <w:name w:val="标题 8 字符"/>
    <w:link w:val="10"/>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字符"/>
    <w:link w:val="52"/>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1"/>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字符2"/>
    <w:link w:val="39"/>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2"/>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字符2"/>
    <w:link w:val="40"/>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3"/>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4"/>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5"/>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6"/>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69"/>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17"/>
    <w:qFormat/>
    <w:uiPriority w:val="0"/>
    <w:rPr>
      <w:rFonts w:cs="宋体"/>
      <w:kern w:val="2"/>
      <w:sz w:val="24"/>
    </w:rPr>
  </w:style>
  <w:style w:type="character" w:customStyle="1" w:styleId="932">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33">
    <w:name w:val="gray6"/>
    <w:basedOn w:val="69"/>
    <w:qFormat/>
    <w:uiPriority w:val="0"/>
    <w:rPr>
      <w:rFonts w:ascii="Arial" w:hAnsi="Arial" w:eastAsia="黑体" w:cs="Arial"/>
      <w:snapToGrid w:val="0"/>
      <w:kern w:val="0"/>
      <w:szCs w:val="21"/>
    </w:rPr>
  </w:style>
  <w:style w:type="character" w:customStyle="1" w:styleId="934">
    <w:name w:val="hui"/>
    <w:basedOn w:val="69"/>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字符"/>
    <w:link w:val="37"/>
    <w:qFormat/>
    <w:uiPriority w:val="0"/>
    <w:rPr>
      <w:kern w:val="2"/>
      <w:sz w:val="21"/>
      <w:szCs w:val="24"/>
      <w:lang w:val="zh-CN"/>
    </w:rPr>
  </w:style>
  <w:style w:type="character" w:customStyle="1" w:styleId="941">
    <w:name w:val="无间隔 Char"/>
    <w:link w:val="167"/>
    <w:qFormat/>
    <w:uiPriority w:val="99"/>
    <w:rPr>
      <w:kern w:val="2"/>
      <w:sz w:val="21"/>
      <w:szCs w:val="22"/>
    </w:rPr>
  </w:style>
  <w:style w:type="character" w:customStyle="1" w:styleId="942">
    <w:name w:val="标准文本 Char Char"/>
    <w:link w:val="606"/>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69"/>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table" w:customStyle="1" w:styleId="95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BECC5F-FB75-4170-AA24-483F596B5AA2}">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179</Pages>
  <Words>105584</Words>
  <Characters>112155</Characters>
  <Lines>855</Lines>
  <Paragraphs>240</Paragraphs>
  <TotalTime>10</TotalTime>
  <ScaleCrop>false</ScaleCrop>
  <LinksUpToDate>false</LinksUpToDate>
  <CharactersWithSpaces>114480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2024-07-02T06:45:00Z</dcterms:created>
  <dc:creator>玥</dc:creator>
  <cp:lastModifiedBy>杭州信达招标代理</cp:lastModifiedBy>
  <cp:lastPrinted>2021-12-27T11:06:00Z</cp:lastPrinted>
  <dcterms:modified xsi:type="dcterms:W3CDTF">2024-08-02T04:04:04Z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D26E58BBCE3C4085B1EAF74C2E83FA4E_13</vt:lpwstr>
  </property>
</Properties>
</file>